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CS 255 System Design Document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Joseph Dengler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r w:rsidDel="00000000" w:rsidR="00000000" w:rsidRPr="00000000">
        <w:rPr>
          <w:rtl w:val="0"/>
        </w:rPr>
        <w:t xml:space="preserve">UML Diagrams</w:t>
      </w:r>
    </w:p>
    <w:p w:rsidR="00000000" w:rsidDel="00000000" w:rsidP="00000000" w:rsidRDefault="00000000" w:rsidRPr="00000000" w14:paraId="0000000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  <w:t xml:space="preserve">UML Use Case Diagram</w:t>
      </w:r>
    </w:p>
    <w:p w:rsidR="00000000" w:rsidDel="00000000" w:rsidP="00000000" w:rsidRDefault="00000000" w:rsidRPr="00000000" w14:paraId="0000000A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918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rPr/>
      </w:pPr>
      <w:bookmarkStart w:colFirst="0" w:colLast="0" w:name="_heading=h.uomlyr3v709n" w:id="1"/>
      <w:bookmarkEnd w:id="1"/>
      <w:r w:rsidDel="00000000" w:rsidR="00000000" w:rsidRPr="00000000">
        <w:rPr>
          <w:rtl w:val="0"/>
        </w:rPr>
        <w:t xml:space="preserve">UML Activity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i w:val="1"/>
          <w:rtl w:val="0"/>
        </w:rPr>
        <w:t xml:space="preserve">    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4700932" cy="78755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932" cy="787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  <w:t xml:space="preserve">UML Sequence Diagram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6172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rPr/>
      </w:pPr>
      <w:r w:rsidDel="00000000" w:rsidR="00000000" w:rsidRPr="00000000">
        <w:rPr>
          <w:rtl w:val="0"/>
        </w:rPr>
        <w:t xml:space="preserve">UML Class Diagram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</w:rPr>
        <w:drawing>
          <wp:inline distB="114300" distT="114300" distL="114300" distR="114300">
            <wp:extent cx="5943600" cy="5918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r w:rsidDel="00000000" w:rsidR="00000000" w:rsidRPr="00000000">
        <w:rPr>
          <w:rtl w:val="0"/>
        </w:rPr>
        <w:t xml:space="preserve">Technical Requirements</w:t>
      </w:r>
    </w:p>
    <w:p w:rsidR="00000000" w:rsidDel="00000000" w:rsidP="00000000" w:rsidRDefault="00000000" w:rsidRPr="00000000" w14:paraId="00000022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Hardware Requirements:</w:t>
      </w:r>
    </w:p>
    <w:p w:rsidR="00000000" w:rsidDel="00000000" w:rsidP="00000000" w:rsidRDefault="00000000" w:rsidRPr="00000000" w14:paraId="0000002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Servers: The system needs robust servers capable of handling both online and offline data access, ensuring data integrity and avoiding duplication.</w:t>
      </w:r>
    </w:p>
    <w:p w:rsidR="00000000" w:rsidDel="00000000" w:rsidP="00000000" w:rsidRDefault="00000000" w:rsidRPr="00000000" w14:paraId="0000002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Database Server: A dedicated server for storing and managing the database, ensuring efficient data retrieval and storage.</w:t>
      </w:r>
    </w:p>
    <w:p w:rsidR="00000000" w:rsidDel="00000000" w:rsidP="00000000" w:rsidRDefault="00000000" w:rsidRPr="00000000" w14:paraId="0000002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Cloud Infrastructure: The system should be designed to run on a cloud-based infrastructure, eliminating the need for local server management.</w:t>
      </w:r>
    </w:p>
    <w:p w:rsidR="00000000" w:rsidDel="00000000" w:rsidP="00000000" w:rsidRDefault="00000000" w:rsidRPr="00000000" w14:paraId="00000026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Software 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Web Application: A web-based application to allow users (customers, employees) to access the system online. The application should be compatible with major web browsers.</w:t>
      </w:r>
    </w:p>
    <w:p w:rsidR="00000000" w:rsidDel="00000000" w:rsidP="00000000" w:rsidRDefault="00000000" w:rsidRPr="00000000" w14:paraId="0000002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Database Management System (DBMS): A reliable DBMS for managing the database, ensuring data consistency, security, and ease of retrieval.</w:t>
      </w:r>
    </w:p>
    <w:p w:rsidR="00000000" w:rsidDel="00000000" w:rsidP="00000000" w:rsidRDefault="00000000" w:rsidRPr="00000000" w14:paraId="0000002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Security Software: Robust security measures, including encryption, firewalls, and access controls, to protect user data and system integrity.</w:t>
      </w:r>
    </w:p>
    <w:p w:rsidR="00000000" w:rsidDel="00000000" w:rsidP="00000000" w:rsidRDefault="00000000" w:rsidRPr="00000000" w14:paraId="0000002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Backup and Recovery Software: Automated backup and recovery tools to prevent data loss and ensure system availability.</w:t>
      </w:r>
    </w:p>
    <w:p w:rsidR="00000000" w:rsidDel="00000000" w:rsidP="00000000" w:rsidRDefault="00000000" w:rsidRPr="00000000" w14:paraId="0000002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Programming Languages: Depending on the technology stack, programming languages like Java, Python, or others may be required for application development.</w:t>
      </w:r>
    </w:p>
    <w:p w:rsidR="00000000" w:rsidDel="00000000" w:rsidP="00000000" w:rsidRDefault="00000000" w:rsidRPr="00000000" w14:paraId="0000002E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Tools: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CASE Tools: The system design and development can benefit from CASE (Computer-Aided Software Engineering) tools for creating and maintaining UML diagrams. Lucidchart has already been used so far.</w:t>
      </w:r>
    </w:p>
    <w:p w:rsidR="00000000" w:rsidDel="00000000" w:rsidP="00000000" w:rsidRDefault="00000000" w:rsidRPr="00000000" w14:paraId="0000003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Version Control: Version control tools (e.g., Git) to manage source code and track changes made by the development team.</w:t>
      </w:r>
    </w:p>
    <w:p w:rsidR="00000000" w:rsidDel="00000000" w:rsidP="00000000" w:rsidRDefault="00000000" w:rsidRPr="00000000" w14:paraId="0000003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Issue Tracking: An issue tracking system (e.g., Jira) to manage and prioritize development tasks and address any reported issues.</w:t>
      </w:r>
    </w:p>
    <w:p w:rsidR="00000000" w:rsidDel="00000000" w:rsidP="00000000" w:rsidRDefault="00000000" w:rsidRPr="00000000" w14:paraId="00000033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Infrastructure: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Internet Connectivity: A reliable and high-speed internet connection for seamless online access to the system.</w:t>
      </w:r>
    </w:p>
    <w:p w:rsidR="00000000" w:rsidDel="00000000" w:rsidP="00000000" w:rsidRDefault="00000000" w:rsidRPr="00000000" w14:paraId="0000003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DMV Connectivity: Integration with the DMV systems, requiring a secure and stable connection to receive updates on rules, policies, and sample questions.</w:t>
      </w:r>
    </w:p>
    <w:p w:rsidR="00000000" w:rsidDel="00000000" w:rsidP="00000000" w:rsidRDefault="00000000" w:rsidRPr="00000000" w14:paraId="0000003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Cloud Service Provider: Selection of a reputable cloud service provider (e.g., AWS, Azure) for hosting the application and ensuring scalability and reliability.</w:t>
      </w:r>
    </w:p>
    <w:p w:rsidR="00000000" w:rsidDel="00000000" w:rsidP="00000000" w:rsidRDefault="00000000" w:rsidRPr="00000000" w14:paraId="00000038">
      <w:pPr>
        <w:spacing w:after="0" w:line="240" w:lineRule="auto"/>
        <w:rPr>
          <w:i w:val="1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line="240" w:lineRule="auto"/>
      <w:rPr>
        <w:rFonts w:ascii="Calibri" w:cs="Calibri" w:eastAsia="Calibri" w:hAnsi="Calibri"/>
        <w:color w:val="000000"/>
      </w:rPr>
    </w:pPr>
    <w:r w:rsidDel="00000000" w:rsidR="00000000" w:rsidRPr="00000000">
      <w:rPr>
        <w:rFonts w:ascii="Calibri" w:cs="Calibri" w:eastAsia="Calibri" w:hAnsi="Calibri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16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2743200" cy="409575"/>
          <wp:effectExtent b="0" l="0" r="0" t="0"/>
          <wp:docPr descr="SNHU logo" id="4" name="image2.jpg"/>
          <a:graphic>
            <a:graphicData uri="http://schemas.openxmlformats.org/drawingml/2006/picture">
              <pic:pic>
                <pic:nvPicPr>
                  <pic:cNvPr descr="SNHU logo"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43200" cy="4095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spacing w:after="0" w:line="240" w:lineRule="auto"/>
      <w:jc w:val="center"/>
    </w:pPr>
    <w:rPr>
      <w:rFonts w:ascii="Calibri" w:cs="Calibri" w:eastAsia="Calibri" w:hAnsi="Calibri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0"/>
      <w:keepLines w:val="0"/>
      <w:spacing w:after="0" w:line="240" w:lineRule="auto"/>
      <w:jc w:val="center"/>
    </w:pPr>
    <w:rPr>
      <w:rFonts w:ascii="Calibri" w:cs="Calibri" w:eastAsia="Calibri" w:hAnsi="Calibri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="240" w:lineRule="auto"/>
    </w:pPr>
    <w:rPr>
      <w:rFonts w:ascii="Calibri" w:cs="Calibri" w:eastAsia="Calibri" w:hAnsi="Calibri"/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YeBV1/Y0YxkWkYjYZPXGgWenIQ==">CgMxLjAyCGguZ2pkZ3hzMg5oLnVvbWx5cjN2NzA5bjgAciExU1FrQzNlUG1SS1FKOVVQNG45c0JLSm1iRkhGX3RlRjY=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