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405 Journal: Reflections on Secure Coding and Security Policies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secure coding standard from the beginning is crucial for effective security. By embedding security practices early in the development process, developers can prevent vulnerabilities before they are introduced into the codebase. This approach aligns with the “Shift Left” philosophy, which emphasizes addressing security early rather than as an afterthought. Secure coding standards, such as OWASP’s Secure Coding Guidelines or CERT’s C++ standards, provide structured guidance on practices like input validation, error handling, and access control. When these standards are adopted early, they help developers avoid common vulnerabilities, ultimately saving time and resources by minimizing costly rework later in the development lifecycle. I’ve come to realize that adhering to these standards throughout development encourages a proactive rather than reactive approach to security.</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significant element in secure coding is the evaluation and assessment of risk alongside the cost-benefit analysis of mitigation strategies. Security is always a balance between cost and protection. Not all risks can be mitigated due to resource constraints, so it's essential to assess which vulnerabilities are most likely to be exploited and prioritize those for mitigation. For instance, risks that could lead to data breaches or unauthorized access may require more immediate and intensive controls, such as implementing multi-factor authentication and encryption, despite the associated costs. I’ve learned that by systematically evaluating the impact of each potential vulnerability, developers and security professionals can make informed decisions on resource allocation, achieving an optimal balance between cost and security.</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Zero Trust model has significantly changed my perception of security, emphasizing that no user, device, or network should be inherently trusted. With Zero Trust, every interaction is verified continuously, even those within an internal network. This approach is crucial as it acknowledges that threats can originate from both internal and external sources, especially as remote work and cloud services continue to expand. As a user, I understand that Zero Trust may require more frequent verification steps, such as multi-factor authentication, which can be inconvenient but essential for safeguarding sensitive data. If I were to convince other developers of the benefits of Zero Trust, I would focus on its ability to minimize insider threats and unauthorized access, as well as its adaptability to modern work environments that extend beyond traditional network perimeters.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implementing and recommending security policies has proven vital for maintaining a secure environment throughout the software lifecycle. Security policies, such as an incident response plan or regular security audits, provide a framework that guides both developers and users in maintaining best practices. These policies create a culture of security, where each team member understands their role in protecting data and systems. In my experience, regularly revisiting and updating these policies based on new threats and security trends is essential to keep them relevant. For instance, updating policies to reflect emerging standards like NIST’s Zero Trust Architecture or ISO 27001 ensures that an organization’s approach to security remains comprehensive and current.</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secure coding is not a single step but a continuous commitment to security throughout the development process. Adopting secure coding standards, assessing risks, implementing Zero Trust, and enforcing security policies are all interconnected practices that create a resilient security foundation. This course has highlighted the importance of each of these elements and their role in fostering a proactive, security-focused mindset.</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rPr/>
    </w:pPr>
    <w:r w:rsidDel="00000000" w:rsidR="00000000" w:rsidRPr="00000000">
      <w:rPr>
        <w:rtl w:val="0"/>
      </w:rPr>
      <w:t xml:space="preserve">Joseph Dengler                                                                                      CS-405 - Dr. Tam - SNHU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Journal Week 8                                                                                                             10/27/2024</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