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2025-05-15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for example, precise specification of software and library versions, virtual environments, and containerization). Software that does not allow generating output using scripts (e.g., ArcGIS)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By default, conditionally accepted papers should deposit their replication package in the</w:t>
      </w:r>
      <w:r>
        <w:t xml:space="preserve"> </w:t>
      </w:r>
      <w:hyperlink r:id="rId44">
        <w:r>
          <w:rPr>
            <w:rStyle w:val="Hyperlink"/>
          </w:rPr>
          <w:t xml:space="preserve">JPE dataverse repository</w:t>
        </w:r>
      </w:hyperlink>
      <w:r>
        <w:t xml:space="preserve">, where it will be reviewed by the Data Editor. After the successful conclusion of reproducibility checks, the package will be published in this dataverse space.</w:t>
      </w:r>
    </w:p>
    <w:p>
      <w:pPr>
        <w:pStyle w:val="BodyText"/>
      </w:pPr>
      <w:r>
        <w:t xml:space="preserve">Other repositories and archives may be acceptable for all or part of the replication package, as long as they are considered to be trusted archives or repositories, as alluded to in</w:t>
      </w:r>
      <w:r>
        <w:t xml:space="preserve"> </w:t>
      </w:r>
      <w:hyperlink w:anchor="sec-rawdata">
        <w:r>
          <w:rPr>
            <w:rStyle w:val="Hyperlink"/>
          </w:rPr>
          <w:t xml:space="preserve">Section 1.2</w:t>
        </w:r>
      </w:hyperlink>
      <w:r>
        <w:t xml:space="preserve"> </w:t>
      </w:r>
      <w:r>
        <w:t xml:space="preserve">above. The Data Editor will assess the suitability of any such repositories and archives.</w:t>
      </w:r>
    </w:p>
    <w:p>
      <w:pPr>
        <w:pStyle w:val="BodyText"/>
      </w:pPr>
      <w:r>
        <w:t xml:space="preserve">In cases where data cannot be published in an openly accessible trusted data repository,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2025-05-15</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2025-05-15T12:51:46Z</dcterms:created>
  <dcterms:modified xsi:type="dcterms:W3CDTF">2025-05-15T12:51:46Z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2025-05-15</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