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5AEB692F"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155F6B">
        <w:t>PENSIONISTA DE LA PNP</w:t>
      </w:r>
      <w:r w:rsidR="002D2517">
        <w:t xml:space="preserve">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w:t>
      </w:r>
      <w:r w:rsidR="004C6F63">
        <w:t xml:space="preserve">correo electrónico </w:t>
      </w:r>
      <w:r w:rsidR="004C6F63" w:rsidRPr="004C6F63">
        <w:rPr>
          <w:b/>
        </w:rPr>
        <w:t>${email}</w:t>
      </w:r>
      <w:r w:rsidR="004C6F63">
        <w:t xml:space="preserve">, y/o WhatsApp Nro. Celular: </w:t>
      </w:r>
      <w:r w:rsidR="004C6F63" w:rsidRPr="00E63C87">
        <w:rPr>
          <w:b/>
        </w:rPr>
        <w:t>${</w:t>
      </w:r>
      <w:proofErr w:type="spellStart"/>
      <w:r w:rsidR="004C6F63" w:rsidRPr="00E63C87">
        <w:rPr>
          <w:b/>
        </w:rPr>
        <w:t>whatsapp</w:t>
      </w:r>
      <w:proofErr w:type="spellEnd"/>
      <w:r w:rsidR="004C6F63" w:rsidRPr="00E63C87">
        <w:rPr>
          <w:b/>
        </w:rPr>
        <w:t>}</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49ED820A" w14:textId="77777777" w:rsidR="00155F6B" w:rsidRDefault="00155F6B" w:rsidP="00155F6B">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37A297E5" w14:textId="77777777" w:rsidR="00155F6B" w:rsidRDefault="00155F6B" w:rsidP="00155F6B">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Pr>
          <w:b/>
        </w:rPr>
        <w:t>que se realizará de sus fondos, por ante la División de Producción de Planillas (DIREJPER-PNP), Dirección de Economía y Finanzas, Dirección de Recursos Humanos de la PNP,  Caja de Pensiones  Policial del Perú</w:t>
      </w:r>
      <w:r>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7E4A7A8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155F6B">
        <w:t xml:space="preserve">PENSIONISTA DE LA 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31373C">
        <w:t>}</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35909D2E" w14:textId="77777777" w:rsidR="00155F6B" w:rsidRDefault="00155F6B" w:rsidP="00155F6B">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07EAAC34" w14:textId="77777777" w:rsidR="00155F6B" w:rsidRDefault="00155F6B" w:rsidP="00155F6B">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Pr>
          <w:b/>
        </w:rPr>
        <w:t>que se realizará de sus fondos, por ante la División de Producción de Planillas (DIREJPER-PNP), Dirección de Economía y Finanzas, Dirección de Recursos Humanos de la PNP,  Caja de Pensiones  Policial del Perú</w:t>
      </w:r>
      <w:r>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7FB2B134"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155F6B">
        <w:t xml:space="preserve">PENSIONISTA DE LA PNP </w:t>
      </w:r>
      <w:bookmarkStart w:id="1" w:name="_GoBack"/>
      <w:bookmarkEnd w:id="1"/>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${whatsapp}</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51862309" w14:textId="77777777" w:rsidR="00155F6B" w:rsidRDefault="00155F6B" w:rsidP="00155F6B">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21FAF127" w14:textId="77777777" w:rsidR="00155F6B" w:rsidRDefault="00155F6B" w:rsidP="00155F6B">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Pr>
          <w:b/>
        </w:rPr>
        <w:t>que se realizará de sus fondos, por ante la División de Producción de Planillas (DIREJPER-PNP), Dirección de Economía y Finanzas, Dirección de Recursos Humanos de la PNP,  Caja de Pensiones  Policial del Perú</w:t>
      </w:r>
      <w:r>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5059</Words>
  <Characters>27828</Characters>
  <Application>Microsoft Office Word</Application>
  <DocSecurity>0</DocSecurity>
  <Lines>231</Lines>
  <Paragraphs>65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2019-09-25T17:51:00Z</dcterms:created>
  <dcterms:modified xsi:type="dcterms:W3CDTF">2019-09-25T17:51:00Z</dcterms:modified>
  <cp:category/>
</cp:coreProperties>
</file>