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77.4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55555555555, 15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