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RICARDO PALMA 268, distrito de Ate vitarte, provincia de Limadel departamento de Lima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5 de octubre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