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AAAA, Aaaa</w:t>
      </w:r>
      <w:r>
        <w:t>, en situación de</w:t>
      </w:r>
      <w:r w:rsidR="005B581E">
        <w:t xml:space="preserve"> 172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55555555</w:t>
      </w:r>
      <w:r>
        <w:t>,</w:t>
      </w:r>
      <w:r>
        <w:rPr>
          <w:spacing w:val="-10"/>
        </w:rPr>
        <w:t xml:space="preserve"> </w:t>
      </w:r>
      <w:r w:rsidR="005B581E">
        <w:t>, CIP: DDDDDDDDDD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 y </w:t>
      </w:r>
      <w:r>
        <w:t>email</w:t>
      </w:r>
      <w:r w:rsidR="005B581E">
        <w:t xml:space="preserve"> 5@3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el Ministerio de Salud del Perú (MINSA), Dirección General de Gestión del Desarrollo de Recursos Humanos del Ministerio de Salud, Dirección General de Personal de la Salud, Caja de Pensiones  Salud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1.15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January 9, 2020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