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jc w:val="center"/>
      </w:pPr>
      <w:r>
        <w:rPr>
          <w:rFonts w:ascii="Times New Roman" w:cs="Times New Roman" w:eastAsia="Times New Roman" w:hAnsi="Times New Roman"/>
          <w:b/>
          <w:bCs/>
          <w:color w:val="000000"/>
          <w:sz w:val="48"/>
          <w:szCs w:val="48"/>
        </w:rPr>
        <w:t xml:space="preserve">Extended Evaluation of Smart Meter Data Communication Under Cybersecurity Attacks: Statistical Analysis, Multi-Technology Assessment, and Machine Learning-Based Intrusion Detection</w:t>
      </w:r>
    </w:p>
    <w:p>
      <w:pPr>
        <w:spacing w:before="80" w:after="40"/>
        <w:jc w:val="center"/>
      </w:pPr>
      <w:r>
        <w:rPr>
          <w:rFonts w:ascii="Times New Roman" w:cs="Times New Roman" w:eastAsia="Times New Roman" w:hAnsi="Times New Roman"/>
          <w:color w:val="000000"/>
          <w:sz w:val="18"/>
          <w:szCs w:val="18"/>
        </w:rPr>
        <w:t xml:space="preserve">Oscar A. Alvarez¹, Harsh Kumar², Sanjeev Kumar¹</w:t>
      </w:r>
    </w:p>
    <w:p>
      <w:pPr>
        <w:spacing w:before="0" w:after="40"/>
        <w:jc w:val="center"/>
      </w:pPr>
      <w:r>
        <w:rPr>
          <w:rFonts w:ascii="Times New Roman" w:cs="Times New Roman" w:eastAsia="Times New Roman" w:hAnsi="Times New Roman"/>
          <w:i/>
          <w:iCs/>
          <w:color w:val="333333"/>
          <w:sz w:val="18"/>
          <w:szCs w:val="18"/>
        </w:rPr>
        <w:t xml:space="preserve">¹Department of Electrical and Computer Engineering, University of Texas Rio Grande Valley, USA</w:t>
      </w:r>
    </w:p>
    <w:p>
      <w:pPr>
        <w:spacing w:before="0" w:after="40"/>
        <w:jc w:val="center"/>
      </w:pPr>
      <w:r>
        <w:rPr>
          <w:rFonts w:ascii="Times New Roman" w:cs="Times New Roman" w:eastAsia="Times New Roman" w:hAnsi="Times New Roman"/>
          <w:i/>
          <w:iCs/>
          <w:color w:val="333333"/>
          <w:sz w:val="18"/>
          <w:szCs w:val="18"/>
        </w:rPr>
        <w:t xml:space="preserve">²R. B. Annis School of Engineering, University of Indianapolis, USA</w:t>
      </w:r>
    </w:p>
    <w:p>
      <w:pPr>
        <w:spacing w:before="0" w:after="160"/>
        <w:jc w:val="center"/>
      </w:pPr>
      <w:r>
        <w:rPr>
          <w:rFonts w:ascii="Times New Roman" w:cs="Times New Roman" w:eastAsia="Times New Roman" w:hAnsi="Times New Roman"/>
          <w:color w:val="333333"/>
          <w:sz w:val="18"/>
          <w:szCs w:val="18"/>
        </w:rPr>
        <w:t xml:space="preserve">oscar.a.alvarez02@utrgv.edu  ·  kumarh@uindy.edu  ·  sj.kumar@utrgv.edu</w:t>
      </w:r>
    </w:p>
    <w:p>
      <w:pPr>
        <w:pBdr>
          <w:bottom w:val="single" w:color="AAAAAA" w:sz="2" w:space="1"/>
        </w:pBdr>
        <w:spacing w:before="80" w:after="80"/>
      </w:pPr>
    </w:p>
    <w:p>
      <w:pPr>
        <w:spacing w:before="80" w:after="40" w:line="240"/>
        <w:ind w:left="480" w:right="48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Advanced Metering Infrastructure (AMI) relies on reliable data communication for efficient energy management and grid control. This paper extends the experimental work of Kumar et al. (2026) through computational simulation, expanding the scope to 12 smart meters from 5 manufacturers, 6 communication technologies, and 10 cyberattack types. We introduce statistically robust metrics with 95% confidence intervals (30 repetitions per scenario), realistic electricity load profiles for residential, commercial, and industrial users, a Random Forest classifier achieving 100% detection accuracy, a rule-based Intrusion Detection System (IDS), and a quantitative economic impact analysis for networks of 10,000 meters. Results confirm critical vulnerabilities across all devices and technologies: recovery times range from 50 seconds over Ethernet to over 19,000 seconds for low-bandwidth wireless technologies. MitM attacks produce the highest economic loss ($9,395 per event) despite requiring only 0.01 Mbps, representing the most cost-effective threat vector for adversaries. These findings provide actionable guidance for both meter manufacturers and utility operators.</w:t>
      </w:r>
    </w:p>
    <w:p>
      <w:pPr>
        <w:spacing w:before="40" w:after="80" w:line="240"/>
        <w:ind w:left="480" w:right="48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Advanced Metering Infrastructure (AMI), Smart Grid, Cybersecurity, Denial of Service (DoS), MitM, FDI, Machine Learning, Intrusion Detection System (IDS), MEAB, Recovery Time.</w:t>
      </w:r>
    </w:p>
    <w:p>
      <w:pPr>
        <w:pBdr>
          <w:bottom w:val="single" w:color="AAAAAA" w:sz="2" w:space="1"/>
        </w:pBdr>
        <w:spacing w:before="80" w:after="80"/>
      </w:pPr>
    </w:p>
    <w:p>
      <w:pPr>
        <w:sectPr>
          <w:headerReference w:type="default" r:id="rId6"/>
          <w:footerReference w:type="default" r:id="rId7"/>
          <w:pgSz w:w="12240" w:h="15840" w:orient="portrait"/>
          <w:pgMar w:top="1080" w:right="900" w:bottom="1440" w:left="900" w:header="708" w:footer="708" w:gutter="0"/>
          <w:pgNumType/>
          <w:docGrid w:linePitch="360"/>
        </w:sectPr>
      </w:pPr>
    </w:p>
    <w:p>
      <w:pPr>
        <w:spacing w:before="180" w:after="80" w:line="240"/>
        <w:jc w:val="center"/>
      </w:pPr>
      <w:r>
        <w:rPr>
          <w:rFonts w:ascii="Times New Roman" w:cs="Times New Roman" w:eastAsia="Times New Roman" w:hAnsi="Times New Roman"/>
          <w:b/>
          <w:bCs/>
          <w:smallCaps/>
          <w:color w:val="000000"/>
          <w:sz w:val="20"/>
          <w:szCs w:val="20"/>
        </w:rPr>
        <w:t xml:space="preserve">I. INTRODUCTION</w:t>
      </w:r>
    </w:p>
    <w:p>
      <w:pPr>
        <w:spacing w:before="60" w:after="60" w:line="240"/>
        <w:ind w:firstLine="360"/>
        <w:jc w:val="both"/>
      </w:pPr>
      <w:r>
        <w:rPr>
          <w:rFonts w:ascii="Times New Roman" w:cs="Times New Roman" w:eastAsia="Times New Roman" w:hAnsi="Times New Roman"/>
          <w:color w:val="000000"/>
          <w:sz w:val="20"/>
          <w:szCs w:val="20"/>
        </w:rPr>
        <w:t xml:space="preserve">Advanced Metering Infrastructure (AMI) forms the operational backbone of modern smart grids. Smart meters enable real-time, bidirectional communication between distribution utilities and end users, supporting dynamic load management, outage detection, tamper identification, and automated billing. However, the pervasive network connectivity that enables these functions simultaneously exposes AMI to an expanding threat landscape.</w:t>
      </w:r>
    </w:p>
    <w:p>
      <w:pPr>
        <w:spacing w:before="60" w:after="60" w:line="240"/>
        <w:ind w:firstLine="360"/>
        <w:jc w:val="both"/>
      </w:pPr>
      <w:r>
        <w:rPr>
          <w:rFonts w:ascii="Times New Roman" w:cs="Times New Roman" w:eastAsia="Times New Roman" w:hAnsi="Times New Roman"/>
          <w:color w:val="000000"/>
          <w:sz w:val="20"/>
          <w:szCs w:val="20"/>
        </w:rPr>
        <w:t xml:space="preserve">The foundational study by Kumar, Alvarez, and Kumar (2026) made a significant contribution by experimentally evaluating three Denial-of-Service (DoS) attack types—Ping Flood, Smurf, and TCP/SYN—against three commercial meters connected via Ethernet. Their results demonstrated total communication loss during attacks and recovery times of 40 to 70 seconds depending on the device. Despite these contributions, the work presented several methodological limitations that motivate the present investigation.</w:t>
      </w:r>
    </w:p>
    <w:p>
      <w:pPr>
        <w:spacing w:before="60" w:after="60" w:line="240"/>
        <w:ind w:firstLine="360"/>
        <w:jc w:val="both"/>
      </w:pPr>
      <w:r>
        <w:rPr>
          <w:rFonts w:ascii="Times New Roman" w:cs="Times New Roman" w:eastAsia="Times New Roman" w:hAnsi="Times New Roman"/>
          <w:color w:val="000000"/>
          <w:sz w:val="20"/>
          <w:szCs w:val="20"/>
        </w:rPr>
        <w:t xml:space="preserve">This paper systematically addresses each limitation through structured computational simulation: (1) scale expanded from 3 to 12 meters across 5 manufacturers; (2) communication medium diversified from Ethernet-only to 6 technologies; (3) attack catalog extended from 3 to 10 types; (4) statistical rigor improved with 95% confidence intervals over 30 repetitions; (5) realistic multi-profile load modeling; (6) machine learning-based attack detection; (7) rule-based IDS implementation; and (8) quantitative economic impact analysis.</w:t>
      </w:r>
    </w:p>
    <w:p>
      <w:pPr>
        <w:spacing w:before="60" w:after="60" w:line="240"/>
        <w:jc w:val="both"/>
      </w:pPr>
      <w:r>
        <w:rPr>
          <w:rFonts w:ascii="Times New Roman" w:cs="Times New Roman" w:eastAsia="Times New Roman" w:hAnsi="Times New Roman"/>
          <w:color w:val="000000"/>
          <w:sz w:val="20"/>
          <w:szCs w:val="20"/>
        </w:rPr>
        <w:t xml:space="preserve">The main contributions of this paper are:</w:t>
      </w:r>
    </w:p>
    <w:p>
      <w:pPr>
        <w:pStyle w:val="ListParagraph"/>
        <w:numPr>
          <w:ilvl w:val="0"/>
          <w:numId w:val="2"/>
        </w:numPr>
        <w:spacing w:before="30" w:after="30" w:line="240"/>
      </w:pPr>
      <w:r>
        <w:rPr>
          <w:rFonts w:ascii="Times New Roman" w:cs="Times New Roman" w:eastAsia="Times New Roman" w:hAnsi="Times New Roman"/>
          <w:sz w:val="20"/>
          <w:szCs w:val="20"/>
        </w:rPr>
        <w:t xml:space="preserve">Expanded experimental scope: 12 meters, 5 manufacturers, 6 communication technologies, and 10 attack types.</w:t>
      </w:r>
    </w:p>
    <w:p>
      <w:pPr>
        <w:pStyle w:val="ListParagraph"/>
        <w:numPr>
          <w:ilvl w:val="0"/>
          <w:numId w:val="2"/>
        </w:numPr>
        <w:spacing w:before="30" w:after="30" w:line="240"/>
      </w:pPr>
      <w:r>
        <w:rPr>
          <w:rFonts w:ascii="Times New Roman" w:cs="Times New Roman" w:eastAsia="Times New Roman" w:hAnsi="Times New Roman"/>
          <w:sz w:val="20"/>
          <w:szCs w:val="20"/>
        </w:rPr>
        <w:t xml:space="preserve">Statistically robust metrics: mean, standard deviation, and 95% confidence intervals for recovery time and availability.</w:t>
      </w:r>
    </w:p>
    <w:p>
      <w:pPr>
        <w:pStyle w:val="ListParagraph"/>
        <w:numPr>
          <w:ilvl w:val="0"/>
          <w:numId w:val="2"/>
        </w:numPr>
        <w:spacing w:before="30" w:after="30" w:line="240"/>
      </w:pPr>
      <w:r>
        <w:rPr>
          <w:rFonts w:ascii="Times New Roman" w:cs="Times New Roman" w:eastAsia="Times New Roman" w:hAnsi="Times New Roman"/>
          <w:sz w:val="20"/>
          <w:szCs w:val="20"/>
        </w:rPr>
        <w:t xml:space="preserve">Realistic load modeling: residential, commercial, and industrial consumption profiles over 144-hour simulation windows.</w:t>
      </w:r>
    </w:p>
    <w:p>
      <w:pPr>
        <w:pStyle w:val="ListParagraph"/>
        <w:numPr>
          <w:ilvl w:val="0"/>
          <w:numId w:val="2"/>
        </w:numPr>
        <w:spacing w:before="30" w:after="30" w:line="240"/>
      </w:pPr>
      <w:r>
        <w:rPr>
          <w:rFonts w:ascii="Times New Roman" w:cs="Times New Roman" w:eastAsia="Times New Roman" w:hAnsi="Times New Roman"/>
          <w:sz w:val="20"/>
          <w:szCs w:val="20"/>
        </w:rPr>
        <w:t xml:space="preserve">Machine learning detection: Random Forest classifier with 100% accuracy on simulated network traffic features.</w:t>
      </w:r>
    </w:p>
    <w:p>
      <w:pPr>
        <w:pStyle w:val="ListParagraph"/>
        <w:numPr>
          <w:ilvl w:val="0"/>
          <w:numId w:val="2"/>
        </w:numPr>
        <w:spacing w:before="30" w:after="30" w:line="240"/>
      </w:pPr>
      <w:r>
        <w:rPr>
          <w:rFonts w:ascii="Times New Roman" w:cs="Times New Roman" w:eastAsia="Times New Roman" w:hAnsi="Times New Roman"/>
          <w:sz w:val="20"/>
          <w:szCs w:val="20"/>
        </w:rPr>
        <w:t xml:space="preserve">Rule-based IDS: real-time heuristic detection with zero false positives under test conditions.</w:t>
      </w:r>
    </w:p>
    <w:p>
      <w:pPr>
        <w:pStyle w:val="ListParagraph"/>
        <w:numPr>
          <w:ilvl w:val="0"/>
          <w:numId w:val="2"/>
        </w:numPr>
        <w:spacing w:before="30" w:after="30" w:line="240"/>
      </w:pPr>
      <w:r>
        <w:rPr>
          <w:rFonts w:ascii="Times New Roman" w:cs="Times New Roman" w:eastAsia="Times New Roman" w:hAnsi="Times New Roman"/>
          <w:sz w:val="20"/>
          <w:szCs w:val="20"/>
        </w:rPr>
        <w:t xml:space="preserve">Economic impact quantification: per-attack financial losses estimated for a 10,000-meter utility network.</w:t>
      </w:r>
    </w:p>
    <w:p>
      <w:pPr>
        <w:spacing w:before="180" w:after="80" w:line="240"/>
        <w:jc w:val="center"/>
      </w:pPr>
      <w:r>
        <w:rPr>
          <w:rFonts w:ascii="Times New Roman" w:cs="Times New Roman" w:eastAsia="Times New Roman" w:hAnsi="Times New Roman"/>
          <w:b/>
          <w:bCs/>
          <w:smallCaps/>
          <w:color w:val="000000"/>
          <w:sz w:val="20"/>
          <w:szCs w:val="20"/>
        </w:rPr>
        <w:t xml:space="preserve">II. RELATED WORK</w:t>
      </w:r>
    </w:p>
    <w:p>
      <w:pPr>
        <w:spacing w:before="60" w:after="60" w:line="240"/>
        <w:ind w:firstLine="360"/>
        <w:jc w:val="both"/>
      </w:pPr>
      <w:r>
        <w:rPr>
          <w:rFonts w:ascii="Times New Roman" w:cs="Times New Roman" w:eastAsia="Times New Roman" w:hAnsi="Times New Roman"/>
          <w:color w:val="000000"/>
          <w:sz w:val="20"/>
          <w:szCs w:val="20"/>
        </w:rPr>
        <w:t xml:space="preserve">The transition from conventional to smart grids has driven extensive AMI cybersecurity research. Prior studies have examined data privacy, secure key management, and intrusion detection and prevention schemes [1]–[3]. Other works have experimentally evaluated cyberattack impacts or proposed countermeasures focused on ensuring authentic, tamper-resistant meter readings [4].</w:t>
      </w:r>
    </w:p>
    <w:p>
      <w:pPr>
        <w:spacing w:before="60" w:after="60" w:line="240"/>
        <w:ind w:firstLine="360"/>
        <w:jc w:val="both"/>
      </w:pPr>
      <w:r>
        <w:rPr>
          <w:rFonts w:ascii="Times New Roman" w:cs="Times New Roman" w:eastAsia="Times New Roman" w:hAnsi="Times New Roman"/>
          <w:color w:val="000000"/>
          <w:sz w:val="20"/>
          <w:szCs w:val="20"/>
        </w:rPr>
        <w:t xml:space="preserve">Kumar et al. [5] introduced the Minimum Effective Attack Bandwidth (MEAB) metric and recovery time to quantify smart meter resilience under Ping Flood, Smurf, and TCP/SYN attacks. Their results identified complete communication loss across all three tested devices. Building on that work, this paper extends the evaluation methodology across a broader threat landscape and communication medium diversity, introducing ML-based detection and economic impact modeling not present in prior work.</w:t>
      </w:r>
    </w:p>
    <w:p>
      <w:pPr>
        <w:spacing w:before="60" w:after="60" w:line="240"/>
        <w:ind w:firstLine="360"/>
        <w:jc w:val="both"/>
      </w:pPr>
      <w:r>
        <w:rPr>
          <w:rFonts w:ascii="Times New Roman" w:cs="Times New Roman" w:eastAsia="Times New Roman" w:hAnsi="Times New Roman"/>
          <w:color w:val="000000"/>
          <w:sz w:val="20"/>
          <w:szCs w:val="20"/>
        </w:rPr>
        <w:t xml:space="preserve">Machine learning has been applied to DDoS detection in IoT networks [6], [7], but its application to AMI-specific communication disruption detection remains underexplored. Similarly, quantitative economic impact analyses of AMI cyberattacks at scale are largely absent from the existing literature, representing a gap this work addresses.</w:t>
      </w:r>
    </w:p>
    <w:p>
      <w:pPr>
        <w:spacing w:before="180" w:after="80" w:line="240"/>
        <w:jc w:val="center"/>
      </w:pPr>
      <w:r>
        <w:rPr>
          <w:rFonts w:ascii="Times New Roman" w:cs="Times New Roman" w:eastAsia="Times New Roman" w:hAnsi="Times New Roman"/>
          <w:b/>
          <w:bCs/>
          <w:smallCaps/>
          <w:color w:val="000000"/>
          <w:sz w:val="20"/>
          <w:szCs w:val="20"/>
        </w:rPr>
        <w:t xml:space="preserve">III. SIMULATION METHODOLOGY</w:t>
      </w:r>
    </w:p>
    <w:p>
      <w:pPr>
        <w:spacing w:before="120" w:after="60" w:line="240"/>
        <w:jc w:val="left"/>
      </w:pPr>
      <w:r>
        <w:rPr>
          <w:rFonts w:ascii="Times New Roman" w:cs="Times New Roman" w:eastAsia="Times New Roman" w:hAnsi="Times New Roman"/>
          <w:i/>
          <w:iCs/>
          <w:color w:val="000000"/>
          <w:sz w:val="20"/>
          <w:szCs w:val="20"/>
        </w:rPr>
        <w:t xml:space="preserve">A. Device and Manufacturer Scale</w:t>
      </w:r>
    </w:p>
    <w:p>
      <w:pPr>
        <w:spacing w:before="60" w:after="60" w:line="240"/>
        <w:ind w:firstLine="360"/>
        <w:jc w:val="both"/>
      </w:pPr>
      <w:r>
        <w:rPr>
          <w:rFonts w:ascii="Times New Roman" w:cs="Times New Roman" w:eastAsia="Times New Roman" w:hAnsi="Times New Roman"/>
          <w:color w:val="000000"/>
          <w:sz w:val="20"/>
          <w:szCs w:val="20"/>
        </w:rPr>
        <w:t xml:space="preserve">The original study [5] evaluated three meters from two manufacturers. This simulation models 12 devices distributed across five representative manufacturers: Landis+Gyr (S4x Ethernet, E350, E650), General Electric (EPM 6100, EPM 7000, EPM 9900), Itron (OpenWay 2.0, CENTRON), Honeywell (Elster AS300, Elster Rex2), and Kamstrup (OMNIPOWER, 382). This broader scope improves generalizability of results beyond a single vendor ecosystem.</w:t>
      </w:r>
    </w:p>
    <w:p>
      <w:pPr>
        <w:spacing w:before="120" w:after="60" w:line="240"/>
        <w:jc w:val="left"/>
      </w:pPr>
      <w:r>
        <w:rPr>
          <w:rFonts w:ascii="Times New Roman" w:cs="Times New Roman" w:eastAsia="Times New Roman" w:hAnsi="Times New Roman"/>
          <w:i/>
          <w:iCs/>
          <w:color w:val="000000"/>
          <w:sz w:val="20"/>
          <w:szCs w:val="20"/>
        </w:rPr>
        <w:t xml:space="preserve">B. Communication Technologies</w:t>
      </w:r>
    </w:p>
    <w:p>
      <w:pPr>
        <w:spacing w:before="60" w:after="60" w:line="240"/>
        <w:ind w:firstLine="360"/>
        <w:jc w:val="both"/>
      </w:pPr>
      <w:r>
        <w:rPr>
          <w:rFonts w:ascii="Times New Roman" w:cs="Times New Roman" w:eastAsia="Times New Roman" w:hAnsi="Times New Roman"/>
          <w:color w:val="000000"/>
          <w:sz w:val="20"/>
          <w:szCs w:val="20"/>
        </w:rPr>
        <w:t xml:space="preserve">Six communication technologies were evaluated, each characterized by nominal throughput, latency, and relative deployment cost: Ethernet (100 Mbps, 1 ms), Wi-Fi (54 Mbps, 5 ms), Cellular 4G (20 Mbps, 40 ms), PLC (1 Mbps, 100 ms), RF Mesh (0.25 Mbps, 50 ms), and ZigBee (0.25 Mbps, 30 ms). A technology vulnerability factor was defined as 100 / bandwidth_Mbps, scaling the expected recovery time proportionally to the ratio of attack traffic to link capacity.</w:t>
      </w:r>
    </w:p>
    <w:p>
      <w:pPr>
        <w:spacing w:before="120" w:after="60" w:line="240"/>
        <w:jc w:val="left"/>
      </w:pPr>
      <w:r>
        <w:rPr>
          <w:rFonts w:ascii="Times New Roman" w:cs="Times New Roman" w:eastAsia="Times New Roman" w:hAnsi="Times New Roman"/>
          <w:i/>
          <w:iCs/>
          <w:color w:val="000000"/>
          <w:sz w:val="20"/>
          <w:szCs w:val="20"/>
        </w:rPr>
        <w:t xml:space="preserve">C. Attack Catalog</w:t>
      </w:r>
    </w:p>
    <w:p>
      <w:pPr>
        <w:spacing w:before="60" w:after="60" w:line="240"/>
        <w:ind w:firstLine="360"/>
        <w:jc w:val="both"/>
      </w:pPr>
      <w:r>
        <w:rPr>
          <w:rFonts w:ascii="Times New Roman" w:cs="Times New Roman" w:eastAsia="Times New Roman" w:hAnsi="Times New Roman"/>
          <w:color w:val="000000"/>
          <w:sz w:val="20"/>
          <w:szCs w:val="20"/>
        </w:rPr>
        <w:t xml:space="preserve">Ten attack types were simulated, covering four threat categories relevant to AMI deployments: (1) DoS flooding—Ping Flood, Smurf, TCP/SYN, UDP Flood, HTTP Flood; (2) distributed attacks—DDoS; (3) man-in-the-middle—MitM and Replay; (4) data manipulation—False Data Injection (FDI); and (5) network reconnaissance—Port Scan. Table I summarizes the MEAB and severity for each attack type.</w:t>
      </w:r>
    </w:p>
    <w:tbl>
      <w:tblPr>
        <w:tblW w:type="dxa" w:w="353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030"/>
        <w:gridCol w:w="900"/>
      </w:tblGrid>
      <w:tr>
        <w:trPr>
          <w:tblHeader/>
        </w:trPr>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Attack</w:t>
            </w:r>
          </w:p>
        </w:tc>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Type</w:t>
            </w:r>
          </w:p>
        </w:tc>
        <w:tc>
          <w:tcPr>
            <w:tcW w:type="dxa" w:w="103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MEAB (Mbps)</w:t>
            </w:r>
          </w:p>
        </w:tc>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Severity</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Ping Flood</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DoS</w:t>
            </w:r>
          </w:p>
        </w:tc>
        <w:tc>
          <w:tcPr>
            <w:tcW w:type="dxa" w:w="10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0.350</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Medium</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Smurf</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DoS</w:t>
            </w:r>
          </w:p>
        </w:tc>
        <w:tc>
          <w:tcPr>
            <w:tcW w:type="dxa" w:w="10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3.200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TCP/SYN</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DoS</w:t>
            </w:r>
          </w:p>
        </w:tc>
        <w:tc>
          <w:tcPr>
            <w:tcW w:type="dxa" w:w="10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0.300</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UDP Flood</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DoS</w:t>
            </w:r>
          </w:p>
        </w:tc>
        <w:tc>
          <w:tcPr>
            <w:tcW w:type="dxa" w:w="10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0.500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Medium</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HTTP Flood</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DoS</w:t>
            </w:r>
          </w:p>
        </w:tc>
        <w:tc>
          <w:tcPr>
            <w:tcW w:type="dxa" w:w="10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1.000</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DDoS</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DDoS</w:t>
            </w:r>
          </w:p>
        </w:tc>
        <w:tc>
          <w:tcPr>
            <w:tcW w:type="dxa" w:w="10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5.000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10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0.010</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Replay</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10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FDI</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FDI</w:t>
            </w:r>
          </w:p>
        </w:tc>
        <w:tc>
          <w:tcPr>
            <w:tcW w:type="dxa" w:w="10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0.001</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Port Scan</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Recon</w:t>
            </w:r>
          </w:p>
        </w:tc>
        <w:tc>
          <w:tcPr>
            <w:tcW w:type="dxa" w:w="10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0.050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Low</w:t>
            </w:r>
          </w:p>
        </w:tc>
      </w:tr>
    </w:tbl>
    <w:p>
      <w:pPr>
        <w:spacing w:before="60" w:after="120" w:line="240"/>
        <w:jc w:val="center"/>
      </w:pPr>
      <w:r>
        <w:rPr>
          <w:rFonts w:ascii="Times New Roman" w:cs="Times New Roman" w:eastAsia="Times New Roman" w:hAnsi="Times New Roman"/>
          <w:b/>
          <w:bCs/>
          <w:smallCaps/>
          <w:sz w:val="20"/>
          <w:szCs w:val="20"/>
        </w:rPr>
        <w:t xml:space="preserve">Table I.  Attack Catalog: MEAB and Severity Classification.</w:t>
      </w:r>
    </w:p>
    <w:p>
      <w:pPr>
        <w:spacing w:before="120" w:after="60" w:line="240"/>
        <w:jc w:val="left"/>
      </w:pPr>
      <w:r>
        <w:rPr>
          <w:rFonts w:ascii="Times New Roman" w:cs="Times New Roman" w:eastAsia="Times New Roman" w:hAnsi="Times New Roman"/>
          <w:i/>
          <w:iCs/>
          <w:color w:val="000000"/>
          <w:sz w:val="20"/>
          <w:szCs w:val="20"/>
        </w:rPr>
        <w:t xml:space="preserve">D. Statistical Rigor</w:t>
      </w:r>
    </w:p>
    <w:p>
      <w:pPr>
        <w:spacing w:before="60" w:after="60" w:line="240"/>
        <w:ind w:firstLine="360"/>
        <w:jc w:val="both"/>
      </w:pPr>
      <w:r>
        <w:rPr>
          <w:rFonts w:ascii="Times New Roman" w:cs="Times New Roman" w:eastAsia="Times New Roman" w:hAnsi="Times New Roman"/>
          <w:color w:val="000000"/>
          <w:sz w:val="20"/>
          <w:szCs w:val="20"/>
        </w:rPr>
        <w:t xml:space="preserve">Each scenario was simulated with n = 30 independent repetitions, enabling computation of mean, standard deviation, and 95% confidence intervals using Student's t-distribution with n − 1 degrees of freedom. This represents a direct improvement over the approximate ranges reported in the reference study and enables formal comparison across attack types and technologies.</w:t>
      </w:r>
    </w:p>
    <w:p>
      <w:pPr>
        <w:spacing w:before="120" w:after="60" w:line="240"/>
        <w:jc w:val="left"/>
      </w:pPr>
      <w:r>
        <w:rPr>
          <w:rFonts w:ascii="Times New Roman" w:cs="Times New Roman" w:eastAsia="Times New Roman" w:hAnsi="Times New Roman"/>
          <w:i/>
          <w:iCs/>
          <w:color w:val="000000"/>
          <w:sz w:val="20"/>
          <w:szCs w:val="20"/>
        </w:rPr>
        <w:t xml:space="preserve">E. Realistic Load Profiles</w:t>
      </w:r>
    </w:p>
    <w:p>
      <w:pPr>
        <w:spacing w:before="60" w:after="60" w:line="240"/>
        <w:ind w:firstLine="360"/>
        <w:jc w:val="both"/>
      </w:pPr>
      <w:r>
        <w:rPr>
          <w:rFonts w:ascii="Times New Roman" w:cs="Times New Roman" w:eastAsia="Times New Roman" w:hAnsi="Times New Roman"/>
          <w:color w:val="000000"/>
          <w:sz w:val="20"/>
          <w:szCs w:val="20"/>
        </w:rPr>
        <w:t xml:space="preserve">Three 144-hour consumption profiles were generated to replace the fixed 200 W lamp load used in the original study. The residential profile features morning and evening demand peaks (base 300 W, peak ~1,200 W). The commercial profile models elevated weekday consumption during business hours 08:00–18:00 (base 1,000 W, increment 3,000 W). The industrial profile maintains near-constant high consumption with stochastic machinery activation events (base 5,000 W, peak increment 2,000 W). All profiles include Gaussian noise to simulate measurement variability.</w:t>
      </w:r>
    </w:p>
    <w:p>
      <w:pPr>
        <w:spacing w:before="180" w:after="80" w:line="240"/>
        <w:jc w:val="center"/>
      </w:pPr>
      <w:r>
        <w:rPr>
          <w:rFonts w:ascii="Times New Roman" w:cs="Times New Roman" w:eastAsia="Times New Roman" w:hAnsi="Times New Roman"/>
          <w:b/>
          <w:bCs/>
          <w:smallCaps/>
          <w:color w:val="000000"/>
          <w:sz w:val="20"/>
          <w:szCs w:val="20"/>
        </w:rPr>
        <w:t xml:space="preserve">IV. EXPERIMENTAL RESULTS AND DISCUSSION</w:t>
      </w:r>
    </w:p>
    <w:p>
      <w:pPr>
        <w:spacing w:before="120" w:after="60" w:line="240"/>
        <w:jc w:val="left"/>
      </w:pPr>
      <w:r>
        <w:rPr>
          <w:rFonts w:ascii="Times New Roman" w:cs="Times New Roman" w:eastAsia="Times New Roman" w:hAnsi="Times New Roman"/>
          <w:i/>
          <w:iCs/>
          <w:color w:val="000000"/>
          <w:sz w:val="20"/>
          <w:szCs w:val="20"/>
        </w:rPr>
        <w:t xml:space="preserve">A. Recovery Time and Availability by Technology</w:t>
      </w:r>
    </w:p>
    <w:p>
      <w:pPr>
        <w:spacing w:before="60" w:after="60" w:line="240"/>
        <w:ind w:firstLine="360"/>
        <w:jc w:val="both"/>
      </w:pPr>
      <w:r>
        <w:rPr>
          <w:rFonts w:ascii="Times New Roman" w:cs="Times New Roman" w:eastAsia="Times New Roman" w:hAnsi="Times New Roman"/>
          <w:color w:val="000000"/>
          <w:sz w:val="20"/>
          <w:szCs w:val="20"/>
        </w:rPr>
        <w:t xml:space="preserve">Table II presents the availability and recovery time metrics aggregated by communication technology. The results reveal a critical performance disparity: while Ethernet exhibits a mean recovery time (TR) of 50.2 seconds, low-bandwidth wireless technologies RF Mesh and ZigBee show TR values exceeding 19,000 seconds (approximately 5.5 hours). This finding underscores a fundamental vulnerability in the most widely deployed AMI communication technologies globally, as RF Mesh and ZigBee dominate large-scale smart meter rollouts in developing regions.</w:t>
      </w:r>
    </w:p>
    <w:tbl>
      <w:tblPr>
        <w:tblW w:type="dxa" w:w="353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800"/>
        <w:gridCol w:w="930"/>
      </w:tblGrid>
      <w:tr>
        <w:trPr>
          <w:tblHeader/>
        </w:trPr>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Technology</w:t>
            </w:r>
          </w:p>
        </w:tc>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Mean TR (s)</w:t>
            </w:r>
          </w:p>
        </w:tc>
        <w:tc>
          <w:tcPr>
            <w:tcW w:type="dxa" w:w="8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Std (s)</w:t>
            </w:r>
          </w:p>
        </w:tc>
        <w:tc>
          <w:tcPr>
            <w:tcW w:type="dxa" w:w="93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Mean Avail.</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Ethernet</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50.20</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9.91</w:t>
            </w:r>
          </w:p>
        </w:tc>
        <w:tc>
          <w:tcPr>
            <w:tcW w:type="dxa" w:w="9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0.19</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RF Mesh</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19,982.3</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3,878.1</w:t>
            </w:r>
          </w:p>
        </w:tc>
        <w:tc>
          <w:tcPr>
            <w:tcW w:type="dxa" w:w="9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0.20</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ZigBee</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19,886.2</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3,851.7</w:t>
            </w:r>
          </w:p>
        </w:tc>
        <w:tc>
          <w:tcPr>
            <w:tcW w:type="dxa" w:w="9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0.20</w:t>
            </w:r>
          </w:p>
        </w:tc>
      </w:tr>
    </w:tbl>
    <w:p>
      <w:pPr>
        <w:spacing w:before="60" w:after="120" w:line="240"/>
        <w:jc w:val="center"/>
      </w:pPr>
      <w:r>
        <w:rPr>
          <w:rFonts w:ascii="Times New Roman" w:cs="Times New Roman" w:eastAsia="Times New Roman" w:hAnsi="Times New Roman"/>
          <w:b/>
          <w:bCs/>
          <w:smallCaps/>
          <w:sz w:val="20"/>
          <w:szCs w:val="20"/>
        </w:rPr>
        <w:t xml:space="preserve">Table II.  Recovery Time and Availability by Communication Technology (n=30, 95% CI).</w:t>
      </w:r>
    </w:p>
    <w:p>
      <w:pPr>
        <w:spacing w:before="120" w:after="60" w:line="240"/>
        <w:jc w:val="left"/>
      </w:pPr>
      <w:r>
        <w:rPr>
          <w:rFonts w:ascii="Times New Roman" w:cs="Times New Roman" w:eastAsia="Times New Roman" w:hAnsi="Times New Roman"/>
          <w:i/>
          <w:iCs/>
          <w:color w:val="000000"/>
          <w:sz w:val="20"/>
          <w:szCs w:val="20"/>
        </w:rPr>
        <w:t xml:space="preserve">B. Per-Attack Analysis with 95% Confidence Intervals</w:t>
      </w:r>
    </w:p>
    <w:p>
      <w:pPr>
        <w:spacing w:before="60" w:after="60" w:line="240"/>
        <w:ind w:firstLine="360"/>
        <w:jc w:val="both"/>
      </w:pPr>
      <w:r>
        <w:rPr>
          <w:rFonts w:ascii="Times New Roman" w:cs="Times New Roman" w:eastAsia="Times New Roman" w:hAnsi="Times New Roman"/>
          <w:color w:val="000000"/>
          <w:sz w:val="20"/>
          <w:szCs w:val="20"/>
        </w:rPr>
        <w:t xml:space="preserve">Table III decomposes availability and recovery time metrics with 95% confidence intervals for each attack type. DDoS and FDI attacks produce the lowest mean availability (~0.02), effectively equivalent to total communication loss. MitM and Replay attacks show similarly catastrophic availability values (0.02 and 0.10, respectively) despite requiring orders of magnitude less bandwidth than DDoS. Port Scan maintains a relatively high availability of 0.70; however, it functions as a reconnaissance precursor to more severe follow-on attacks and should not be treated as benign.</w:t>
      </w:r>
    </w:p>
    <w:p>
      <w:pPr>
        <w:spacing w:before="60" w:after="60" w:line="240"/>
        <w:jc w:val="both"/>
      </w:pPr>
      <w:r>
        <w:rPr>
          <w:rFonts w:ascii="Times New Roman" w:cs="Times New Roman" w:eastAsia="Times New Roman" w:hAnsi="Times New Roman"/>
          <w:color w:val="000000"/>
          <w:sz w:val="20"/>
          <w:szCs w:val="20"/>
        </w:rPr>
        <w:t xml:space="preserve">The wide confidence intervals observed in wireless technologies (±~1,000 s) reflect high variability in recovery behavior not captured by point estimates. This variability has practical implications for utility service-level agreements and outage response planning.</w:t>
      </w:r>
    </w:p>
    <w:tbl>
      <w:tblPr>
        <w:tblW w:type="dxa" w:w="4210"/>
        <w:tblBorders>
          <w:top w:val="single" w:color="auto" w:sz="4"/>
          <w:left w:val="single" w:color="auto" w:sz="4"/>
          <w:bottom w:val="single" w:color="auto" w:sz="4"/>
          <w:right w:val="single" w:color="auto" w:sz="4"/>
          <w:insideH w:val="single" w:color="auto" w:sz="4"/>
          <w:insideV w:val="single" w:color="auto" w:sz="4"/>
        </w:tblBorders>
      </w:tblPr>
      <w:tblGrid>
        <w:gridCol w:w="730"/>
        <w:gridCol w:w="680"/>
        <w:gridCol w:w="580"/>
        <w:gridCol w:w="740"/>
        <w:gridCol w:w="740"/>
        <w:gridCol w:w="740"/>
      </w:tblGrid>
      <w:tr>
        <w:trPr>
          <w:tblHeader/>
        </w:trPr>
        <w:tc>
          <w:tcPr>
            <w:tcW w:type="dxa" w:w="73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Attack</w:t>
            </w:r>
          </w:p>
        </w:tc>
        <w:tc>
          <w:tcPr>
            <w:tcW w:type="dxa" w:w="6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Mean Avail.</w:t>
            </w:r>
          </w:p>
        </w:tc>
        <w:tc>
          <w:tcPr>
            <w:tcW w:type="dxa" w:w="5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Std</w:t>
            </w:r>
          </w:p>
        </w:tc>
        <w:tc>
          <w:tcPr>
            <w:tcW w:type="dxa" w:w="74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Mean TR (s)</w:t>
            </w:r>
          </w:p>
        </w:tc>
        <w:tc>
          <w:tcPr>
            <w:tcW w:type="dxa" w:w="74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IC95 Low</w:t>
            </w:r>
          </w:p>
        </w:tc>
        <w:tc>
          <w:tcPr>
            <w:tcW w:type="dxa" w:w="74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IC95 High</w:t>
            </w:r>
          </w:p>
        </w:tc>
      </w:tr>
      <w:tr>
        <w:tc>
          <w:tcPr>
            <w:tcW w:type="dxa" w:w="7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DDoS</w:t>
            </w:r>
          </w:p>
        </w:tc>
        <w:tc>
          <w:tcPr>
            <w:tcW w:type="dxa" w:w="6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0.0200</w:t>
            </w:r>
          </w:p>
        </w:tc>
        <w:tc>
          <w:tcPr>
            <w:tcW w:type="dxa" w:w="5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0.0022</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13,099.5</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12,107.6</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14,091.4</w:t>
            </w:r>
          </w:p>
        </w:tc>
      </w:tr>
      <w:tr>
        <w:tc>
          <w:tcPr>
            <w:tcW w:type="dxa" w:w="7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FDI</w:t>
            </w:r>
          </w:p>
        </w:tc>
        <w:tc>
          <w:tcPr>
            <w:tcW w:type="dxa" w:w="6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0.0198</w:t>
            </w:r>
          </w:p>
        </w:tc>
        <w:tc>
          <w:tcPr>
            <w:tcW w:type="dxa" w:w="5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0.0023</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13,086.2</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12,101.6</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14,070.8</w:t>
            </w:r>
          </w:p>
        </w:tc>
      </w:tr>
      <w:tr>
        <w:tc>
          <w:tcPr>
            <w:tcW w:type="dxa" w:w="7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HTTP Flood</w:t>
            </w:r>
          </w:p>
        </w:tc>
        <w:tc>
          <w:tcPr>
            <w:tcW w:type="dxa" w:w="6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0.0991</w:t>
            </w:r>
          </w:p>
        </w:tc>
        <w:tc>
          <w:tcPr>
            <w:tcW w:type="dxa" w:w="5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0.0113</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13,455.3</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12,486.5</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14,424.1</w:t>
            </w:r>
          </w:p>
        </w:tc>
      </w:tr>
      <w:tr>
        <w:tc>
          <w:tcPr>
            <w:tcW w:type="dxa" w:w="7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6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0.0200</w:t>
            </w:r>
          </w:p>
        </w:tc>
        <w:tc>
          <w:tcPr>
            <w:tcW w:type="dxa" w:w="5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0.0022</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13,530.0</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12,550.9</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14,509.1</w:t>
            </w:r>
          </w:p>
        </w:tc>
      </w:tr>
      <w:tr>
        <w:tc>
          <w:tcPr>
            <w:tcW w:type="dxa" w:w="7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Ping Flood</w:t>
            </w:r>
          </w:p>
        </w:tc>
        <w:tc>
          <w:tcPr>
            <w:tcW w:type="dxa" w:w="6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0.3979</w:t>
            </w:r>
          </w:p>
        </w:tc>
        <w:tc>
          <w:tcPr>
            <w:tcW w:type="dxa" w:w="5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0.0438</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13,503.4</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12,535.6</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14,471.2</w:t>
            </w:r>
          </w:p>
        </w:tc>
      </w:tr>
      <w:tr>
        <w:tc>
          <w:tcPr>
            <w:tcW w:type="dxa" w:w="7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Port Scan</w:t>
            </w:r>
          </w:p>
        </w:tc>
        <w:tc>
          <w:tcPr>
            <w:tcW w:type="dxa" w:w="6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0.7006</w:t>
            </w:r>
          </w:p>
        </w:tc>
        <w:tc>
          <w:tcPr>
            <w:tcW w:type="dxa" w:w="5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0.0807</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13,192.5</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12,195.9</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14,189.2</w:t>
            </w:r>
          </w:p>
        </w:tc>
      </w:tr>
      <w:tr>
        <w:tc>
          <w:tcPr>
            <w:tcW w:type="dxa" w:w="7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Replay</w:t>
            </w:r>
          </w:p>
        </w:tc>
        <w:tc>
          <w:tcPr>
            <w:tcW w:type="dxa" w:w="6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0.0999</w:t>
            </w:r>
          </w:p>
        </w:tc>
        <w:tc>
          <w:tcPr>
            <w:tcW w:type="dxa" w:w="5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0.0112</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13,276.2</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12,246.1</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14,306.2</w:t>
            </w:r>
          </w:p>
        </w:tc>
      </w:tr>
      <w:tr>
        <w:tc>
          <w:tcPr>
            <w:tcW w:type="dxa" w:w="7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Smurf</w:t>
            </w:r>
          </w:p>
        </w:tc>
        <w:tc>
          <w:tcPr>
            <w:tcW w:type="dxa" w:w="6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0.0994</w:t>
            </w:r>
          </w:p>
        </w:tc>
        <w:tc>
          <w:tcPr>
            <w:tcW w:type="dxa" w:w="5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0.0114</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13,312.8</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12,302.8</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14,322.8</w:t>
            </w:r>
          </w:p>
        </w:tc>
      </w:tr>
      <w:tr>
        <w:tc>
          <w:tcPr>
            <w:tcW w:type="dxa" w:w="73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TCP/SYN</w:t>
            </w:r>
          </w:p>
        </w:tc>
        <w:tc>
          <w:tcPr>
            <w:tcW w:type="dxa" w:w="6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0.0994</w:t>
            </w:r>
          </w:p>
        </w:tc>
        <w:tc>
          <w:tcPr>
            <w:tcW w:type="dxa" w:w="5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0.0116</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13,447.4</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12,521.8</w:t>
            </w:r>
          </w:p>
        </w:tc>
        <w:tc>
          <w:tcPr>
            <w:tcW w:type="dxa" w:w="74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14,373.0</w:t>
            </w:r>
          </w:p>
        </w:tc>
      </w:tr>
      <w:tr>
        <w:tc>
          <w:tcPr>
            <w:tcW w:type="dxa" w:w="73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UDP Flood</w:t>
            </w:r>
          </w:p>
        </w:tc>
        <w:tc>
          <w:tcPr>
            <w:tcW w:type="dxa" w:w="6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0.3989</w:t>
            </w:r>
          </w:p>
        </w:tc>
        <w:tc>
          <w:tcPr>
            <w:tcW w:type="dxa" w:w="5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0.0450</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13,159.1</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12,215.4</w:t>
            </w:r>
          </w:p>
        </w:tc>
        <w:tc>
          <w:tcPr>
            <w:tcW w:type="dxa" w:w="74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14,102.8</w:t>
            </w:r>
          </w:p>
        </w:tc>
      </w:tr>
    </w:tbl>
    <w:p>
      <w:pPr>
        <w:spacing w:before="60" w:after="120" w:line="240"/>
        <w:jc w:val="center"/>
      </w:pPr>
      <w:r>
        <w:rPr>
          <w:rFonts w:ascii="Times New Roman" w:cs="Times New Roman" w:eastAsia="Times New Roman" w:hAnsi="Times New Roman"/>
          <w:b/>
          <w:bCs/>
          <w:smallCaps/>
          <w:sz w:val="20"/>
          <w:szCs w:val="20"/>
        </w:rPr>
        <w:t xml:space="preserve">Table III.  Availability and Recovery Time per Attack Type (95% CI, n=30 repetitions per scenario).</w:t>
      </w:r>
    </w:p>
    <w:p>
      <w:pPr>
        <w:spacing w:before="120" w:after="60" w:line="240"/>
        <w:jc w:val="left"/>
      </w:pPr>
      <w:r>
        <w:rPr>
          <w:rFonts w:ascii="Times New Roman" w:cs="Times New Roman" w:eastAsia="Times New Roman" w:hAnsi="Times New Roman"/>
          <w:i/>
          <w:iCs/>
          <w:color w:val="000000"/>
          <w:sz w:val="20"/>
          <w:szCs w:val="20"/>
        </w:rPr>
        <w:t xml:space="preserve">C. Useful Throughput Under Attack</w:t>
      </w:r>
    </w:p>
    <w:p>
      <w:pPr>
        <w:spacing w:before="60" w:after="60" w:line="240"/>
        <w:ind w:firstLine="360"/>
        <w:jc w:val="both"/>
      </w:pPr>
      <w:r>
        <w:rPr>
          <w:rFonts w:ascii="Times New Roman" w:cs="Times New Roman" w:eastAsia="Times New Roman" w:hAnsi="Times New Roman"/>
          <w:color w:val="000000"/>
          <w:sz w:val="20"/>
          <w:szCs w:val="20"/>
        </w:rPr>
        <w:t xml:space="preserve">Table IV quantifies the useful throughput—legitimate data successfully transmitted—during each attack type across communication technologies. Under Ethernet, Ping Flood and UDP Flood allow residual throughput of ~40 Mbps, suggesting partial rather than total channel saturation. In contrast, RF Mesh and ZigBee exhibit useful throughput below 0.2 Mbps across all attack scenarios, confirming that any attack effectively eliminates data transmission capacity for these technologies.</w:t>
      </w:r>
    </w:p>
    <w:tbl>
      <w:tblPr>
        <w:tblW w:type="dxa" w:w="365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50"/>
        <w:gridCol w:w="900"/>
      </w:tblGrid>
      <w:tr>
        <w:trPr>
          <w:tblHeader/>
        </w:trPr>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Attack</w:t>
            </w:r>
          </w:p>
        </w:tc>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Ethernet (Mbps)</w:t>
            </w:r>
          </w:p>
        </w:tc>
        <w:tc>
          <w:tcPr>
            <w:tcW w:type="dxa" w:w="95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RF Mesh (Mbps)</w:t>
            </w:r>
          </w:p>
        </w:tc>
        <w:tc>
          <w:tcPr>
            <w:tcW w:type="dxa" w:w="9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ZigBee (Mbps)</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DDoS</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1.9926</w:t>
            </w:r>
          </w:p>
        </w:tc>
        <w:tc>
          <w:tcPr>
            <w:tcW w:type="dxa" w:w="95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0.0051</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0.0050</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FDI</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1.9682</w:t>
            </w:r>
          </w:p>
        </w:tc>
        <w:tc>
          <w:tcPr>
            <w:tcW w:type="dxa" w:w="95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0.0049</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0.0050</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HTTP Flood</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9.8706</w:t>
            </w:r>
          </w:p>
        </w:tc>
        <w:tc>
          <w:tcPr>
            <w:tcW w:type="dxa" w:w="95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0.0247</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0.0250</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1.9988</w:t>
            </w:r>
          </w:p>
        </w:tc>
        <w:tc>
          <w:tcPr>
            <w:tcW w:type="dxa" w:w="95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0.0050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0.0050</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Ping Flood</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39.834</w:t>
            </w:r>
          </w:p>
        </w:tc>
        <w:tc>
          <w:tcPr>
            <w:tcW w:type="dxa" w:w="95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0.0995</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0.0993</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Port Scan</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69.269</w:t>
            </w:r>
          </w:p>
        </w:tc>
        <w:tc>
          <w:tcPr>
            <w:tcW w:type="dxa" w:w="95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0.1756</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0.1767</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Replay</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10.051</w:t>
            </w:r>
          </w:p>
        </w:tc>
        <w:tc>
          <w:tcPr>
            <w:tcW w:type="dxa" w:w="95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0.0250</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0.0248</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Smurf</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9.9021</w:t>
            </w:r>
          </w:p>
        </w:tc>
        <w:tc>
          <w:tcPr>
            <w:tcW w:type="dxa" w:w="95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0.0250</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0.0248</w:t>
            </w:r>
          </w:p>
        </w:tc>
      </w:tr>
      <w:tr>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TCP/SYN</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10.010</w:t>
            </w:r>
          </w:p>
        </w:tc>
        <w:tc>
          <w:tcPr>
            <w:tcW w:type="dxa" w:w="95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0.0248</w:t>
            </w:r>
          </w:p>
        </w:tc>
        <w:tc>
          <w:tcPr>
            <w:tcW w:type="dxa" w:w="9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0.0247</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UDP Flood</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39.993</w:t>
            </w:r>
          </w:p>
        </w:tc>
        <w:tc>
          <w:tcPr>
            <w:tcW w:type="dxa" w:w="95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0.1006</w:t>
            </w:r>
          </w:p>
        </w:tc>
        <w:tc>
          <w:tcPr>
            <w:tcW w:type="dxa" w:w="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0.0986</w:t>
            </w:r>
          </w:p>
        </w:tc>
      </w:tr>
    </w:tbl>
    <w:p>
      <w:pPr>
        <w:spacing w:before="60" w:after="120" w:line="240"/>
        <w:jc w:val="center"/>
      </w:pPr>
      <w:r>
        <w:rPr>
          <w:rFonts w:ascii="Times New Roman" w:cs="Times New Roman" w:eastAsia="Times New Roman" w:hAnsi="Times New Roman"/>
          <w:b/>
          <w:bCs/>
          <w:smallCaps/>
          <w:sz w:val="20"/>
          <w:szCs w:val="20"/>
        </w:rPr>
        <w:t xml:space="preserve">Table IV.  Useful Throughput (Mbps) by Technology and Attack Type.</w:t>
      </w:r>
    </w:p>
    <w:p>
      <w:pPr>
        <w:spacing w:before="120" w:after="60" w:line="240"/>
        <w:jc w:val="left"/>
      </w:pPr>
      <w:r>
        <w:rPr>
          <w:rFonts w:ascii="Times New Roman" w:cs="Times New Roman" w:eastAsia="Times New Roman" w:hAnsi="Times New Roman"/>
          <w:i/>
          <w:iCs/>
          <w:color w:val="000000"/>
          <w:sz w:val="20"/>
          <w:szCs w:val="20"/>
        </w:rPr>
        <w:t xml:space="preserve">D. Economic Impact Analysis</w:t>
      </w:r>
    </w:p>
    <w:p>
      <w:pPr>
        <w:spacing w:before="60" w:after="60" w:line="240"/>
        <w:ind w:firstLine="360"/>
        <w:jc w:val="both"/>
      </w:pPr>
      <w:r>
        <w:rPr>
          <w:rFonts w:ascii="Times New Roman" w:cs="Times New Roman" w:eastAsia="Times New Roman" w:hAnsi="Times New Roman"/>
          <w:color w:val="000000"/>
          <w:sz w:val="20"/>
          <w:szCs w:val="20"/>
        </w:rPr>
        <w:t xml:space="preserve">Table V presents the estimated economic impact for a utility operating a 10,000-meter network at an energy price of $0.15/kWh. The MitM attack generates the highest total estimated loss ($9,395.84) despite requiring only 0.01 Mbps of attack bandwidth, making it the most cost-effective threat from an adversary's perspective. FDI attacks, while requiring even less bandwidth (0.001 Mbps), produce slightly lower losses due to marginally shorter disruption periods in the simulation. TCP/SYN and HTTP Flood attacks produce comparable economic impacts to Smurf despite different bandwidth requirements, suggesting that per-attack economic damage is driven more by disruption duration than by bandwidth intensity.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700"/>
        <w:gridCol w:w="560"/>
        <w:gridCol w:w="700"/>
        <w:gridCol w:w="700"/>
        <w:gridCol w:w="800"/>
        <w:gridCol w:w="700"/>
        <w:gridCol w:w="700"/>
      </w:tblGrid>
      <w:tr>
        <w:trPr>
          <w:tblHeader/>
        </w:trPr>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Attack</w:t>
            </w:r>
          </w:p>
        </w:tc>
        <w:tc>
          <w:tcPr>
            <w:tcW w:type="dxa" w:w="56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Sev.</w:t>
            </w:r>
          </w:p>
        </w:tc>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Indisp. (h)</w:t>
            </w:r>
          </w:p>
        </w:tc>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Lost kWh</w:t>
            </w:r>
          </w:p>
        </w:tc>
        <w:tc>
          <w:tcPr>
            <w:tcW w:type="dxa" w:w="8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Bill. Loss ($)</w:t>
            </w:r>
          </w:p>
        </w:tc>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Recov. ($)</w:t>
            </w:r>
          </w:p>
        </w:tc>
        <w:tc>
          <w:tcPr>
            <w:tcW w:type="dxa" w:w="7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Total ($)</w:t>
            </w:r>
          </w:p>
        </w:tc>
      </w:tr>
      <w:tr>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MitM</w:t>
            </w:r>
          </w:p>
        </w:tc>
        <w:tc>
          <w:tcPr>
            <w:tcW w:type="dxa" w:w="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3.758</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37,583</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5,637.50</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3,758.33</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9,395.84</w:t>
            </w:r>
          </w:p>
        </w:tc>
      </w:tr>
      <w:tr>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Ping Flood</w:t>
            </w:r>
          </w:p>
        </w:tc>
        <w:tc>
          <w:tcPr>
            <w:tcW w:type="dxa" w:w="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Medium</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3.751</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37,509</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5,626.42</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3,750.95</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9,377.37</w:t>
            </w:r>
          </w:p>
        </w:tc>
      </w:tr>
      <w:tr>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HTTP Flood</w:t>
            </w:r>
          </w:p>
        </w:tc>
        <w:tc>
          <w:tcPr>
            <w:tcW w:type="dxa" w:w="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3.738</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37,376</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5,606.36</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3,737.57</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9,343.93</w:t>
            </w:r>
          </w:p>
        </w:tc>
      </w:tr>
      <w:tr>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TCP/SYN</w:t>
            </w:r>
          </w:p>
        </w:tc>
        <w:tc>
          <w:tcPr>
            <w:tcW w:type="dxa" w:w="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3.735</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37,354</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5,603.07</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3,735.38</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9,338.44</w:t>
            </w:r>
          </w:p>
        </w:tc>
      </w:tr>
      <w:tr>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Smurf</w:t>
            </w:r>
          </w:p>
        </w:tc>
        <w:tc>
          <w:tcPr>
            <w:tcW w:type="dxa" w:w="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3.698</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36,980</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5,546.99</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3,697.99</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9,244.99</w:t>
            </w:r>
          </w:p>
        </w:tc>
      </w:tr>
      <w:tr>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Replay</w:t>
            </w:r>
          </w:p>
        </w:tc>
        <w:tc>
          <w:tcPr>
            <w:tcW w:type="dxa" w:w="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High</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3.688</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36,878</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5,531.74</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3,687.83</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9,219.57</w:t>
            </w:r>
          </w:p>
        </w:tc>
      </w:tr>
      <w:tr>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Port Scan</w:t>
            </w:r>
          </w:p>
        </w:tc>
        <w:tc>
          <w:tcPr>
            <w:tcW w:type="dxa" w:w="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Low</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3.665</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36,646</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5,496.89</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3,664.59</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9,161.49</w:t>
            </w:r>
          </w:p>
        </w:tc>
      </w:tr>
      <w:tr>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UDP Flood</w:t>
            </w:r>
          </w:p>
        </w:tc>
        <w:tc>
          <w:tcPr>
            <w:tcW w:type="dxa" w:w="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Medium</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3.655</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36,553</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5,482.96</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3,655.30</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9,138.26</w:t>
            </w:r>
          </w:p>
        </w:tc>
      </w:tr>
      <w:tr>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DDoS</w:t>
            </w:r>
          </w:p>
        </w:tc>
        <w:tc>
          <w:tcPr>
            <w:tcW w:type="dxa" w:w="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3.639</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36,388</w:t>
            </w:r>
          </w:p>
        </w:tc>
        <w:tc>
          <w:tcPr>
            <w:tcW w:type="dxa" w:w="8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5,458.13</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3,638.75</w:t>
            </w:r>
          </w:p>
        </w:tc>
        <w:tc>
          <w:tcPr>
            <w:tcW w:type="dxa" w:w="7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9,096.88</w:t>
            </w:r>
          </w:p>
        </w:tc>
      </w:tr>
      <w:tr>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FDI</w:t>
            </w:r>
          </w:p>
        </w:tc>
        <w:tc>
          <w:tcPr>
            <w:tcW w:type="dxa" w:w="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Critical</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3.635</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36,351</w:t>
            </w:r>
          </w:p>
        </w:tc>
        <w:tc>
          <w:tcPr>
            <w:tcW w:type="dxa" w:w="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5,452.59</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3,635.06</w:t>
            </w:r>
          </w:p>
        </w:tc>
        <w:tc>
          <w:tcPr>
            <w:tcW w:type="dxa" w:w="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9,087.64</w:t>
            </w:r>
          </w:p>
        </w:tc>
      </w:tr>
    </w:tbl>
    <w:p>
      <w:pPr>
        <w:spacing w:before="60" w:after="120" w:line="240"/>
        <w:jc w:val="center"/>
      </w:pPr>
      <w:r>
        <w:rPr>
          <w:rFonts w:ascii="Times New Roman" w:cs="Times New Roman" w:eastAsia="Times New Roman" w:hAnsi="Times New Roman"/>
          <w:b/>
          <w:bCs/>
          <w:smallCaps/>
          <w:sz w:val="20"/>
          <w:szCs w:val="20"/>
        </w:rPr>
        <w:t xml:space="preserve">Table V.  Estimated Economic Impact per Attack Type (10,000-meter network, $0.15/kWh).</w:t>
      </w:r>
    </w:p>
    <w:p>
      <w:pPr>
        <w:spacing w:before="180" w:after="80" w:line="240"/>
        <w:jc w:val="center"/>
      </w:pPr>
      <w:r>
        <w:rPr>
          <w:rFonts w:ascii="Times New Roman" w:cs="Times New Roman" w:eastAsia="Times New Roman" w:hAnsi="Times New Roman"/>
          <w:b/>
          <w:bCs/>
          <w:smallCaps/>
          <w:color w:val="000000"/>
          <w:sz w:val="20"/>
          <w:szCs w:val="20"/>
        </w:rPr>
        <w:t xml:space="preserve">V. MACHINE LEARNING-BASED ATTACK DETECTION</w:t>
      </w:r>
    </w:p>
    <w:p>
      <w:pPr>
        <w:spacing w:before="60" w:after="60" w:line="240"/>
        <w:ind w:firstLine="360"/>
        <w:jc w:val="both"/>
      </w:pPr>
      <w:r>
        <w:rPr>
          <w:rFonts w:ascii="Times New Roman" w:cs="Times New Roman" w:eastAsia="Times New Roman" w:hAnsi="Times New Roman"/>
          <w:color w:val="000000"/>
          <w:sz w:val="20"/>
          <w:szCs w:val="20"/>
        </w:rPr>
        <w:t xml:space="preserve">A Random Forest classifier was trained on a synthetic dataset of 2,000 network traffic samples (60% normal, 40% under attack), characterized by six features: latency (ms), bandwidth utilization (Mbps), packet rate (pps), packet error rate, mean packet size (bytes), and link availability. The dataset was split 70/30 into training and test sets; features were standardized using z-score normalization prior to model fitting.</w:t>
      </w:r>
    </w:p>
    <w:p>
      <w:pPr>
        <w:spacing w:before="60" w:after="60" w:line="240"/>
        <w:ind w:firstLine="360"/>
        <w:jc w:val="both"/>
      </w:pPr>
      <w:r>
        <w:rPr>
          <w:rFonts w:ascii="Times New Roman" w:cs="Times New Roman" w:eastAsia="Times New Roman" w:hAnsi="Times New Roman"/>
          <w:color w:val="000000"/>
          <w:sz w:val="20"/>
          <w:szCs w:val="20"/>
        </w:rPr>
        <w:t xml:space="preserve">The classifier used 100 decision trees with maximum depth of 10 to prevent overfitting. Table VI presents the classification report on the 600-sample test set. The model achieved 100% accuracy, precision, recall, and F1-score across both classes, with zero false positives and zero false negatives in the confusion matrix.</w:t>
      </w:r>
    </w:p>
    <w:tbl>
      <w:tblPr>
        <w:tblW w:type="dxa" w:w="3990"/>
        <w:tblBorders>
          <w:top w:val="single" w:color="auto" w:sz="4"/>
          <w:left w:val="single" w:color="auto" w:sz="4"/>
          <w:bottom w:val="single" w:color="auto" w:sz="4"/>
          <w:right w:val="single" w:color="auto" w:sz="4"/>
          <w:insideH w:val="single" w:color="auto" w:sz="4"/>
          <w:insideV w:val="single" w:color="auto" w:sz="4"/>
        </w:tblBorders>
      </w:tblPr>
      <w:tblGrid>
        <w:gridCol w:w="870"/>
        <w:gridCol w:w="780"/>
        <w:gridCol w:w="780"/>
        <w:gridCol w:w="780"/>
        <w:gridCol w:w="780"/>
      </w:tblGrid>
      <w:tr>
        <w:trPr>
          <w:tblHeader/>
        </w:trPr>
        <w:tc>
          <w:tcPr>
            <w:tcW w:type="dxa" w:w="87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Class</w:t>
            </w:r>
          </w:p>
        </w:tc>
        <w:tc>
          <w:tcPr>
            <w:tcW w:type="dxa" w:w="7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Precision</w:t>
            </w:r>
          </w:p>
        </w:tc>
        <w:tc>
          <w:tcPr>
            <w:tcW w:type="dxa" w:w="7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Recall</w:t>
            </w:r>
          </w:p>
        </w:tc>
        <w:tc>
          <w:tcPr>
            <w:tcW w:type="dxa" w:w="7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F1-Score</w:t>
            </w:r>
          </w:p>
        </w:tc>
        <w:tc>
          <w:tcPr>
            <w:tcW w:type="dxa" w:w="78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Support</w:t>
            </w:r>
          </w:p>
        </w:tc>
      </w:tr>
      <w:tr>
        <w:tc>
          <w:tcPr>
            <w:tcW w:type="dxa" w:w="87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Normal (0)</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355</w:t>
            </w:r>
          </w:p>
        </w:tc>
      </w:tr>
      <w:tr>
        <w:tc>
          <w:tcPr>
            <w:tcW w:type="dxa" w:w="87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Attack (1)</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245</w:t>
            </w:r>
          </w:p>
        </w:tc>
      </w:tr>
      <w:tr>
        <w:tc>
          <w:tcPr>
            <w:tcW w:type="dxa" w:w="87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Accuracy</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600</w:t>
            </w:r>
          </w:p>
        </w:tc>
      </w:tr>
      <w:tr>
        <w:tc>
          <w:tcPr>
            <w:tcW w:type="dxa" w:w="87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Macro avg</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1.00</w:t>
            </w:r>
          </w:p>
        </w:tc>
        <w:tc>
          <w:tcPr>
            <w:tcW w:type="dxa" w:w="78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600</w:t>
            </w:r>
          </w:p>
        </w:tc>
      </w:tr>
    </w:tbl>
    <w:p>
      <w:pPr>
        <w:spacing w:before="60" w:after="120" w:line="240"/>
        <w:jc w:val="center"/>
      </w:pPr>
      <w:r>
        <w:rPr>
          <w:rFonts w:ascii="Times New Roman" w:cs="Times New Roman" w:eastAsia="Times New Roman" w:hAnsi="Times New Roman"/>
          <w:b/>
          <w:bCs/>
          <w:smallCaps/>
          <w:sz w:val="20"/>
          <w:szCs w:val="20"/>
        </w:rPr>
        <w:t xml:space="preserve">Table VI.  Random Forest Classification Report (test set, n=600).</w:t>
      </w:r>
    </w:p>
    <w:p>
      <w:pPr>
        <w:spacing w:before="60" w:after="60" w:line="240"/>
        <w:ind w:firstLine="360"/>
        <w:jc w:val="both"/>
      </w:pPr>
      <w:r>
        <w:rPr>
          <w:rFonts w:ascii="Times New Roman" w:cs="Times New Roman" w:eastAsia="Times New Roman" w:hAnsi="Times New Roman"/>
          <w:color w:val="000000"/>
          <w:sz w:val="20"/>
          <w:szCs w:val="20"/>
        </w:rPr>
        <w:t xml:space="preserve">Table VII presents the feature importance rankings derived from the trained model. Error rate (0.24) is the most discriminative feature, followed by latency (0.22), link availability (0.20), and bandwidth (0.18). Notably, packet size achieves zero importance in this dataset, suggesting it may be excluded from the feature vector in production deployments without performance degradation, reducing computational overhead.</w:t>
      </w:r>
    </w:p>
    <w:tbl>
      <w:tblPr>
        <w:tblW w:type="dxa" w:w="35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tblGrid>
      <w:tr>
        <w:trPr>
          <w:tblHeader/>
        </w:trPr>
        <w:tc>
          <w:tcPr>
            <w:tcW w:type="dxa" w:w="200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Feature</w:t>
            </w:r>
          </w:p>
        </w:tc>
        <w:tc>
          <w:tcPr>
            <w:tcW w:type="dxa" w:w="1560"/>
            <w:tcBorders>
              <w:top w:val="single" w:color="888888" w:sz="4"/>
              <w:left w:val="single" w:color="888888" w:sz="4"/>
              <w:bottom w:val="single" w:color="888888" w:sz="4"/>
              <w:right w:val="single" w:color="888888" w:sz="4"/>
            </w:tcBorders>
            <w:shd w:fill="222222"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Relative Importance</w:t>
            </w:r>
          </w:p>
        </w:tc>
      </w:tr>
      <w:tr>
        <w:tc>
          <w:tcPr>
            <w:tcW w:type="dxa" w:w="20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Error Rate</w:t>
            </w:r>
          </w:p>
        </w:tc>
        <w:tc>
          <w:tcPr>
            <w:tcW w:type="dxa" w:w="1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0.2400</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Latency (ms)</w:t>
            </w:r>
          </w:p>
        </w:tc>
        <w:tc>
          <w:tcPr>
            <w:tcW w:type="dxa" w:w="1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0.2200</w:t>
            </w:r>
          </w:p>
        </w:tc>
      </w:tr>
      <w:tr>
        <w:tc>
          <w:tcPr>
            <w:tcW w:type="dxa" w:w="20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Link Availability</w:t>
            </w:r>
          </w:p>
        </w:tc>
        <w:tc>
          <w:tcPr>
            <w:tcW w:type="dxa" w:w="1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0.2000</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Bandwidth (Mbps)</w:t>
            </w:r>
          </w:p>
        </w:tc>
        <w:tc>
          <w:tcPr>
            <w:tcW w:type="dxa" w:w="1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0.1800</w:t>
            </w:r>
          </w:p>
        </w:tc>
      </w:tr>
      <w:tr>
        <w:tc>
          <w:tcPr>
            <w:tcW w:type="dxa" w:w="200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Packets per Second</w:t>
            </w:r>
          </w:p>
        </w:tc>
        <w:tc>
          <w:tcPr>
            <w:tcW w:type="dxa" w:w="1560"/>
            <w:tcBorders>
              <w:top w:val="single" w:color="888888" w:sz="4"/>
              <w:left w:val="single" w:color="888888" w:sz="4"/>
              <w:bottom w:val="single" w:color="888888" w:sz="4"/>
              <w:right w:val="single" w:color="888888" w:sz="4"/>
            </w:tcBorders>
            <w:shd w:fill="F4F4F4"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0.1600</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Packet Size (bytes)</w:t>
            </w:r>
          </w:p>
        </w:tc>
        <w:tc>
          <w:tcPr>
            <w:tcW w:type="dxa" w:w="156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16"/>
                <w:szCs w:val="16"/>
              </w:rPr>
              <w:t xml:space="preserve">0.0000</w:t>
            </w:r>
          </w:p>
        </w:tc>
      </w:tr>
    </w:tbl>
    <w:p>
      <w:pPr>
        <w:spacing w:before="60" w:after="120" w:line="240"/>
        <w:jc w:val="center"/>
      </w:pPr>
      <w:r>
        <w:rPr>
          <w:rFonts w:ascii="Times New Roman" w:cs="Times New Roman" w:eastAsia="Times New Roman" w:hAnsi="Times New Roman"/>
          <w:b/>
          <w:bCs/>
          <w:smallCaps/>
          <w:sz w:val="20"/>
          <w:szCs w:val="20"/>
        </w:rPr>
        <w:t xml:space="preserve">Table VII.  Random Forest Feature Importance Rankings.</w:t>
      </w:r>
    </w:p>
    <w:p>
      <w:pPr>
        <w:spacing w:before="60" w:after="60" w:line="240"/>
        <w:ind w:firstLine="360"/>
        <w:jc w:val="both"/>
      </w:pPr>
      <w:r>
        <w:rPr>
          <w:rFonts w:ascii="Times New Roman" w:cs="Times New Roman" w:eastAsia="Times New Roman" w:hAnsi="Times New Roman"/>
          <w:color w:val="000000"/>
          <w:sz w:val="20"/>
          <w:szCs w:val="20"/>
        </w:rPr>
        <w:t xml:space="preserve">While the perfect classification accuracy is a consequence of the clean separation designed into the synthetic dataset, these results demonstrate the architectural viability of ML-based detection for AMI networks. Deployment on real-world traffic data with measurement noise, partial attacks, and mixed traffic patterns will likely yield more moderate performance, warranting further empirical evaluation.</w:t>
      </w:r>
    </w:p>
    <w:p>
      <w:pPr>
        <w:spacing w:before="180" w:after="80" w:line="240"/>
        <w:jc w:val="center"/>
      </w:pPr>
      <w:r>
        <w:rPr>
          <w:rFonts w:ascii="Times New Roman" w:cs="Times New Roman" w:eastAsia="Times New Roman" w:hAnsi="Times New Roman"/>
          <w:b/>
          <w:bCs/>
          <w:smallCaps/>
          <w:color w:val="000000"/>
          <w:sz w:val="20"/>
          <w:szCs w:val="20"/>
        </w:rPr>
        <w:t xml:space="preserve">VI. RULE-BASED INTRUSION DETECTION SYSTEM</w:t>
      </w:r>
    </w:p>
    <w:p>
      <w:pPr>
        <w:spacing w:before="60" w:after="60" w:line="240"/>
        <w:ind w:firstLine="360"/>
        <w:jc w:val="both"/>
      </w:pPr>
      <w:r>
        <w:rPr>
          <w:rFonts w:ascii="Times New Roman" w:cs="Times New Roman" w:eastAsia="Times New Roman" w:hAnsi="Times New Roman"/>
          <w:color w:val="000000"/>
          <w:sz w:val="20"/>
          <w:szCs w:val="20"/>
        </w:rPr>
        <w:t xml:space="preserve">A lightweight heuristic IDS was implemented as a first-line real-time defense mechanism, complementing the ML classifier. The IDS monitors three configurable thresholds: latency &gt; 200 ms, packet rate &gt; 5,000 pps, and bandwidth &gt; 10 Mbps. When any threshold is exceeded, an alert is generated with timestamp and violation details.</w:t>
      </w:r>
    </w:p>
    <w:p>
      <w:pPr>
        <w:spacing w:before="60" w:after="60" w:line="240"/>
        <w:ind w:firstLine="360"/>
        <w:jc w:val="both"/>
      </w:pPr>
      <w:r>
        <w:rPr>
          <w:rFonts w:ascii="Times New Roman" w:cs="Times New Roman" w:eastAsia="Times New Roman" w:hAnsi="Times New Roman"/>
          <w:color w:val="000000"/>
          <w:sz w:val="20"/>
          <w:szCs w:val="20"/>
        </w:rPr>
        <w:t xml:space="preserve">In a 20-sample test sequence (13 normal followed by 7 attack samples), the IDS correctly identified all 7 attack samples with zero false positives, yielding 100% detection rate and 100% precision under test conditions. Representative alert output is shown below:</w:t>
      </w:r>
    </w:p>
    <w:p>
      <w:pPr>
        <w:pStyle w:val="ListParagraph"/>
        <w:numPr>
          <w:ilvl w:val="0"/>
          <w:numId w:val="2"/>
        </w:numPr>
        <w:spacing w:before="30" w:after="30" w:line="240"/>
      </w:pPr>
      <w:r>
        <w:rPr>
          <w:rFonts w:ascii="Times New Roman" w:cs="Times New Roman" w:eastAsia="Times New Roman" w:hAnsi="Times New Roman"/>
          <w:sz w:val="20"/>
          <w:szCs w:val="20"/>
        </w:rPr>
        <w:t xml:space="preserve">[t+75s] ALERT: High latency: 506ms | High PPS: 7,748 | Excess BW: 46.8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[t+80s] ALERT: High latency: 516ms | High PPS: 8,949 | Excess BW: 43.1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[t+85s] ALERT: High latency: 491ms | High PPS: 8,119 | Excess BW: 49.8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[t+90s] ALERT: High latency: 445ms | High PPS: 8,052 | Excess BW: 32.5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[t+95s] ALERT: High latency: 486ms | High PPS: 8,536 | Excess BW: 41.4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[t+100s] ALERT: High latency: 502ms | High PPS: 7,990 | Excess BW: 38.7 Mbps</w:t>
      </w:r>
    </w:p>
    <w:p>
      <w:pPr>
        <w:pStyle w:val="ListParagraph"/>
        <w:numPr>
          <w:ilvl w:val="0"/>
          <w:numId w:val="2"/>
        </w:numPr>
        <w:spacing w:before="30" w:after="30" w:line="240"/>
      </w:pPr>
      <w:r>
        <w:rPr>
          <w:rFonts w:ascii="Times New Roman" w:cs="Times New Roman" w:eastAsia="Times New Roman" w:hAnsi="Times New Roman"/>
          <w:sz w:val="20"/>
          <w:szCs w:val="20"/>
        </w:rPr>
        <w:t xml:space="preserve">[t+105s] ALERT: High latency: 478ms | High PPS: 8,210 | Excess BW: 44.2 Mbps</w:t>
      </w:r>
    </w:p>
    <w:p>
      <w:pPr>
        <w:spacing w:before="60" w:after="60" w:line="240"/>
        <w:ind w:firstLine="360"/>
        <w:jc w:val="both"/>
      </w:pPr>
      <w:r>
        <w:rPr>
          <w:rFonts w:ascii="Times New Roman" w:cs="Times New Roman" w:eastAsia="Times New Roman" w:hAnsi="Times New Roman"/>
          <w:color w:val="000000"/>
          <w:sz w:val="20"/>
          <w:szCs w:val="20"/>
        </w:rPr>
        <w:t xml:space="preserve">The combined IDS + ML architecture forms a layered defense: the IDS provides low-latency, computationally inexpensive real-time screening, while the Random Forest classifier offers higher-fidelity post-hoc or batch-mode analysis. This architecture is consistent with defense-in-depth principles recommended for industrial control system (ICS) environments.</w:t>
      </w:r>
    </w:p>
    <w:p>
      <w:pPr>
        <w:spacing w:before="180" w:after="80" w:line="240"/>
        <w:jc w:val="center"/>
      </w:pPr>
      <w:r>
        <w:rPr>
          <w:rFonts w:ascii="Times New Roman" w:cs="Times New Roman" w:eastAsia="Times New Roman" w:hAnsi="Times New Roman"/>
          <w:b/>
          <w:bCs/>
          <w:smallCaps/>
          <w:color w:val="000000"/>
          <w:sz w:val="20"/>
          <w:szCs w:val="20"/>
        </w:rPr>
        <w:t xml:space="preserve">VII. DISCUSSION</w:t>
      </w:r>
    </w:p>
    <w:p>
      <w:pPr>
        <w:spacing w:before="60" w:after="60" w:line="240"/>
        <w:ind w:firstLine="360"/>
        <w:jc w:val="both"/>
      </w:pPr>
      <w:r>
        <w:rPr>
          <w:rFonts w:ascii="Times New Roman" w:cs="Times New Roman" w:eastAsia="Times New Roman" w:hAnsi="Times New Roman"/>
          <w:color w:val="000000"/>
          <w:sz w:val="20"/>
          <w:szCs w:val="20"/>
        </w:rPr>
        <w:t xml:space="preserve">The simulation results extend and corroborate the original findings of Kumar et al. (2026) across several critical dimensions. First, vulnerability is not Ethernet-specific: all evaluated communication technologies exhibit significant availability degradation under attack, with RF Mesh and ZigBee showing catastrophically long recovery times due to their constrained bandwidth. Given that these technologies underpin the majority of large-scale AMI deployments globally, this finding has immediate practical implications.</w:t>
      </w:r>
    </w:p>
    <w:p>
      <w:pPr>
        <w:spacing w:before="60" w:after="60" w:line="240"/>
        <w:ind w:firstLine="360"/>
        <w:jc w:val="both"/>
      </w:pPr>
      <w:r>
        <w:rPr>
          <w:rFonts w:ascii="Times New Roman" w:cs="Times New Roman" w:eastAsia="Times New Roman" w:hAnsi="Times New Roman"/>
          <w:color w:val="000000"/>
          <w:sz w:val="20"/>
          <w:szCs w:val="20"/>
        </w:rPr>
        <w:t xml:space="preserve">Second, the most economically damaging attacks are not necessarily the most bandwidth-intensive. MitM attacks require only 0.01 Mbps to achieve a level of disruption ($9,395 loss) comparable to DDoS attacks requiring 5 Mbps, a 500:1 efficiency advantage for attackers. This asymmetry suggests that utility security investments should prioritize authentication mechanisms and encrypted communications over bandwidth-based traffic filtering alone.</w:t>
      </w:r>
    </w:p>
    <w:p>
      <w:pPr>
        <w:spacing w:before="60" w:after="60" w:line="240"/>
        <w:ind w:firstLine="360"/>
        <w:jc w:val="both"/>
      </w:pPr>
      <w:r>
        <w:rPr>
          <w:rFonts w:ascii="Times New Roman" w:cs="Times New Roman" w:eastAsia="Times New Roman" w:hAnsi="Times New Roman"/>
          <w:color w:val="000000"/>
          <w:sz w:val="20"/>
          <w:szCs w:val="20"/>
        </w:rPr>
        <w:t xml:space="preserve">Third, the inclusion of 95% confidence intervals reveals substantial variability in recovery behavior—particularly for wireless technologies—that is masked by the point-estimate ranges reported in the original study. This variability has direct consequences for utility service-level agreements: a mean recovery time of 19,000 seconds with a standard deviation of 3,878 seconds implies that a non-trivial fraction of attack events will result in recovery times exceeding 30,000 seconds (over 8 hours), a scenario with severe operational consequences.</w:t>
      </w:r>
    </w:p>
    <w:p>
      <w:pPr>
        <w:spacing w:before="60" w:after="60" w:line="240"/>
        <w:ind w:firstLine="360"/>
        <w:jc w:val="both"/>
      </w:pPr>
      <w:r>
        <w:rPr>
          <w:rFonts w:ascii="Times New Roman" w:cs="Times New Roman" w:eastAsia="Times New Roman" w:hAnsi="Times New Roman"/>
          <w:color w:val="000000"/>
          <w:sz w:val="20"/>
          <w:szCs w:val="20"/>
        </w:rPr>
        <w:t xml:space="preserve">Finally, the economic impact analysis highlights the need for cost-benefit frameworks in AMI security planning. With total losses of approximately $9,000–$9,400 per attack event on a 10,000-meter network, even modest investments in authentication hardening, rate limiting, or ML-based detection systems would yield positive security return on investment across a small number of prevented attacks.</w:t>
      </w:r>
    </w:p>
    <w:p>
      <w:pPr>
        <w:spacing w:before="180" w:after="80" w:line="240"/>
        <w:jc w:val="center"/>
      </w:pPr>
      <w:r>
        <w:rPr>
          <w:rFonts w:ascii="Times New Roman" w:cs="Times New Roman" w:eastAsia="Times New Roman" w:hAnsi="Times New Roman"/>
          <w:b/>
          <w:bCs/>
          <w:smallCaps/>
          <w:color w:val="000000"/>
          <w:sz w:val="20"/>
          <w:szCs w:val="20"/>
        </w:rPr>
        <w:t xml:space="preserve">VIII. CONCLUSION</w:t>
      </w:r>
    </w:p>
    <w:p>
      <w:pPr>
        <w:spacing w:before="60" w:after="60" w:line="240"/>
        <w:ind w:firstLine="360"/>
        <w:jc w:val="both"/>
      </w:pPr>
      <w:r>
        <w:rPr>
          <w:rFonts w:ascii="Times New Roman" w:cs="Times New Roman" w:eastAsia="Times New Roman" w:hAnsi="Times New Roman"/>
          <w:color w:val="000000"/>
          <w:sz w:val="20"/>
          <w:szCs w:val="20"/>
        </w:rPr>
        <w:t xml:space="preserve">This paper presented an extended evaluation of smart meter AMI communication security, systematically addressing eight methodological limitations identified in the reference study by Kumar et al. (2026). Through computational simulation with 12 meters, 6 communication technologies, 10 attack types, and 30 repetitions per scenario, we derived statistically robust conclusions about smart meter resilience.</w:t>
      </w:r>
    </w:p>
    <w:p>
      <w:pPr>
        <w:spacing w:before="60" w:after="60" w:line="240"/>
        <w:ind w:firstLine="360"/>
        <w:jc w:val="both"/>
      </w:pPr>
      <w:r>
        <w:rPr>
          <w:rFonts w:ascii="Times New Roman" w:cs="Times New Roman" w:eastAsia="Times New Roman" w:hAnsi="Times New Roman"/>
          <w:color w:val="000000"/>
          <w:sz w:val="20"/>
          <w:szCs w:val="20"/>
        </w:rPr>
        <w:t xml:space="preserve">Key findings include: (1) RF Mesh and ZigBee exhibit recovery times 400× longer than Ethernet under identical attacks; (2) MitM and FDI represent high-impact threats disproportionate to their bandwidth requirements; (3) a Random Forest classifier achieves 100% attack detection accuracy using six network traffic features; (4) a lightweight rule-based IDS provides zero-false-positive real-time alerting; and (5) economic losses of approximately $9,000–$9,400 per attack event underscore the financial urgency of AMI security improvements.</w:t>
      </w:r>
    </w:p>
    <w:p>
      <w:pPr>
        <w:spacing w:before="60" w:after="60" w:line="240"/>
        <w:ind w:firstLine="360"/>
        <w:jc w:val="both"/>
      </w:pPr>
      <w:r>
        <w:rPr>
          <w:rFonts w:ascii="Times New Roman" w:cs="Times New Roman" w:eastAsia="Times New Roman" w:hAnsi="Times New Roman"/>
          <w:color w:val="000000"/>
          <w:sz w:val="20"/>
          <w:szCs w:val="20"/>
        </w:rPr>
        <w:t xml:space="preserve">Future work should validate these simulation results against physical testbeds with real meter hardware, evaluate ML models on empirical network traffic captures, and develop adaptive mitigation strategies responsive to the identified attack profiles. Additionally, extending the economic model to include cascading grid effects and regulatory compliance costs would provide a more complete picture of AMI attack consequences.</w:t>
      </w:r>
    </w:p>
    <w:p>
      <w:pPr>
        <w:pBdr>
          <w:bottom w:val="single" w:color="AAAAAA" w:sz="2" w:space="1"/>
        </w:pBdr>
        <w:spacing w:before="80" w:after="80"/>
      </w:pPr>
    </w:p>
    <w:p>
      <w:pPr>
        <w:spacing w:before="180" w:after="80" w:line="240"/>
        <w:jc w:val="center"/>
      </w:pPr>
      <w:r>
        <w:rPr>
          <w:rFonts w:ascii="Times New Roman" w:cs="Times New Roman" w:eastAsia="Times New Roman" w:hAnsi="Times New Roman"/>
          <w:b/>
          <w:bCs/>
          <w:smallCaps/>
          <w:color w:val="000000"/>
          <w:sz w:val="20"/>
          <w:szCs w:val="20"/>
        </w:rPr>
        <w:t xml:space="preserve">. ACKNOWLEDGMENT</w:t>
      </w:r>
    </w:p>
    <w:p>
      <w:pPr>
        <w:spacing w:before="60" w:after="60" w:line="240"/>
        <w:ind w:firstLine="360"/>
        <w:jc w:val="both"/>
      </w:pPr>
      <w:r>
        <w:rPr>
          <w:rFonts w:ascii="Times New Roman" w:cs="Times New Roman" w:eastAsia="Times New Roman" w:hAnsi="Times New Roman"/>
          <w:color w:val="000000"/>
          <w:sz w:val="20"/>
          <w:szCs w:val="20"/>
        </w:rPr>
        <w:t xml:space="preserve">This research was supported in part by NSF Award No. 2334389 and was performed under an appointment to the U.S. Department of Homeland Security (DHS) Science &amp; Technology Directorate Office of University Programs Summer Research Team Program for Minority Serving Institutions, administered by ORISE through an interagency agreement between U.S. DOE and DHS. ORISE is managed by ORAU under DOE contract No. DE-SC0014664.</w:t>
      </w:r>
    </w:p>
    <w:p>
      <w:pPr>
        <w:pBdr>
          <w:bottom w:val="single" w:color="AAAAAA" w:sz="2" w:space="1"/>
        </w:pBdr>
        <w:spacing w:before="80" w:after="80"/>
      </w:pPr>
    </w:p>
    <w:p>
      <w:pPr>
        <w:spacing w:before="180" w:after="80" w:line="240"/>
        <w:jc w:val="center"/>
      </w:pPr>
      <w:r>
        <w:rPr>
          <w:rFonts w:ascii="Times New Roman" w:cs="Times New Roman" w:eastAsia="Times New Roman" w:hAnsi="Times New Roman"/>
          <w:b/>
          <w:bCs/>
          <w:smallCaps/>
          <w:color w:val="000000"/>
          <w:sz w:val="20"/>
          <w:szCs w:val="20"/>
        </w:rPr>
        <w:t xml:space="preserve">. REFERENCES</w:t>
      </w:r>
    </w:p>
    <w:p>
      <w:pPr>
        <w:spacing w:before="40" w:after="40" w:line="240"/>
        <w:ind w:left="360" w:hanging="360"/>
      </w:pPr>
      <w:r>
        <w:rPr>
          <w:rFonts w:ascii="Times New Roman" w:cs="Times New Roman" w:eastAsia="Times New Roman" w:hAnsi="Times New Roman"/>
          <w:sz w:val="16"/>
          <w:szCs w:val="16"/>
        </w:rPr>
        <w:t xml:space="preserve">[1] A. Huseinovic et al., "A Survey of Denial-of-Service Attacks and Solutions in the Smart Grid," IEEE Access, vol. 8, pp. 177447–177470, 2020.</w:t>
      </w:r>
    </w:p>
    <w:p>
      <w:pPr>
        <w:spacing w:before="40" w:after="40" w:line="240"/>
        <w:ind w:left="360" w:hanging="360"/>
      </w:pPr>
      <w:r>
        <w:rPr>
          <w:rFonts w:ascii="Times New Roman" w:cs="Times New Roman" w:eastAsia="Times New Roman" w:hAnsi="Times New Roman"/>
          <w:sz w:val="16"/>
          <w:szCs w:val="16"/>
        </w:rPr>
        <w:t xml:space="preserve">[2] D. Deb, H. Rodrigo, and S. Kumar, "Performance Analysis of Machine Learning Algorithms on Imbalanced DDoS Attack Dataset," Proc. IEEE AIIoT, Seattle, WA, 2024, pp. 0349–0355.</w:t>
      </w:r>
    </w:p>
    <w:p>
      <w:pPr>
        <w:spacing w:before="40" w:after="40" w:line="240"/>
        <w:ind w:left="360" w:hanging="360"/>
      </w:pPr>
      <w:r>
        <w:rPr>
          <w:rFonts w:ascii="Times New Roman" w:cs="Times New Roman" w:eastAsia="Times New Roman" w:hAnsi="Times New Roman"/>
          <w:sz w:val="16"/>
          <w:szCs w:val="16"/>
        </w:rPr>
        <w:t xml:space="preserve">[3] R. F. Hayat et al., "ML-DDoS: A Blockchain-Based Multilevel DDoS Mitigation Mechanism for IoT Environments," IEEE Trans. Eng. Manag., vol. 71, pp. 12605–12618, 2024.</w:t>
      </w:r>
    </w:p>
    <w:p>
      <w:pPr>
        <w:spacing w:before="40" w:after="40" w:line="240"/>
        <w:ind w:left="360" w:hanging="360"/>
      </w:pPr>
      <w:r>
        <w:rPr>
          <w:rFonts w:ascii="Times New Roman" w:cs="Times New Roman" w:eastAsia="Times New Roman" w:hAnsi="Times New Roman"/>
          <w:sz w:val="16"/>
          <w:szCs w:val="16"/>
        </w:rPr>
        <w:t xml:space="preserve">[4] H. A. Hseiki et al., "A Secure and Resilient Smart Energy Meter," IEEE Access, vol. 12, pp. 3114–3125, 2024.</w:t>
      </w:r>
    </w:p>
    <w:p>
      <w:pPr>
        <w:spacing w:before="40" w:after="40" w:line="240"/>
        <w:ind w:left="360" w:hanging="360"/>
      </w:pPr>
      <w:r>
        <w:rPr>
          <w:rFonts w:ascii="Times New Roman" w:cs="Times New Roman" w:eastAsia="Times New Roman" w:hAnsi="Times New Roman"/>
          <w:sz w:val="16"/>
          <w:szCs w:val="16"/>
        </w:rPr>
        <w:t xml:space="preserve">[5] H. Kumar, O. A. Alvarez, and S. Kumar, "Real-Time Evaluation of Smart Meter Data Communication Under Cybersecurity Attacks," Proc. IEEE CCWC 2026, pp. 1234–1241.</w:t>
      </w:r>
    </w:p>
    <w:p>
      <w:pPr>
        <w:spacing w:before="40" w:after="40" w:line="240"/>
        <w:ind w:left="360" w:hanging="360"/>
      </w:pPr>
      <w:r>
        <w:rPr>
          <w:rFonts w:ascii="Times New Roman" w:cs="Times New Roman" w:eastAsia="Times New Roman" w:hAnsi="Times New Roman"/>
          <w:sz w:val="16"/>
          <w:szCs w:val="16"/>
        </w:rPr>
        <w:t xml:space="preserve">[6] S. Kumar and R. S. R. Gade, "Experimental Evaluation of Cisco ASA-5510 Intrusion Prevention System against Denial of Service Attacks," J. Inf. Security, vol. 3, no. 2, pp. 122–137, 2012.</w:t>
      </w:r>
    </w:p>
    <w:p>
      <w:pPr>
        <w:spacing w:before="40" w:after="40" w:line="240"/>
        <w:ind w:left="360" w:hanging="360"/>
      </w:pPr>
      <w:r>
        <w:rPr>
          <w:rFonts w:ascii="Times New Roman" w:cs="Times New Roman" w:eastAsia="Times New Roman" w:hAnsi="Times New Roman"/>
          <w:sz w:val="16"/>
          <w:szCs w:val="16"/>
        </w:rPr>
        <w:t xml:space="preserve">[7] K. Doshi, Y. Yilmaz, and S. Uludag, "Timely Detection and Mitigation of Stealthy DDoS Attacks Via IoT Networks," IEEE Trans. Dependable Secure Comput., vol. 18, no. 5, pp. 2164–2176, 2021.</w:t>
      </w:r>
    </w:p>
    <w:p>
      <w:pPr>
        <w:spacing w:before="40" w:after="40" w:line="240"/>
        <w:ind w:left="360" w:hanging="360"/>
      </w:pPr>
      <w:r>
        <w:rPr>
          <w:rFonts w:ascii="Times New Roman" w:cs="Times New Roman" w:eastAsia="Times New Roman" w:hAnsi="Times New Roman"/>
          <w:sz w:val="16"/>
          <w:szCs w:val="16"/>
        </w:rPr>
        <w:t xml:space="preserve">[8] P. Nnaji, H. Kumar, and S. Kumar, "Wireless Smart Electric Meter Operation under Data Security Attacks," Proc. IEEE ICDIS 2022, pp. 182–187.</w:t>
      </w:r>
    </w:p>
    <w:p>
      <w:pPr>
        <w:spacing w:before="40" w:after="40" w:line="240"/>
        <w:ind w:left="360" w:hanging="360"/>
      </w:pPr>
      <w:r>
        <w:rPr>
          <w:rFonts w:ascii="Times New Roman" w:cs="Times New Roman" w:eastAsia="Times New Roman" w:hAnsi="Times New Roman"/>
          <w:sz w:val="16"/>
          <w:szCs w:val="16"/>
        </w:rPr>
        <w:t xml:space="preserve">[9] H. Kumar et al., "Advancing Smart Grid Communication: Integrating Technological Innovations for Enhanced Performance," Proc. IEEE IEMCON 2024, pp. 238–247.</w:t>
      </w:r>
    </w:p>
    <w:p>
      <w:pPr>
        <w:spacing w:before="40" w:after="40" w:line="240"/>
        <w:ind w:left="360" w:hanging="360"/>
      </w:pPr>
      <w:r>
        <w:rPr>
          <w:rFonts w:ascii="Times New Roman" w:cs="Times New Roman" w:eastAsia="Times New Roman" w:hAnsi="Times New Roman"/>
          <w:sz w:val="16"/>
          <w:szCs w:val="16"/>
        </w:rPr>
        <w:t xml:space="preserve">[10] H. Kumar, P. M. Tshakwanda, and M. Devetsikiotis, "AI-Driven Smart Grid Optimization: Enhancing Urban Communication Networks," Proc. IEEE AIIoT 2025, pp. 0273–0279.</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jc w:val="center"/>
    </w:pPr>
    <w:r>
      <w:rPr>
        <w:rFonts w:ascii="Times New Roman" w:cs="Times New Roman" w:eastAsia="Times New Roman" w:hAnsi="Times New Roman"/>
        <w:color w:val="555555"/>
        <w:sz w:val="16"/>
        <w:szCs w:val="16"/>
      </w:rPr>
      <w:t xml:space="preserve">978-x-xxxx-xxxx-x/26/$31.00 ©2026 IEEE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80"/>
      <w:jc w:val="center"/>
    </w:pPr>
    <w:r>
      <w:rPr>
        <w:rFonts w:ascii="Times New Roman" w:cs="Times New Roman" w:eastAsia="Times New Roman" w:hAnsi="Times New Roman"/>
        <w:i/>
        <w:iCs/>
        <w:color w:val="444444"/>
        <w:sz w:val="16"/>
        <w:szCs w:val="16"/>
      </w:rPr>
      <w:t xml:space="preserve">2026 IEEE 16th Annual Computing and Communication Workshop and Conference (CCWC)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outlineLvl w:val="0"/>
    </w:pPr>
    <w:rPr>
      <w:rFonts w:ascii="Times New Roman" w:cs="Times New Roman" w:eastAsia="Times New Roman" w:hAnsi="Times New Roman"/>
      <w:b/>
      <w:bCs/>
      <w:color w:val="000000"/>
      <w:sz w:val="20"/>
      <w:szCs w:val="20"/>
    </w:rPr>
  </w:style>
  <w:style w:type="paragraph" w:styleId="Heading2">
    <w:name w:val="Heading 2"/>
    <w:basedOn w:val="Normal"/>
    <w:next w:val="Normal"/>
    <w:qFormat/>
    <w:pPr>
      <w:spacing w:before="120" w:after="60"/>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2026-03-24T18:59:33.545Z</dcterms:created>
  <dcterms:modified xsi:type="dcterms:W3CDTF">2026-03-24T18:59:33.546Z</dcterms:modified>
</cp:coreProperties>
</file>

<file path=docProps/custom.xml><?xml version="1.0" encoding="utf-8"?>
<Properties xmlns="http://schemas.openxmlformats.org/officeDocument/2006/custom-properties" xmlns:vt="http://schemas.openxmlformats.org/officeDocument/2006/docPropsVTypes"/>
</file>