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6"/>
          <w:szCs w:val="26"/>
          <w:b w:val="1"/>
          <w:bCs w:val="1"/>
          <w:color w:val="auto"/>
        </w:rPr>
        <w:t>THE GAZETTE OF INDIA</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EXTRAORDINARY</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PART –II – SECTION 3 – SUB SECTION (ii)</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PUBLISHED BY AUTHORITY</w:t>
      </w:r>
    </w:p>
    <w:p>
      <w:pPr>
        <w:spacing w:after="0" w:line="30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NOTIFICATION</w:t>
      </w:r>
    </w:p>
    <w:p>
      <w:pPr>
        <w:spacing w:after="0" w:line="30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Mumbai, the 14</w:t>
      </w:r>
      <w:r>
        <w:rPr>
          <w:rFonts w:ascii="Times New Roman" w:cs="Times New Roman" w:eastAsia="Times New Roman" w:hAnsi="Times New Roman"/>
          <w:sz w:val="34"/>
          <w:szCs w:val="34"/>
          <w:b w:val="1"/>
          <w:bCs w:val="1"/>
          <w:color w:val="auto"/>
          <w:vertAlign w:val="superscript"/>
        </w:rPr>
        <w:t>th</w:t>
      </w:r>
      <w:r>
        <w:rPr>
          <w:rFonts w:ascii="Times New Roman" w:cs="Times New Roman" w:eastAsia="Times New Roman" w:hAnsi="Times New Roman"/>
          <w:sz w:val="26"/>
          <w:szCs w:val="26"/>
          <w:b w:val="1"/>
          <w:bCs w:val="1"/>
          <w:color w:val="auto"/>
        </w:rPr>
        <w:t xml:space="preserve"> December 2006</w:t>
      </w:r>
    </w:p>
    <w:p>
      <w:pPr>
        <w:spacing w:after="0" w:line="20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w:t>
      </w:r>
    </w:p>
    <w:p>
      <w:pPr>
        <w:spacing w:after="0" w:line="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(REGULATORY FEE ON STOCK EXCHANGES) REGULATIONS, 2006</w:t>
      </w:r>
    </w:p>
    <w:p>
      <w:pPr>
        <w:spacing w:after="0" w:line="200" w:lineRule="exact"/>
        <w:rPr>
          <w:sz w:val="24"/>
          <w:szCs w:val="24"/>
          <w:color w:val="auto"/>
        </w:rPr>
      </w:pPr>
    </w:p>
    <w:p>
      <w:pPr>
        <w:spacing w:after="0" w:line="265" w:lineRule="exact"/>
        <w:rPr>
          <w:sz w:val="24"/>
          <w:szCs w:val="24"/>
          <w:color w:val="auto"/>
        </w:rPr>
      </w:pPr>
    </w:p>
    <w:p>
      <w:pPr>
        <w:jc w:val="both"/>
        <w:spacing w:after="0" w:line="354" w:lineRule="auto"/>
        <w:rPr>
          <w:sz w:val="20"/>
          <w:szCs w:val="20"/>
          <w:color w:val="auto"/>
        </w:rPr>
      </w:pPr>
      <w:r>
        <w:rPr>
          <w:rFonts w:ascii="Times New Roman" w:cs="Times New Roman" w:eastAsia="Times New Roman" w:hAnsi="Times New Roman"/>
          <w:sz w:val="26"/>
          <w:szCs w:val="26"/>
          <w:b w:val="1"/>
          <w:bCs w:val="1"/>
          <w:color w:val="auto"/>
        </w:rPr>
        <w:t xml:space="preserve">S.O. No. 2097(E). </w:t>
      </w:r>
      <w:r>
        <w:rPr>
          <w:rFonts w:ascii="Times New Roman" w:cs="Times New Roman" w:eastAsia="Times New Roman" w:hAnsi="Times New Roman"/>
          <w:sz w:val="26"/>
          <w:szCs w:val="26"/>
          <w:color w:val="auto"/>
        </w:rPr>
        <w:t>In exercise of the powers conferred by Section 30 read with clause (k)</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of sub-section (2) of section 11 of the Securities and Exchange Board of India Act, 1992 (15 of 1992), the Board hereby makes the following regulations, namely:-</w:t>
      </w:r>
    </w:p>
    <w:p>
      <w:pPr>
        <w:spacing w:after="0" w:line="200" w:lineRule="exact"/>
        <w:rPr>
          <w:sz w:val="24"/>
          <w:szCs w:val="24"/>
          <w:color w:val="auto"/>
        </w:rPr>
      </w:pPr>
    </w:p>
    <w:p>
      <w:pPr>
        <w:spacing w:after="0" w:line="26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w:t>
      </w:r>
    </w:p>
    <w:p>
      <w:pPr>
        <w:spacing w:after="0" w:line="15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PRELIMINARY</w:t>
      </w:r>
    </w:p>
    <w:p>
      <w:pPr>
        <w:spacing w:after="0" w:line="200" w:lineRule="exact"/>
        <w:rPr>
          <w:sz w:val="24"/>
          <w:szCs w:val="24"/>
          <w:color w:val="auto"/>
        </w:rPr>
      </w:pPr>
    </w:p>
    <w:p>
      <w:pPr>
        <w:spacing w:after="0" w:line="396"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Short title and commencement</w:t>
      </w:r>
    </w:p>
    <w:p>
      <w:pPr>
        <w:spacing w:after="0" w:line="158" w:lineRule="exact"/>
        <w:rPr>
          <w:sz w:val="24"/>
          <w:szCs w:val="24"/>
          <w:color w:val="auto"/>
        </w:rPr>
      </w:pPr>
    </w:p>
    <w:p>
      <w:pPr>
        <w:spacing w:after="0" w:line="348" w:lineRule="auto"/>
        <w:tabs>
          <w:tab w:leader="none" w:pos="430" w:val="left"/>
        </w:tabs>
        <w:numPr>
          <w:ilvl w:val="0"/>
          <w:numId w:val="1"/>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These regulations may be called the Securities and Exchange Board of India (Regulatory Fee on Stock Exchanges) Regulations, 2006.</w:t>
      </w:r>
    </w:p>
    <w:p>
      <w:pPr>
        <w:spacing w:after="0" w:line="15" w:lineRule="exact"/>
        <w:rPr>
          <w:rFonts w:ascii="Times New Roman" w:cs="Times New Roman" w:eastAsia="Times New Roman" w:hAnsi="Times New Roman"/>
          <w:sz w:val="26"/>
          <w:szCs w:val="26"/>
          <w:b w:val="1"/>
          <w:bCs w:val="1"/>
          <w:color w:val="auto"/>
        </w:rPr>
      </w:pPr>
    </w:p>
    <w:p>
      <w:pPr>
        <w:spacing w:after="0"/>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(2) They shall come into force on the first day of January 2007.</w:t>
      </w: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Definitions</w:t>
      </w:r>
    </w:p>
    <w:p>
      <w:pPr>
        <w:spacing w:after="0" w:line="143" w:lineRule="exact"/>
        <w:rPr>
          <w:sz w:val="24"/>
          <w:szCs w:val="24"/>
          <w:color w:val="auto"/>
        </w:rPr>
      </w:pPr>
    </w:p>
    <w:p>
      <w:pPr>
        <w:ind w:left="260" w:hanging="260"/>
        <w:spacing w:after="0"/>
        <w:tabs>
          <w:tab w:leader="none" w:pos="260" w:val="left"/>
        </w:tabs>
        <w:numPr>
          <w:ilvl w:val="0"/>
          <w:numId w:val="2"/>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In these Regulations, unless the context otherwise requires:-</w:t>
      </w:r>
    </w:p>
    <w:p>
      <w:pPr>
        <w:spacing w:after="0" w:line="147" w:lineRule="exact"/>
        <w:rPr>
          <w:sz w:val="24"/>
          <w:szCs w:val="24"/>
          <w:color w:val="auto"/>
        </w:rPr>
      </w:pPr>
    </w:p>
    <w:p>
      <w:pPr>
        <w:ind w:left="420" w:hanging="420"/>
        <w:spacing w:after="0"/>
        <w:tabs>
          <w:tab w:leader="none" w:pos="420"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“Act” means the Securities and Exchange Board of India Act, 1992 (15 of 1992);</w:t>
      </w:r>
    </w:p>
    <w:p>
      <w:pPr>
        <w:spacing w:after="0" w:line="164" w:lineRule="exact"/>
        <w:rPr>
          <w:rFonts w:ascii="Times New Roman" w:cs="Times New Roman" w:eastAsia="Times New Roman" w:hAnsi="Times New Roman"/>
          <w:sz w:val="26"/>
          <w:szCs w:val="26"/>
          <w:color w:val="auto"/>
        </w:rPr>
      </w:pPr>
    </w:p>
    <w:p>
      <w:pPr>
        <w:spacing w:after="0" w:line="348" w:lineRule="auto"/>
        <w:tabs>
          <w:tab w:leader="none" w:pos="451"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“Board” means the Securities and Exchange Board of India established under provisions of section 3 of the Act;</w:t>
      </w:r>
    </w:p>
    <w:p>
      <w:pPr>
        <w:sectPr>
          <w:pgSz w:w="12240" w:h="15840" w:orient="portrait"/>
          <w:cols w:equalWidth="0" w:num="1">
            <w:col w:w="9360"/>
          </w:cols>
          <w:pgMar w:left="1440" w:top="1437" w:right="1440" w:bottom="993" w:gutter="0" w:footer="0" w:header="0"/>
        </w:sectPr>
      </w:pPr>
    </w:p>
    <w:bookmarkStart w:id="1" w:name="page2"/>
    <w:bookmarkEnd w:id="1"/>
    <w:p>
      <w:pPr>
        <w:spacing w:after="0" w:line="6" w:lineRule="exact"/>
        <w:rPr>
          <w:sz w:val="20"/>
          <w:szCs w:val="20"/>
          <w:color w:val="auto"/>
        </w:rPr>
      </w:pPr>
    </w:p>
    <w:p>
      <w:pPr>
        <w:spacing w:after="0" w:line="348" w:lineRule="auto"/>
        <w:tabs>
          <w:tab w:leader="none" w:pos="351" w:val="left"/>
        </w:tabs>
        <w:numPr>
          <w:ilvl w:val="0"/>
          <w:numId w:val="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“company” means a company as defined in section 3 of the Companies Act, 1956 (1 of 1956);</w:t>
      </w:r>
    </w:p>
    <w:p>
      <w:pPr>
        <w:spacing w:after="0" w:line="15" w:lineRule="exact"/>
        <w:rPr>
          <w:rFonts w:ascii="Times New Roman" w:cs="Times New Roman" w:eastAsia="Times New Roman" w:hAnsi="Times New Roman"/>
          <w:sz w:val="26"/>
          <w:szCs w:val="26"/>
          <w:color w:val="auto"/>
        </w:rPr>
      </w:pPr>
    </w:p>
    <w:p>
      <w:pPr>
        <w:ind w:left="380" w:hanging="380"/>
        <w:spacing w:after="0"/>
        <w:tabs>
          <w:tab w:leader="none" w:pos="380" w:val="left"/>
        </w:tabs>
        <w:numPr>
          <w:ilvl w:val="0"/>
          <w:numId w:val="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“financial year” means the period of twelve months commencing on the first day of</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40" w:hanging="340"/>
        <w:spacing w:after="0"/>
        <w:tabs>
          <w:tab w:leader="none" w:pos="340" w:val="left"/>
        </w:tabs>
        <w:numPr>
          <w:ilvl w:val="0"/>
          <w:numId w:val="5"/>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“quarter” means the period of three months commencing on the first day of April, July,</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October and January of each financial year;</w:t>
      </w:r>
    </w:p>
    <w:p>
      <w:pPr>
        <w:spacing w:after="0" w:line="165"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6"/>
          <w:szCs w:val="26"/>
          <w:color w:val="auto"/>
        </w:rPr>
        <w:t>(f) “recognised stock exchange” means a stock exchange which has been granted recognition under section 4 of the Securities Contracts (Regulation) Act, 1956 (42 of 1956); and</w:t>
      </w:r>
    </w:p>
    <w:p>
      <w:pPr>
        <w:spacing w:after="0" w:line="24"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6"/>
          <w:szCs w:val="26"/>
          <w:color w:val="auto"/>
        </w:rPr>
        <w:t>(g) “regulatory fee” means fees levied by the Board under these regulations for carrying out the functions under the Act and the Securities Contracts (Regulation) Act, 1956 (42 of 1956).</w:t>
      </w:r>
    </w:p>
    <w:p>
      <w:pPr>
        <w:spacing w:after="0" w:line="200" w:lineRule="exact"/>
        <w:rPr>
          <w:sz w:val="20"/>
          <w:szCs w:val="20"/>
          <w:color w:val="auto"/>
        </w:rPr>
      </w:pPr>
    </w:p>
    <w:p>
      <w:pPr>
        <w:spacing w:after="0" w:line="274" w:lineRule="exact"/>
        <w:rPr>
          <w:sz w:val="20"/>
          <w:szCs w:val="20"/>
          <w:color w:val="auto"/>
        </w:rPr>
      </w:pPr>
    </w:p>
    <w:p>
      <w:pPr>
        <w:jc w:val="both"/>
        <w:spacing w:after="0" w:line="357" w:lineRule="auto"/>
        <w:tabs>
          <w:tab w:leader="none" w:pos="372" w:val="left"/>
        </w:tabs>
        <w:numPr>
          <w:ilvl w:val="0"/>
          <w:numId w:val="6"/>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All other words and expressions used but not defined in these regulations, but defined in the Act or in the Companies Act, 1956 (1 of 1956) or in Securities Contracts (Regulation) Act, 1956 (42 of 1956) or the rules and the regulations made thereunder or in the scheme, shall have the same meanings respectively assigned to them in such Acts or the rules or the regulations made thereunder or any statutory modification or re-enactment thereto, as the case may be.</w:t>
      </w: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II</w:t>
      </w:r>
    </w:p>
    <w:p>
      <w:pPr>
        <w:spacing w:after="0" w:line="1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LEVY AND PAYMENT OF REGULATORY FEE ON STOCK EXCHANGES</w:t>
      </w: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Regulatory fee on stock exchanges</w:t>
      </w:r>
    </w:p>
    <w:p>
      <w:pPr>
        <w:spacing w:after="0" w:line="158" w:lineRule="exact"/>
        <w:rPr>
          <w:sz w:val="20"/>
          <w:szCs w:val="20"/>
          <w:color w:val="auto"/>
        </w:rPr>
      </w:pPr>
    </w:p>
    <w:p>
      <w:pPr>
        <w:jc w:val="both"/>
        <w:spacing w:after="0" w:line="353" w:lineRule="auto"/>
        <w:tabs>
          <w:tab w:leader="none" w:pos="274" w:val="left"/>
        </w:tabs>
        <w:numPr>
          <w:ilvl w:val="0"/>
          <w:numId w:val="7"/>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On and from the commencement of these regulations, there shall be charged on every recognised stock exchange, a regulatory fee payable to the Board, at such rates and within such time as is mentioned in regulation 4.</w:t>
      </w:r>
    </w:p>
    <w:p>
      <w:pPr>
        <w:sectPr>
          <w:pgSz w:w="12240" w:h="15840" w:orient="portrait"/>
          <w:cols w:equalWidth="0" w:num="1">
            <w:col w:w="9360"/>
          </w:cols>
          <w:pgMar w:left="1440" w:top="1440" w:right="1440" w:bottom="1440"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6"/>
          <w:szCs w:val="26"/>
          <w:b w:val="1"/>
          <w:bCs w:val="1"/>
          <w:color w:val="auto"/>
        </w:rPr>
        <w:t>Rate of regulatory fee</w:t>
      </w:r>
    </w:p>
    <w:p>
      <w:pPr>
        <w:spacing w:after="0" w:line="158" w:lineRule="exact"/>
        <w:rPr>
          <w:sz w:val="20"/>
          <w:szCs w:val="20"/>
          <w:color w:val="auto"/>
        </w:rPr>
      </w:pPr>
    </w:p>
    <w:p>
      <w:pPr>
        <w:jc w:val="both"/>
        <w:spacing w:after="0" w:line="355" w:lineRule="auto"/>
        <w:tabs>
          <w:tab w:leader="none" w:pos="257" w:val="left"/>
        </w:tabs>
        <w:numPr>
          <w:ilvl w:val="0"/>
          <w:numId w:val="8"/>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A recognised stock exchange having an annual turnover mentioned in column (2) of the following Table shall pay to the Board, within thirty days of conclusion of the relevant financial year, an amount mentioned in the corresponding entry in column (3) of the said Table:</w:t>
      </w:r>
    </w:p>
    <w:tbl>
      <w:tblPr>
        <w:tblLayout w:type="fixed"/>
        <w:tblInd w:w="10" w:type="dxa"/>
        <w:tblCellMar>
          <w:top w:w="0" w:type="dxa"/>
          <w:left w:w="0" w:type="dxa"/>
          <w:bottom w:w="0" w:type="dxa"/>
          <w:right w:w="0" w:type="dxa"/>
        </w:tblCellMar>
      </w:tblPr>
      <w:tr>
        <w:trPr>
          <w:trHeight w:val="282"/>
        </w:trPr>
        <w:tc>
          <w:tcPr>
            <w:tcW w:w="1460" w:type="dxa"/>
            <w:vAlign w:val="bottom"/>
            <w:tcBorders>
              <w:top w:val="single" w:sz="8" w:color="auto"/>
              <w:left w:val="single" w:sz="8" w:color="auto"/>
              <w:right w:val="single" w:sz="8" w:color="auto"/>
            </w:tcBorders>
          </w:tcPr>
          <w:p>
            <w:pPr>
              <w:jc w:val="right"/>
              <w:ind w:right="280"/>
              <w:spacing w:after="0"/>
              <w:rPr>
                <w:sz w:val="20"/>
                <w:szCs w:val="20"/>
                <w:color w:val="auto"/>
              </w:rPr>
            </w:pPr>
            <w:r>
              <w:rPr>
                <w:rFonts w:ascii="Times New Roman" w:cs="Times New Roman" w:eastAsia="Times New Roman" w:hAnsi="Times New Roman"/>
                <w:sz w:val="24"/>
                <w:szCs w:val="24"/>
                <w:b w:val="1"/>
                <w:bCs w:val="1"/>
                <w:color w:val="auto"/>
              </w:rPr>
              <w:t>Sl. No.</w:t>
            </w:r>
          </w:p>
        </w:tc>
        <w:tc>
          <w:tcPr>
            <w:tcW w:w="5300" w:type="dxa"/>
            <w:vAlign w:val="bottom"/>
            <w:tcBorders>
              <w:top w:val="single" w:sz="8" w:color="auto"/>
              <w:right w:val="single" w:sz="8" w:color="auto"/>
            </w:tcBorders>
          </w:tcPr>
          <w:p>
            <w:pPr>
              <w:ind w:left="760"/>
              <w:spacing w:after="0"/>
              <w:rPr>
                <w:sz w:val="20"/>
                <w:szCs w:val="20"/>
                <w:color w:val="auto"/>
              </w:rPr>
            </w:pPr>
            <w:r>
              <w:rPr>
                <w:rFonts w:ascii="Times New Roman" w:cs="Times New Roman" w:eastAsia="Times New Roman" w:hAnsi="Times New Roman"/>
                <w:sz w:val="24"/>
                <w:szCs w:val="24"/>
                <w:b w:val="1"/>
                <w:bCs w:val="1"/>
                <w:color w:val="auto"/>
              </w:rPr>
              <w:t>Annual Turnover (Rupees in crores)</w:t>
            </w:r>
          </w:p>
        </w:tc>
        <w:tc>
          <w:tcPr>
            <w:tcW w:w="2620" w:type="dxa"/>
            <w:vAlign w:val="bottom"/>
            <w:tcBorders>
              <w:top w:val="single" w:sz="8" w:color="auto"/>
              <w:right w:val="single" w:sz="8" w:color="auto"/>
            </w:tcBorders>
            <w:gridSpan w:val="3"/>
          </w:tcPr>
          <w:p>
            <w:pPr>
              <w:ind w:left="300"/>
              <w:spacing w:after="0"/>
              <w:rPr>
                <w:sz w:val="20"/>
                <w:szCs w:val="20"/>
                <w:color w:val="auto"/>
              </w:rPr>
            </w:pPr>
            <w:r>
              <w:rPr>
                <w:rFonts w:ascii="Times New Roman" w:cs="Times New Roman" w:eastAsia="Times New Roman" w:hAnsi="Times New Roman"/>
                <w:sz w:val="24"/>
                <w:szCs w:val="24"/>
                <w:b w:val="1"/>
                <w:bCs w:val="1"/>
                <w:color w:val="auto"/>
              </w:rPr>
              <w:t>Amount of fee (Rs.)</w:t>
            </w:r>
          </w:p>
        </w:tc>
      </w:tr>
      <w:tr>
        <w:trPr>
          <w:trHeight w:val="415"/>
        </w:trPr>
        <w:tc>
          <w:tcPr>
            <w:tcW w:w="1460" w:type="dxa"/>
            <w:vAlign w:val="bottom"/>
            <w:tcBorders>
              <w:left w:val="single" w:sz="8" w:color="auto"/>
              <w:right w:val="single" w:sz="8" w:color="auto"/>
            </w:tcBorders>
          </w:tcPr>
          <w:p>
            <w:pPr>
              <w:jc w:val="right"/>
              <w:ind w:right="480"/>
              <w:spacing w:after="0"/>
              <w:rPr>
                <w:sz w:val="20"/>
                <w:szCs w:val="20"/>
                <w:color w:val="auto"/>
              </w:rPr>
            </w:pPr>
            <w:r>
              <w:rPr>
                <w:rFonts w:ascii="Times New Roman" w:cs="Times New Roman" w:eastAsia="Times New Roman" w:hAnsi="Times New Roman"/>
                <w:sz w:val="24"/>
                <w:szCs w:val="24"/>
                <w:b w:val="1"/>
                <w:bCs w:val="1"/>
                <w:color w:val="auto"/>
              </w:rPr>
              <w:t>(1)</w:t>
            </w:r>
          </w:p>
        </w:tc>
        <w:tc>
          <w:tcPr>
            <w:tcW w:w="5300" w:type="dxa"/>
            <w:vAlign w:val="bottom"/>
            <w:tcBorders>
              <w:right w:val="single" w:sz="8" w:color="auto"/>
            </w:tcBorders>
          </w:tcPr>
          <w:p>
            <w:pPr>
              <w:ind w:left="2500"/>
              <w:spacing w:after="0"/>
              <w:rPr>
                <w:sz w:val="20"/>
                <w:szCs w:val="20"/>
                <w:color w:val="auto"/>
              </w:rPr>
            </w:pPr>
            <w:r>
              <w:rPr>
                <w:rFonts w:ascii="Times New Roman" w:cs="Times New Roman" w:eastAsia="Times New Roman" w:hAnsi="Times New Roman"/>
                <w:sz w:val="24"/>
                <w:szCs w:val="24"/>
                <w:b w:val="1"/>
                <w:bCs w:val="1"/>
                <w:color w:val="auto"/>
              </w:rPr>
              <w:t>(2)</w:t>
            </w:r>
          </w:p>
        </w:tc>
        <w:tc>
          <w:tcPr>
            <w:tcW w:w="740" w:type="dxa"/>
            <w:vAlign w:val="bottom"/>
          </w:tcPr>
          <w:p>
            <w:pPr>
              <w:spacing w:after="0"/>
              <w:rPr>
                <w:sz w:val="24"/>
                <w:szCs w:val="24"/>
                <w:color w:val="auto"/>
              </w:rPr>
            </w:pPr>
          </w:p>
        </w:tc>
        <w:tc>
          <w:tcPr>
            <w:tcW w:w="1280" w:type="dxa"/>
            <w:vAlign w:val="bottom"/>
          </w:tcPr>
          <w:p>
            <w:pPr>
              <w:jc w:val="center"/>
              <w:ind w:right="55"/>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600" w:type="dxa"/>
            <w:vAlign w:val="bottom"/>
            <w:tcBorders>
              <w:right w:val="single" w:sz="8" w:color="auto"/>
            </w:tcBorders>
          </w:tcPr>
          <w:p>
            <w:pPr>
              <w:spacing w:after="0"/>
              <w:rPr>
                <w:sz w:val="24"/>
                <w:szCs w:val="24"/>
                <w:color w:val="auto"/>
              </w:rPr>
            </w:pPr>
          </w:p>
        </w:tc>
      </w:tr>
      <w:tr>
        <w:trPr>
          <w:trHeight w:val="140"/>
        </w:trPr>
        <w:tc>
          <w:tcPr>
            <w:tcW w:w="1460" w:type="dxa"/>
            <w:vAlign w:val="bottom"/>
            <w:tcBorders>
              <w:left w:val="single" w:sz="8" w:color="auto"/>
              <w:bottom w:val="single" w:sz="8" w:color="auto"/>
              <w:right w:val="single" w:sz="8" w:color="auto"/>
            </w:tcBorders>
          </w:tcPr>
          <w:p>
            <w:pPr>
              <w:spacing w:after="0"/>
              <w:rPr>
                <w:sz w:val="12"/>
                <w:szCs w:val="12"/>
                <w:color w:val="auto"/>
              </w:rPr>
            </w:pPr>
          </w:p>
        </w:tc>
        <w:tc>
          <w:tcPr>
            <w:tcW w:w="5300" w:type="dxa"/>
            <w:vAlign w:val="bottom"/>
            <w:tcBorders>
              <w:bottom w:val="single" w:sz="8" w:color="auto"/>
              <w:right w:val="single" w:sz="8" w:color="auto"/>
            </w:tcBorders>
          </w:tcPr>
          <w:p>
            <w:pPr>
              <w:spacing w:after="0"/>
              <w:rPr>
                <w:sz w:val="12"/>
                <w:szCs w:val="12"/>
                <w:color w:val="auto"/>
              </w:rPr>
            </w:pPr>
          </w:p>
        </w:tc>
        <w:tc>
          <w:tcPr>
            <w:tcW w:w="740" w:type="dxa"/>
            <w:vAlign w:val="bottom"/>
            <w:tcBorders>
              <w:bottom w:val="single" w:sz="8" w:color="auto"/>
            </w:tcBorders>
          </w:tcPr>
          <w:p>
            <w:pPr>
              <w:spacing w:after="0"/>
              <w:rPr>
                <w:sz w:val="12"/>
                <w:szCs w:val="12"/>
                <w:color w:val="auto"/>
              </w:rPr>
            </w:pPr>
          </w:p>
        </w:tc>
        <w:tc>
          <w:tcPr>
            <w:tcW w:w="1280" w:type="dxa"/>
            <w:vAlign w:val="bottom"/>
            <w:tcBorders>
              <w:bottom w:val="single" w:sz="8" w:color="auto"/>
            </w:tcBorders>
          </w:tcPr>
          <w:p>
            <w:pPr>
              <w:spacing w:after="0"/>
              <w:rPr>
                <w:sz w:val="12"/>
                <w:szCs w:val="12"/>
                <w:color w:val="auto"/>
              </w:rPr>
            </w:pPr>
          </w:p>
        </w:tc>
        <w:tc>
          <w:tcPr>
            <w:tcW w:w="600" w:type="dxa"/>
            <w:vAlign w:val="bottom"/>
            <w:tcBorders>
              <w:bottom w:val="single" w:sz="8" w:color="auto"/>
              <w:right w:val="single" w:sz="8" w:color="auto"/>
            </w:tcBorders>
          </w:tcPr>
          <w:p>
            <w:pPr>
              <w:spacing w:after="0"/>
              <w:rPr>
                <w:sz w:val="12"/>
                <w:szCs w:val="12"/>
                <w:color w:val="auto"/>
              </w:rPr>
            </w:pPr>
          </w:p>
        </w:tc>
      </w:tr>
      <w:tr>
        <w:trPr>
          <w:trHeight w:val="260"/>
        </w:trPr>
        <w:tc>
          <w:tcPr>
            <w:tcW w:w="1460" w:type="dxa"/>
            <w:vAlign w:val="bottom"/>
            <w:tcBorders>
              <w:left w:val="single" w:sz="8" w:color="auto"/>
              <w:right w:val="single" w:sz="8" w:color="auto"/>
            </w:tcBorders>
          </w:tcPr>
          <w:p>
            <w:pPr>
              <w:jc w:val="right"/>
              <w:ind w:right="680"/>
              <w:spacing w:after="0" w:line="260" w:lineRule="exact"/>
              <w:rPr>
                <w:sz w:val="20"/>
                <w:szCs w:val="20"/>
                <w:color w:val="auto"/>
              </w:rPr>
            </w:pPr>
            <w:r>
              <w:rPr>
                <w:rFonts w:ascii="Times New Roman" w:cs="Times New Roman" w:eastAsia="Times New Roman" w:hAnsi="Times New Roman"/>
                <w:sz w:val="24"/>
                <w:szCs w:val="24"/>
                <w:color w:val="auto"/>
              </w:rPr>
              <w:t>1.</w:t>
            </w:r>
          </w:p>
        </w:tc>
        <w:tc>
          <w:tcPr>
            <w:tcW w:w="53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Less than or equal to 10,000</w:t>
            </w:r>
          </w:p>
        </w:tc>
        <w:tc>
          <w:tcPr>
            <w:tcW w:w="740" w:type="dxa"/>
            <w:vAlign w:val="bottom"/>
          </w:tcPr>
          <w:p>
            <w:pPr>
              <w:spacing w:after="0"/>
              <w:rPr>
                <w:sz w:val="22"/>
                <w:szCs w:val="22"/>
                <w:color w:val="auto"/>
              </w:rPr>
            </w:pPr>
          </w:p>
        </w:tc>
        <w:tc>
          <w:tcPr>
            <w:tcW w:w="1280" w:type="dxa"/>
            <w:vAlign w:val="bottom"/>
          </w:tcPr>
          <w:p>
            <w:pPr>
              <w:jc w:val="center"/>
              <w:ind w:right="75"/>
              <w:spacing w:after="0" w:line="260" w:lineRule="exact"/>
              <w:rPr>
                <w:sz w:val="20"/>
                <w:szCs w:val="20"/>
                <w:color w:val="auto"/>
              </w:rPr>
            </w:pPr>
            <w:r>
              <w:rPr>
                <w:rFonts w:ascii="Times New Roman" w:cs="Times New Roman" w:eastAsia="Times New Roman" w:hAnsi="Times New Roman"/>
                <w:sz w:val="24"/>
                <w:szCs w:val="24"/>
                <w:color w:val="auto"/>
                <w:w w:val="99"/>
              </w:rPr>
              <w:t>1,00,000/-</w:t>
            </w:r>
          </w:p>
        </w:tc>
        <w:tc>
          <w:tcPr>
            <w:tcW w:w="600" w:type="dxa"/>
            <w:vAlign w:val="bottom"/>
            <w:tcBorders>
              <w:right w:val="single" w:sz="8" w:color="auto"/>
            </w:tcBorders>
          </w:tcPr>
          <w:p>
            <w:pPr>
              <w:spacing w:after="0"/>
              <w:rPr>
                <w:sz w:val="22"/>
                <w:szCs w:val="22"/>
                <w:color w:val="auto"/>
              </w:rPr>
            </w:pPr>
          </w:p>
        </w:tc>
      </w:tr>
      <w:tr>
        <w:trPr>
          <w:trHeight w:val="413"/>
        </w:trPr>
        <w:tc>
          <w:tcPr>
            <w:tcW w:w="1460" w:type="dxa"/>
            <w:vAlign w:val="bottom"/>
            <w:tcBorders>
              <w:left w:val="single" w:sz="8" w:color="auto"/>
              <w:right w:val="single" w:sz="8" w:color="auto"/>
            </w:tcBorders>
          </w:tcPr>
          <w:p>
            <w:pPr>
              <w:jc w:val="right"/>
              <w:ind w:right="680"/>
              <w:spacing w:after="0"/>
              <w:rPr>
                <w:sz w:val="20"/>
                <w:szCs w:val="20"/>
                <w:color w:val="auto"/>
              </w:rPr>
            </w:pPr>
            <w:r>
              <w:rPr>
                <w:rFonts w:ascii="Times New Roman" w:cs="Times New Roman" w:eastAsia="Times New Roman" w:hAnsi="Times New Roman"/>
                <w:sz w:val="24"/>
                <w:szCs w:val="24"/>
                <w:color w:val="auto"/>
              </w:rPr>
              <w:t>2.</w:t>
            </w:r>
          </w:p>
        </w:tc>
        <w:tc>
          <w:tcPr>
            <w:tcW w:w="5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More than 10,000 but less than or equal to 1,00,000</w:t>
            </w:r>
          </w:p>
        </w:tc>
        <w:tc>
          <w:tcPr>
            <w:tcW w:w="740" w:type="dxa"/>
            <w:vAlign w:val="bottom"/>
          </w:tcPr>
          <w:p>
            <w:pPr>
              <w:spacing w:after="0"/>
              <w:rPr>
                <w:sz w:val="24"/>
                <w:szCs w:val="24"/>
                <w:color w:val="auto"/>
              </w:rPr>
            </w:pPr>
          </w:p>
        </w:tc>
        <w:tc>
          <w:tcPr>
            <w:tcW w:w="1280" w:type="dxa"/>
            <w:vAlign w:val="bottom"/>
          </w:tcPr>
          <w:p>
            <w:pPr>
              <w:jc w:val="center"/>
              <w:ind w:right="75"/>
              <w:spacing w:after="0"/>
              <w:rPr>
                <w:sz w:val="20"/>
                <w:szCs w:val="20"/>
                <w:color w:val="auto"/>
              </w:rPr>
            </w:pPr>
            <w:r>
              <w:rPr>
                <w:rFonts w:ascii="Times New Roman" w:cs="Times New Roman" w:eastAsia="Times New Roman" w:hAnsi="Times New Roman"/>
                <w:sz w:val="24"/>
                <w:szCs w:val="24"/>
                <w:color w:val="auto"/>
                <w:w w:val="99"/>
              </w:rPr>
              <w:t>10,00,000/-</w:t>
            </w:r>
          </w:p>
        </w:tc>
        <w:tc>
          <w:tcPr>
            <w:tcW w:w="600" w:type="dxa"/>
            <w:vAlign w:val="bottom"/>
            <w:tcBorders>
              <w:right w:val="single" w:sz="8" w:color="auto"/>
            </w:tcBorders>
          </w:tcPr>
          <w:p>
            <w:pPr>
              <w:spacing w:after="0"/>
              <w:rPr>
                <w:sz w:val="24"/>
                <w:szCs w:val="24"/>
                <w:color w:val="auto"/>
              </w:rPr>
            </w:pPr>
          </w:p>
        </w:tc>
      </w:tr>
      <w:tr>
        <w:trPr>
          <w:trHeight w:val="415"/>
        </w:trPr>
        <w:tc>
          <w:tcPr>
            <w:tcW w:w="1460" w:type="dxa"/>
            <w:vAlign w:val="bottom"/>
            <w:tcBorders>
              <w:left w:val="single" w:sz="8" w:color="auto"/>
              <w:right w:val="single" w:sz="8" w:color="auto"/>
            </w:tcBorders>
          </w:tcPr>
          <w:p>
            <w:pPr>
              <w:jc w:val="right"/>
              <w:ind w:right="680"/>
              <w:spacing w:after="0"/>
              <w:rPr>
                <w:sz w:val="20"/>
                <w:szCs w:val="20"/>
                <w:color w:val="auto"/>
              </w:rPr>
            </w:pPr>
            <w:r>
              <w:rPr>
                <w:rFonts w:ascii="Times New Roman" w:cs="Times New Roman" w:eastAsia="Times New Roman" w:hAnsi="Times New Roman"/>
                <w:sz w:val="24"/>
                <w:szCs w:val="24"/>
                <w:color w:val="auto"/>
              </w:rPr>
              <w:t>3.</w:t>
            </w:r>
          </w:p>
        </w:tc>
        <w:tc>
          <w:tcPr>
            <w:tcW w:w="5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More than 1,00,000 but less than or equal to 5,00,000</w:t>
            </w:r>
          </w:p>
        </w:tc>
        <w:tc>
          <w:tcPr>
            <w:tcW w:w="740" w:type="dxa"/>
            <w:vAlign w:val="bottom"/>
          </w:tcPr>
          <w:p>
            <w:pPr>
              <w:spacing w:after="0"/>
              <w:rPr>
                <w:sz w:val="24"/>
                <w:szCs w:val="24"/>
                <w:color w:val="auto"/>
              </w:rPr>
            </w:pPr>
          </w:p>
        </w:tc>
        <w:tc>
          <w:tcPr>
            <w:tcW w:w="1280" w:type="dxa"/>
            <w:vAlign w:val="bottom"/>
          </w:tcPr>
          <w:p>
            <w:pPr>
              <w:jc w:val="center"/>
              <w:ind w:right="75"/>
              <w:spacing w:after="0"/>
              <w:rPr>
                <w:sz w:val="20"/>
                <w:szCs w:val="20"/>
                <w:color w:val="auto"/>
              </w:rPr>
            </w:pPr>
            <w:r>
              <w:rPr>
                <w:rFonts w:ascii="Times New Roman" w:cs="Times New Roman" w:eastAsia="Times New Roman" w:hAnsi="Times New Roman"/>
                <w:sz w:val="24"/>
                <w:szCs w:val="24"/>
                <w:color w:val="auto"/>
                <w:w w:val="99"/>
              </w:rPr>
              <w:t>50,00,000/-</w:t>
            </w:r>
          </w:p>
        </w:tc>
        <w:tc>
          <w:tcPr>
            <w:tcW w:w="600" w:type="dxa"/>
            <w:vAlign w:val="bottom"/>
            <w:tcBorders>
              <w:right w:val="single" w:sz="8" w:color="auto"/>
            </w:tcBorders>
          </w:tcPr>
          <w:p>
            <w:pPr>
              <w:spacing w:after="0"/>
              <w:rPr>
                <w:sz w:val="24"/>
                <w:szCs w:val="24"/>
                <w:color w:val="auto"/>
              </w:rPr>
            </w:pPr>
          </w:p>
        </w:tc>
      </w:tr>
      <w:tr>
        <w:trPr>
          <w:trHeight w:val="413"/>
        </w:trPr>
        <w:tc>
          <w:tcPr>
            <w:tcW w:w="1460" w:type="dxa"/>
            <w:vAlign w:val="bottom"/>
            <w:tcBorders>
              <w:left w:val="single" w:sz="8" w:color="auto"/>
              <w:right w:val="single" w:sz="8" w:color="auto"/>
            </w:tcBorders>
          </w:tcPr>
          <w:p>
            <w:pPr>
              <w:jc w:val="right"/>
              <w:ind w:right="680"/>
              <w:spacing w:after="0"/>
              <w:rPr>
                <w:sz w:val="20"/>
                <w:szCs w:val="20"/>
                <w:color w:val="auto"/>
              </w:rPr>
            </w:pPr>
            <w:r>
              <w:rPr>
                <w:rFonts w:ascii="Times New Roman" w:cs="Times New Roman" w:eastAsia="Times New Roman" w:hAnsi="Times New Roman"/>
                <w:sz w:val="24"/>
                <w:szCs w:val="24"/>
                <w:color w:val="auto"/>
              </w:rPr>
              <w:t>4.</w:t>
            </w:r>
          </w:p>
        </w:tc>
        <w:tc>
          <w:tcPr>
            <w:tcW w:w="5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More  than  5,00,000  but  less  than  or  equal  to</w:t>
            </w:r>
          </w:p>
        </w:tc>
        <w:tc>
          <w:tcPr>
            <w:tcW w:w="2020" w:type="dxa"/>
            <w:vAlign w:val="bottom"/>
            <w:gridSpan w:val="2"/>
          </w:tcPr>
          <w:p>
            <w:pPr>
              <w:jc w:val="center"/>
              <w:ind w:left="440"/>
              <w:spacing w:after="0"/>
              <w:rPr>
                <w:sz w:val="20"/>
                <w:szCs w:val="20"/>
                <w:color w:val="auto"/>
              </w:rPr>
            </w:pPr>
            <w:r>
              <w:rPr>
                <w:rFonts w:ascii="Times New Roman" w:cs="Times New Roman" w:eastAsia="Times New Roman" w:hAnsi="Times New Roman"/>
                <w:sz w:val="24"/>
                <w:szCs w:val="24"/>
                <w:color w:val="auto"/>
              </w:rPr>
              <w:t>1,00,00,000/-</w:t>
            </w:r>
          </w:p>
        </w:tc>
        <w:tc>
          <w:tcPr>
            <w:tcW w:w="600" w:type="dxa"/>
            <w:vAlign w:val="bottom"/>
            <w:tcBorders>
              <w:right w:val="single" w:sz="8" w:color="auto"/>
            </w:tcBorders>
          </w:tcPr>
          <w:p>
            <w:pPr>
              <w:spacing w:after="0"/>
              <w:rPr>
                <w:sz w:val="24"/>
                <w:szCs w:val="24"/>
                <w:color w:val="auto"/>
              </w:rPr>
            </w:pPr>
          </w:p>
        </w:tc>
      </w:tr>
      <w:tr>
        <w:trPr>
          <w:trHeight w:val="415"/>
        </w:trPr>
        <w:tc>
          <w:tcPr>
            <w:tcW w:w="1460" w:type="dxa"/>
            <w:vAlign w:val="bottom"/>
            <w:tcBorders>
              <w:left w:val="single" w:sz="8" w:color="auto"/>
              <w:right w:val="single" w:sz="8" w:color="auto"/>
            </w:tcBorders>
          </w:tcPr>
          <w:p>
            <w:pPr>
              <w:spacing w:after="0"/>
              <w:rPr>
                <w:sz w:val="24"/>
                <w:szCs w:val="24"/>
                <w:color w:val="auto"/>
              </w:rPr>
            </w:pPr>
          </w:p>
        </w:tc>
        <w:tc>
          <w:tcPr>
            <w:tcW w:w="5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10,00,000</w:t>
            </w:r>
          </w:p>
        </w:tc>
        <w:tc>
          <w:tcPr>
            <w:tcW w:w="7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r>
      <w:tr>
        <w:trPr>
          <w:trHeight w:val="413"/>
        </w:trPr>
        <w:tc>
          <w:tcPr>
            <w:tcW w:w="1460" w:type="dxa"/>
            <w:vAlign w:val="bottom"/>
            <w:tcBorders>
              <w:left w:val="single" w:sz="8" w:color="auto"/>
              <w:right w:val="single" w:sz="8" w:color="auto"/>
            </w:tcBorders>
          </w:tcPr>
          <w:p>
            <w:pPr>
              <w:jc w:val="right"/>
              <w:ind w:right="680"/>
              <w:spacing w:after="0"/>
              <w:rPr>
                <w:sz w:val="20"/>
                <w:szCs w:val="20"/>
                <w:color w:val="auto"/>
              </w:rPr>
            </w:pPr>
            <w:r>
              <w:rPr>
                <w:rFonts w:ascii="Times New Roman" w:cs="Times New Roman" w:eastAsia="Times New Roman" w:hAnsi="Times New Roman"/>
                <w:sz w:val="24"/>
                <w:szCs w:val="24"/>
                <w:color w:val="auto"/>
              </w:rPr>
              <w:t>5.</w:t>
            </w:r>
          </w:p>
        </w:tc>
        <w:tc>
          <w:tcPr>
            <w:tcW w:w="5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1</w:t>
            </w:r>
            <w:r>
              <w:rPr>
                <w:rFonts w:ascii="Times New Roman" w:cs="Times New Roman" w:eastAsia="Times New Roman" w:hAnsi="Times New Roman"/>
                <w:sz w:val="24"/>
                <w:szCs w:val="24"/>
                <w:color w:val="auto"/>
              </w:rPr>
              <w:t>[More than 10,00,000</w:t>
            </w:r>
          </w:p>
        </w:tc>
        <w:tc>
          <w:tcPr>
            <w:tcW w:w="202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1,00,00,000</w:t>
            </w:r>
          </w:p>
        </w:tc>
        <w:tc>
          <w:tcPr>
            <w:tcW w:w="6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plus</w:t>
            </w:r>
          </w:p>
        </w:tc>
      </w:tr>
      <w:tr>
        <w:trPr>
          <w:trHeight w:val="415"/>
        </w:trPr>
        <w:tc>
          <w:tcPr>
            <w:tcW w:w="1460" w:type="dxa"/>
            <w:vAlign w:val="bottom"/>
            <w:tcBorders>
              <w:left w:val="single" w:sz="8" w:color="auto"/>
              <w:right w:val="single" w:sz="8" w:color="auto"/>
            </w:tcBorders>
          </w:tcPr>
          <w:p>
            <w:pPr>
              <w:spacing w:after="0"/>
              <w:rPr>
                <w:sz w:val="24"/>
                <w:szCs w:val="24"/>
                <w:color w:val="auto"/>
              </w:rPr>
            </w:pPr>
          </w:p>
        </w:tc>
        <w:tc>
          <w:tcPr>
            <w:tcW w:w="5300" w:type="dxa"/>
            <w:vAlign w:val="bottom"/>
            <w:tcBorders>
              <w:right w:val="single" w:sz="8" w:color="auto"/>
            </w:tcBorders>
          </w:tcPr>
          <w:p>
            <w:pPr>
              <w:spacing w:after="0"/>
              <w:rPr>
                <w:sz w:val="24"/>
                <w:szCs w:val="24"/>
                <w:color w:val="auto"/>
              </w:rPr>
            </w:pPr>
          </w:p>
        </w:tc>
        <w:tc>
          <w:tcPr>
            <w:tcW w:w="262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4"/>
                <w:szCs w:val="24"/>
                <w:color w:val="auto"/>
              </w:rPr>
              <w:t>0.000012 per cent of the</w:t>
            </w:r>
          </w:p>
        </w:tc>
      </w:tr>
      <w:tr>
        <w:trPr>
          <w:trHeight w:val="413"/>
        </w:trPr>
        <w:tc>
          <w:tcPr>
            <w:tcW w:w="1460" w:type="dxa"/>
            <w:vAlign w:val="bottom"/>
            <w:tcBorders>
              <w:left w:val="single" w:sz="8" w:color="auto"/>
              <w:right w:val="single" w:sz="8" w:color="auto"/>
            </w:tcBorders>
          </w:tcPr>
          <w:p>
            <w:pPr>
              <w:spacing w:after="0"/>
              <w:rPr>
                <w:sz w:val="24"/>
                <w:szCs w:val="24"/>
                <w:color w:val="auto"/>
              </w:rPr>
            </w:pPr>
          </w:p>
        </w:tc>
        <w:tc>
          <w:tcPr>
            <w:tcW w:w="5300" w:type="dxa"/>
            <w:vAlign w:val="bottom"/>
            <w:tcBorders>
              <w:right w:val="single" w:sz="8" w:color="auto"/>
            </w:tcBorders>
          </w:tcPr>
          <w:p>
            <w:pPr>
              <w:spacing w:after="0"/>
              <w:rPr>
                <w:sz w:val="24"/>
                <w:szCs w:val="24"/>
                <w:color w:val="auto"/>
              </w:rPr>
            </w:pPr>
          </w:p>
        </w:tc>
        <w:tc>
          <w:tcPr>
            <w:tcW w:w="74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6"/>
              </w:rPr>
              <w:t>annual</w:t>
            </w:r>
          </w:p>
        </w:tc>
        <w:tc>
          <w:tcPr>
            <w:tcW w:w="1280" w:type="dxa"/>
            <w:vAlign w:val="bottom"/>
          </w:tcPr>
          <w:p>
            <w:pPr>
              <w:ind w:left="380"/>
              <w:spacing w:after="0"/>
              <w:rPr>
                <w:sz w:val="20"/>
                <w:szCs w:val="20"/>
                <w:color w:val="auto"/>
              </w:rPr>
            </w:pPr>
            <w:r>
              <w:rPr>
                <w:rFonts w:ascii="Times New Roman" w:cs="Times New Roman" w:eastAsia="Times New Roman" w:hAnsi="Times New Roman"/>
                <w:sz w:val="24"/>
                <w:szCs w:val="24"/>
                <w:color w:val="auto"/>
              </w:rPr>
              <w:t>turnover</w:t>
            </w:r>
          </w:p>
        </w:tc>
        <w:tc>
          <w:tcPr>
            <w:tcW w:w="6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in</w:t>
            </w:r>
          </w:p>
        </w:tc>
      </w:tr>
      <w:tr>
        <w:trPr>
          <w:trHeight w:val="430"/>
        </w:trPr>
        <w:tc>
          <w:tcPr>
            <w:tcW w:w="1460" w:type="dxa"/>
            <w:vAlign w:val="bottom"/>
            <w:tcBorders>
              <w:left w:val="single" w:sz="8" w:color="auto"/>
              <w:right w:val="single" w:sz="8" w:color="auto"/>
            </w:tcBorders>
          </w:tcPr>
          <w:p>
            <w:pPr>
              <w:spacing w:after="0"/>
              <w:rPr>
                <w:sz w:val="24"/>
                <w:szCs w:val="24"/>
                <w:color w:val="auto"/>
              </w:rPr>
            </w:pPr>
          </w:p>
        </w:tc>
        <w:tc>
          <w:tcPr>
            <w:tcW w:w="5300" w:type="dxa"/>
            <w:vAlign w:val="bottom"/>
            <w:tcBorders>
              <w:right w:val="single" w:sz="8" w:color="auto"/>
            </w:tcBorders>
          </w:tcPr>
          <w:p>
            <w:pPr>
              <w:spacing w:after="0"/>
              <w:rPr>
                <w:sz w:val="24"/>
                <w:szCs w:val="24"/>
                <w:color w:val="auto"/>
              </w:rPr>
            </w:pPr>
          </w:p>
        </w:tc>
        <w:tc>
          <w:tcPr>
            <w:tcW w:w="74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8"/>
              </w:rPr>
              <w:t>excess</w:t>
            </w:r>
          </w:p>
        </w:tc>
        <w:tc>
          <w:tcPr>
            <w:tcW w:w="188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w w:val="99"/>
              </w:rPr>
              <w:t>of10,00,000</w:t>
            </w:r>
          </w:p>
        </w:tc>
      </w:tr>
      <w:tr>
        <w:trPr>
          <w:trHeight w:val="425"/>
        </w:trPr>
        <w:tc>
          <w:tcPr>
            <w:tcW w:w="1460" w:type="dxa"/>
            <w:vAlign w:val="bottom"/>
            <w:tcBorders>
              <w:left w:val="single" w:sz="8" w:color="auto"/>
              <w:right w:val="single" w:sz="8" w:color="auto"/>
            </w:tcBorders>
          </w:tcPr>
          <w:p>
            <w:pPr>
              <w:spacing w:after="0"/>
              <w:rPr>
                <w:sz w:val="24"/>
                <w:szCs w:val="24"/>
                <w:color w:val="auto"/>
              </w:rPr>
            </w:pPr>
          </w:p>
        </w:tc>
        <w:tc>
          <w:tcPr>
            <w:tcW w:w="5300" w:type="dxa"/>
            <w:vAlign w:val="bottom"/>
            <w:tcBorders>
              <w:right w:val="single" w:sz="8" w:color="auto"/>
            </w:tcBorders>
          </w:tcPr>
          <w:p>
            <w:pPr>
              <w:spacing w:after="0"/>
              <w:rPr>
                <w:sz w:val="24"/>
                <w:szCs w:val="24"/>
                <w:color w:val="auto"/>
              </w:rPr>
            </w:pPr>
          </w:p>
        </w:tc>
        <w:tc>
          <w:tcPr>
            <w:tcW w:w="202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crores]</w:t>
            </w:r>
          </w:p>
        </w:tc>
        <w:tc>
          <w:tcPr>
            <w:tcW w:w="600" w:type="dxa"/>
            <w:vAlign w:val="bottom"/>
            <w:tcBorders>
              <w:right w:val="single" w:sz="8" w:color="auto"/>
            </w:tcBorders>
          </w:tcPr>
          <w:p>
            <w:pPr>
              <w:spacing w:after="0"/>
              <w:rPr>
                <w:sz w:val="24"/>
                <w:szCs w:val="24"/>
                <w:color w:val="auto"/>
              </w:rPr>
            </w:pPr>
          </w:p>
        </w:tc>
      </w:tr>
      <w:tr>
        <w:trPr>
          <w:trHeight w:val="144"/>
        </w:trPr>
        <w:tc>
          <w:tcPr>
            <w:tcW w:w="1460" w:type="dxa"/>
            <w:vAlign w:val="bottom"/>
            <w:tcBorders>
              <w:left w:val="single" w:sz="8" w:color="auto"/>
              <w:bottom w:val="single" w:sz="8" w:color="auto"/>
              <w:right w:val="single" w:sz="8" w:color="auto"/>
            </w:tcBorders>
          </w:tcPr>
          <w:p>
            <w:pPr>
              <w:spacing w:after="0"/>
              <w:rPr>
                <w:sz w:val="12"/>
                <w:szCs w:val="12"/>
                <w:color w:val="auto"/>
              </w:rPr>
            </w:pPr>
          </w:p>
        </w:tc>
        <w:tc>
          <w:tcPr>
            <w:tcW w:w="5300" w:type="dxa"/>
            <w:vAlign w:val="bottom"/>
            <w:tcBorders>
              <w:bottom w:val="single" w:sz="8" w:color="auto"/>
              <w:right w:val="single" w:sz="8" w:color="auto"/>
            </w:tcBorders>
          </w:tcPr>
          <w:p>
            <w:pPr>
              <w:spacing w:after="0"/>
              <w:rPr>
                <w:sz w:val="12"/>
                <w:szCs w:val="12"/>
                <w:color w:val="auto"/>
              </w:rPr>
            </w:pPr>
          </w:p>
        </w:tc>
        <w:tc>
          <w:tcPr>
            <w:tcW w:w="740" w:type="dxa"/>
            <w:vAlign w:val="bottom"/>
            <w:tcBorders>
              <w:bottom w:val="single" w:sz="8" w:color="auto"/>
            </w:tcBorders>
          </w:tcPr>
          <w:p>
            <w:pPr>
              <w:spacing w:after="0"/>
              <w:rPr>
                <w:sz w:val="12"/>
                <w:szCs w:val="12"/>
                <w:color w:val="auto"/>
              </w:rPr>
            </w:pPr>
          </w:p>
        </w:tc>
        <w:tc>
          <w:tcPr>
            <w:tcW w:w="1280" w:type="dxa"/>
            <w:vAlign w:val="bottom"/>
            <w:tcBorders>
              <w:bottom w:val="single" w:sz="8" w:color="auto"/>
            </w:tcBorders>
          </w:tcPr>
          <w:p>
            <w:pPr>
              <w:spacing w:after="0"/>
              <w:rPr>
                <w:sz w:val="12"/>
                <w:szCs w:val="12"/>
                <w:color w:val="auto"/>
              </w:rPr>
            </w:pPr>
          </w:p>
        </w:tc>
        <w:tc>
          <w:tcPr>
            <w:tcW w:w="60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4354195</wp:posOffset>
            </wp:positionH>
            <wp:positionV relativeFrom="paragraph">
              <wp:posOffset>-1327785</wp:posOffset>
            </wp:positionV>
            <wp:extent cx="57785" cy="1231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785" cy="123190"/>
                    </a:xfrm>
                    <a:prstGeom prst="rect">
                      <a:avLst/>
                    </a:prstGeom>
                    <a:noFill/>
                  </pic:spPr>
                </pic:pic>
              </a:graphicData>
            </a:graphic>
          </wp:anchor>
        </w:drawing>
        <w:drawing>
          <wp:anchor simplePos="0" relativeHeight="251657728" behindDoc="1" locked="0" layoutInCell="0" allowOverlap="1">
            <wp:simplePos x="0" y="0"/>
            <wp:positionH relativeFrom="column">
              <wp:posOffset>5204460</wp:posOffset>
            </wp:positionH>
            <wp:positionV relativeFrom="paragraph">
              <wp:posOffset>-528955</wp:posOffset>
            </wp:positionV>
            <wp:extent cx="57785" cy="1250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785" cy="125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spacing w:after="0" w:line="330" w:lineRule="auto"/>
        <w:rPr>
          <w:sz w:val="20"/>
          <w:szCs w:val="20"/>
          <w:color w:val="auto"/>
        </w:rPr>
      </w:pPr>
      <w:r>
        <w:rPr>
          <w:rFonts w:ascii="Times New Roman" w:cs="Times New Roman" w:eastAsia="Times New Roman" w:hAnsi="Times New Roman"/>
          <w:sz w:val="26"/>
          <w:szCs w:val="26"/>
          <w:color w:val="auto"/>
        </w:rPr>
        <w:t xml:space="preserve">Explanation: For the purposes of this sub-regulation, the expression “annual turnover” shall mean the aggregate value of the transactions </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6"/>
          <w:szCs w:val="26"/>
          <w:color w:val="auto"/>
        </w:rPr>
        <w:t>[excluding turnover on agricultural commodity derivatives] which took place on the recognised stock exchange during the relevant financial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2058035</wp:posOffset>
                </wp:positionH>
                <wp:positionV relativeFrom="paragraph">
                  <wp:posOffset>180340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05pt,14.2pt" to="306.05pt,14.2pt" o:allowincell="f" strokecolor="#000000" strokeweight="0.72pt"/>
            </w:pict>
          </mc:Fallback>
        </mc:AlternateContent>
      </w:r>
    </w:p>
    <w:p>
      <w:pPr>
        <w:spacing w:after="0" w:line="380" w:lineRule="exact"/>
        <w:rPr>
          <w:sz w:val="20"/>
          <w:szCs w:val="20"/>
          <w:color w:val="auto"/>
        </w:rPr>
      </w:pPr>
    </w:p>
    <w:p>
      <w:pPr>
        <w:spacing w:after="0"/>
        <w:rPr>
          <w:sz w:val="20"/>
          <w:szCs w:val="20"/>
          <w:color w:val="auto"/>
        </w:rPr>
      </w:pPr>
      <w:r>
        <w:rPr>
          <w:rFonts w:ascii="Calibri" w:cs="Calibri" w:eastAsia="Calibri" w:hAnsi="Calibri"/>
          <w:sz w:val="19"/>
          <w:szCs w:val="19"/>
          <w:color w:val="auto"/>
        </w:rPr>
        <w:t>1 Substituted by the Securities and Exchange Board of India (Payment of Fees)(Amendment) Regulations, 2019 w.e.f.</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01-04-2019. Prior to this, it read as:</w:t>
      </w:r>
    </w:p>
    <w:p>
      <w:pPr>
        <w:spacing w:after="0" w:line="230" w:lineRule="exact"/>
        <w:rPr>
          <w:sz w:val="20"/>
          <w:szCs w:val="20"/>
          <w:color w:val="auto"/>
        </w:rPr>
      </w:pPr>
    </w:p>
    <w:tbl>
      <w:tblPr>
        <w:tblLayout w:type="fixed"/>
        <w:tblInd w:w="10" w:type="dxa"/>
        <w:tblCellMar>
          <w:top w:w="0" w:type="dxa"/>
          <w:left w:w="0" w:type="dxa"/>
          <w:bottom w:w="0" w:type="dxa"/>
          <w:right w:w="0" w:type="dxa"/>
        </w:tblCellMar>
      </w:tblPr>
      <w:tr>
        <w:trPr>
          <w:trHeight w:val="239"/>
        </w:trPr>
        <w:tc>
          <w:tcPr>
            <w:tcW w:w="1160" w:type="dxa"/>
            <w:vAlign w:val="bottom"/>
            <w:tcBorders>
              <w:top w:val="single" w:sz="8" w:color="auto"/>
              <w:left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0"/>
                <w:szCs w:val="20"/>
                <w:b w:val="1"/>
                <w:bCs w:val="1"/>
                <w:color w:val="auto"/>
              </w:rPr>
              <w:t>Sl. No.</w:t>
            </w:r>
          </w:p>
        </w:tc>
        <w:tc>
          <w:tcPr>
            <w:tcW w:w="34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color w:val="auto"/>
                <w:w w:val="99"/>
              </w:rPr>
              <w:t>Annual Turnover (Rupees in crores)</w:t>
            </w:r>
          </w:p>
        </w:tc>
        <w:tc>
          <w:tcPr>
            <w:tcW w:w="42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color w:val="auto"/>
                <w:w w:val="99"/>
              </w:rPr>
              <w:t>Amount of fee (Rs.)</w:t>
            </w:r>
          </w:p>
        </w:tc>
      </w:tr>
      <w:tr>
        <w:trPr>
          <w:trHeight w:val="236"/>
        </w:trPr>
        <w:tc>
          <w:tcPr>
            <w:tcW w:w="1160" w:type="dxa"/>
            <w:vAlign w:val="bottom"/>
            <w:tcBorders>
              <w:left w:val="single" w:sz="8" w:color="auto"/>
              <w:bottom w:val="single" w:sz="8" w:color="auto"/>
              <w:right w:val="single" w:sz="8" w:color="auto"/>
            </w:tcBorders>
          </w:tcPr>
          <w:p>
            <w:pPr>
              <w:jc w:val="right"/>
              <w:ind w:right="380"/>
              <w:spacing w:after="0" w:line="228" w:lineRule="exact"/>
              <w:rPr>
                <w:sz w:val="20"/>
                <w:szCs w:val="20"/>
                <w:color w:val="auto"/>
              </w:rPr>
            </w:pPr>
            <w:r>
              <w:rPr>
                <w:rFonts w:ascii="Times New Roman" w:cs="Times New Roman" w:eastAsia="Times New Roman" w:hAnsi="Times New Roman"/>
                <w:sz w:val="20"/>
                <w:szCs w:val="20"/>
                <w:b w:val="1"/>
                <w:bCs w:val="1"/>
                <w:color w:val="auto"/>
              </w:rPr>
              <w:t>(1)</w:t>
            </w:r>
          </w:p>
        </w:tc>
        <w:tc>
          <w:tcPr>
            <w:tcW w:w="3400" w:type="dxa"/>
            <w:vAlign w:val="bottom"/>
            <w:tcBorders>
              <w:bottom w:val="single" w:sz="8" w:color="auto"/>
              <w:right w:val="single" w:sz="8" w:color="auto"/>
            </w:tcBorders>
          </w:tcPr>
          <w:p>
            <w:pPr>
              <w:jc w:val="center"/>
              <w:spacing w:after="0" w:line="228" w:lineRule="exact"/>
              <w:rPr>
                <w:sz w:val="20"/>
                <w:szCs w:val="20"/>
                <w:color w:val="auto"/>
              </w:rPr>
            </w:pPr>
            <w:r>
              <w:rPr>
                <w:rFonts w:ascii="Times New Roman" w:cs="Times New Roman" w:eastAsia="Times New Roman" w:hAnsi="Times New Roman"/>
                <w:sz w:val="20"/>
                <w:szCs w:val="20"/>
                <w:b w:val="1"/>
                <w:bCs w:val="1"/>
                <w:color w:val="auto"/>
              </w:rPr>
              <w:t>(2)</w:t>
            </w:r>
          </w:p>
        </w:tc>
        <w:tc>
          <w:tcPr>
            <w:tcW w:w="4220" w:type="dxa"/>
            <w:vAlign w:val="bottom"/>
            <w:tcBorders>
              <w:bottom w:val="single" w:sz="8" w:color="auto"/>
              <w:right w:val="single" w:sz="8" w:color="auto"/>
            </w:tcBorders>
          </w:tcPr>
          <w:p>
            <w:pPr>
              <w:jc w:val="center"/>
              <w:spacing w:after="0" w:line="228" w:lineRule="exact"/>
              <w:rPr>
                <w:sz w:val="20"/>
                <w:szCs w:val="20"/>
                <w:color w:val="auto"/>
              </w:rPr>
            </w:pPr>
            <w:r>
              <w:rPr>
                <w:rFonts w:ascii="Times New Roman" w:cs="Times New Roman" w:eastAsia="Times New Roman" w:hAnsi="Times New Roman"/>
                <w:sz w:val="20"/>
                <w:szCs w:val="20"/>
                <w:b w:val="1"/>
                <w:bCs w:val="1"/>
                <w:color w:val="auto"/>
                <w:w w:val="94"/>
              </w:rPr>
              <w:t>(3)</w:t>
            </w:r>
          </w:p>
        </w:tc>
      </w:tr>
      <w:tr>
        <w:trPr>
          <w:trHeight w:val="235"/>
        </w:trPr>
        <w:tc>
          <w:tcPr>
            <w:tcW w:w="1160" w:type="dxa"/>
            <w:vAlign w:val="bottom"/>
            <w:tcBorders>
              <w:left w:val="single" w:sz="8" w:color="auto"/>
              <w:right w:val="single" w:sz="8" w:color="auto"/>
            </w:tcBorders>
          </w:tcPr>
          <w:p>
            <w:pPr>
              <w:jc w:val="right"/>
              <w:ind w:right="420"/>
              <w:spacing w:after="0" w:line="219" w:lineRule="exact"/>
              <w:rPr>
                <w:sz w:val="20"/>
                <w:szCs w:val="20"/>
                <w:color w:val="auto"/>
              </w:rPr>
            </w:pPr>
            <w:r>
              <w:rPr>
                <w:rFonts w:ascii="Times New Roman" w:cs="Times New Roman" w:eastAsia="Times New Roman" w:hAnsi="Times New Roman"/>
                <w:sz w:val="20"/>
                <w:szCs w:val="20"/>
                <w:color w:val="auto"/>
              </w:rPr>
              <w:t>5.</w:t>
            </w:r>
          </w:p>
        </w:tc>
        <w:tc>
          <w:tcPr>
            <w:tcW w:w="340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More than 10,00,000</w:t>
            </w:r>
          </w:p>
        </w:tc>
        <w:tc>
          <w:tcPr>
            <w:tcW w:w="4220" w:type="dxa"/>
            <w:vAlign w:val="bottom"/>
            <w:tcBorders>
              <w:right w:val="single" w:sz="8" w:color="auto"/>
            </w:tcBorders>
          </w:tcPr>
          <w:p>
            <w:pPr>
              <w:jc w:val="center"/>
              <w:spacing w:after="0" w:line="235" w:lineRule="exact"/>
              <w:rPr>
                <w:sz w:val="20"/>
                <w:szCs w:val="20"/>
                <w:color w:val="auto"/>
              </w:rPr>
            </w:pPr>
            <w:r>
              <w:rPr>
                <w:rFonts w:ascii="Calibri" w:cs="Calibri" w:eastAsia="Calibri" w:hAnsi="Calibri"/>
                <w:sz w:val="20"/>
                <w:szCs w:val="20"/>
                <w:color w:val="auto"/>
                <w:w w:val="99"/>
              </w:rPr>
              <w:t>*[Rs1,00,00,000 plus 0.00006% of the annual</w:t>
            </w:r>
          </w:p>
        </w:tc>
      </w:tr>
      <w:tr>
        <w:trPr>
          <w:trHeight w:val="245"/>
        </w:trPr>
        <w:tc>
          <w:tcPr>
            <w:tcW w:w="1160" w:type="dxa"/>
            <w:vAlign w:val="bottom"/>
            <w:tcBorders>
              <w:left w:val="single" w:sz="8" w:color="auto"/>
              <w:right w:val="single" w:sz="8" w:color="auto"/>
            </w:tcBorders>
          </w:tcPr>
          <w:p>
            <w:pPr>
              <w:spacing w:after="0"/>
              <w:rPr>
                <w:sz w:val="21"/>
                <w:szCs w:val="21"/>
                <w:color w:val="auto"/>
              </w:rPr>
            </w:pPr>
          </w:p>
        </w:tc>
        <w:tc>
          <w:tcPr>
            <w:tcW w:w="3400" w:type="dxa"/>
            <w:vAlign w:val="bottom"/>
            <w:tcBorders>
              <w:right w:val="single" w:sz="8" w:color="auto"/>
            </w:tcBorders>
          </w:tcPr>
          <w:p>
            <w:pPr>
              <w:spacing w:after="0"/>
              <w:rPr>
                <w:sz w:val="21"/>
                <w:szCs w:val="21"/>
                <w:color w:val="auto"/>
              </w:rPr>
            </w:pPr>
          </w:p>
        </w:tc>
        <w:tc>
          <w:tcPr>
            <w:tcW w:w="42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9"/>
              </w:rPr>
              <w:t>turnover in excess of Rs. 10,00,000 crores,</w:t>
            </w:r>
          </w:p>
        </w:tc>
      </w:tr>
      <w:tr>
        <w:trPr>
          <w:trHeight w:val="248"/>
        </w:trPr>
        <w:tc>
          <w:tcPr>
            <w:tcW w:w="1160" w:type="dxa"/>
            <w:vAlign w:val="bottom"/>
            <w:tcBorders>
              <w:left w:val="single" w:sz="8" w:color="auto"/>
              <w:bottom w:val="single" w:sz="8" w:color="auto"/>
              <w:right w:val="single" w:sz="8" w:color="auto"/>
            </w:tcBorders>
          </w:tcPr>
          <w:p>
            <w:pPr>
              <w:spacing w:after="0"/>
              <w:rPr>
                <w:sz w:val="21"/>
                <w:szCs w:val="21"/>
                <w:color w:val="auto"/>
              </w:rPr>
            </w:pPr>
          </w:p>
        </w:tc>
        <w:tc>
          <w:tcPr>
            <w:tcW w:w="3400" w:type="dxa"/>
            <w:vAlign w:val="bottom"/>
            <w:tcBorders>
              <w:bottom w:val="single" w:sz="8" w:color="auto"/>
              <w:right w:val="single" w:sz="8" w:color="auto"/>
            </w:tcBorders>
          </w:tcPr>
          <w:p>
            <w:pPr>
              <w:spacing w:after="0"/>
              <w:rPr>
                <w:sz w:val="21"/>
                <w:szCs w:val="21"/>
                <w:color w:val="auto"/>
              </w:rPr>
            </w:pPr>
          </w:p>
        </w:tc>
        <w:tc>
          <w:tcPr>
            <w:tcW w:w="42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0"/>
                <w:szCs w:val="20"/>
                <w:color w:val="auto"/>
                <w:w w:val="99"/>
              </w:rPr>
              <w:t>subject to a maximum of Rs.20,00,00,000]</w:t>
            </w:r>
          </w:p>
        </w:tc>
      </w:tr>
    </w:tbl>
    <w:p>
      <w:pPr>
        <w:spacing w:after="0" w:line="40" w:lineRule="exact"/>
        <w:rPr>
          <w:sz w:val="20"/>
          <w:szCs w:val="20"/>
          <w:color w:val="auto"/>
        </w:rPr>
      </w:pPr>
    </w:p>
    <w:p>
      <w:pPr>
        <w:sectPr>
          <w:pgSz w:w="12240" w:h="15840" w:orient="portrait"/>
          <w:cols w:equalWidth="0" w:num="1">
            <w:col w:w="9360"/>
          </w:cols>
          <w:pgMar w:left="1440" w:top="1437" w:right="1440" w:bottom="882" w:gutter="0" w:footer="0" w:header="0"/>
        </w:sectPr>
      </w:pPr>
    </w:p>
    <w:p>
      <w:pPr>
        <w:jc w:val="both"/>
        <w:spacing w:after="0" w:line="224" w:lineRule="auto"/>
        <w:rPr>
          <w:sz w:val="20"/>
          <w:szCs w:val="20"/>
          <w:color w:val="auto"/>
        </w:rPr>
      </w:pPr>
      <w:r>
        <w:rPr>
          <w:rFonts w:ascii="Calibri" w:cs="Calibri" w:eastAsia="Calibri" w:hAnsi="Calibri"/>
          <w:sz w:val="20"/>
          <w:szCs w:val="20"/>
          <w:color w:val="auto"/>
        </w:rPr>
        <w:t>*Substituted for figure “2,00,00,000” by SEBI (Payment of Fees)(Amendment) Regulations, 2014, w.e.f. 23-05-2014. 2 Inserted by the Securities and Exchange Board of India (Regulatory Fee on Stock Exchanges) (Amendment) Regulations, 2018, w.r.e.f. April 01, 2018</w:t>
      </w:r>
    </w:p>
    <w:p>
      <w:pPr>
        <w:sectPr>
          <w:pgSz w:w="12240" w:h="15840" w:orient="portrait"/>
          <w:cols w:equalWidth="0" w:num="1">
            <w:col w:w="9360"/>
          </w:cols>
          <w:pgMar w:left="1440" w:top="1437" w:right="1440" w:bottom="882" w:gutter="0" w:footer="0" w:header="0"/>
          <w:type w:val="continuous"/>
        </w:sectPr>
      </w:pPr>
    </w:p>
    <w:bookmarkStart w:id="3" w:name="page4"/>
    <w:bookmarkEnd w:id="3"/>
    <w:p>
      <w:pPr>
        <w:spacing w:after="0" w:line="200" w:lineRule="exact"/>
        <w:rPr>
          <w:sz w:val="20"/>
          <w:szCs w:val="20"/>
          <w:color w:val="auto"/>
        </w:rPr>
      </w:pPr>
    </w:p>
    <w:p>
      <w:pPr>
        <w:spacing w:after="0" w:line="243" w:lineRule="exact"/>
        <w:rPr>
          <w:sz w:val="20"/>
          <w:szCs w:val="20"/>
          <w:color w:val="auto"/>
        </w:rPr>
      </w:pPr>
    </w:p>
    <w:p>
      <w:pPr>
        <w:spacing w:after="0" w:line="283" w:lineRule="auto"/>
        <w:rPr>
          <w:sz w:val="20"/>
          <w:szCs w:val="20"/>
          <w:color w:val="auto"/>
        </w:rPr>
      </w:pPr>
      <w:r>
        <w:rPr>
          <w:rFonts w:ascii="Times New Roman" w:cs="Times New Roman" w:eastAsia="Times New Roman" w:hAnsi="Times New Roman"/>
          <w:sz w:val="34"/>
          <w:szCs w:val="34"/>
          <w:color w:val="auto"/>
          <w:vertAlign w:val="superscript"/>
        </w:rPr>
        <w:t>3</w:t>
      </w:r>
      <w:r>
        <w:rPr>
          <w:rFonts w:ascii="Times New Roman" w:cs="Times New Roman" w:eastAsia="Times New Roman" w:hAnsi="Times New Roman"/>
          <w:sz w:val="26"/>
          <w:szCs w:val="26"/>
          <w:color w:val="auto"/>
        </w:rPr>
        <w:t>[Provided that the recognized stock exchanges shall pay a flat regulatory fee of one lac rupees on aggregate value of the transactions on agricultural commodity derivatives.]</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34"/>
          <w:szCs w:val="34"/>
          <w:color w:val="auto"/>
          <w:vertAlign w:val="superscript"/>
        </w:rPr>
        <w:t>4</w:t>
      </w:r>
      <w:r>
        <w:rPr>
          <w:rFonts w:ascii="Times New Roman" w:cs="Times New Roman" w:eastAsia="Times New Roman" w:hAnsi="Times New Roman"/>
          <w:sz w:val="26"/>
          <w:szCs w:val="26"/>
          <w:color w:val="auto"/>
        </w:rPr>
        <w:t>[***]</w:t>
      </w:r>
    </w:p>
    <w:p>
      <w:pPr>
        <w:spacing w:after="0" w:line="200" w:lineRule="exact"/>
        <w:rPr>
          <w:sz w:val="20"/>
          <w:szCs w:val="20"/>
          <w:color w:val="auto"/>
        </w:rPr>
      </w:pPr>
    </w:p>
    <w:p>
      <w:pPr>
        <w:spacing w:after="0" w:line="270" w:lineRule="exact"/>
        <w:rPr>
          <w:sz w:val="20"/>
          <w:szCs w:val="20"/>
          <w:color w:val="auto"/>
        </w:rPr>
      </w:pPr>
    </w:p>
    <w:p>
      <w:pPr>
        <w:jc w:val="both"/>
        <w:spacing w:after="0" w:line="354" w:lineRule="auto"/>
        <w:tabs>
          <w:tab w:leader="none" w:pos="369" w:val="left"/>
        </w:tabs>
        <w:numPr>
          <w:ilvl w:val="0"/>
          <w:numId w:val="9"/>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 recognised stock exchange shall also pay to the Board, within fifteen days of end of each quarter of a financial year, an amount equal to ten per cent of the aggregate of listing fees collected by it from issuers whose securities are listed on it, during that quarter:</w:t>
      </w:r>
    </w:p>
    <w:p>
      <w:pPr>
        <w:spacing w:after="0" w:line="24" w:lineRule="exact"/>
        <w:rPr>
          <w:rFonts w:ascii="Times New Roman" w:cs="Times New Roman" w:eastAsia="Times New Roman" w:hAnsi="Times New Roman"/>
          <w:sz w:val="26"/>
          <w:szCs w:val="26"/>
          <w:color w:val="auto"/>
        </w:rPr>
      </w:pPr>
    </w:p>
    <w:p>
      <w:pPr>
        <w:jc w:val="both"/>
        <w:spacing w:after="0" w:line="354"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Provided that the fees due under sub-regulation (2) in respect of the last quarter of a financial year may be paid within thirty days of conclusion of the quarter, together with the fees due under sub-regulation (1).</w:t>
      </w:r>
    </w:p>
    <w:p>
      <w:pPr>
        <w:spacing w:after="0" w:line="200" w:lineRule="exact"/>
        <w:rPr>
          <w:sz w:val="20"/>
          <w:szCs w:val="20"/>
          <w:color w:val="auto"/>
        </w:rPr>
      </w:pPr>
    </w:p>
    <w:p>
      <w:pPr>
        <w:spacing w:after="0" w:line="270"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6"/>
          <w:szCs w:val="26"/>
          <w:color w:val="auto"/>
        </w:rPr>
        <w:t>Explanation: For the purposes of this sub-regulation, the expression “listing fees” shall mean all fees collected by a recognised stock exchange from any company or other entity whose securities are listed thereon, towards listing of such securities.</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Manner of payment of fee</w:t>
      </w:r>
    </w:p>
    <w:p>
      <w:pPr>
        <w:spacing w:after="0" w:line="146" w:lineRule="exact"/>
        <w:rPr>
          <w:sz w:val="20"/>
          <w:szCs w:val="20"/>
          <w:color w:val="auto"/>
        </w:rPr>
      </w:pPr>
    </w:p>
    <w:p>
      <w:pPr>
        <w:jc w:val="both"/>
        <w:spacing w:after="0" w:line="310" w:lineRule="auto"/>
        <w:rPr>
          <w:sz w:val="20"/>
          <w:szCs w:val="20"/>
          <w:color w:val="auto"/>
        </w:rPr>
      </w:pPr>
      <w:r>
        <w:rPr>
          <w:rFonts w:ascii="Times New Roman" w:cs="Times New Roman" w:eastAsia="Times New Roman" w:hAnsi="Times New Roman"/>
          <w:sz w:val="26"/>
          <w:szCs w:val="26"/>
          <w:b w:val="1"/>
          <w:bCs w:val="1"/>
          <w:color w:val="auto"/>
        </w:rPr>
        <w:t xml:space="preserve">5. </w:t>
      </w:r>
      <w:r>
        <w:rPr>
          <w:rFonts w:ascii="Times New Roman" w:cs="Times New Roman" w:eastAsia="Times New Roman" w:hAnsi="Times New Roman"/>
          <w:sz w:val="34"/>
          <w:szCs w:val="34"/>
          <w:color w:val="auto"/>
          <w:vertAlign w:val="superscript"/>
        </w:rPr>
        <w:t>5</w:t>
      </w:r>
      <w:r>
        <w:rPr>
          <w:rFonts w:ascii="Times New Roman" w:cs="Times New Roman" w:eastAsia="Times New Roman" w:hAnsi="Times New Roman"/>
          <w:sz w:val="26"/>
          <w:szCs w:val="26"/>
          <w:color w:val="auto"/>
        </w:rPr>
        <w:t>[(1) The fee mentioned in regulation 4 shall be paid by a recognised stock exchange by</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way of direct credit in the bank account through NEFT/RTGS/IMPS or any other mode allowed by RBI or by means of a demand draft drawn in favour of “Securities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2058035</wp:posOffset>
                </wp:positionH>
                <wp:positionV relativeFrom="paragraph">
                  <wp:posOffset>229235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05pt,18.05pt" to="306.05pt,18.05pt" o:allowincell="f" strokecolor="#000000" strokeweight="0.72pt"/>
            </w:pict>
          </mc:Fallback>
        </mc:AlternateContent>
      </w:r>
    </w:p>
    <w:p>
      <w:pPr>
        <w:spacing w:after="0" w:line="200" w:lineRule="exact"/>
        <w:rPr>
          <w:sz w:val="20"/>
          <w:szCs w:val="20"/>
          <w:color w:val="auto"/>
        </w:rPr>
      </w:pPr>
    </w:p>
    <w:p>
      <w:pPr>
        <w:spacing w:after="0" w:line="292" w:lineRule="exact"/>
        <w:rPr>
          <w:sz w:val="20"/>
          <w:szCs w:val="20"/>
          <w:color w:val="auto"/>
        </w:rPr>
      </w:pPr>
    </w:p>
    <w:p>
      <w:pPr>
        <w:jc w:val="both"/>
        <w:spacing w:after="0" w:line="216" w:lineRule="auto"/>
        <w:rPr>
          <w:sz w:val="20"/>
          <w:szCs w:val="20"/>
          <w:color w:val="auto"/>
        </w:rPr>
      </w:pPr>
      <w:r>
        <w:rPr>
          <w:rFonts w:ascii="Calibri" w:cs="Calibri" w:eastAsia="Calibri" w:hAnsi="Calibri"/>
          <w:sz w:val="20"/>
          <w:szCs w:val="20"/>
          <w:color w:val="auto"/>
        </w:rPr>
        <w:t>3 Inserted by the Securities and Exchange Board of India (Regulatory Fee on Stock Exchanges) (Amendment) Regulations, 2018, w.e.f. April 01, 2018</w:t>
      </w:r>
    </w:p>
    <w:p>
      <w:pPr>
        <w:spacing w:after="0" w:line="48" w:lineRule="exact"/>
        <w:rPr>
          <w:sz w:val="20"/>
          <w:szCs w:val="20"/>
          <w:color w:val="auto"/>
        </w:rPr>
      </w:pPr>
    </w:p>
    <w:p>
      <w:pPr>
        <w:spacing w:after="0" w:line="217" w:lineRule="auto"/>
        <w:tabs>
          <w:tab w:leader="none" w:pos="259" w:val="left"/>
        </w:tabs>
        <w:numPr>
          <w:ilvl w:val="0"/>
          <w:numId w:val="10"/>
        </w:numPr>
        <w:rPr>
          <w:rFonts w:ascii="Calibri" w:cs="Calibri" w:eastAsia="Calibri" w:hAnsi="Calibri"/>
          <w:sz w:val="20"/>
          <w:szCs w:val="20"/>
          <w:color w:val="auto"/>
        </w:rPr>
      </w:pPr>
      <w:r>
        <w:rPr>
          <w:rFonts w:ascii="Calibri" w:cs="Calibri" w:eastAsia="Calibri" w:hAnsi="Calibri"/>
          <w:sz w:val="20"/>
          <w:szCs w:val="20"/>
          <w:color w:val="auto"/>
        </w:rPr>
        <w:t>Omitted by the Securities and Exchange Board of India (Regulatory Fee on Stock Exchanges) (Amendment) Regulations, 2018, w.e.f. October 01, 2018. Prior to the omission, the proviso read as follows:</w:t>
      </w:r>
    </w:p>
    <w:p>
      <w:pPr>
        <w:spacing w:after="0" w:line="45" w:lineRule="exact"/>
        <w:rPr>
          <w:rFonts w:ascii="Calibri" w:cs="Calibri" w:eastAsia="Calibri" w:hAnsi="Calibri"/>
          <w:sz w:val="20"/>
          <w:szCs w:val="20"/>
          <w:color w:val="auto"/>
        </w:rPr>
      </w:pPr>
    </w:p>
    <w:p>
      <w:pPr>
        <w:jc w:val="both"/>
        <w:spacing w:after="0" w:line="229" w:lineRule="auto"/>
        <w:rPr>
          <w:rFonts w:ascii="Calibri" w:cs="Calibri" w:eastAsia="Calibri" w:hAnsi="Calibri"/>
          <w:sz w:val="20"/>
          <w:szCs w:val="20"/>
          <w:color w:val="auto"/>
        </w:rPr>
      </w:pPr>
      <w:r>
        <w:rPr>
          <w:rFonts w:ascii="Calibri" w:cs="Calibri" w:eastAsia="Calibri" w:hAnsi="Calibri"/>
          <w:sz w:val="20"/>
          <w:szCs w:val="20"/>
          <w:color w:val="auto"/>
        </w:rPr>
        <w:t>"Provided that for a period of two years from the date of commencement of Securities and Exchange Board of India (Regulatory Fee on Stock Exchanges) (Amendment) Regulations, 2015, a regional commodity derivatives exchange shall pay to the Board, an annual regulatory fee of fifty thousand rupees, within thirty days of conclusion of the relevant financial year."</w:t>
      </w:r>
    </w:p>
    <w:p>
      <w:pPr>
        <w:spacing w:after="0" w:line="45" w:lineRule="exact"/>
        <w:rPr>
          <w:rFonts w:ascii="Calibri" w:cs="Calibri" w:eastAsia="Calibri" w:hAnsi="Calibri"/>
          <w:sz w:val="20"/>
          <w:szCs w:val="20"/>
          <w:color w:val="auto"/>
        </w:rPr>
      </w:pPr>
    </w:p>
    <w:p>
      <w:pPr>
        <w:spacing w:after="0" w:line="217" w:lineRule="auto"/>
        <w:tabs>
          <w:tab w:leader="none" w:pos="139" w:val="left"/>
        </w:tabs>
        <w:numPr>
          <w:ilvl w:val="0"/>
          <w:numId w:val="10"/>
        </w:numPr>
        <w:rPr>
          <w:rFonts w:ascii="Calibri" w:cs="Calibri" w:eastAsia="Calibri" w:hAnsi="Calibri"/>
          <w:sz w:val="20"/>
          <w:szCs w:val="20"/>
          <w:color w:val="auto"/>
        </w:rPr>
      </w:pPr>
      <w:r>
        <w:rPr>
          <w:rFonts w:ascii="Calibri" w:cs="Calibri" w:eastAsia="Calibri" w:hAnsi="Calibri"/>
          <w:sz w:val="20"/>
          <w:szCs w:val="20"/>
          <w:color w:val="auto"/>
        </w:rPr>
        <w:t>Substituted by the SEBI (Payment of Fees and Mode of Payment) (Amendment) Regulations, 2017, w.e.f. 6-3-2017. Prior to the same, sub-regulation (1) read as follows:</w:t>
      </w:r>
    </w:p>
    <w:p>
      <w:pPr>
        <w:spacing w:after="0" w:line="48" w:lineRule="exact"/>
        <w:rPr>
          <w:rFonts w:ascii="Calibri" w:cs="Calibri" w:eastAsia="Calibri" w:hAnsi="Calibri"/>
          <w:sz w:val="20"/>
          <w:szCs w:val="20"/>
          <w:color w:val="auto"/>
        </w:rPr>
      </w:pPr>
    </w:p>
    <w:p>
      <w:pPr>
        <w:jc w:val="both"/>
        <w:spacing w:after="0" w:line="224" w:lineRule="auto"/>
        <w:rPr>
          <w:rFonts w:ascii="Calibri" w:cs="Calibri" w:eastAsia="Calibri" w:hAnsi="Calibri"/>
          <w:sz w:val="20"/>
          <w:szCs w:val="20"/>
          <w:color w:val="auto"/>
        </w:rPr>
      </w:pPr>
      <w:r>
        <w:rPr>
          <w:rFonts w:ascii="Calibri" w:cs="Calibri" w:eastAsia="Calibri" w:hAnsi="Calibri"/>
          <w:sz w:val="20"/>
          <w:szCs w:val="20"/>
          <w:color w:val="auto"/>
        </w:rPr>
        <w:t>“(1) The fee mentioned in regulation 4 shall be paid by a recognised stock exchange by means of a demand draft drawn in favour of the “Securities and Exchange Board of India”, payable at Mumbai and shall be accompanied by a statement of computation of the fees.”</w:t>
      </w:r>
    </w:p>
    <w:p>
      <w:pPr>
        <w:sectPr>
          <w:pgSz w:w="12240" w:h="15840" w:orient="portrait"/>
          <w:cols w:equalWidth="0" w:num="1">
            <w:col w:w="9360"/>
          </w:cols>
          <w:pgMar w:left="1440" w:top="1440" w:right="1440" w:bottom="882" w:gutter="0" w:footer="0" w:header="0"/>
        </w:sectPr>
      </w:pPr>
    </w:p>
    <w:bookmarkStart w:id="4" w:name="page5"/>
    <w:bookmarkEnd w:id="4"/>
    <w:p>
      <w:pPr>
        <w:spacing w:after="0" w:line="6"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6"/>
          <w:szCs w:val="26"/>
          <w:color w:val="auto"/>
        </w:rPr>
        <w:t>Exchange Board of India”, payable at Mumbai and the intimation of remittance or the demand draft, as applicable, shall be forwarded along with the statement of computation of the fee.]</w:t>
      </w:r>
    </w:p>
    <w:p>
      <w:pPr>
        <w:spacing w:after="0" w:line="200" w:lineRule="exact"/>
        <w:rPr>
          <w:sz w:val="20"/>
          <w:szCs w:val="20"/>
          <w:color w:val="auto"/>
        </w:rPr>
      </w:pPr>
    </w:p>
    <w:p>
      <w:pPr>
        <w:spacing w:after="0" w:line="270" w:lineRule="exact"/>
        <w:rPr>
          <w:sz w:val="20"/>
          <w:szCs w:val="20"/>
          <w:color w:val="auto"/>
        </w:rPr>
      </w:pPr>
    </w:p>
    <w:p>
      <w:pPr>
        <w:spacing w:after="0" w:line="348" w:lineRule="auto"/>
        <w:tabs>
          <w:tab w:leader="none" w:pos="362" w:val="left"/>
        </w:tabs>
        <w:numPr>
          <w:ilvl w:val="0"/>
          <w:numId w:val="1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statement of computation of fees mentioned in sub-regulation (1) shall be certified to be correct by a chartered accountant.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III</w:t>
      </w:r>
    </w:p>
    <w:p>
      <w:pPr>
        <w:spacing w:after="0" w:line="1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MISCELLANEOUS</w:t>
      </w: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Other duties of recognised stock exchanges</w:t>
      </w:r>
    </w:p>
    <w:p>
      <w:pPr>
        <w:spacing w:after="0" w:line="158" w:lineRule="exact"/>
        <w:rPr>
          <w:sz w:val="20"/>
          <w:szCs w:val="20"/>
          <w:color w:val="auto"/>
        </w:rPr>
      </w:pPr>
    </w:p>
    <w:p>
      <w:pPr>
        <w:jc w:val="both"/>
        <w:spacing w:after="0" w:line="356" w:lineRule="auto"/>
        <w:tabs>
          <w:tab w:leader="none" w:pos="298" w:val="left"/>
        </w:tabs>
        <w:numPr>
          <w:ilvl w:val="0"/>
          <w:numId w:val="12"/>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Every recognised stock exchange shall maintain such registers and furnish such returns or information to the Board in respect of its annual turnover, the listing fees collected by it and the fee paid or payable under these regulations, as may be specified by the Board.</w:t>
      </w:r>
    </w:p>
    <w:p>
      <w:pPr>
        <w:spacing w:after="0" w:line="200" w:lineRule="exact"/>
        <w:rPr>
          <w:sz w:val="20"/>
          <w:szCs w:val="20"/>
          <w:color w:val="auto"/>
        </w:rPr>
      </w:pPr>
    </w:p>
    <w:p>
      <w:pPr>
        <w:spacing w:after="0" w:line="268" w:lineRule="exact"/>
        <w:rPr>
          <w:sz w:val="20"/>
          <w:szCs w:val="20"/>
          <w:color w:val="auto"/>
        </w:rPr>
      </w:pPr>
    </w:p>
    <w:p>
      <w:pPr>
        <w:jc w:val="both"/>
        <w:spacing w:after="0" w:line="354" w:lineRule="auto"/>
        <w:tabs>
          <w:tab w:leader="none" w:pos="355"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Without prejudice to sub-regulation (1), a recognised stock exchange shall also be liable to furnish such information or explanations to the Board as may be required by it in respect of its regulated functions and the fee paid or payable under these regulations.</w:t>
      </w:r>
    </w:p>
    <w:p>
      <w:pPr>
        <w:spacing w:after="0" w:line="200" w:lineRule="exact"/>
        <w:rPr>
          <w:rFonts w:ascii="Times New Roman" w:cs="Times New Roman" w:eastAsia="Times New Roman" w:hAnsi="Times New Roman"/>
          <w:sz w:val="26"/>
          <w:szCs w:val="26"/>
          <w:color w:val="auto"/>
        </w:rPr>
      </w:pPr>
    </w:p>
    <w:p>
      <w:pPr>
        <w:spacing w:after="0" w:line="272" w:lineRule="exact"/>
        <w:rPr>
          <w:rFonts w:ascii="Times New Roman" w:cs="Times New Roman" w:eastAsia="Times New Roman" w:hAnsi="Times New Roman"/>
          <w:sz w:val="26"/>
          <w:szCs w:val="26"/>
          <w:color w:val="auto"/>
        </w:rPr>
      </w:pPr>
    </w:p>
    <w:p>
      <w:pPr>
        <w:jc w:val="both"/>
        <w:spacing w:after="0" w:line="356" w:lineRule="auto"/>
        <w:tabs>
          <w:tab w:leader="none" w:pos="365"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Where due to the default of the recognised stock exchange, any fee which was liable to be paid under regulation 4 remains unpaid or is paid belatedly or is short-paid, it shall, without prejudice to any other action that may be taken under the Act, rules or regulations, pay an interest of fifteen per cent per annum on the amount remaining unpaid or belatedly paid or short-paid, for every month of delay or part thereof to the Board.</w:t>
      </w:r>
    </w:p>
    <w:p>
      <w:pPr>
        <w:sectPr>
          <w:pgSz w:w="12240" w:h="15840" w:orient="portrait"/>
          <w:cols w:equalWidth="0" w:num="1">
            <w:col w:w="9360"/>
          </w:cols>
          <w:pgMar w:left="1440" w:top="1440" w:right="1440" w:bottom="1440" w:gutter="0" w:footer="0" w:header="0"/>
        </w:sectPr>
      </w:pPr>
    </w:p>
    <w:bookmarkStart w:id="5" w:name="page6"/>
    <w:bookmarkEnd w:id="5"/>
    <w:p>
      <w:pPr>
        <w:jc w:val="right"/>
        <w:spacing w:after="0"/>
        <w:rPr>
          <w:sz w:val="20"/>
          <w:szCs w:val="20"/>
          <w:color w:val="auto"/>
        </w:rPr>
      </w:pPr>
      <w:r>
        <w:rPr>
          <w:rFonts w:ascii="Times New Roman" w:cs="Times New Roman" w:eastAsia="Times New Roman" w:hAnsi="Times New Roman"/>
          <w:sz w:val="26"/>
          <w:szCs w:val="26"/>
          <w:b w:val="1"/>
          <w:bCs w:val="1"/>
          <w:color w:val="auto"/>
        </w:rPr>
        <w:t>M. DAMODARAN</w:t>
      </w:r>
    </w:p>
    <w:p>
      <w:pPr>
        <w:spacing w:after="0" w:line="15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6"/>
          <w:szCs w:val="26"/>
          <w:b w:val="1"/>
          <w:bCs w:val="1"/>
          <w:color w:val="auto"/>
        </w:rPr>
        <w:t>CHAIRMAN</w:t>
      </w:r>
    </w:p>
    <w:p>
      <w:pPr>
        <w:spacing w:after="0" w:line="15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spacing w:after="0"/>
        <w:rPr>
          <w:sz w:val="20"/>
          <w:szCs w:val="20"/>
          <w:color w:val="auto"/>
        </w:rPr>
      </w:pPr>
      <w:r>
        <w:rPr>
          <w:rFonts w:ascii="Calibri" w:cs="Calibri" w:eastAsia="Calibri" w:hAnsi="Calibri"/>
          <w:sz w:val="21"/>
          <w:szCs w:val="21"/>
          <w:color w:val="auto"/>
        </w:rPr>
        <w:t>*************************</w:t>
      </w:r>
    </w:p>
    <w:sectPr>
      <w:pgSz w:w="12240" w:h="15840" w:orient="portrait"/>
      <w:cols w:equalWidth="0" w:num="1">
        <w:col w:w="9360"/>
      </w:cols>
      <w:pgMar w:left="1440" w:top="143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decimal"/>
      <w:start w:val="1"/>
    </w:lvl>
  </w:abstractNum>
  <w:abstractNum w:abstractNumId="1">
    <w:nsid w:val="79E2A9E3"/>
    <w:multiLevelType w:val="hybridMultilevel"/>
    <w:lvl w:ilvl="0">
      <w:lvlJc w:val="left"/>
      <w:lvlText w:val="%1."/>
      <w:numFmt w:val="decimal"/>
      <w:start w:val="2"/>
    </w:lvl>
  </w:abstractNum>
  <w:abstractNum w:abstractNumId="2">
    <w:nsid w:val="7545E146"/>
    <w:multiLevelType w:val="hybridMultilevel"/>
    <w:lvl w:ilvl="0">
      <w:lvlJc w:val="left"/>
      <w:lvlText w:val="(%1)"/>
      <w:numFmt w:val="lowerLetter"/>
      <w:start w:val="1"/>
    </w:lvl>
  </w:abstractNum>
  <w:abstractNum w:abstractNumId="3">
    <w:nsid w:val="515F007C"/>
    <w:multiLevelType w:val="hybridMultilevel"/>
    <w:lvl w:ilvl="0">
      <w:lvlJc w:val="left"/>
      <w:lvlText w:val="(%1)"/>
      <w:numFmt w:val="lowerLetter"/>
      <w:start w:val="3"/>
    </w:lvl>
  </w:abstractNum>
  <w:abstractNum w:abstractNumId="4">
    <w:nsid w:val="5BD062C2"/>
    <w:multiLevelType w:val="hybridMultilevel"/>
    <w:lvl w:ilvl="0">
      <w:lvlJc w:val="left"/>
      <w:lvlText w:val="(%1)"/>
      <w:numFmt w:val="lowerLetter"/>
      <w:start w:val="5"/>
    </w:lvl>
  </w:abstractNum>
  <w:abstractNum w:abstractNumId="5">
    <w:nsid w:val="12200854"/>
    <w:multiLevelType w:val="hybridMultilevel"/>
    <w:lvl w:ilvl="0">
      <w:lvlJc w:val="left"/>
      <w:lvlText w:val="(%1)"/>
      <w:numFmt w:val="decimal"/>
      <w:start w:val="2"/>
    </w:lvl>
  </w:abstractNum>
  <w:abstractNum w:abstractNumId="6">
    <w:nsid w:val="4DB127F8"/>
    <w:multiLevelType w:val="hybridMultilevel"/>
    <w:lvl w:ilvl="0">
      <w:lvlJc w:val="left"/>
      <w:lvlText w:val="%1."/>
      <w:numFmt w:val="decimal"/>
      <w:start w:val="3"/>
    </w:lvl>
  </w:abstractNum>
  <w:abstractNum w:abstractNumId="7">
    <w:nsid w:val="216231B"/>
    <w:multiLevelType w:val="hybridMultilevel"/>
    <w:lvl w:ilvl="0">
      <w:lvlJc w:val="left"/>
      <w:lvlText w:val="%1."/>
      <w:numFmt w:val="decimal"/>
      <w:start w:val="4"/>
    </w:lvl>
  </w:abstractNum>
  <w:abstractNum w:abstractNumId="8">
    <w:nsid w:val="1F16E9E8"/>
    <w:multiLevelType w:val="hybridMultilevel"/>
    <w:lvl w:ilvl="0">
      <w:lvlJc w:val="left"/>
      <w:lvlText w:val="(%1)"/>
      <w:numFmt w:val="decimal"/>
      <w:start w:val="2"/>
    </w:lvl>
  </w:abstractNum>
  <w:abstractNum w:abstractNumId="9">
    <w:nsid w:val="1190CDE7"/>
    <w:multiLevelType w:val="hybridMultilevel"/>
    <w:lvl w:ilvl="0">
      <w:lvlJc w:val="left"/>
      <w:lvlText w:val="%1"/>
      <w:numFmt w:val="decimal"/>
      <w:start w:val="4"/>
    </w:lvl>
  </w:abstractNum>
  <w:abstractNum w:abstractNumId="10">
    <w:nsid w:val="66EF438D"/>
    <w:multiLevelType w:val="hybridMultilevel"/>
    <w:lvl w:ilvl="0">
      <w:lvlJc w:val="left"/>
      <w:lvlText w:val="(%1)"/>
      <w:numFmt w:val="decimal"/>
      <w:start w:val="2"/>
    </w:lvl>
  </w:abstractNum>
  <w:abstractNum w:abstractNumId="11">
    <w:nsid w:val="140E0F76"/>
    <w:multiLevelType w:val="hybridMultilevel"/>
    <w:lvl w:ilvl="0">
      <w:lvlJc w:val="left"/>
      <w:lvlText w:val="%1."/>
      <w:numFmt w:val="decimal"/>
      <w:start w:val="6"/>
    </w:lvl>
  </w:abstractNum>
  <w:abstractNum w:abstractNumId="12">
    <w:nsid w:val="3352255A"/>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2021-01-04T13:05:31Z</dcterms:created>
  <dcterms:modified xsi:type="dcterms:W3CDTF">2021-01-04T13:05:31Z</dcterms:modified>
</cp:coreProperties>
</file>