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48"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THE GAZETTE OF INDIA</w:t>
      </w:r>
    </w:p>
    <w:p>
      <w:pPr>
        <w:spacing w:after="0" w:line="282"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EXTRAORDINARY</w:t>
      </w:r>
    </w:p>
    <w:p>
      <w:pPr>
        <w:spacing w:after="0" w:line="278"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PART –III – SECTION IV</w:t>
      </w:r>
    </w:p>
    <w:p>
      <w:pPr>
        <w:spacing w:after="0" w:line="282"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PUBLISHED BY AUTHORITY</w:t>
      </w:r>
    </w:p>
    <w:p>
      <w:pPr>
        <w:spacing w:after="0" w:line="282"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SECURITIES AND EXCHANGE BOARD OF INDIA</w:t>
      </w:r>
    </w:p>
    <w:p>
      <w:pPr>
        <w:spacing w:after="0" w:line="277"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NOTIFICATION</w:t>
      </w:r>
    </w:p>
    <w:p>
      <w:pPr>
        <w:spacing w:after="0" w:line="282" w:lineRule="exact"/>
        <w:rPr>
          <w:sz w:val="24"/>
          <w:szCs w:val="24"/>
          <w:color w:val="auto"/>
        </w:rPr>
      </w:pPr>
    </w:p>
    <w:p>
      <w:pPr>
        <w:ind w:left="2800"/>
        <w:spacing w:after="0"/>
        <w:rPr>
          <w:sz w:val="20"/>
          <w:szCs w:val="20"/>
          <w:color w:val="auto"/>
        </w:rPr>
      </w:pPr>
      <w:r>
        <w:rPr>
          <w:rFonts w:ascii="Arial" w:cs="Arial" w:eastAsia="Arial" w:hAnsi="Arial"/>
          <w:sz w:val="21"/>
          <w:szCs w:val="21"/>
          <w:b w:val="1"/>
          <w:bCs w:val="1"/>
          <w:color w:val="auto"/>
        </w:rPr>
        <w:t>Mumbai, the 20th day of November, 2003</w:t>
      </w:r>
    </w:p>
    <w:p>
      <w:pPr>
        <w:spacing w:after="0" w:line="282"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Securities and Exchange Board of India</w:t>
      </w:r>
    </w:p>
    <w:p>
      <w:pPr>
        <w:spacing w:after="0" w:line="278" w:lineRule="exact"/>
        <w:rPr>
          <w:sz w:val="24"/>
          <w:szCs w:val="24"/>
          <w:color w:val="auto"/>
        </w:rPr>
      </w:pPr>
    </w:p>
    <w:p>
      <w:pPr>
        <w:ind w:left="1840"/>
        <w:spacing w:after="0"/>
        <w:rPr>
          <w:sz w:val="20"/>
          <w:szCs w:val="20"/>
          <w:color w:val="auto"/>
        </w:rPr>
      </w:pPr>
      <w:r>
        <w:rPr>
          <w:rFonts w:ascii="Arial" w:cs="Arial" w:eastAsia="Arial" w:hAnsi="Arial"/>
          <w:sz w:val="21"/>
          <w:szCs w:val="21"/>
          <w:b w:val="1"/>
          <w:bCs w:val="1"/>
          <w:color w:val="auto"/>
        </w:rPr>
        <w:t>(Central Database of Market Participants) Regulations, 2003</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ind w:left="340" w:right="240"/>
        <w:spacing w:after="0" w:line="249" w:lineRule="auto"/>
        <w:rPr>
          <w:sz w:val="20"/>
          <w:szCs w:val="20"/>
          <w:color w:val="auto"/>
        </w:rPr>
      </w:pPr>
      <w:r>
        <w:rPr>
          <w:rFonts w:ascii="Arial" w:cs="Arial" w:eastAsia="Arial" w:hAnsi="Arial"/>
          <w:sz w:val="21"/>
          <w:szCs w:val="21"/>
          <w:b w:val="1"/>
          <w:bCs w:val="1"/>
          <w:color w:val="auto"/>
        </w:rPr>
        <w:t xml:space="preserve">F. No. SEBI/LE/26/2003 - </w:t>
      </w:r>
      <w:r>
        <w:rPr>
          <w:rFonts w:ascii="Arial" w:cs="Arial" w:eastAsia="Arial" w:hAnsi="Arial"/>
          <w:sz w:val="21"/>
          <w:szCs w:val="21"/>
          <w:color w:val="auto"/>
        </w:rPr>
        <w:t>In exercise of the powers conferred by section 30 read with sections</w:t>
      </w:r>
      <w:r>
        <w:rPr>
          <w:rFonts w:ascii="Arial" w:cs="Arial" w:eastAsia="Arial" w:hAnsi="Arial"/>
          <w:sz w:val="21"/>
          <w:szCs w:val="21"/>
          <w:b w:val="1"/>
          <w:bCs w:val="1"/>
          <w:color w:val="auto"/>
        </w:rPr>
        <w:t xml:space="preserve"> </w:t>
      </w:r>
      <w:r>
        <w:rPr>
          <w:rFonts w:ascii="Arial" w:cs="Arial" w:eastAsia="Arial" w:hAnsi="Arial"/>
          <w:sz w:val="21"/>
          <w:szCs w:val="21"/>
          <w:color w:val="auto"/>
        </w:rPr>
        <w:t>11, 11A, 12 and 19 of the Securities and Exchange Board of India Act, 1992 (15 of 1992), the Board hereby makes the following Regulations, namely :—</w:t>
      </w:r>
    </w:p>
    <w:p>
      <w:pPr>
        <w:spacing w:after="0" w:line="283"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Chapter I</w:t>
      </w:r>
    </w:p>
    <w:p>
      <w:pPr>
        <w:spacing w:after="0" w:line="277" w:lineRule="exact"/>
        <w:rPr>
          <w:sz w:val="24"/>
          <w:szCs w:val="24"/>
          <w:color w:val="auto"/>
        </w:rPr>
      </w:pPr>
    </w:p>
    <w:p>
      <w:pPr>
        <w:jc w:val="center"/>
        <w:ind w:right="-279"/>
        <w:spacing w:after="0"/>
        <w:rPr>
          <w:sz w:val="20"/>
          <w:szCs w:val="20"/>
          <w:color w:val="auto"/>
        </w:rPr>
      </w:pPr>
      <w:r>
        <w:rPr>
          <w:rFonts w:ascii="Arial" w:cs="Arial" w:eastAsia="Arial" w:hAnsi="Arial"/>
          <w:sz w:val="21"/>
          <w:szCs w:val="21"/>
          <w:b w:val="1"/>
          <w:bCs w:val="1"/>
          <w:color w:val="auto"/>
        </w:rPr>
        <w:t>PRELIMINARY</w:t>
      </w:r>
    </w:p>
    <w:p>
      <w:pPr>
        <w:spacing w:after="0" w:line="277" w:lineRule="exact"/>
        <w:rPr>
          <w:sz w:val="24"/>
          <w:szCs w:val="24"/>
          <w:color w:val="auto"/>
        </w:rPr>
      </w:pPr>
    </w:p>
    <w:p>
      <w:pPr>
        <w:ind w:left="340"/>
        <w:spacing w:after="0"/>
        <w:rPr>
          <w:sz w:val="20"/>
          <w:szCs w:val="20"/>
          <w:color w:val="auto"/>
        </w:rPr>
      </w:pPr>
      <w:r>
        <w:rPr>
          <w:rFonts w:ascii="Arial" w:cs="Arial" w:eastAsia="Arial" w:hAnsi="Arial"/>
          <w:sz w:val="21"/>
          <w:szCs w:val="21"/>
          <w:b w:val="1"/>
          <w:bCs w:val="1"/>
          <w:color w:val="auto"/>
        </w:rPr>
        <w:t>Short Title and Commencement.</w:t>
      </w:r>
    </w:p>
    <w:p>
      <w:pPr>
        <w:spacing w:after="0" w:line="284" w:lineRule="exact"/>
        <w:rPr>
          <w:sz w:val="24"/>
          <w:szCs w:val="24"/>
          <w:color w:val="auto"/>
        </w:rPr>
      </w:pPr>
    </w:p>
    <w:p>
      <w:pPr>
        <w:ind w:left="360" w:right="80" w:hanging="14"/>
        <w:spacing w:after="0" w:line="245" w:lineRule="auto"/>
        <w:tabs>
          <w:tab w:leader="none" w:pos="644" w:val="left"/>
        </w:tabs>
        <w:numPr>
          <w:ilvl w:val="0"/>
          <w:numId w:val="1"/>
        </w:numPr>
        <w:rPr>
          <w:rFonts w:ascii="Arial" w:cs="Arial" w:eastAsia="Arial" w:hAnsi="Arial"/>
          <w:sz w:val="21"/>
          <w:szCs w:val="21"/>
          <w:b w:val="1"/>
          <w:bCs w:val="1"/>
          <w:color w:val="auto"/>
        </w:rPr>
      </w:pPr>
      <w:r>
        <w:rPr>
          <w:rFonts w:ascii="Arial" w:cs="Arial" w:eastAsia="Arial" w:hAnsi="Arial"/>
          <w:sz w:val="21"/>
          <w:szCs w:val="21"/>
          <w:color w:val="auto"/>
        </w:rPr>
        <w:t>(1) These Regulations may be called Securities and Exchange Board of India (Central Database of Market Participants) Regulations, 2003.</w:t>
      </w:r>
    </w:p>
    <w:p>
      <w:pPr>
        <w:spacing w:after="0" w:line="277" w:lineRule="exact"/>
        <w:rPr>
          <w:sz w:val="24"/>
          <w:szCs w:val="24"/>
          <w:color w:val="auto"/>
        </w:rPr>
      </w:pPr>
    </w:p>
    <w:p>
      <w:pPr>
        <w:ind w:left="340"/>
        <w:spacing w:after="0"/>
        <w:rPr>
          <w:sz w:val="20"/>
          <w:szCs w:val="20"/>
          <w:color w:val="auto"/>
        </w:rPr>
      </w:pPr>
      <w:r>
        <w:rPr>
          <w:rFonts w:ascii="Arial" w:cs="Arial" w:eastAsia="Arial" w:hAnsi="Arial"/>
          <w:sz w:val="21"/>
          <w:szCs w:val="21"/>
          <w:color w:val="auto"/>
        </w:rPr>
        <w:t>(2) These Regulations shall come into force on such date as may be specified by the Board:</w:t>
      </w:r>
    </w:p>
    <w:p>
      <w:pPr>
        <w:spacing w:after="0" w:line="290" w:lineRule="exact"/>
        <w:rPr>
          <w:sz w:val="24"/>
          <w:szCs w:val="24"/>
          <w:color w:val="auto"/>
        </w:rPr>
      </w:pPr>
    </w:p>
    <w:p>
      <w:pPr>
        <w:jc w:val="both"/>
        <w:ind w:left="360" w:right="80" w:hanging="9"/>
        <w:spacing w:after="0" w:line="244" w:lineRule="auto"/>
        <w:rPr>
          <w:sz w:val="20"/>
          <w:szCs w:val="20"/>
          <w:color w:val="auto"/>
        </w:rPr>
      </w:pPr>
      <w:r>
        <w:rPr>
          <w:rFonts w:ascii="Arial" w:cs="Arial" w:eastAsia="Arial" w:hAnsi="Arial"/>
          <w:sz w:val="21"/>
          <w:szCs w:val="21"/>
          <w:b w:val="1"/>
          <w:bCs w:val="1"/>
          <w:color w:val="auto"/>
        </w:rPr>
        <w:t xml:space="preserve">Provided </w:t>
      </w:r>
      <w:r>
        <w:rPr>
          <w:rFonts w:ascii="Arial" w:cs="Arial" w:eastAsia="Arial" w:hAnsi="Arial"/>
          <w:sz w:val="21"/>
          <w:szCs w:val="21"/>
          <w:color w:val="auto"/>
        </w:rPr>
        <w:t>that different dates may be specified for different provisions of these regulations and</w:t>
      </w:r>
      <w:r>
        <w:rPr>
          <w:rFonts w:ascii="Arial" w:cs="Arial" w:eastAsia="Arial" w:hAnsi="Arial"/>
          <w:sz w:val="21"/>
          <w:szCs w:val="21"/>
          <w:b w:val="1"/>
          <w:bCs w:val="1"/>
          <w:color w:val="auto"/>
        </w:rPr>
        <w:t xml:space="preserve"> </w:t>
      </w:r>
      <w:r>
        <w:rPr>
          <w:rFonts w:ascii="Arial" w:cs="Arial" w:eastAsia="Arial" w:hAnsi="Arial"/>
          <w:sz w:val="21"/>
          <w:szCs w:val="21"/>
          <w:color w:val="auto"/>
        </w:rPr>
        <w:t>any reference in any such provision to the commencement of these regulations shall be construed as a reference to the commencement of that provision.</w:t>
      </w:r>
    </w:p>
    <w:p>
      <w:pPr>
        <w:spacing w:after="0" w:line="279" w:lineRule="exact"/>
        <w:rPr>
          <w:sz w:val="24"/>
          <w:szCs w:val="24"/>
          <w:color w:val="auto"/>
        </w:rPr>
      </w:pPr>
    </w:p>
    <w:p>
      <w:pPr>
        <w:ind w:left="340"/>
        <w:spacing w:after="0"/>
        <w:rPr>
          <w:sz w:val="20"/>
          <w:szCs w:val="20"/>
          <w:color w:val="auto"/>
        </w:rPr>
      </w:pPr>
      <w:r>
        <w:rPr>
          <w:rFonts w:ascii="Arial" w:cs="Arial" w:eastAsia="Arial" w:hAnsi="Arial"/>
          <w:sz w:val="21"/>
          <w:szCs w:val="21"/>
          <w:b w:val="1"/>
          <w:bCs w:val="1"/>
          <w:color w:val="auto"/>
        </w:rPr>
        <w:t>Definitions.</w:t>
      </w:r>
    </w:p>
    <w:p>
      <w:pPr>
        <w:spacing w:after="0" w:line="282" w:lineRule="exact"/>
        <w:rPr>
          <w:sz w:val="24"/>
          <w:szCs w:val="24"/>
          <w:color w:val="auto"/>
        </w:rPr>
      </w:pPr>
    </w:p>
    <w:p>
      <w:pPr>
        <w:ind w:left="580" w:hanging="234"/>
        <w:spacing w:after="0"/>
        <w:tabs>
          <w:tab w:leader="none" w:pos="580" w:val="left"/>
        </w:tabs>
        <w:numPr>
          <w:ilvl w:val="0"/>
          <w:numId w:val="2"/>
        </w:numPr>
        <w:rPr>
          <w:rFonts w:ascii="Arial" w:cs="Arial" w:eastAsia="Arial" w:hAnsi="Arial"/>
          <w:sz w:val="21"/>
          <w:szCs w:val="21"/>
          <w:b w:val="1"/>
          <w:bCs w:val="1"/>
          <w:color w:val="auto"/>
        </w:rPr>
      </w:pPr>
      <w:r>
        <w:rPr>
          <w:rFonts w:ascii="Arial" w:cs="Arial" w:eastAsia="Arial" w:hAnsi="Arial"/>
          <w:sz w:val="21"/>
          <w:szCs w:val="21"/>
          <w:color w:val="auto"/>
        </w:rPr>
        <w:t>(1) In the Regulations, unless the context otherwise requires :—</w:t>
      </w:r>
    </w:p>
    <w:p>
      <w:pPr>
        <w:spacing w:after="0" w:line="281" w:lineRule="exact"/>
        <w:rPr>
          <w:rFonts w:ascii="Arial" w:cs="Arial" w:eastAsia="Arial" w:hAnsi="Arial"/>
          <w:sz w:val="21"/>
          <w:szCs w:val="21"/>
          <w:b w:val="1"/>
          <w:bCs w:val="1"/>
          <w:color w:val="auto"/>
        </w:rPr>
      </w:pPr>
    </w:p>
    <w:p>
      <w:pPr>
        <w:ind w:left="1400" w:hanging="319"/>
        <w:spacing w:after="0"/>
        <w:tabs>
          <w:tab w:leader="none" w:pos="1400" w:val="left"/>
        </w:tabs>
        <w:numPr>
          <w:ilvl w:val="1"/>
          <w:numId w:val="2"/>
        </w:numPr>
        <w:rPr>
          <w:rFonts w:ascii="Arial" w:cs="Arial" w:eastAsia="Arial" w:hAnsi="Arial"/>
          <w:sz w:val="21"/>
          <w:szCs w:val="21"/>
          <w:color w:val="auto"/>
        </w:rPr>
      </w:pPr>
      <w:r>
        <w:rPr>
          <w:rFonts w:ascii="Arial" w:cs="Arial" w:eastAsia="Arial" w:hAnsi="Arial"/>
          <w:sz w:val="21"/>
          <w:szCs w:val="21"/>
          <w:color w:val="auto"/>
        </w:rPr>
        <w:t>‘Act’ means the Securities and Exchange Board of India Act, 1992;</w:t>
      </w:r>
    </w:p>
    <w:p>
      <w:pPr>
        <w:spacing w:after="0" w:line="281" w:lineRule="exact"/>
        <w:rPr>
          <w:rFonts w:ascii="Arial" w:cs="Arial" w:eastAsia="Arial" w:hAnsi="Arial"/>
          <w:sz w:val="21"/>
          <w:szCs w:val="21"/>
          <w:color w:val="auto"/>
        </w:rPr>
      </w:pPr>
    </w:p>
    <w:p>
      <w:pPr>
        <w:ind w:left="1400" w:hanging="319"/>
        <w:spacing w:after="0"/>
        <w:tabs>
          <w:tab w:leader="none" w:pos="1400" w:val="left"/>
        </w:tabs>
        <w:numPr>
          <w:ilvl w:val="1"/>
          <w:numId w:val="2"/>
        </w:numPr>
        <w:rPr>
          <w:rFonts w:ascii="Arial" w:cs="Arial" w:eastAsia="Arial" w:hAnsi="Arial"/>
          <w:sz w:val="21"/>
          <w:szCs w:val="21"/>
          <w:color w:val="auto"/>
        </w:rPr>
      </w:pPr>
      <w:r>
        <w:rPr>
          <w:rFonts w:ascii="Arial" w:cs="Arial" w:eastAsia="Arial" w:hAnsi="Arial"/>
          <w:sz w:val="21"/>
          <w:szCs w:val="21"/>
          <w:color w:val="auto"/>
        </w:rPr>
        <w:t>‘associate’ in relation to an intermediary or a listed company means a person :</w:t>
      </w:r>
    </w:p>
    <w:p>
      <w:pPr>
        <w:sectPr>
          <w:pgSz w:w="12240" w:h="15840" w:orient="portrait"/>
          <w:cols w:equalWidth="0" w:num="1">
            <w:col w:w="9360"/>
          </w:cols>
          <w:pgMar w:left="1440" w:top="1440" w:right="1440" w:bottom="166"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1 of 13</w:t>
      </w:r>
    </w:p>
    <w:p>
      <w:pPr>
        <w:sectPr>
          <w:pgSz w:w="12240" w:h="15840" w:orient="portrait"/>
          <w:cols w:equalWidth="0" w:num="1">
            <w:col w:w="9360"/>
          </w:cols>
          <w:pgMar w:left="1440" w:top="1440" w:right="1440" w:bottom="166" w:gutter="0" w:footer="0" w:header="0"/>
          <w:type w:val="continuous"/>
        </w:sectPr>
      </w:pPr>
    </w:p>
    <w:bookmarkStart w:id="1" w:name="page2"/>
    <w:bookmarkEnd w:id="1"/>
    <w:p>
      <w:pPr>
        <w:spacing w:after="0" w:line="43" w:lineRule="exact"/>
        <w:rPr>
          <w:sz w:val="20"/>
          <w:szCs w:val="20"/>
          <w:color w:val="auto"/>
        </w:rPr>
      </w:pPr>
    </w:p>
    <w:p>
      <w:pPr>
        <w:ind w:left="2520"/>
        <w:spacing w:after="0"/>
        <w:rPr>
          <w:sz w:val="20"/>
          <w:szCs w:val="20"/>
          <w:color w:val="auto"/>
        </w:rPr>
      </w:pPr>
      <w:r>
        <w:rPr>
          <w:rFonts w:ascii="Arial" w:cs="Arial" w:eastAsia="Arial" w:hAnsi="Arial"/>
          <w:sz w:val="21"/>
          <w:szCs w:val="21"/>
          <w:color w:val="auto"/>
        </w:rPr>
        <w:t>(i) who, directly or indirectly, by himself or in combination with his</w:t>
      </w:r>
    </w:p>
    <w:p>
      <w:pPr>
        <w:spacing w:after="0" w:line="289" w:lineRule="exact"/>
        <w:rPr>
          <w:sz w:val="20"/>
          <w:szCs w:val="20"/>
          <w:color w:val="auto"/>
        </w:rPr>
      </w:pPr>
    </w:p>
    <w:p>
      <w:pPr>
        <w:jc w:val="both"/>
        <w:ind w:left="2540" w:right="440" w:hanging="9"/>
        <w:spacing w:after="0" w:line="247" w:lineRule="auto"/>
        <w:rPr>
          <w:sz w:val="20"/>
          <w:szCs w:val="20"/>
          <w:color w:val="auto"/>
        </w:rPr>
      </w:pPr>
      <w:r>
        <w:rPr>
          <w:rFonts w:ascii="Arial" w:cs="Arial" w:eastAsia="Arial" w:hAnsi="Arial"/>
          <w:sz w:val="21"/>
          <w:szCs w:val="21"/>
          <w:color w:val="auto"/>
        </w:rPr>
        <w:t>relatives exercises control over the intermediary or listed company or has a holding of not less than 15% in the paid up equity capital of the intermediary or the listed company;</w:t>
      </w:r>
    </w:p>
    <w:p>
      <w:pPr>
        <w:spacing w:after="0" w:line="282" w:lineRule="exact"/>
        <w:rPr>
          <w:sz w:val="20"/>
          <w:szCs w:val="20"/>
          <w:color w:val="auto"/>
        </w:rPr>
      </w:pPr>
    </w:p>
    <w:p>
      <w:pPr>
        <w:ind w:left="2760" w:right="600" w:hanging="244"/>
        <w:spacing w:after="0"/>
        <w:rPr>
          <w:sz w:val="20"/>
          <w:szCs w:val="20"/>
          <w:color w:val="auto"/>
        </w:rPr>
      </w:pPr>
      <w:r>
        <w:rPr>
          <w:rFonts w:ascii="Arial" w:cs="Arial" w:eastAsia="Arial" w:hAnsi="Arial"/>
          <w:sz w:val="21"/>
          <w:szCs w:val="21"/>
          <w:color w:val="auto"/>
        </w:rPr>
        <w:t>(ii) in respect of whom the intermediary or listed company directly or indirectly exercises control;</w:t>
      </w:r>
    </w:p>
    <w:p>
      <w:pPr>
        <w:spacing w:after="0" w:line="290" w:lineRule="exact"/>
        <w:rPr>
          <w:sz w:val="20"/>
          <w:szCs w:val="20"/>
          <w:color w:val="auto"/>
        </w:rPr>
      </w:pPr>
    </w:p>
    <w:p>
      <w:pPr>
        <w:ind w:left="2760" w:right="640" w:hanging="239"/>
        <w:spacing w:after="0" w:line="241" w:lineRule="auto"/>
        <w:tabs>
          <w:tab w:leader="none" w:pos="3236" w:val="left"/>
        </w:tabs>
        <w:numPr>
          <w:ilvl w:val="0"/>
          <w:numId w:val="3"/>
        </w:numPr>
        <w:rPr>
          <w:rFonts w:ascii="Arial" w:cs="Arial" w:eastAsia="Arial" w:hAnsi="Arial"/>
          <w:sz w:val="21"/>
          <w:szCs w:val="21"/>
          <w:color w:val="auto"/>
        </w:rPr>
      </w:pPr>
      <w:r>
        <w:rPr>
          <w:rFonts w:ascii="Arial" w:cs="Arial" w:eastAsia="Arial" w:hAnsi="Arial"/>
          <w:sz w:val="21"/>
          <w:szCs w:val="21"/>
          <w:color w:val="auto"/>
        </w:rPr>
        <w:t>whose director or partner is also a director or partner of the intermediary or listed company.</w:t>
      </w:r>
    </w:p>
    <w:p>
      <w:pPr>
        <w:spacing w:after="0" w:line="281" w:lineRule="exact"/>
        <w:rPr>
          <w:sz w:val="20"/>
          <w:szCs w:val="20"/>
          <w:color w:val="auto"/>
        </w:rPr>
      </w:pPr>
    </w:p>
    <w:p>
      <w:pPr>
        <w:ind w:left="1080"/>
        <w:spacing w:after="0"/>
        <w:rPr>
          <w:sz w:val="20"/>
          <w:szCs w:val="20"/>
          <w:color w:val="auto"/>
        </w:rPr>
      </w:pPr>
      <w:r>
        <w:rPr>
          <w:rFonts w:ascii="Arial" w:cs="Arial" w:eastAsia="Arial" w:hAnsi="Arial"/>
          <w:sz w:val="21"/>
          <w:szCs w:val="21"/>
          <w:i w:val="1"/>
          <w:iCs w:val="1"/>
          <w:color w:val="auto"/>
        </w:rPr>
        <w:t>Explanation.</w:t>
      </w:r>
      <w:r>
        <w:rPr>
          <w:rFonts w:ascii="Arial" w:cs="Arial" w:eastAsia="Arial" w:hAnsi="Arial"/>
          <w:sz w:val="21"/>
          <w:szCs w:val="21"/>
          <w:color w:val="auto"/>
        </w:rPr>
        <w:t>—For the purposes of this clause—</w:t>
      </w:r>
    </w:p>
    <w:p>
      <w:pPr>
        <w:spacing w:after="0" w:line="25" w:lineRule="exact"/>
        <w:rPr>
          <w:sz w:val="20"/>
          <w:szCs w:val="20"/>
          <w:color w:val="auto"/>
        </w:rPr>
      </w:pPr>
    </w:p>
    <w:p>
      <w:pPr>
        <w:jc w:val="both"/>
        <w:ind w:left="2820" w:right="60" w:hanging="299"/>
        <w:spacing w:after="0" w:line="246" w:lineRule="auto"/>
        <w:tabs>
          <w:tab w:leader="none" w:pos="2820" w:val="left"/>
        </w:tabs>
        <w:numPr>
          <w:ilvl w:val="1"/>
          <w:numId w:val="4"/>
        </w:numPr>
        <w:rPr>
          <w:rFonts w:ascii="Arial" w:cs="Arial" w:eastAsia="Arial" w:hAnsi="Arial"/>
          <w:sz w:val="21"/>
          <w:szCs w:val="21"/>
          <w:color w:val="auto"/>
        </w:rPr>
      </w:pPr>
      <w:r>
        <w:rPr>
          <w:rFonts w:ascii="Arial" w:cs="Arial" w:eastAsia="Arial" w:hAnsi="Arial"/>
          <w:sz w:val="21"/>
          <w:szCs w:val="21"/>
          <w:color w:val="auto"/>
        </w:rPr>
        <w:t>‘control’ means control as defined in clause (</w:t>
      </w:r>
      <w:r>
        <w:rPr>
          <w:rFonts w:ascii="Arial" w:cs="Arial" w:eastAsia="Arial" w:hAnsi="Arial"/>
          <w:sz w:val="21"/>
          <w:szCs w:val="21"/>
          <w:i w:val="1"/>
          <w:iCs w:val="1"/>
          <w:color w:val="auto"/>
        </w:rPr>
        <w:t>c</w:t>
      </w:r>
      <w:r>
        <w:rPr>
          <w:rFonts w:ascii="Arial" w:cs="Arial" w:eastAsia="Arial" w:hAnsi="Arial"/>
          <w:sz w:val="21"/>
          <w:szCs w:val="21"/>
          <w:color w:val="auto"/>
        </w:rPr>
        <w:t>) of sub-regulation (1) of regulation 2 of the Securities and Exchange Board of India (Substantial Acquisition of Shares and Takeovers) Regulations, 1997;</w:t>
      </w:r>
    </w:p>
    <w:p>
      <w:pPr>
        <w:spacing w:after="0" w:line="277" w:lineRule="exact"/>
        <w:rPr>
          <w:rFonts w:ascii="Arial" w:cs="Arial" w:eastAsia="Arial" w:hAnsi="Arial"/>
          <w:sz w:val="21"/>
          <w:szCs w:val="21"/>
          <w:color w:val="auto"/>
        </w:rPr>
      </w:pPr>
    </w:p>
    <w:p>
      <w:pPr>
        <w:ind w:left="2820" w:hanging="299"/>
        <w:spacing w:after="0"/>
        <w:tabs>
          <w:tab w:leader="none" w:pos="2820" w:val="left"/>
        </w:tabs>
        <w:numPr>
          <w:ilvl w:val="1"/>
          <w:numId w:val="4"/>
        </w:numPr>
        <w:rPr>
          <w:rFonts w:ascii="Arial" w:cs="Arial" w:eastAsia="Arial" w:hAnsi="Arial"/>
          <w:sz w:val="21"/>
          <w:szCs w:val="21"/>
          <w:color w:val="auto"/>
        </w:rPr>
      </w:pPr>
      <w:r>
        <w:rPr>
          <w:rFonts w:ascii="Arial" w:cs="Arial" w:eastAsia="Arial" w:hAnsi="Arial"/>
          <w:sz w:val="21"/>
          <w:szCs w:val="21"/>
          <w:color w:val="auto"/>
        </w:rPr>
        <w:t>‘director’ does not include a nominee director;</w:t>
      </w:r>
    </w:p>
    <w:p>
      <w:pPr>
        <w:spacing w:after="0" w:line="289" w:lineRule="exact"/>
        <w:rPr>
          <w:rFonts w:ascii="Arial" w:cs="Arial" w:eastAsia="Arial" w:hAnsi="Arial"/>
          <w:sz w:val="21"/>
          <w:szCs w:val="21"/>
          <w:color w:val="auto"/>
        </w:rPr>
      </w:pPr>
    </w:p>
    <w:p>
      <w:pPr>
        <w:ind w:left="2820" w:right="220" w:hanging="299"/>
        <w:spacing w:after="0" w:line="245" w:lineRule="auto"/>
        <w:tabs>
          <w:tab w:leader="none" w:pos="2820" w:val="left"/>
        </w:tabs>
        <w:numPr>
          <w:ilvl w:val="1"/>
          <w:numId w:val="4"/>
        </w:numPr>
        <w:rPr>
          <w:rFonts w:ascii="Arial" w:cs="Arial" w:eastAsia="Arial" w:hAnsi="Arial"/>
          <w:sz w:val="21"/>
          <w:szCs w:val="21"/>
          <w:color w:val="auto"/>
        </w:rPr>
      </w:pPr>
      <w:r>
        <w:rPr>
          <w:rFonts w:ascii="Arial" w:cs="Arial" w:eastAsia="Arial" w:hAnsi="Arial"/>
          <w:sz w:val="21"/>
          <w:szCs w:val="21"/>
          <w:color w:val="auto"/>
        </w:rPr>
        <w:t>‘person’ means a natural person, a company registered under the Companies Act, 1956, a body corporate, a partnership concern, a trust or society registered under the Societies Registration Act, 1860 or any other legal entity.</w:t>
      </w:r>
    </w:p>
    <w:p>
      <w:pPr>
        <w:spacing w:after="0" w:line="286" w:lineRule="exact"/>
        <w:rPr>
          <w:rFonts w:ascii="Arial" w:cs="Arial" w:eastAsia="Arial" w:hAnsi="Arial"/>
          <w:sz w:val="21"/>
          <w:szCs w:val="21"/>
          <w:color w:val="auto"/>
        </w:rPr>
      </w:pPr>
    </w:p>
    <w:p>
      <w:pPr>
        <w:ind w:left="1100" w:right="400" w:hanging="19"/>
        <w:spacing w:after="0" w:line="245" w:lineRule="auto"/>
        <w:tabs>
          <w:tab w:leader="none" w:pos="1811" w:val="left"/>
        </w:tabs>
        <w:numPr>
          <w:ilvl w:val="0"/>
          <w:numId w:val="5"/>
        </w:numPr>
        <w:rPr>
          <w:rFonts w:ascii="Arial" w:cs="Arial" w:eastAsia="Arial" w:hAnsi="Arial"/>
          <w:sz w:val="21"/>
          <w:szCs w:val="21"/>
          <w:color w:val="auto"/>
        </w:rPr>
      </w:pPr>
      <w:r>
        <w:rPr>
          <w:rFonts w:ascii="Arial" w:cs="Arial" w:eastAsia="Arial" w:hAnsi="Arial"/>
          <w:sz w:val="21"/>
          <w:szCs w:val="21"/>
          <w:color w:val="auto"/>
        </w:rPr>
        <w:t>‘Board’ means the Securities and Exchange Board of India established under section 3 of the Act;</w:t>
      </w:r>
    </w:p>
    <w:p>
      <w:pPr>
        <w:spacing w:after="0" w:line="284" w:lineRule="exact"/>
        <w:rPr>
          <w:rFonts w:ascii="Arial" w:cs="Arial" w:eastAsia="Arial" w:hAnsi="Arial"/>
          <w:sz w:val="21"/>
          <w:szCs w:val="21"/>
          <w:color w:val="auto"/>
        </w:rPr>
      </w:pPr>
    </w:p>
    <w:p>
      <w:pPr>
        <w:ind w:left="1100" w:right="440" w:hanging="19"/>
        <w:spacing w:after="0" w:line="245" w:lineRule="auto"/>
        <w:tabs>
          <w:tab w:leader="none" w:pos="1811" w:val="left"/>
        </w:tabs>
        <w:numPr>
          <w:ilvl w:val="0"/>
          <w:numId w:val="5"/>
        </w:numPr>
        <w:rPr>
          <w:rFonts w:ascii="Arial" w:cs="Arial" w:eastAsia="Arial" w:hAnsi="Arial"/>
          <w:sz w:val="21"/>
          <w:szCs w:val="21"/>
          <w:color w:val="auto"/>
        </w:rPr>
      </w:pPr>
      <w:r>
        <w:rPr>
          <w:rFonts w:ascii="Arial" w:cs="Arial" w:eastAsia="Arial" w:hAnsi="Arial"/>
          <w:sz w:val="21"/>
          <w:szCs w:val="21"/>
          <w:color w:val="auto"/>
        </w:rPr>
        <w:t>‘Central Database’ means the electronic representation and storage of information that may be created and maintained by a Designated Service Provider in respect of the persons who have been allotted unique identification numbers under these regulations;</w:t>
      </w:r>
    </w:p>
    <w:p>
      <w:pPr>
        <w:spacing w:after="0" w:line="286" w:lineRule="exact"/>
        <w:rPr>
          <w:rFonts w:ascii="Arial" w:cs="Arial" w:eastAsia="Arial" w:hAnsi="Arial"/>
          <w:sz w:val="21"/>
          <w:szCs w:val="21"/>
          <w:color w:val="auto"/>
        </w:rPr>
      </w:pPr>
    </w:p>
    <w:p>
      <w:pPr>
        <w:ind w:left="1100" w:right="200" w:hanging="19"/>
        <w:spacing w:after="0" w:line="246" w:lineRule="auto"/>
        <w:tabs>
          <w:tab w:leader="none" w:pos="1811" w:val="left"/>
        </w:tabs>
        <w:numPr>
          <w:ilvl w:val="0"/>
          <w:numId w:val="5"/>
        </w:numPr>
        <w:rPr>
          <w:rFonts w:ascii="Arial" w:cs="Arial" w:eastAsia="Arial" w:hAnsi="Arial"/>
          <w:sz w:val="21"/>
          <w:szCs w:val="21"/>
          <w:color w:val="auto"/>
        </w:rPr>
      </w:pPr>
      <w:r>
        <w:rPr>
          <w:rFonts w:ascii="Arial" w:cs="Arial" w:eastAsia="Arial" w:hAnsi="Arial"/>
          <w:sz w:val="21"/>
          <w:szCs w:val="21"/>
          <w:color w:val="auto"/>
        </w:rPr>
        <w:t>‘Central Listing Authority’ means the Central Listing Authority established under regulation 3 of the Securities and Exchange Board of India (Central Listing Authority) Regulations, 2003;</w:t>
      </w:r>
    </w:p>
    <w:p>
      <w:pPr>
        <w:spacing w:after="0" w:line="285" w:lineRule="exact"/>
        <w:rPr>
          <w:rFonts w:ascii="Arial" w:cs="Arial" w:eastAsia="Arial" w:hAnsi="Arial"/>
          <w:sz w:val="21"/>
          <w:szCs w:val="21"/>
          <w:color w:val="auto"/>
        </w:rPr>
      </w:pPr>
    </w:p>
    <w:p>
      <w:pPr>
        <w:ind w:left="1100" w:right="120" w:hanging="19"/>
        <w:spacing w:after="0" w:line="245" w:lineRule="auto"/>
        <w:tabs>
          <w:tab w:leader="none" w:pos="1811" w:val="left"/>
        </w:tabs>
        <w:numPr>
          <w:ilvl w:val="0"/>
          <w:numId w:val="5"/>
        </w:numPr>
        <w:rPr>
          <w:rFonts w:ascii="Arial" w:cs="Arial" w:eastAsia="Arial" w:hAnsi="Arial"/>
          <w:sz w:val="21"/>
          <w:szCs w:val="21"/>
          <w:color w:val="auto"/>
        </w:rPr>
      </w:pPr>
      <w:r>
        <w:rPr>
          <w:rFonts w:ascii="Arial" w:cs="Arial" w:eastAsia="Arial" w:hAnsi="Arial"/>
          <w:sz w:val="21"/>
          <w:szCs w:val="21"/>
          <w:color w:val="auto"/>
        </w:rPr>
        <w:t xml:space="preserve">‘Designed employee’ in relation to a listed company or a company which intends to get its securities listed means a designated employee within the meaning of the </w:t>
      </w:r>
      <w:r>
        <w:rPr>
          <w:rFonts w:ascii="Arial" w:cs="Arial" w:eastAsia="Arial" w:hAnsi="Arial"/>
          <w:sz w:val="21"/>
          <w:szCs w:val="21"/>
          <w:i w:val="1"/>
          <w:iCs w:val="1"/>
          <w:color w:val="auto"/>
        </w:rPr>
        <w:t xml:space="preserve">Explanation </w:t>
      </w:r>
      <w:r>
        <w:rPr>
          <w:rFonts w:ascii="Arial" w:cs="Arial" w:eastAsia="Arial" w:hAnsi="Arial"/>
          <w:sz w:val="21"/>
          <w:szCs w:val="21"/>
          <w:color w:val="auto"/>
        </w:rPr>
        <w:t>to clause 1.2 of Part A of Schedule I to the Securities and Exchange Board</w:t>
      </w:r>
      <w:r>
        <w:rPr>
          <w:rFonts w:ascii="Arial" w:cs="Arial" w:eastAsia="Arial" w:hAnsi="Arial"/>
          <w:sz w:val="21"/>
          <w:szCs w:val="21"/>
          <w:i w:val="1"/>
          <w:iCs w:val="1"/>
          <w:color w:val="auto"/>
        </w:rPr>
        <w:t xml:space="preserve"> </w:t>
      </w:r>
      <w:r>
        <w:rPr>
          <w:rFonts w:ascii="Arial" w:cs="Arial" w:eastAsia="Arial" w:hAnsi="Arial"/>
          <w:sz w:val="21"/>
          <w:szCs w:val="21"/>
          <w:color w:val="auto"/>
        </w:rPr>
        <w:t>of India (Prohibition of Insider Trading) Regulations, 1992;</w:t>
      </w:r>
    </w:p>
    <w:p>
      <w:pPr>
        <w:spacing w:after="0" w:line="290" w:lineRule="exact"/>
        <w:rPr>
          <w:rFonts w:ascii="Arial" w:cs="Arial" w:eastAsia="Arial" w:hAnsi="Arial"/>
          <w:sz w:val="21"/>
          <w:szCs w:val="21"/>
          <w:color w:val="auto"/>
        </w:rPr>
      </w:pPr>
    </w:p>
    <w:p>
      <w:pPr>
        <w:ind w:left="1100" w:right="240" w:hanging="19"/>
        <w:spacing w:after="0" w:line="245" w:lineRule="auto"/>
        <w:tabs>
          <w:tab w:leader="none" w:pos="1811" w:val="left"/>
        </w:tabs>
        <w:numPr>
          <w:ilvl w:val="0"/>
          <w:numId w:val="5"/>
        </w:numPr>
        <w:rPr>
          <w:rFonts w:ascii="Arial" w:cs="Arial" w:eastAsia="Arial" w:hAnsi="Arial"/>
          <w:sz w:val="21"/>
          <w:szCs w:val="21"/>
          <w:color w:val="auto"/>
        </w:rPr>
      </w:pPr>
      <w:r>
        <w:rPr>
          <w:rFonts w:ascii="Arial" w:cs="Arial" w:eastAsia="Arial" w:hAnsi="Arial"/>
          <w:sz w:val="21"/>
          <w:szCs w:val="21"/>
          <w:color w:val="auto"/>
        </w:rPr>
        <w:t>‘Designated Service Provider’ means a person so designated by the Board to create and maintain the Central Database on such terms and conditions as may be agreed to between him and the Board and to perform such other functions under these regulations as may be delegated to him by the Board;</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2 of 13</w:t>
      </w:r>
    </w:p>
    <w:p>
      <w:pPr>
        <w:sectPr>
          <w:pgSz w:w="12240" w:h="15840" w:orient="portrait"/>
          <w:cols w:equalWidth="0" w:num="1">
            <w:col w:w="9360"/>
          </w:cols>
          <w:pgMar w:left="1440" w:top="1440" w:right="1440" w:bottom="166" w:gutter="0" w:footer="0" w:header="0"/>
          <w:type w:val="continuous"/>
        </w:sectPr>
      </w:pPr>
    </w:p>
    <w:bookmarkStart w:id="2" w:name="page3"/>
    <w:bookmarkEnd w:id="2"/>
    <w:p>
      <w:pPr>
        <w:spacing w:after="0" w:line="43" w:lineRule="exact"/>
        <w:rPr>
          <w:sz w:val="20"/>
          <w:szCs w:val="20"/>
          <w:color w:val="auto"/>
        </w:rPr>
      </w:pPr>
    </w:p>
    <w:p>
      <w:pPr>
        <w:ind w:left="1800" w:hanging="719"/>
        <w:spacing w:after="0"/>
        <w:tabs>
          <w:tab w:leader="none" w:pos="1800" w:val="left"/>
        </w:tabs>
        <w:numPr>
          <w:ilvl w:val="0"/>
          <w:numId w:val="6"/>
        </w:numPr>
        <w:rPr>
          <w:rFonts w:ascii="Arial" w:cs="Arial" w:eastAsia="Arial" w:hAnsi="Arial"/>
          <w:sz w:val="21"/>
          <w:szCs w:val="21"/>
          <w:color w:val="auto"/>
        </w:rPr>
      </w:pPr>
      <w:r>
        <w:rPr>
          <w:rFonts w:ascii="Arial" w:cs="Arial" w:eastAsia="Arial" w:hAnsi="Arial"/>
          <w:sz w:val="21"/>
          <w:szCs w:val="21"/>
          <w:color w:val="auto"/>
        </w:rPr>
        <w:t>‘intermediary’ means any person who is registered with the Board under section</w:t>
      </w:r>
    </w:p>
    <w:p>
      <w:pPr>
        <w:spacing w:after="0" w:line="8" w:lineRule="exact"/>
        <w:rPr>
          <w:rFonts w:ascii="Arial" w:cs="Arial" w:eastAsia="Arial" w:hAnsi="Arial"/>
          <w:sz w:val="21"/>
          <w:szCs w:val="21"/>
          <w:color w:val="auto"/>
        </w:rPr>
      </w:pPr>
    </w:p>
    <w:p>
      <w:pPr>
        <w:ind w:left="1100" w:right="120"/>
        <w:spacing w:after="0" w:line="215" w:lineRule="auto"/>
        <w:rPr>
          <w:rFonts w:ascii="Arial" w:cs="Arial" w:eastAsia="Arial" w:hAnsi="Arial"/>
          <w:sz w:val="21"/>
          <w:szCs w:val="21"/>
          <w:color w:val="auto"/>
        </w:rPr>
      </w:pPr>
      <w:r>
        <w:rPr>
          <w:rFonts w:ascii="Arial" w:cs="Arial" w:eastAsia="Arial" w:hAnsi="Arial"/>
          <w:sz w:val="21"/>
          <w:szCs w:val="21"/>
          <w:color w:val="auto"/>
        </w:rPr>
        <w:t xml:space="preserve">12 of the Act, but does not include </w:t>
      </w:r>
      <w:r>
        <w:rPr>
          <w:rFonts w:ascii="Arial" w:cs="Arial" w:eastAsia="Arial" w:hAnsi="Arial"/>
          <w:sz w:val="27"/>
          <w:szCs w:val="27"/>
          <w:color w:val="auto"/>
          <w:vertAlign w:val="superscript"/>
        </w:rPr>
        <w:t>1</w:t>
      </w:r>
      <w:r>
        <w:rPr>
          <w:rFonts w:ascii="Arial" w:cs="Arial" w:eastAsia="Arial" w:hAnsi="Arial"/>
          <w:sz w:val="21"/>
          <w:szCs w:val="21"/>
          <w:color w:val="auto"/>
        </w:rPr>
        <w:t>[Foreign Institutional Investors and] Foreign Venture Capital Investors;</w:t>
      </w:r>
    </w:p>
    <w:p>
      <w:pPr>
        <w:spacing w:after="0" w:line="283" w:lineRule="exact"/>
        <w:rPr>
          <w:rFonts w:ascii="Arial" w:cs="Arial" w:eastAsia="Arial" w:hAnsi="Arial"/>
          <w:sz w:val="21"/>
          <w:szCs w:val="21"/>
          <w:color w:val="auto"/>
        </w:rPr>
      </w:pPr>
    </w:p>
    <w:p>
      <w:pPr>
        <w:ind w:left="1100" w:right="80" w:hanging="19"/>
        <w:spacing w:after="0" w:line="213" w:lineRule="auto"/>
        <w:tabs>
          <w:tab w:leader="none" w:pos="1811" w:val="left"/>
        </w:tabs>
        <w:numPr>
          <w:ilvl w:val="0"/>
          <w:numId w:val="6"/>
        </w:numPr>
        <w:rPr>
          <w:rFonts w:ascii="Arial" w:cs="Arial" w:eastAsia="Arial" w:hAnsi="Arial"/>
          <w:sz w:val="21"/>
          <w:szCs w:val="21"/>
          <w:color w:val="auto"/>
        </w:rPr>
      </w:pPr>
      <w:r>
        <w:rPr>
          <w:rFonts w:ascii="Arial" w:cs="Arial" w:eastAsia="Arial" w:hAnsi="Arial"/>
          <w:sz w:val="21"/>
          <w:szCs w:val="21"/>
          <w:color w:val="auto"/>
        </w:rPr>
        <w:t xml:space="preserve">‘investor’ means an investor in securities and includes a </w:t>
      </w:r>
      <w:r>
        <w:rPr>
          <w:rFonts w:ascii="Arial" w:cs="Arial" w:eastAsia="Arial" w:hAnsi="Arial"/>
          <w:sz w:val="27"/>
          <w:szCs w:val="27"/>
          <w:color w:val="auto"/>
          <w:vertAlign w:val="superscript"/>
        </w:rPr>
        <w:t>2</w:t>
      </w:r>
      <w:r>
        <w:rPr>
          <w:rFonts w:ascii="Arial" w:cs="Arial" w:eastAsia="Arial" w:hAnsi="Arial"/>
          <w:sz w:val="21"/>
          <w:szCs w:val="21"/>
          <w:color w:val="auto"/>
        </w:rPr>
        <w:t xml:space="preserve"> [Foreign Portfolio Investor] and a Foreign Venture Capital Investor;</w:t>
      </w:r>
    </w:p>
    <w:p>
      <w:pPr>
        <w:spacing w:after="0" w:line="290" w:lineRule="exact"/>
        <w:rPr>
          <w:rFonts w:ascii="Arial" w:cs="Arial" w:eastAsia="Arial" w:hAnsi="Arial"/>
          <w:sz w:val="21"/>
          <w:szCs w:val="21"/>
          <w:color w:val="auto"/>
        </w:rPr>
      </w:pPr>
    </w:p>
    <w:p>
      <w:pPr>
        <w:jc w:val="both"/>
        <w:ind w:left="1100" w:right="200" w:hanging="19"/>
        <w:spacing w:after="0" w:line="238" w:lineRule="auto"/>
        <w:tabs>
          <w:tab w:leader="none" w:pos="1811" w:val="left"/>
        </w:tabs>
        <w:numPr>
          <w:ilvl w:val="0"/>
          <w:numId w:val="6"/>
        </w:numPr>
        <w:rPr>
          <w:rFonts w:ascii="Arial" w:cs="Arial" w:eastAsia="Arial" w:hAnsi="Arial"/>
          <w:sz w:val="21"/>
          <w:szCs w:val="21"/>
          <w:color w:val="auto"/>
        </w:rPr>
      </w:pPr>
      <w:r>
        <w:rPr>
          <w:rFonts w:ascii="Arial" w:cs="Arial" w:eastAsia="Arial" w:hAnsi="Arial"/>
          <w:sz w:val="21"/>
          <w:szCs w:val="21"/>
          <w:color w:val="auto"/>
        </w:rPr>
        <w:t>‘listed company’ means a company whose securities are listed on a recognised stock exchange and includes a public company which intends to get its securities listed on a recognized stock exchange;</w:t>
      </w:r>
    </w:p>
    <w:p>
      <w:pPr>
        <w:spacing w:after="0" w:line="285" w:lineRule="exact"/>
        <w:rPr>
          <w:sz w:val="20"/>
          <w:szCs w:val="20"/>
          <w:color w:val="auto"/>
        </w:rPr>
      </w:pPr>
    </w:p>
    <w:p>
      <w:pPr>
        <w:ind w:left="1400" w:right="80" w:hanging="319"/>
        <w:spacing w:after="0" w:line="245" w:lineRule="auto"/>
        <w:tabs>
          <w:tab w:leader="none" w:pos="1400" w:val="left"/>
        </w:tabs>
        <w:numPr>
          <w:ilvl w:val="0"/>
          <w:numId w:val="7"/>
        </w:numPr>
        <w:rPr>
          <w:rFonts w:ascii="Arial" w:cs="Arial" w:eastAsia="Arial" w:hAnsi="Arial"/>
          <w:sz w:val="21"/>
          <w:szCs w:val="21"/>
          <w:color w:val="auto"/>
        </w:rPr>
      </w:pPr>
      <w:r>
        <w:rPr>
          <w:rFonts w:ascii="Arial" w:cs="Arial" w:eastAsia="Arial" w:hAnsi="Arial"/>
          <w:sz w:val="21"/>
          <w:szCs w:val="21"/>
          <w:color w:val="auto"/>
        </w:rPr>
        <w:t>‘market participants’ means intermediaries, other entities, investors, listed companies and companies which intend to get their securities listed;</w:t>
      </w:r>
    </w:p>
    <w:p>
      <w:pPr>
        <w:spacing w:after="0" w:line="285" w:lineRule="exact"/>
        <w:rPr>
          <w:sz w:val="20"/>
          <w:szCs w:val="20"/>
          <w:color w:val="auto"/>
        </w:rPr>
      </w:pPr>
    </w:p>
    <w:p>
      <w:pPr>
        <w:ind w:left="1400" w:right="200" w:hanging="316"/>
        <w:spacing w:after="0" w:line="247" w:lineRule="auto"/>
        <w:rPr>
          <w:sz w:val="20"/>
          <w:szCs w:val="20"/>
          <w:color w:val="auto"/>
        </w:rPr>
      </w:pPr>
      <w:r>
        <w:rPr>
          <w:rFonts w:ascii="Arial" w:cs="Arial" w:eastAsia="Arial" w:hAnsi="Arial"/>
          <w:sz w:val="21"/>
          <w:szCs w:val="21"/>
          <w:color w:val="auto"/>
        </w:rPr>
        <w:t>(m)‘other entity’ means any recognised stock exchange, clearing corporation, approved intermediary under the Securities Lending Scheme, 1997, investor associations and includes any other person granted recognition by the Board, any person required to obtain any license or approval from any self-regulatory organization and any other person associated with the securities market in any manner as may be notified by the Board in the official gazette;</w:t>
      </w:r>
    </w:p>
    <w:p>
      <w:pPr>
        <w:spacing w:after="0" w:line="278" w:lineRule="exact"/>
        <w:rPr>
          <w:sz w:val="20"/>
          <w:szCs w:val="20"/>
          <w:color w:val="auto"/>
        </w:rPr>
      </w:pPr>
    </w:p>
    <w:p>
      <w:pPr>
        <w:ind w:left="1400" w:hanging="319"/>
        <w:spacing w:after="0"/>
        <w:tabs>
          <w:tab w:leader="none" w:pos="1400" w:val="left"/>
        </w:tabs>
        <w:numPr>
          <w:ilvl w:val="0"/>
          <w:numId w:val="8"/>
        </w:numPr>
        <w:rPr>
          <w:rFonts w:ascii="Arial" w:cs="Arial" w:eastAsia="Arial" w:hAnsi="Arial"/>
          <w:sz w:val="21"/>
          <w:szCs w:val="21"/>
          <w:color w:val="auto"/>
        </w:rPr>
      </w:pPr>
      <w:r>
        <w:rPr>
          <w:rFonts w:ascii="Arial" w:cs="Arial" w:eastAsia="Arial" w:hAnsi="Arial"/>
          <w:sz w:val="21"/>
          <w:szCs w:val="21"/>
          <w:color w:val="auto"/>
        </w:rPr>
        <w:t>‘promoter’ means—</w:t>
      </w:r>
    </w:p>
    <w:p>
      <w:pPr>
        <w:spacing w:after="0" w:line="289" w:lineRule="exact"/>
        <w:rPr>
          <w:rFonts w:ascii="Arial" w:cs="Arial" w:eastAsia="Arial" w:hAnsi="Arial"/>
          <w:sz w:val="21"/>
          <w:szCs w:val="21"/>
          <w:color w:val="auto"/>
        </w:rPr>
      </w:pPr>
    </w:p>
    <w:p>
      <w:pPr>
        <w:ind w:left="2540" w:right="220" w:hanging="19"/>
        <w:spacing w:after="0"/>
        <w:tabs>
          <w:tab w:leader="none" w:pos="3251" w:val="left"/>
        </w:tabs>
        <w:numPr>
          <w:ilvl w:val="1"/>
          <w:numId w:val="8"/>
        </w:numPr>
        <w:rPr>
          <w:rFonts w:ascii="Arial" w:cs="Arial" w:eastAsia="Arial" w:hAnsi="Arial"/>
          <w:sz w:val="21"/>
          <w:szCs w:val="21"/>
          <w:color w:val="auto"/>
        </w:rPr>
      </w:pPr>
      <w:r>
        <w:rPr>
          <w:rFonts w:ascii="Arial" w:cs="Arial" w:eastAsia="Arial" w:hAnsi="Arial"/>
          <w:sz w:val="21"/>
          <w:szCs w:val="21"/>
          <w:color w:val="auto"/>
        </w:rPr>
        <w:t>any person or persons who are directly or indirectly in control of the company; or</w:t>
      </w:r>
    </w:p>
    <w:p>
      <w:pPr>
        <w:spacing w:after="0" w:line="289" w:lineRule="exact"/>
        <w:rPr>
          <w:rFonts w:ascii="Arial" w:cs="Arial" w:eastAsia="Arial" w:hAnsi="Arial"/>
          <w:sz w:val="21"/>
          <w:szCs w:val="21"/>
          <w:color w:val="auto"/>
        </w:rPr>
      </w:pPr>
    </w:p>
    <w:p>
      <w:pPr>
        <w:ind w:left="2540" w:right="600" w:hanging="19"/>
        <w:spacing w:after="0" w:line="262" w:lineRule="auto"/>
        <w:tabs>
          <w:tab w:leader="none" w:pos="3251" w:val="left"/>
        </w:tabs>
        <w:numPr>
          <w:ilvl w:val="1"/>
          <w:numId w:val="8"/>
        </w:numPr>
        <w:rPr>
          <w:rFonts w:ascii="Arial" w:cs="Arial" w:eastAsia="Arial" w:hAnsi="Arial"/>
          <w:sz w:val="20"/>
          <w:szCs w:val="20"/>
          <w:color w:val="auto"/>
        </w:rPr>
      </w:pPr>
      <w:r>
        <w:rPr>
          <w:rFonts w:ascii="Arial" w:cs="Arial" w:eastAsia="Arial" w:hAnsi="Arial"/>
          <w:sz w:val="20"/>
          <w:szCs w:val="20"/>
          <w:color w:val="auto"/>
        </w:rPr>
        <w:t>any person or persons named as ‘promoters’ in the offer document or in the shareholding pattern disclosed by the Company under provisions of the Listing Agreement, whichever is later;</w:t>
      </w:r>
    </w:p>
    <w:p>
      <w:pPr>
        <w:spacing w:after="0" w:line="262" w:lineRule="exact"/>
        <w:rPr>
          <w:sz w:val="20"/>
          <w:szCs w:val="20"/>
          <w:color w:val="auto"/>
        </w:rPr>
      </w:pPr>
    </w:p>
    <w:p>
      <w:pPr>
        <w:ind w:left="1080"/>
        <w:spacing w:after="0"/>
        <w:rPr>
          <w:sz w:val="20"/>
          <w:szCs w:val="20"/>
          <w:color w:val="auto"/>
        </w:rPr>
      </w:pPr>
      <w:r>
        <w:rPr>
          <w:rFonts w:ascii="Arial" w:cs="Arial" w:eastAsia="Arial" w:hAnsi="Arial"/>
          <w:sz w:val="21"/>
          <w:szCs w:val="21"/>
          <w:color w:val="auto"/>
        </w:rPr>
        <w:t>and includes,</w:t>
      </w:r>
    </w:p>
    <w:p>
      <w:pPr>
        <w:spacing w:after="0" w:line="27" w:lineRule="exact"/>
        <w:rPr>
          <w:sz w:val="20"/>
          <w:szCs w:val="20"/>
          <w:color w:val="auto"/>
        </w:rPr>
      </w:pPr>
    </w:p>
    <w:p>
      <w:pPr>
        <w:ind w:left="2860" w:hanging="339"/>
        <w:spacing w:after="0"/>
        <w:tabs>
          <w:tab w:leader="none" w:pos="2860" w:val="left"/>
        </w:tabs>
        <w:numPr>
          <w:ilvl w:val="0"/>
          <w:numId w:val="9"/>
        </w:numPr>
        <w:rPr>
          <w:rFonts w:ascii="Arial" w:cs="Arial" w:eastAsia="Arial" w:hAnsi="Arial"/>
          <w:sz w:val="21"/>
          <w:szCs w:val="21"/>
          <w:color w:val="auto"/>
        </w:rPr>
      </w:pPr>
      <w:r>
        <w:rPr>
          <w:rFonts w:ascii="Arial" w:cs="Arial" w:eastAsia="Arial" w:hAnsi="Arial"/>
          <w:sz w:val="21"/>
          <w:szCs w:val="21"/>
          <w:color w:val="auto"/>
        </w:rPr>
        <w:t>where such person is an individual,</w:t>
      </w:r>
    </w:p>
    <w:p>
      <w:pPr>
        <w:spacing w:after="0" w:line="17" w:lineRule="exact"/>
        <w:rPr>
          <w:rFonts w:ascii="Arial" w:cs="Arial" w:eastAsia="Arial" w:hAnsi="Arial"/>
          <w:sz w:val="21"/>
          <w:szCs w:val="21"/>
          <w:color w:val="auto"/>
        </w:rPr>
      </w:pPr>
    </w:p>
    <w:p>
      <w:pPr>
        <w:ind w:left="3480" w:hanging="238"/>
        <w:spacing w:after="0"/>
        <w:tabs>
          <w:tab w:leader="none" w:pos="3480" w:val="left"/>
        </w:tabs>
        <w:numPr>
          <w:ilvl w:val="1"/>
          <w:numId w:val="9"/>
        </w:numPr>
        <w:rPr>
          <w:rFonts w:ascii="Arial" w:cs="Arial" w:eastAsia="Arial" w:hAnsi="Arial"/>
          <w:sz w:val="21"/>
          <w:szCs w:val="21"/>
          <w:color w:val="auto"/>
        </w:rPr>
      </w:pPr>
      <w:r>
        <w:rPr>
          <w:rFonts w:ascii="Arial" w:cs="Arial" w:eastAsia="Arial" w:hAnsi="Arial"/>
          <w:sz w:val="27"/>
          <w:szCs w:val="27"/>
          <w:color w:val="auto"/>
          <w:vertAlign w:val="superscript"/>
        </w:rPr>
        <w:t>3</w:t>
      </w:r>
      <w:r>
        <w:rPr>
          <w:rFonts w:ascii="Arial" w:cs="Arial" w:eastAsia="Arial" w:hAnsi="Arial"/>
          <w:sz w:val="21"/>
          <w:szCs w:val="21"/>
          <w:color w:val="auto"/>
        </w:rPr>
        <w:t>[***]</w:t>
      </w:r>
    </w:p>
    <w:p>
      <w:pPr>
        <w:spacing w:after="0" w:line="244" w:lineRule="exact"/>
        <w:rPr>
          <w:sz w:val="20"/>
          <w:szCs w:val="20"/>
          <w:color w:val="auto"/>
        </w:rPr>
      </w:pPr>
    </w:p>
    <w:p>
      <w:pPr>
        <w:ind w:left="3480" w:right="100" w:hanging="244"/>
        <w:spacing w:after="0" w:line="231" w:lineRule="auto"/>
        <w:rPr>
          <w:sz w:val="20"/>
          <w:szCs w:val="20"/>
          <w:color w:val="auto"/>
        </w:rPr>
      </w:pPr>
      <w:r>
        <w:rPr>
          <w:rFonts w:ascii="Arial" w:cs="Arial" w:eastAsia="Arial" w:hAnsi="Arial"/>
          <w:sz w:val="21"/>
          <w:szCs w:val="21"/>
          <w:color w:val="auto"/>
        </w:rPr>
        <w:t xml:space="preserve">(ii) any company in which 26% or more of the equity share capital is held by him </w:t>
      </w:r>
      <w:r>
        <w:rPr>
          <w:rFonts w:ascii="Arial" w:cs="Arial" w:eastAsia="Arial" w:hAnsi="Arial"/>
          <w:sz w:val="27"/>
          <w:szCs w:val="27"/>
          <w:color w:val="auto"/>
          <w:vertAlign w:val="superscript"/>
        </w:rPr>
        <w:t>4</w:t>
      </w:r>
      <w:r>
        <w:rPr>
          <w:rFonts w:ascii="Arial" w:cs="Arial" w:eastAsia="Arial" w:hAnsi="Arial"/>
          <w:sz w:val="21"/>
          <w:szCs w:val="21"/>
          <w:b w:val="1"/>
          <w:bCs w:val="1"/>
          <w:color w:val="auto"/>
        </w:rPr>
        <w:t>[</w:t>
      </w:r>
      <w:r>
        <w:rPr>
          <w:rFonts w:ascii="Arial" w:cs="Arial" w:eastAsia="Arial" w:hAnsi="Arial"/>
          <w:sz w:val="21"/>
          <w:szCs w:val="21"/>
          <w:color w:val="auto"/>
        </w:rPr>
        <w:t>***</w:t>
      </w:r>
      <w:r>
        <w:rPr>
          <w:rFonts w:ascii="Arial" w:cs="Arial" w:eastAsia="Arial" w:hAnsi="Arial"/>
          <w:sz w:val="21"/>
          <w:szCs w:val="21"/>
          <w:b w:val="1"/>
          <w:bCs w:val="1"/>
          <w:color w:val="auto"/>
        </w:rPr>
        <w:t>]</w:t>
      </w:r>
      <w:r>
        <w:rPr>
          <w:rFonts w:ascii="Arial" w:cs="Arial" w:eastAsia="Arial" w:hAnsi="Arial"/>
          <w:sz w:val="21"/>
          <w:szCs w:val="21"/>
          <w:color w:val="auto"/>
        </w:rPr>
        <w:t xml:space="preserve"> or any firm or Hindu Undivided Family in which he </w:t>
      </w:r>
      <w:r>
        <w:rPr>
          <w:rFonts w:ascii="Arial" w:cs="Arial" w:eastAsia="Arial" w:hAnsi="Arial"/>
          <w:sz w:val="27"/>
          <w:szCs w:val="27"/>
          <w:color w:val="auto"/>
          <w:vertAlign w:val="superscript"/>
        </w:rPr>
        <w:t>5</w:t>
      </w:r>
      <w:r>
        <w:rPr>
          <w:rFonts w:ascii="Arial" w:cs="Arial" w:eastAsia="Arial" w:hAnsi="Arial"/>
          <w:sz w:val="21"/>
          <w:szCs w:val="21"/>
          <w:b w:val="1"/>
          <w:bCs w:val="1"/>
          <w:color w:val="auto"/>
        </w:rPr>
        <w:t>[</w:t>
      </w:r>
      <w:r>
        <w:rPr>
          <w:rFonts w:ascii="Arial" w:cs="Arial" w:eastAsia="Arial" w:hAnsi="Arial"/>
          <w:sz w:val="21"/>
          <w:szCs w:val="21"/>
          <w:color w:val="auto"/>
        </w:rPr>
        <w:t>***</w:t>
      </w:r>
      <w:r>
        <w:rPr>
          <w:rFonts w:ascii="Arial" w:cs="Arial" w:eastAsia="Arial" w:hAnsi="Arial"/>
          <w:sz w:val="21"/>
          <w:szCs w:val="21"/>
          <w:b w:val="1"/>
          <w:bCs w:val="1"/>
          <w:color w:val="auto"/>
        </w:rPr>
        <w:t>]</w:t>
      </w:r>
      <w:r>
        <w:rPr>
          <w:rFonts w:ascii="Arial" w:cs="Arial" w:eastAsia="Arial" w:hAnsi="Arial"/>
          <w:sz w:val="21"/>
          <w:szCs w:val="21"/>
          <w:color w:val="auto"/>
        </w:rPr>
        <w:t xml:space="preserve"> is a partner or member;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477520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6pt" to="162.05pt,37.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380" w:right="80" w:hanging="20"/>
        <w:spacing w:after="0" w:line="204" w:lineRule="auto"/>
        <w:tabs>
          <w:tab w:leader="none" w:pos="501" w:val="left"/>
        </w:tabs>
        <w:numPr>
          <w:ilvl w:val="0"/>
          <w:numId w:val="10"/>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Words "Foreign Institutional Investors and" omitted by the SEBI (Foreign Portfolio Investors) Regulations, 2014, w.e.f. 7-1-2014.</w:t>
      </w:r>
    </w:p>
    <w:p>
      <w:pPr>
        <w:spacing w:after="0" w:line="11" w:lineRule="exact"/>
        <w:rPr>
          <w:rFonts w:ascii="Arial" w:cs="Arial" w:eastAsia="Arial" w:hAnsi="Arial"/>
          <w:sz w:val="26"/>
          <w:szCs w:val="26"/>
          <w:color w:val="auto"/>
          <w:vertAlign w:val="superscript"/>
        </w:rPr>
      </w:pPr>
    </w:p>
    <w:p>
      <w:pPr>
        <w:ind w:left="380" w:right="80" w:hanging="20"/>
        <w:spacing w:after="0" w:line="204" w:lineRule="auto"/>
        <w:tabs>
          <w:tab w:leader="none" w:pos="501" w:val="left"/>
        </w:tabs>
        <w:numPr>
          <w:ilvl w:val="0"/>
          <w:numId w:val="10"/>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Substituted for "Foreign Institutional Investor" by the SEBI (Foreign Portfolio Investors) Regulations, 2014, w.e.f. 7-1-2014.</w:t>
      </w:r>
    </w:p>
    <w:p>
      <w:pPr>
        <w:spacing w:after="0" w:line="2" w:lineRule="exact"/>
        <w:rPr>
          <w:rFonts w:ascii="Arial" w:cs="Arial" w:eastAsia="Arial" w:hAnsi="Arial"/>
          <w:sz w:val="26"/>
          <w:szCs w:val="26"/>
          <w:color w:val="auto"/>
          <w:vertAlign w:val="superscript"/>
        </w:rPr>
      </w:pPr>
    </w:p>
    <w:p>
      <w:pPr>
        <w:ind w:left="340" w:right="80" w:firstLine="77"/>
        <w:spacing w:after="0" w:line="212" w:lineRule="auto"/>
        <w:rPr>
          <w:rFonts w:ascii="Arial" w:cs="Arial" w:eastAsia="Arial" w:hAnsi="Arial"/>
          <w:sz w:val="26"/>
          <w:szCs w:val="26"/>
          <w:color w:val="auto"/>
          <w:vertAlign w:val="superscript"/>
        </w:rPr>
      </w:pPr>
      <w:r>
        <w:rPr>
          <w:rFonts w:ascii="Arial" w:cs="Arial" w:eastAsia="Arial" w:hAnsi="Arial"/>
          <w:sz w:val="27"/>
          <w:szCs w:val="27"/>
          <w:color w:val="auto"/>
          <w:vertAlign w:val="superscript"/>
        </w:rPr>
        <w:t>3</w:t>
      </w:r>
      <w:r>
        <w:rPr>
          <w:rFonts w:ascii="Times New Roman" w:cs="Times New Roman" w:eastAsia="Times New Roman" w:hAnsi="Times New Roman"/>
          <w:sz w:val="20"/>
          <w:szCs w:val="20"/>
          <w:color w:val="auto"/>
        </w:rPr>
        <w:t xml:space="preserve"> Words “his spouse, parents, brothers, sisters or children” omitted by the SEBI (Central Database of Market Participants) (Amendment) Regulations, 2004, vide S.O. No. 854(E) dated 21-7-2004.</w:t>
      </w:r>
    </w:p>
    <w:p>
      <w:pPr>
        <w:spacing w:after="0" w:line="15" w:lineRule="exact"/>
        <w:rPr>
          <w:rFonts w:ascii="Arial" w:cs="Arial" w:eastAsia="Arial" w:hAnsi="Arial"/>
          <w:sz w:val="26"/>
          <w:szCs w:val="26"/>
          <w:color w:val="auto"/>
          <w:vertAlign w:val="superscript"/>
        </w:rPr>
      </w:pPr>
    </w:p>
    <w:p>
      <w:pPr>
        <w:ind w:left="340"/>
        <w:spacing w:after="0"/>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4 Words “or by the persons mentioned in sub-clause (i)” omitted by the SEBI (Central Database of Market</w:t>
      </w:r>
    </w:p>
    <w:p>
      <w:pPr>
        <w:spacing w:after="0" w:line="10" w:lineRule="exact"/>
        <w:rPr>
          <w:sz w:val="20"/>
          <w:szCs w:val="20"/>
          <w:color w:val="auto"/>
        </w:rPr>
      </w:pPr>
    </w:p>
    <w:p>
      <w:pPr>
        <w:ind w:left="360"/>
        <w:spacing w:after="0"/>
        <w:tabs>
          <w:tab w:leader="none" w:pos="4620" w:val="left"/>
        </w:tabs>
        <w:rPr>
          <w:sz w:val="20"/>
          <w:szCs w:val="20"/>
          <w:color w:val="auto"/>
        </w:rPr>
      </w:pPr>
      <w:r>
        <w:rPr>
          <w:rFonts w:ascii="Times New Roman" w:cs="Times New Roman" w:eastAsia="Times New Roman" w:hAnsi="Times New Roman"/>
          <w:sz w:val="20"/>
          <w:szCs w:val="20"/>
          <w:color w:val="auto"/>
        </w:rPr>
        <w:t>Participants) (Amendment) Regulations, 2004, vide</w:t>
        <w:tab/>
        <w:t>S.O. No. 854(E) dated 21-72004.</w:t>
      </w:r>
    </w:p>
    <w:p>
      <w:pPr>
        <w:spacing w:after="0" w:line="24" w:lineRule="exact"/>
        <w:rPr>
          <w:sz w:val="20"/>
          <w:szCs w:val="20"/>
          <w:color w:val="auto"/>
        </w:rPr>
      </w:pPr>
    </w:p>
    <w:p>
      <w:pPr>
        <w:ind w:left="340" w:right="80" w:firstLine="77"/>
        <w:spacing w:after="0" w:line="241" w:lineRule="auto"/>
        <w:rPr>
          <w:sz w:val="20"/>
          <w:szCs w:val="20"/>
          <w:color w:val="auto"/>
        </w:rPr>
      </w:pPr>
      <w:r>
        <w:rPr>
          <w:rFonts w:ascii="Times New Roman" w:cs="Times New Roman" w:eastAsia="Times New Roman" w:hAnsi="Times New Roman"/>
          <w:sz w:val="20"/>
          <w:szCs w:val="20"/>
          <w:color w:val="auto"/>
        </w:rPr>
        <w:t>5 Words “or any of the persons mentioned in sub-clause (i)” omitted by the SEBI (Central Database of Market Participants) (Amendment) Regulations, 2004, vide S.O. No. 854(E) dated 21-7-2004.</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390"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3 of 13</w:t>
      </w:r>
    </w:p>
    <w:p>
      <w:pPr>
        <w:sectPr>
          <w:pgSz w:w="12240" w:h="15840" w:orient="portrait"/>
          <w:cols w:equalWidth="0" w:num="1">
            <w:col w:w="9360"/>
          </w:cols>
          <w:pgMar w:left="1440" w:top="1440" w:right="1440" w:bottom="166" w:gutter="0" w:footer="0" w:header="0"/>
          <w:type w:val="continuous"/>
        </w:sectPr>
      </w:pPr>
    </w:p>
    <w:bookmarkStart w:id="3" w:name="page4"/>
    <w:bookmarkEnd w:id="3"/>
    <w:p>
      <w:pPr>
        <w:spacing w:after="0" w:line="50" w:lineRule="exact"/>
        <w:rPr>
          <w:sz w:val="20"/>
          <w:szCs w:val="20"/>
          <w:color w:val="auto"/>
        </w:rPr>
      </w:pPr>
    </w:p>
    <w:p>
      <w:pPr>
        <w:ind w:left="3480" w:right="460" w:hanging="238"/>
        <w:spacing w:after="0" w:line="246" w:lineRule="auto"/>
        <w:tabs>
          <w:tab w:leader="none" w:pos="3955" w:val="left"/>
        </w:tabs>
        <w:numPr>
          <w:ilvl w:val="0"/>
          <w:numId w:val="11"/>
        </w:numPr>
        <w:rPr>
          <w:rFonts w:ascii="Arial" w:cs="Arial" w:eastAsia="Arial" w:hAnsi="Arial"/>
          <w:sz w:val="21"/>
          <w:szCs w:val="21"/>
          <w:color w:val="auto"/>
        </w:rPr>
      </w:pPr>
      <w:r>
        <w:rPr>
          <w:rFonts w:ascii="Arial" w:cs="Arial" w:eastAsia="Arial" w:hAnsi="Arial"/>
          <w:sz w:val="21"/>
          <w:szCs w:val="21"/>
          <w:color w:val="auto"/>
        </w:rPr>
        <w:t>any company in which a company specified in sub-clause (</w:t>
      </w:r>
      <w:r>
        <w:rPr>
          <w:rFonts w:ascii="Arial" w:cs="Arial" w:eastAsia="Arial" w:hAnsi="Arial"/>
          <w:sz w:val="21"/>
          <w:szCs w:val="21"/>
          <w:i w:val="1"/>
          <w:iCs w:val="1"/>
          <w:color w:val="auto"/>
        </w:rPr>
        <w:t>ii</w:t>
      </w:r>
      <w:r>
        <w:rPr>
          <w:rFonts w:ascii="Arial" w:cs="Arial" w:eastAsia="Arial" w:hAnsi="Arial"/>
          <w:sz w:val="21"/>
          <w:szCs w:val="21"/>
          <w:color w:val="auto"/>
        </w:rPr>
        <w:t>) above, holds more than 50% of the equity share capital;</w:t>
      </w:r>
    </w:p>
    <w:p>
      <w:pPr>
        <w:spacing w:after="0" w:line="200" w:lineRule="exact"/>
        <w:rPr>
          <w:sz w:val="20"/>
          <w:szCs w:val="20"/>
          <w:color w:val="auto"/>
        </w:rPr>
      </w:pPr>
    </w:p>
    <w:p>
      <w:pPr>
        <w:spacing w:after="0" w:line="236" w:lineRule="exact"/>
        <w:rPr>
          <w:sz w:val="20"/>
          <w:szCs w:val="20"/>
          <w:color w:val="auto"/>
        </w:rPr>
      </w:pPr>
    </w:p>
    <w:p>
      <w:pPr>
        <w:ind w:left="3320"/>
        <w:spacing w:after="0"/>
        <w:rPr>
          <w:sz w:val="20"/>
          <w:szCs w:val="20"/>
          <w:color w:val="auto"/>
        </w:rPr>
      </w:pPr>
      <w:r>
        <w:rPr>
          <w:rFonts w:ascii="Arial" w:cs="Arial" w:eastAsia="Arial" w:hAnsi="Arial"/>
          <w:sz w:val="27"/>
          <w:szCs w:val="27"/>
          <w:b w:val="1"/>
          <w:bCs w:val="1"/>
          <w:color w:val="auto"/>
          <w:vertAlign w:val="superscript"/>
        </w:rPr>
        <w:t>1</w:t>
      </w:r>
      <w:r>
        <w:rPr>
          <w:rFonts w:ascii="Arial" w:cs="Arial" w:eastAsia="Arial" w:hAnsi="Arial"/>
          <w:sz w:val="21"/>
          <w:szCs w:val="21"/>
          <w:b w:val="1"/>
          <w:bCs w:val="1"/>
          <w:color w:val="auto"/>
        </w:rPr>
        <w:t>[</w:t>
      </w:r>
      <w:r>
        <w:rPr>
          <w:rFonts w:ascii="Arial" w:cs="Arial" w:eastAsia="Arial" w:hAnsi="Arial"/>
          <w:sz w:val="21"/>
          <w:szCs w:val="21"/>
          <w:color w:val="auto"/>
        </w:rPr>
        <w:t>(</w:t>
      </w:r>
      <w:r>
        <w:rPr>
          <w:rFonts w:ascii="Arial" w:cs="Arial" w:eastAsia="Arial" w:hAnsi="Arial"/>
          <w:sz w:val="21"/>
          <w:szCs w:val="21"/>
          <w:i w:val="1"/>
          <w:iCs w:val="1"/>
          <w:color w:val="auto"/>
        </w:rPr>
        <w:t>iv</w:t>
      </w:r>
      <w:r>
        <w:rPr>
          <w:rFonts w:ascii="Arial" w:cs="Arial" w:eastAsia="Arial" w:hAnsi="Arial"/>
          <w:sz w:val="21"/>
          <w:szCs w:val="21"/>
          <w:color w:val="auto"/>
        </w:rPr>
        <w:t>)</w:t>
      </w:r>
      <w:r>
        <w:rPr>
          <w:rFonts w:ascii="Arial" w:cs="Arial" w:eastAsia="Arial" w:hAnsi="Arial"/>
          <w:sz w:val="21"/>
          <w:szCs w:val="21"/>
          <w:b w:val="1"/>
          <w:bCs w:val="1"/>
          <w:color w:val="auto"/>
        </w:rPr>
        <w:t xml:space="preserve"> </w:t>
      </w:r>
      <w:r>
        <w:rPr>
          <w:rFonts w:ascii="Arial" w:cs="Arial" w:eastAsia="Arial" w:hAnsi="Arial"/>
          <w:sz w:val="21"/>
          <w:szCs w:val="21"/>
          <w:i w:val="1"/>
          <w:iCs w:val="1"/>
          <w:color w:val="auto"/>
        </w:rPr>
        <w:t>any firm in which his holding is more than 50%;</w:t>
      </w:r>
      <w:r>
        <w:rPr>
          <w:rFonts w:ascii="Arial" w:cs="Arial" w:eastAsia="Arial" w:hAnsi="Arial"/>
          <w:sz w:val="21"/>
          <w:szCs w:val="21"/>
          <w:b w:val="1"/>
          <w:bCs w:val="1"/>
          <w:color w:val="auto"/>
        </w:rPr>
        <w:t>]</w:t>
      </w:r>
    </w:p>
    <w:p>
      <w:pPr>
        <w:spacing w:after="0" w:line="213" w:lineRule="exact"/>
        <w:rPr>
          <w:sz w:val="20"/>
          <w:szCs w:val="20"/>
          <w:color w:val="auto"/>
        </w:rPr>
      </w:pPr>
    </w:p>
    <w:p>
      <w:pPr>
        <w:ind w:left="2860" w:hanging="339"/>
        <w:spacing w:after="0"/>
        <w:tabs>
          <w:tab w:leader="none" w:pos="2860" w:val="left"/>
        </w:tabs>
        <w:numPr>
          <w:ilvl w:val="0"/>
          <w:numId w:val="12"/>
        </w:numPr>
        <w:rPr>
          <w:rFonts w:ascii="Arial" w:cs="Arial" w:eastAsia="Arial" w:hAnsi="Arial"/>
          <w:sz w:val="21"/>
          <w:szCs w:val="21"/>
          <w:color w:val="auto"/>
        </w:rPr>
      </w:pPr>
      <w:r>
        <w:rPr>
          <w:rFonts w:ascii="Arial" w:cs="Arial" w:eastAsia="Arial" w:hAnsi="Arial"/>
          <w:sz w:val="21"/>
          <w:szCs w:val="21"/>
          <w:color w:val="auto"/>
        </w:rPr>
        <w:t>where such person is a body corporate,</w:t>
      </w:r>
    </w:p>
    <w:p>
      <w:pPr>
        <w:spacing w:after="0" w:line="17" w:lineRule="exact"/>
        <w:rPr>
          <w:rFonts w:ascii="Arial" w:cs="Arial" w:eastAsia="Arial" w:hAnsi="Arial"/>
          <w:sz w:val="21"/>
          <w:szCs w:val="21"/>
          <w:color w:val="auto"/>
        </w:rPr>
      </w:pPr>
    </w:p>
    <w:p>
      <w:pPr>
        <w:ind w:left="3480" w:hanging="238"/>
        <w:spacing w:after="0"/>
        <w:tabs>
          <w:tab w:leader="none" w:pos="3480" w:val="left"/>
        </w:tabs>
        <w:numPr>
          <w:ilvl w:val="1"/>
          <w:numId w:val="12"/>
        </w:numPr>
        <w:rPr>
          <w:rFonts w:ascii="Arial" w:cs="Arial" w:eastAsia="Arial" w:hAnsi="Arial"/>
          <w:sz w:val="21"/>
          <w:szCs w:val="21"/>
          <w:color w:val="auto"/>
        </w:rPr>
      </w:pPr>
      <w:r>
        <w:rPr>
          <w:rFonts w:ascii="Arial" w:cs="Arial" w:eastAsia="Arial" w:hAnsi="Arial"/>
          <w:sz w:val="21"/>
          <w:szCs w:val="21"/>
          <w:color w:val="auto"/>
        </w:rPr>
        <w:t>a subsidiary or holding company of that body corporate;</w:t>
      </w:r>
    </w:p>
    <w:p>
      <w:pPr>
        <w:spacing w:after="0" w:line="289" w:lineRule="exact"/>
        <w:rPr>
          <w:sz w:val="20"/>
          <w:szCs w:val="20"/>
          <w:color w:val="auto"/>
        </w:rPr>
      </w:pPr>
    </w:p>
    <w:p>
      <w:pPr>
        <w:ind w:left="3480" w:right="280" w:hanging="244"/>
        <w:spacing w:after="0"/>
        <w:rPr>
          <w:sz w:val="20"/>
          <w:szCs w:val="20"/>
          <w:color w:val="auto"/>
        </w:rPr>
      </w:pPr>
      <w:r>
        <w:rPr>
          <w:rFonts w:ascii="Arial" w:cs="Arial" w:eastAsia="Arial" w:hAnsi="Arial"/>
          <w:sz w:val="21"/>
          <w:szCs w:val="21"/>
          <w:color w:val="auto"/>
        </w:rPr>
        <w:t>(ii) any company in which the said body corporate holds 26% or more of the equity share capital;</w:t>
      </w:r>
    </w:p>
    <w:p>
      <w:pPr>
        <w:spacing w:after="0" w:line="290" w:lineRule="exact"/>
        <w:rPr>
          <w:sz w:val="20"/>
          <w:szCs w:val="20"/>
          <w:color w:val="auto"/>
        </w:rPr>
      </w:pPr>
    </w:p>
    <w:p>
      <w:pPr>
        <w:ind w:left="3480" w:right="540" w:hanging="238"/>
        <w:spacing w:after="0"/>
        <w:tabs>
          <w:tab w:leader="none" w:pos="3955" w:val="left"/>
        </w:tabs>
        <w:numPr>
          <w:ilvl w:val="0"/>
          <w:numId w:val="13"/>
        </w:numPr>
        <w:rPr>
          <w:rFonts w:ascii="Arial" w:cs="Arial" w:eastAsia="Arial" w:hAnsi="Arial"/>
          <w:sz w:val="21"/>
          <w:szCs w:val="21"/>
          <w:color w:val="auto"/>
        </w:rPr>
      </w:pPr>
      <w:r>
        <w:rPr>
          <w:rFonts w:ascii="Arial" w:cs="Arial" w:eastAsia="Arial" w:hAnsi="Arial"/>
          <w:sz w:val="21"/>
          <w:szCs w:val="21"/>
          <w:color w:val="auto"/>
        </w:rPr>
        <w:t>any company which holds 26% or more of the equity share capital of the said body corporate;</w:t>
      </w:r>
    </w:p>
    <w:p>
      <w:pPr>
        <w:spacing w:after="0" w:line="289" w:lineRule="exact"/>
        <w:rPr>
          <w:rFonts w:ascii="Arial" w:cs="Arial" w:eastAsia="Arial" w:hAnsi="Arial"/>
          <w:sz w:val="21"/>
          <w:szCs w:val="21"/>
          <w:color w:val="auto"/>
        </w:rPr>
      </w:pPr>
    </w:p>
    <w:p>
      <w:pPr>
        <w:ind w:left="3480" w:right="240" w:hanging="238"/>
        <w:spacing w:after="0" w:line="247" w:lineRule="auto"/>
        <w:tabs>
          <w:tab w:leader="none" w:pos="3955" w:val="left"/>
        </w:tabs>
        <w:numPr>
          <w:ilvl w:val="0"/>
          <w:numId w:val="13"/>
        </w:numPr>
        <w:rPr>
          <w:rFonts w:ascii="Arial" w:cs="Arial" w:eastAsia="Arial" w:hAnsi="Arial"/>
          <w:sz w:val="21"/>
          <w:szCs w:val="21"/>
          <w:color w:val="auto"/>
        </w:rPr>
      </w:pPr>
      <w:r>
        <w:rPr>
          <w:rFonts w:ascii="Arial" w:cs="Arial" w:eastAsia="Arial" w:hAnsi="Arial"/>
          <w:sz w:val="21"/>
          <w:szCs w:val="21"/>
          <w:color w:val="auto"/>
        </w:rPr>
        <w:t>any company in which a group of persons holds 26% or more of the equity share capital and that group of persons also holds 26% or more of the equity share capital in such body corporate;</w:t>
      </w:r>
    </w:p>
    <w:p>
      <w:pPr>
        <w:spacing w:after="0" w:line="283" w:lineRule="exact"/>
        <w:rPr>
          <w:sz w:val="20"/>
          <w:szCs w:val="20"/>
          <w:color w:val="auto"/>
        </w:rPr>
      </w:pPr>
    </w:p>
    <w:p>
      <w:pPr>
        <w:jc w:val="both"/>
        <w:ind w:left="3480" w:right="120" w:hanging="244"/>
        <w:spacing w:after="0" w:line="244" w:lineRule="auto"/>
        <w:rPr>
          <w:sz w:val="20"/>
          <w:szCs w:val="20"/>
          <w:color w:val="auto"/>
        </w:rPr>
      </w:pPr>
      <w:r>
        <w:rPr>
          <w:rFonts w:ascii="Arial" w:cs="Arial" w:eastAsia="Arial" w:hAnsi="Arial"/>
          <w:sz w:val="21"/>
          <w:szCs w:val="21"/>
          <w:color w:val="auto"/>
        </w:rPr>
        <w:t>(v)any other body corporate under the same management as the said body corporate within the meaning of sub-section (1B) of section 370 of the Companies Act, 1956;</w:t>
      </w:r>
    </w:p>
    <w:p>
      <w:pPr>
        <w:spacing w:after="0" w:line="260" w:lineRule="exact"/>
        <w:rPr>
          <w:sz w:val="20"/>
          <w:szCs w:val="20"/>
          <w:color w:val="auto"/>
        </w:rPr>
      </w:pPr>
    </w:p>
    <w:p>
      <w:pPr>
        <w:ind w:left="1100" w:right="200" w:hanging="9"/>
        <w:spacing w:after="0" w:line="225" w:lineRule="auto"/>
        <w:rPr>
          <w:sz w:val="20"/>
          <w:szCs w:val="20"/>
          <w:color w:val="auto"/>
        </w:rPr>
      </w:pPr>
      <w:r>
        <w:rPr>
          <w:rFonts w:ascii="Arial" w:cs="Arial" w:eastAsia="Arial" w:hAnsi="Arial"/>
          <w:sz w:val="21"/>
          <w:szCs w:val="21"/>
          <w:i w:val="1"/>
          <w:iCs w:val="1"/>
          <w:color w:val="auto"/>
        </w:rPr>
        <w:t>Explanation I.</w:t>
      </w:r>
      <w:r>
        <w:rPr>
          <w:rFonts w:ascii="Arial" w:cs="Arial" w:eastAsia="Arial" w:hAnsi="Arial"/>
          <w:sz w:val="21"/>
          <w:szCs w:val="21"/>
          <w:color w:val="auto"/>
        </w:rPr>
        <w:t>—A Financial Institution, Scheduled Commercial Bank,</w:t>
      </w:r>
      <w:r>
        <w:rPr>
          <w:rFonts w:ascii="Arial" w:cs="Arial" w:eastAsia="Arial" w:hAnsi="Arial"/>
          <w:sz w:val="21"/>
          <w:szCs w:val="21"/>
          <w:i w:val="1"/>
          <w:iCs w:val="1"/>
          <w:color w:val="auto"/>
        </w:rPr>
        <w:t xml:space="preserve"> </w:t>
      </w:r>
      <w:r>
        <w:rPr>
          <w:rFonts w:ascii="Arial" w:cs="Arial" w:eastAsia="Arial" w:hAnsi="Arial"/>
          <w:sz w:val="27"/>
          <w:szCs w:val="27"/>
          <w:color w:val="auto"/>
          <w:vertAlign w:val="superscript"/>
        </w:rPr>
        <w:t>2</w:t>
      </w:r>
      <w:r>
        <w:rPr>
          <w:rFonts w:ascii="Arial" w:cs="Arial" w:eastAsia="Arial" w:hAnsi="Arial"/>
          <w:sz w:val="21"/>
          <w:szCs w:val="21"/>
          <w:color w:val="auto"/>
        </w:rPr>
        <w:t>[Foreign portfolio</w:t>
      </w:r>
      <w:r>
        <w:rPr>
          <w:rFonts w:ascii="Arial" w:cs="Arial" w:eastAsia="Arial" w:hAnsi="Arial"/>
          <w:sz w:val="21"/>
          <w:szCs w:val="21"/>
          <w:i w:val="1"/>
          <w:iCs w:val="1"/>
          <w:color w:val="auto"/>
        </w:rPr>
        <w:t xml:space="preserve"> </w:t>
      </w:r>
      <w:r>
        <w:rPr>
          <w:rFonts w:ascii="Arial" w:cs="Arial" w:eastAsia="Arial" w:hAnsi="Arial"/>
          <w:sz w:val="21"/>
          <w:szCs w:val="21"/>
          <w:color w:val="auto"/>
        </w:rPr>
        <w:t>Investor] or Mutual fund shall not be deemed to be a promoter merely by virtue of its shareholding.</w:t>
      </w:r>
    </w:p>
    <w:p>
      <w:pPr>
        <w:spacing w:after="0" w:line="283" w:lineRule="exact"/>
        <w:rPr>
          <w:sz w:val="20"/>
          <w:szCs w:val="20"/>
          <w:color w:val="auto"/>
        </w:rPr>
      </w:pPr>
    </w:p>
    <w:p>
      <w:pPr>
        <w:ind w:left="1100" w:right="280" w:hanging="9"/>
        <w:spacing w:after="0" w:line="224" w:lineRule="auto"/>
        <w:rPr>
          <w:sz w:val="20"/>
          <w:szCs w:val="20"/>
          <w:color w:val="auto"/>
        </w:rPr>
      </w:pPr>
      <w:r>
        <w:rPr>
          <w:rFonts w:ascii="Arial" w:cs="Arial" w:eastAsia="Arial" w:hAnsi="Arial"/>
          <w:sz w:val="21"/>
          <w:szCs w:val="21"/>
          <w:i w:val="1"/>
          <w:iCs w:val="1"/>
          <w:color w:val="auto"/>
        </w:rPr>
        <w:t>Explanation II.</w:t>
      </w:r>
      <w:r>
        <w:rPr>
          <w:rFonts w:ascii="Arial" w:cs="Arial" w:eastAsia="Arial" w:hAnsi="Arial"/>
          <w:sz w:val="21"/>
          <w:szCs w:val="21"/>
          <w:color w:val="auto"/>
        </w:rPr>
        <w:t>—A Financial Institution, Scheduled Commercial Bank or</w:t>
      </w:r>
      <w:r>
        <w:rPr>
          <w:rFonts w:ascii="Arial" w:cs="Arial" w:eastAsia="Arial" w:hAnsi="Arial"/>
          <w:sz w:val="21"/>
          <w:szCs w:val="21"/>
          <w:i w:val="1"/>
          <w:iCs w:val="1"/>
          <w:color w:val="auto"/>
        </w:rPr>
        <w:t xml:space="preserve"> </w:t>
      </w:r>
      <w:r>
        <w:rPr>
          <w:rFonts w:ascii="Arial" w:cs="Arial" w:eastAsia="Arial" w:hAnsi="Arial"/>
          <w:sz w:val="27"/>
          <w:szCs w:val="27"/>
          <w:color w:val="auto"/>
          <w:vertAlign w:val="superscript"/>
        </w:rPr>
        <w:t>3</w:t>
      </w:r>
      <w:r>
        <w:rPr>
          <w:rFonts w:ascii="Arial" w:cs="Arial" w:eastAsia="Arial" w:hAnsi="Arial"/>
          <w:sz w:val="21"/>
          <w:szCs w:val="21"/>
          <w:color w:val="auto"/>
        </w:rPr>
        <w:t>[Foreign</w:t>
      </w:r>
      <w:r>
        <w:rPr>
          <w:rFonts w:ascii="Arial" w:cs="Arial" w:eastAsia="Arial" w:hAnsi="Arial"/>
          <w:sz w:val="21"/>
          <w:szCs w:val="21"/>
          <w:i w:val="1"/>
          <w:iCs w:val="1"/>
          <w:color w:val="auto"/>
        </w:rPr>
        <w:t xml:space="preserve"> </w:t>
      </w:r>
      <w:r>
        <w:rPr>
          <w:rFonts w:ascii="Arial" w:cs="Arial" w:eastAsia="Arial" w:hAnsi="Arial"/>
          <w:sz w:val="21"/>
          <w:szCs w:val="21"/>
          <w:color w:val="auto"/>
        </w:rPr>
        <w:t>portfolio Investor] shall be deemed to be a promoter of its subsidiary and of the mutual funds sponsored by it.</w:t>
      </w:r>
    </w:p>
    <w:p>
      <w:pPr>
        <w:spacing w:after="0" w:line="289" w:lineRule="exact"/>
        <w:rPr>
          <w:sz w:val="20"/>
          <w:szCs w:val="20"/>
          <w:color w:val="auto"/>
        </w:rPr>
      </w:pPr>
    </w:p>
    <w:p>
      <w:pPr>
        <w:jc w:val="both"/>
        <w:ind w:left="1400" w:right="660" w:hanging="319"/>
        <w:spacing w:after="0" w:line="264" w:lineRule="auto"/>
        <w:tabs>
          <w:tab w:leader="none" w:pos="1400" w:val="left"/>
        </w:tabs>
        <w:numPr>
          <w:ilvl w:val="0"/>
          <w:numId w:val="14"/>
        </w:numPr>
        <w:rPr>
          <w:rFonts w:ascii="Arial" w:cs="Arial" w:eastAsia="Arial" w:hAnsi="Arial"/>
          <w:sz w:val="20"/>
          <w:szCs w:val="20"/>
          <w:color w:val="auto"/>
        </w:rPr>
      </w:pPr>
      <w:r>
        <w:rPr>
          <w:rFonts w:ascii="Arial" w:cs="Arial" w:eastAsia="Arial" w:hAnsi="Arial"/>
          <w:sz w:val="20"/>
          <w:szCs w:val="20"/>
          <w:color w:val="auto"/>
        </w:rPr>
        <w:t>‘recognised stock exchange’ means a stock exchange which has been granted recognition under section 4 of the Securities Contracts (Regulation) Act, 1956;</w:t>
      </w:r>
    </w:p>
    <w:p>
      <w:pPr>
        <w:spacing w:after="0" w:line="266" w:lineRule="exact"/>
        <w:rPr>
          <w:rFonts w:ascii="Arial" w:cs="Arial" w:eastAsia="Arial" w:hAnsi="Arial"/>
          <w:sz w:val="20"/>
          <w:szCs w:val="20"/>
          <w:color w:val="auto"/>
        </w:rPr>
      </w:pPr>
    </w:p>
    <w:p>
      <w:pPr>
        <w:ind w:left="1400" w:right="360" w:hanging="319"/>
        <w:spacing w:after="0" w:line="246" w:lineRule="auto"/>
        <w:tabs>
          <w:tab w:leader="none" w:pos="1400" w:val="left"/>
        </w:tabs>
        <w:numPr>
          <w:ilvl w:val="0"/>
          <w:numId w:val="14"/>
        </w:numPr>
        <w:rPr>
          <w:rFonts w:ascii="Arial" w:cs="Arial" w:eastAsia="Arial" w:hAnsi="Arial"/>
          <w:sz w:val="21"/>
          <w:szCs w:val="21"/>
          <w:color w:val="auto"/>
        </w:rPr>
      </w:pPr>
      <w:r>
        <w:rPr>
          <w:rFonts w:ascii="Arial" w:cs="Arial" w:eastAsia="Arial" w:hAnsi="Arial"/>
          <w:sz w:val="21"/>
          <w:szCs w:val="21"/>
          <w:color w:val="auto"/>
        </w:rPr>
        <w:t>‘relative’ in relation to a natural person means his spouse, dependant children and dependent parents;</w:t>
      </w:r>
    </w:p>
    <w:p>
      <w:pPr>
        <w:spacing w:after="0" w:line="283" w:lineRule="exact"/>
        <w:rPr>
          <w:rFonts w:ascii="Arial" w:cs="Arial" w:eastAsia="Arial" w:hAnsi="Arial"/>
          <w:sz w:val="21"/>
          <w:szCs w:val="21"/>
          <w:color w:val="auto"/>
        </w:rPr>
      </w:pPr>
    </w:p>
    <w:p>
      <w:pPr>
        <w:ind w:left="1400" w:right="320" w:hanging="319"/>
        <w:spacing w:after="0" w:line="245" w:lineRule="auto"/>
        <w:tabs>
          <w:tab w:leader="none" w:pos="1400" w:val="left"/>
        </w:tabs>
        <w:numPr>
          <w:ilvl w:val="0"/>
          <w:numId w:val="14"/>
        </w:numPr>
        <w:rPr>
          <w:rFonts w:ascii="Arial" w:cs="Arial" w:eastAsia="Arial" w:hAnsi="Arial"/>
          <w:sz w:val="21"/>
          <w:szCs w:val="21"/>
          <w:color w:val="auto"/>
        </w:rPr>
      </w:pPr>
      <w:r>
        <w:rPr>
          <w:rFonts w:ascii="Arial" w:cs="Arial" w:eastAsia="Arial" w:hAnsi="Arial"/>
          <w:sz w:val="21"/>
          <w:szCs w:val="21"/>
          <w:color w:val="auto"/>
        </w:rPr>
        <w:t>‘related persons’ means the persons specified in clause (</w:t>
      </w:r>
      <w:r>
        <w:rPr>
          <w:rFonts w:ascii="Arial" w:cs="Arial" w:eastAsia="Arial" w:hAnsi="Arial"/>
          <w:sz w:val="21"/>
          <w:szCs w:val="21"/>
          <w:i w:val="1"/>
          <w:iCs w:val="1"/>
          <w:color w:val="auto"/>
        </w:rPr>
        <w:t>b</w:t>
      </w:r>
      <w:r>
        <w:rPr>
          <w:rFonts w:ascii="Arial" w:cs="Arial" w:eastAsia="Arial" w:hAnsi="Arial"/>
          <w:sz w:val="21"/>
          <w:szCs w:val="21"/>
          <w:color w:val="auto"/>
        </w:rPr>
        <w:t>) of sub-regulation (1) of regulation 4 in respect of an intermediary or other entity and persons specified in clause (</w:t>
      </w:r>
      <w:r>
        <w:rPr>
          <w:rFonts w:ascii="Arial" w:cs="Arial" w:eastAsia="Arial" w:hAnsi="Arial"/>
          <w:sz w:val="21"/>
          <w:szCs w:val="21"/>
          <w:i w:val="1"/>
          <w:iCs w:val="1"/>
          <w:color w:val="auto"/>
        </w:rPr>
        <w:t>b</w:t>
      </w:r>
      <w:r>
        <w:rPr>
          <w:rFonts w:ascii="Arial" w:cs="Arial" w:eastAsia="Arial" w:hAnsi="Arial"/>
          <w:sz w:val="21"/>
          <w:szCs w:val="21"/>
          <w:color w:val="auto"/>
        </w:rPr>
        <w:t>) of regulation 5 in respect of a listed company or a company intending to get its securities listed;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104140</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8.2pt" to="162.05pt,8.2pt" o:allowincell="f" strokecolor="#000000" strokeweight="0.48pt"/>
            </w:pict>
          </mc:Fallback>
        </mc:AlternateContent>
      </w:r>
    </w:p>
    <w:p>
      <w:pPr>
        <w:spacing w:after="0" w:line="273" w:lineRule="exact"/>
        <w:rPr>
          <w:sz w:val="20"/>
          <w:szCs w:val="20"/>
          <w:color w:val="auto"/>
        </w:rPr>
      </w:pPr>
    </w:p>
    <w:p>
      <w:pPr>
        <w:ind w:left="360" w:right="160" w:hanging="14"/>
        <w:spacing w:after="0" w:line="215" w:lineRule="auto"/>
        <w:tabs>
          <w:tab w:leader="none" w:pos="485" w:val="left"/>
        </w:tabs>
        <w:numPr>
          <w:ilvl w:val="0"/>
          <w:numId w:val="15"/>
        </w:numPr>
        <w:rPr>
          <w:rFonts w:ascii="Arial" w:cs="Arial" w:eastAsia="Arial" w:hAnsi="Arial"/>
          <w:sz w:val="28"/>
          <w:szCs w:val="28"/>
          <w:color w:val="auto"/>
          <w:vertAlign w:val="superscript"/>
        </w:rPr>
      </w:pPr>
      <w:r>
        <w:rPr>
          <w:rFonts w:ascii="Times New Roman" w:cs="Times New Roman" w:eastAsia="Times New Roman" w:hAnsi="Times New Roman"/>
          <w:sz w:val="20"/>
          <w:szCs w:val="20"/>
          <w:color w:val="auto"/>
        </w:rPr>
        <w:t>Substituted, by the SEBI (Central Database of Market Participants) (Amendment) Regulations, 2004, vide S.O. No. 854(E) dated 21-7-2004. Prior to its substitution, item (iv) read as under:- “(iv) any firm in which the aggregate of his holding and the holdings of the persons mentioned in sub-clause (i) is more”.</w:t>
      </w:r>
    </w:p>
    <w:p>
      <w:pPr>
        <w:spacing w:after="0" w:line="24" w:lineRule="exact"/>
        <w:rPr>
          <w:rFonts w:ascii="Arial" w:cs="Arial" w:eastAsia="Arial" w:hAnsi="Arial"/>
          <w:sz w:val="28"/>
          <w:szCs w:val="28"/>
          <w:color w:val="auto"/>
          <w:vertAlign w:val="superscript"/>
        </w:rPr>
      </w:pPr>
    </w:p>
    <w:p>
      <w:pPr>
        <w:ind w:left="380" w:right="200" w:hanging="20"/>
        <w:spacing w:after="0" w:line="204" w:lineRule="auto"/>
        <w:tabs>
          <w:tab w:leader="none" w:pos="501" w:val="left"/>
        </w:tabs>
        <w:numPr>
          <w:ilvl w:val="0"/>
          <w:numId w:val="15"/>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Substituted for "Foreign Institutional Investor" by the SEBI (Foreign Portfolio Investors) Regulations, 2014, w.e.f. 7-1-2014.</w:t>
      </w:r>
    </w:p>
    <w:p>
      <w:pPr>
        <w:spacing w:after="0" w:line="11" w:lineRule="exact"/>
        <w:rPr>
          <w:rFonts w:ascii="Arial" w:cs="Arial" w:eastAsia="Arial" w:hAnsi="Arial"/>
          <w:sz w:val="26"/>
          <w:szCs w:val="26"/>
          <w:color w:val="auto"/>
          <w:vertAlign w:val="superscript"/>
        </w:rPr>
      </w:pPr>
    </w:p>
    <w:p>
      <w:pPr>
        <w:ind w:left="380" w:right="200" w:hanging="20"/>
        <w:spacing w:after="0" w:line="205" w:lineRule="auto"/>
        <w:tabs>
          <w:tab w:leader="none" w:pos="501" w:val="left"/>
        </w:tabs>
        <w:numPr>
          <w:ilvl w:val="0"/>
          <w:numId w:val="15"/>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Substituted for "Foreign Institutional Investor" by the SEBI (Foreign Portfolio Investors) Regulations, 2014, w.e.f. 7-1-2014.</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376"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4 of 13</w:t>
      </w:r>
    </w:p>
    <w:p>
      <w:pPr>
        <w:sectPr>
          <w:pgSz w:w="12240" w:h="15840" w:orient="portrait"/>
          <w:cols w:equalWidth="0" w:num="1">
            <w:col w:w="9360"/>
          </w:cols>
          <w:pgMar w:left="1440" w:top="1440" w:right="1440" w:bottom="166" w:gutter="0" w:footer="0" w:header="0"/>
          <w:type w:val="continuous"/>
        </w:sectPr>
      </w:pPr>
    </w:p>
    <w:bookmarkStart w:id="4" w:name="page5"/>
    <w:bookmarkEnd w:id="4"/>
    <w:p>
      <w:pPr>
        <w:spacing w:after="0" w:line="43" w:lineRule="exact"/>
        <w:rPr>
          <w:sz w:val="20"/>
          <w:szCs w:val="20"/>
          <w:color w:val="auto"/>
        </w:rPr>
      </w:pPr>
    </w:p>
    <w:p>
      <w:pPr>
        <w:ind w:left="1400" w:hanging="319"/>
        <w:spacing w:after="0"/>
        <w:tabs>
          <w:tab w:leader="none" w:pos="1400" w:val="left"/>
        </w:tabs>
        <w:numPr>
          <w:ilvl w:val="0"/>
          <w:numId w:val="16"/>
        </w:numPr>
        <w:rPr>
          <w:rFonts w:ascii="Arial" w:cs="Arial" w:eastAsia="Arial" w:hAnsi="Arial"/>
          <w:sz w:val="21"/>
          <w:szCs w:val="21"/>
          <w:color w:val="auto"/>
        </w:rPr>
      </w:pPr>
      <w:r>
        <w:rPr>
          <w:rFonts w:ascii="Arial" w:cs="Arial" w:eastAsia="Arial" w:hAnsi="Arial"/>
          <w:sz w:val="21"/>
          <w:szCs w:val="21"/>
          <w:color w:val="auto"/>
        </w:rPr>
        <w:t>‘Schedule’ means a Schedule annexed to these regulations;</w:t>
      </w:r>
    </w:p>
    <w:p>
      <w:pPr>
        <w:spacing w:after="0" w:line="289" w:lineRule="exact"/>
        <w:rPr>
          <w:rFonts w:ascii="Arial" w:cs="Arial" w:eastAsia="Arial" w:hAnsi="Arial"/>
          <w:sz w:val="21"/>
          <w:szCs w:val="21"/>
          <w:color w:val="auto"/>
        </w:rPr>
      </w:pPr>
    </w:p>
    <w:p>
      <w:pPr>
        <w:ind w:left="1400" w:right="600" w:hanging="319"/>
        <w:spacing w:after="0"/>
        <w:tabs>
          <w:tab w:leader="none" w:pos="1400" w:val="left"/>
        </w:tabs>
        <w:numPr>
          <w:ilvl w:val="0"/>
          <w:numId w:val="16"/>
        </w:numPr>
        <w:rPr>
          <w:rFonts w:ascii="Arial" w:cs="Arial" w:eastAsia="Arial" w:hAnsi="Arial"/>
          <w:sz w:val="21"/>
          <w:szCs w:val="21"/>
          <w:color w:val="auto"/>
        </w:rPr>
      </w:pPr>
      <w:r>
        <w:rPr>
          <w:rFonts w:ascii="Arial" w:cs="Arial" w:eastAsia="Arial" w:hAnsi="Arial"/>
          <w:sz w:val="21"/>
          <w:szCs w:val="21"/>
          <w:color w:val="auto"/>
        </w:rPr>
        <w:t>‘securities’ means securities as defined in clause (</w:t>
      </w:r>
      <w:r>
        <w:rPr>
          <w:rFonts w:ascii="Arial" w:cs="Arial" w:eastAsia="Arial" w:hAnsi="Arial"/>
          <w:sz w:val="21"/>
          <w:szCs w:val="21"/>
          <w:i w:val="1"/>
          <w:iCs w:val="1"/>
          <w:color w:val="auto"/>
        </w:rPr>
        <w:t>h</w:t>
      </w:r>
      <w:r>
        <w:rPr>
          <w:rFonts w:ascii="Arial" w:cs="Arial" w:eastAsia="Arial" w:hAnsi="Arial"/>
          <w:sz w:val="21"/>
          <w:szCs w:val="21"/>
          <w:color w:val="auto"/>
        </w:rPr>
        <w:t>) of the Securities Contracts (Regulation) Act, 1956;</w:t>
      </w:r>
    </w:p>
    <w:p>
      <w:pPr>
        <w:spacing w:after="0" w:line="295" w:lineRule="exact"/>
        <w:rPr>
          <w:rFonts w:ascii="Arial" w:cs="Arial" w:eastAsia="Arial" w:hAnsi="Arial"/>
          <w:sz w:val="21"/>
          <w:szCs w:val="21"/>
          <w:color w:val="auto"/>
        </w:rPr>
      </w:pPr>
    </w:p>
    <w:p>
      <w:pPr>
        <w:ind w:left="1400" w:right="120" w:hanging="319"/>
        <w:spacing w:after="0" w:line="244" w:lineRule="auto"/>
        <w:tabs>
          <w:tab w:leader="none" w:pos="1400" w:val="left"/>
        </w:tabs>
        <w:numPr>
          <w:ilvl w:val="0"/>
          <w:numId w:val="16"/>
        </w:numPr>
        <w:rPr>
          <w:rFonts w:ascii="Arial" w:cs="Arial" w:eastAsia="Arial" w:hAnsi="Arial"/>
          <w:sz w:val="21"/>
          <w:szCs w:val="21"/>
          <w:color w:val="auto"/>
        </w:rPr>
      </w:pPr>
      <w:r>
        <w:rPr>
          <w:rFonts w:ascii="Arial" w:cs="Arial" w:eastAsia="Arial" w:hAnsi="Arial"/>
          <w:sz w:val="21"/>
          <w:szCs w:val="21"/>
          <w:color w:val="auto"/>
        </w:rPr>
        <w:t>‘self-regulatory organization’ means an organization of intermediaries which is representing a particular segment of the securities market and formed as a company duly recognized with the Board and excludes a stock exchange;</w:t>
      </w:r>
    </w:p>
    <w:p>
      <w:pPr>
        <w:spacing w:after="0" w:line="285" w:lineRule="exact"/>
        <w:rPr>
          <w:rFonts w:ascii="Arial" w:cs="Arial" w:eastAsia="Arial" w:hAnsi="Arial"/>
          <w:sz w:val="21"/>
          <w:szCs w:val="21"/>
          <w:color w:val="auto"/>
        </w:rPr>
      </w:pPr>
    </w:p>
    <w:p>
      <w:pPr>
        <w:ind w:left="1400" w:right="220" w:hanging="319"/>
        <w:spacing w:after="0" w:line="244" w:lineRule="auto"/>
        <w:tabs>
          <w:tab w:leader="none" w:pos="1400" w:val="left"/>
        </w:tabs>
        <w:numPr>
          <w:ilvl w:val="0"/>
          <w:numId w:val="16"/>
        </w:numPr>
        <w:rPr>
          <w:rFonts w:ascii="Arial" w:cs="Arial" w:eastAsia="Arial" w:hAnsi="Arial"/>
          <w:sz w:val="21"/>
          <w:szCs w:val="21"/>
          <w:color w:val="auto"/>
        </w:rPr>
      </w:pPr>
      <w:r>
        <w:rPr>
          <w:rFonts w:ascii="Arial" w:cs="Arial" w:eastAsia="Arial" w:hAnsi="Arial"/>
          <w:sz w:val="21"/>
          <w:szCs w:val="21"/>
          <w:color w:val="auto"/>
        </w:rPr>
        <w:t>‘specified intermediaries’ mean such intermediaries or other entities as may be specified by the Board in the notification published in the official gazette pursuant to sub-regulation (1) of regulation 4;</w:t>
      </w:r>
    </w:p>
    <w:p>
      <w:pPr>
        <w:spacing w:after="0" w:line="286" w:lineRule="exact"/>
        <w:rPr>
          <w:rFonts w:ascii="Arial" w:cs="Arial" w:eastAsia="Arial" w:hAnsi="Arial"/>
          <w:sz w:val="21"/>
          <w:szCs w:val="21"/>
          <w:color w:val="auto"/>
        </w:rPr>
      </w:pPr>
    </w:p>
    <w:p>
      <w:pPr>
        <w:ind w:left="1400" w:right="340" w:hanging="319"/>
        <w:spacing w:after="0" w:line="231" w:lineRule="auto"/>
        <w:tabs>
          <w:tab w:leader="none" w:pos="1400" w:val="left"/>
        </w:tabs>
        <w:numPr>
          <w:ilvl w:val="0"/>
          <w:numId w:val="16"/>
        </w:numPr>
        <w:rPr>
          <w:rFonts w:ascii="Arial" w:cs="Arial" w:eastAsia="Arial" w:hAnsi="Arial"/>
          <w:sz w:val="20"/>
          <w:szCs w:val="20"/>
          <w:color w:val="auto"/>
        </w:rPr>
      </w:pPr>
      <w:r>
        <w:rPr>
          <w:rFonts w:ascii="Arial" w:cs="Arial" w:eastAsia="Arial" w:hAnsi="Arial"/>
          <w:sz w:val="20"/>
          <w:szCs w:val="20"/>
          <w:color w:val="auto"/>
        </w:rPr>
        <w:t xml:space="preserve">‘specified investors’ mean such investors as may be specified by the Board in the notification published in the official gazette pursuant to </w:t>
      </w:r>
      <w:r>
        <w:rPr>
          <w:rFonts w:ascii="Arial" w:cs="Arial" w:eastAsia="Arial" w:hAnsi="Arial"/>
          <w:sz w:val="26"/>
          <w:szCs w:val="26"/>
          <w:color w:val="auto"/>
          <w:vertAlign w:val="superscript"/>
        </w:rPr>
        <w:t>1</w:t>
      </w:r>
      <w:r>
        <w:rPr>
          <w:rFonts w:ascii="Arial" w:cs="Arial" w:eastAsia="Arial" w:hAnsi="Arial"/>
          <w:sz w:val="20"/>
          <w:szCs w:val="20"/>
          <w:b w:val="1"/>
          <w:bCs w:val="1"/>
          <w:color w:val="auto"/>
        </w:rPr>
        <w:t>[</w:t>
      </w:r>
      <w:r>
        <w:rPr>
          <w:rFonts w:ascii="Arial" w:cs="Arial" w:eastAsia="Arial" w:hAnsi="Arial"/>
          <w:sz w:val="20"/>
          <w:szCs w:val="20"/>
          <w:i w:val="1"/>
          <w:iCs w:val="1"/>
          <w:color w:val="auto"/>
        </w:rPr>
        <w:t>sub-regulations (1), (2) or</w:t>
      </w:r>
    </w:p>
    <w:p>
      <w:pPr>
        <w:ind w:left="1400"/>
        <w:spacing w:after="0" w:line="226" w:lineRule="auto"/>
        <w:rPr>
          <w:rFonts w:ascii="Arial" w:cs="Arial" w:eastAsia="Arial" w:hAnsi="Arial"/>
          <w:sz w:val="20"/>
          <w:szCs w:val="20"/>
          <w:color w:val="auto"/>
        </w:rPr>
      </w:pPr>
      <w:r>
        <w:rPr>
          <w:rFonts w:ascii="Arial" w:cs="Arial" w:eastAsia="Arial" w:hAnsi="Arial"/>
          <w:sz w:val="21"/>
          <w:szCs w:val="21"/>
          <w:i w:val="1"/>
          <w:iCs w:val="1"/>
          <w:color w:val="auto"/>
        </w:rPr>
        <w:t>(3) of regulation 6</w:t>
      </w:r>
      <w:r>
        <w:rPr>
          <w:rFonts w:ascii="Arial" w:cs="Arial" w:eastAsia="Arial" w:hAnsi="Arial"/>
          <w:sz w:val="21"/>
          <w:szCs w:val="21"/>
          <w:b w:val="1"/>
          <w:bCs w:val="1"/>
          <w:color w:val="auto"/>
        </w:rPr>
        <w:t>]</w:t>
      </w:r>
      <w:r>
        <w:rPr>
          <w:rFonts w:ascii="Arial" w:cs="Arial" w:eastAsia="Arial" w:hAnsi="Arial"/>
          <w:sz w:val="21"/>
          <w:szCs w:val="21"/>
          <w:color w:val="auto"/>
        </w:rPr>
        <w:t>;</w:t>
      </w:r>
    </w:p>
    <w:p>
      <w:pPr>
        <w:spacing w:after="0" w:line="290" w:lineRule="exact"/>
        <w:rPr>
          <w:rFonts w:ascii="Arial" w:cs="Arial" w:eastAsia="Arial" w:hAnsi="Arial"/>
          <w:sz w:val="20"/>
          <w:szCs w:val="20"/>
          <w:color w:val="auto"/>
        </w:rPr>
      </w:pPr>
    </w:p>
    <w:p>
      <w:pPr>
        <w:ind w:left="1400" w:right="180" w:hanging="319"/>
        <w:spacing w:after="0" w:line="264" w:lineRule="auto"/>
        <w:tabs>
          <w:tab w:leader="none" w:pos="1400" w:val="left"/>
        </w:tabs>
        <w:numPr>
          <w:ilvl w:val="0"/>
          <w:numId w:val="16"/>
        </w:numPr>
        <w:rPr>
          <w:rFonts w:ascii="Arial" w:cs="Arial" w:eastAsia="Arial" w:hAnsi="Arial"/>
          <w:sz w:val="20"/>
          <w:szCs w:val="20"/>
          <w:color w:val="auto"/>
        </w:rPr>
      </w:pPr>
      <w:r>
        <w:rPr>
          <w:rFonts w:ascii="Arial" w:cs="Arial" w:eastAsia="Arial" w:hAnsi="Arial"/>
          <w:sz w:val="20"/>
          <w:szCs w:val="20"/>
          <w:color w:val="auto"/>
        </w:rPr>
        <w:t>‘specified listed company’ means such companies as may be specified by the board in the notification published in the official gazette pursuant to regulation 5; and</w:t>
      </w:r>
    </w:p>
    <w:p>
      <w:pPr>
        <w:spacing w:after="0" w:line="266" w:lineRule="exact"/>
        <w:rPr>
          <w:rFonts w:ascii="Arial" w:cs="Arial" w:eastAsia="Arial" w:hAnsi="Arial"/>
          <w:sz w:val="20"/>
          <w:szCs w:val="20"/>
          <w:color w:val="auto"/>
        </w:rPr>
      </w:pPr>
    </w:p>
    <w:p>
      <w:pPr>
        <w:ind w:left="1400" w:right="740" w:hanging="319"/>
        <w:spacing w:after="0" w:line="264" w:lineRule="auto"/>
        <w:tabs>
          <w:tab w:leader="none" w:pos="1400" w:val="left"/>
        </w:tabs>
        <w:numPr>
          <w:ilvl w:val="0"/>
          <w:numId w:val="16"/>
        </w:numPr>
        <w:rPr>
          <w:rFonts w:ascii="Arial" w:cs="Arial" w:eastAsia="Arial" w:hAnsi="Arial"/>
          <w:sz w:val="20"/>
          <w:szCs w:val="20"/>
          <w:color w:val="auto"/>
        </w:rPr>
      </w:pPr>
      <w:r>
        <w:rPr>
          <w:rFonts w:ascii="Arial" w:cs="Arial" w:eastAsia="Arial" w:hAnsi="Arial"/>
          <w:sz w:val="20"/>
          <w:szCs w:val="20"/>
          <w:color w:val="auto"/>
        </w:rPr>
        <w:t>unique identification number means the identification number generated in the Central Database for and allotted to each applicant under these regulations.</w:t>
      </w:r>
    </w:p>
    <w:p>
      <w:pPr>
        <w:spacing w:after="0" w:line="267" w:lineRule="exact"/>
        <w:rPr>
          <w:sz w:val="20"/>
          <w:szCs w:val="20"/>
          <w:color w:val="auto"/>
        </w:rPr>
      </w:pPr>
    </w:p>
    <w:p>
      <w:pPr>
        <w:ind w:left="360" w:right="1000" w:hanging="9"/>
        <w:spacing w:after="0" w:line="245" w:lineRule="auto"/>
        <w:rPr>
          <w:sz w:val="20"/>
          <w:szCs w:val="20"/>
          <w:color w:val="auto"/>
        </w:rPr>
      </w:pPr>
      <w:r>
        <w:rPr>
          <w:rFonts w:ascii="Arial" w:cs="Arial" w:eastAsia="Arial" w:hAnsi="Arial"/>
          <w:sz w:val="21"/>
          <w:szCs w:val="21"/>
          <w:color w:val="auto"/>
        </w:rPr>
        <w:t>(2)(</w:t>
      </w:r>
      <w:r>
        <w:rPr>
          <w:rFonts w:ascii="Arial" w:cs="Arial" w:eastAsia="Arial" w:hAnsi="Arial"/>
          <w:sz w:val="21"/>
          <w:szCs w:val="21"/>
          <w:i w:val="1"/>
          <w:iCs w:val="1"/>
          <w:color w:val="auto"/>
        </w:rPr>
        <w:t>a</w:t>
      </w:r>
      <w:r>
        <w:rPr>
          <w:rFonts w:ascii="Arial" w:cs="Arial" w:eastAsia="Arial" w:hAnsi="Arial"/>
          <w:sz w:val="21"/>
          <w:szCs w:val="21"/>
          <w:color w:val="auto"/>
        </w:rPr>
        <w:t>) Words and expressions used and not defined in these regulations shall have the meanings, if any, respectively assigned to them under the Act.</w:t>
      </w:r>
    </w:p>
    <w:p>
      <w:pPr>
        <w:spacing w:after="0" w:line="285" w:lineRule="exact"/>
        <w:rPr>
          <w:sz w:val="20"/>
          <w:szCs w:val="20"/>
          <w:color w:val="auto"/>
        </w:rPr>
      </w:pPr>
    </w:p>
    <w:p>
      <w:pPr>
        <w:ind w:left="380" w:right="100" w:hanging="20"/>
        <w:spacing w:after="0" w:line="244" w:lineRule="auto"/>
        <w:tabs>
          <w:tab w:leader="none" w:pos="1091" w:val="left"/>
        </w:tabs>
        <w:numPr>
          <w:ilvl w:val="0"/>
          <w:numId w:val="17"/>
        </w:numPr>
        <w:rPr>
          <w:rFonts w:ascii="Arial" w:cs="Arial" w:eastAsia="Arial" w:hAnsi="Arial"/>
          <w:sz w:val="21"/>
          <w:szCs w:val="21"/>
          <w:color w:val="auto"/>
        </w:rPr>
      </w:pPr>
      <w:r>
        <w:rPr>
          <w:rFonts w:ascii="Arial" w:cs="Arial" w:eastAsia="Arial" w:hAnsi="Arial"/>
          <w:sz w:val="21"/>
          <w:szCs w:val="21"/>
          <w:color w:val="auto"/>
        </w:rPr>
        <w:t>Words and expressions used and not defined either in these regulations or the Act, shall have the meanings, if any, respectively assigned to them in the Securities Contracts (Regulation) Act, 1956 or any statutory modification or re-enactment thereof.</w:t>
      </w:r>
    </w:p>
    <w:p>
      <w:pPr>
        <w:spacing w:after="0" w:line="286" w:lineRule="exact"/>
        <w:rPr>
          <w:rFonts w:ascii="Arial" w:cs="Arial" w:eastAsia="Arial" w:hAnsi="Arial"/>
          <w:sz w:val="21"/>
          <w:szCs w:val="21"/>
          <w:color w:val="auto"/>
        </w:rPr>
      </w:pPr>
    </w:p>
    <w:p>
      <w:pPr>
        <w:ind w:left="380" w:right="100" w:hanging="20"/>
        <w:spacing w:after="0" w:line="247" w:lineRule="auto"/>
        <w:tabs>
          <w:tab w:leader="none" w:pos="1091" w:val="left"/>
        </w:tabs>
        <w:numPr>
          <w:ilvl w:val="0"/>
          <w:numId w:val="17"/>
        </w:numPr>
        <w:rPr>
          <w:rFonts w:ascii="Arial" w:cs="Arial" w:eastAsia="Arial" w:hAnsi="Arial"/>
          <w:sz w:val="21"/>
          <w:szCs w:val="21"/>
          <w:color w:val="auto"/>
        </w:rPr>
      </w:pPr>
      <w:r>
        <w:rPr>
          <w:rFonts w:ascii="Arial" w:cs="Arial" w:eastAsia="Arial" w:hAnsi="Arial"/>
          <w:sz w:val="21"/>
          <w:szCs w:val="21"/>
          <w:color w:val="auto"/>
        </w:rPr>
        <w:t>Words and expressions used and not defined either in these regulations, or in the Act or in the Securities Contracts (Regulation) Act, 1956 shall have the meanings, if any, respectively assigned to them under the Companies Act, 1956, or any statutory modification or re-enactment thereof.</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279"/>
        <w:spacing w:after="0"/>
        <w:rPr>
          <w:sz w:val="20"/>
          <w:szCs w:val="20"/>
          <w:color w:val="auto"/>
        </w:rPr>
      </w:pPr>
      <w:r>
        <w:rPr>
          <w:rFonts w:ascii="Arial" w:cs="Arial" w:eastAsia="Arial" w:hAnsi="Arial"/>
          <w:sz w:val="21"/>
          <w:szCs w:val="21"/>
          <w:b w:val="1"/>
          <w:bCs w:val="1"/>
          <w:color w:val="auto"/>
        </w:rPr>
        <w:t>Chapter II</w:t>
      </w:r>
    </w:p>
    <w:p>
      <w:pPr>
        <w:spacing w:after="0" w:line="282" w:lineRule="exact"/>
        <w:rPr>
          <w:sz w:val="20"/>
          <w:szCs w:val="20"/>
          <w:color w:val="auto"/>
        </w:rPr>
      </w:pPr>
    </w:p>
    <w:p>
      <w:pPr>
        <w:ind w:left="1380"/>
        <w:spacing w:after="0"/>
        <w:rPr>
          <w:sz w:val="20"/>
          <w:szCs w:val="20"/>
          <w:color w:val="auto"/>
        </w:rPr>
      </w:pPr>
      <w:r>
        <w:rPr>
          <w:rFonts w:ascii="Arial" w:cs="Arial" w:eastAsia="Arial" w:hAnsi="Arial"/>
          <w:sz w:val="21"/>
          <w:szCs w:val="21"/>
          <w:b w:val="1"/>
          <w:bCs w:val="1"/>
          <w:color w:val="auto"/>
        </w:rPr>
        <w:t>REQUIREMENT OF OBTAINING UNIQUE IDENTIFICATION NUMBERS</w:t>
      </w:r>
    </w:p>
    <w:p>
      <w:pPr>
        <w:spacing w:after="0" w:line="277"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Unique Identification Numbers for market participants</w:t>
      </w:r>
    </w:p>
    <w:p>
      <w:pPr>
        <w:spacing w:after="0" w:line="285" w:lineRule="exact"/>
        <w:rPr>
          <w:sz w:val="20"/>
          <w:szCs w:val="20"/>
          <w:color w:val="auto"/>
        </w:rPr>
      </w:pPr>
    </w:p>
    <w:p>
      <w:pPr>
        <w:ind w:left="360" w:right="240" w:hanging="14"/>
        <w:spacing w:after="0" w:line="244" w:lineRule="auto"/>
        <w:tabs>
          <w:tab w:leader="none" w:pos="586" w:val="left"/>
        </w:tabs>
        <w:numPr>
          <w:ilvl w:val="0"/>
          <w:numId w:val="18"/>
        </w:numPr>
        <w:rPr>
          <w:rFonts w:ascii="Arial" w:cs="Arial" w:eastAsia="Arial" w:hAnsi="Arial"/>
          <w:sz w:val="21"/>
          <w:szCs w:val="21"/>
          <w:b w:val="1"/>
          <w:bCs w:val="1"/>
          <w:color w:val="auto"/>
        </w:rPr>
      </w:pPr>
      <w:r>
        <w:rPr>
          <w:rFonts w:ascii="Arial" w:cs="Arial" w:eastAsia="Arial" w:hAnsi="Arial"/>
          <w:sz w:val="21"/>
          <w:szCs w:val="21"/>
          <w:color w:val="auto"/>
        </w:rPr>
        <w:t>Every specified intermediary, other entity, specified listed company and specified investor shall make application for allotment of unique identification numbers for itself and for its related persons in accordance with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292735</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3.05pt" to="162.05pt,23.05pt" o:allowincell="f" strokecolor="#000000" strokeweight="0.48pt"/>
            </w:pict>
          </mc:Fallback>
        </mc:AlternateContent>
      </w:r>
    </w:p>
    <w:p>
      <w:pPr>
        <w:spacing w:after="0" w:line="200" w:lineRule="exact"/>
        <w:rPr>
          <w:sz w:val="20"/>
          <w:szCs w:val="20"/>
          <w:color w:val="auto"/>
        </w:rPr>
      </w:pPr>
    </w:p>
    <w:p>
      <w:pPr>
        <w:spacing w:after="0" w:line="274" w:lineRule="exact"/>
        <w:rPr>
          <w:sz w:val="20"/>
          <w:szCs w:val="20"/>
          <w:color w:val="auto"/>
        </w:rPr>
      </w:pPr>
    </w:p>
    <w:p>
      <w:pPr>
        <w:ind w:left="480" w:hanging="134"/>
        <w:spacing w:after="0"/>
        <w:tabs>
          <w:tab w:leader="none" w:pos="480" w:val="left"/>
        </w:tabs>
        <w:numPr>
          <w:ilvl w:val="0"/>
          <w:numId w:val="19"/>
        </w:numPr>
        <w:rPr>
          <w:rFonts w:ascii="Arial" w:cs="Arial" w:eastAsia="Arial" w:hAnsi="Arial"/>
          <w:sz w:val="28"/>
          <w:szCs w:val="28"/>
          <w:color w:val="auto"/>
          <w:vertAlign w:val="superscript"/>
        </w:rPr>
      </w:pPr>
      <w:r>
        <w:rPr>
          <w:rFonts w:ascii="Times New Roman" w:cs="Times New Roman" w:eastAsia="Times New Roman" w:hAnsi="Times New Roman"/>
          <w:sz w:val="20"/>
          <w:szCs w:val="20"/>
          <w:color w:val="auto"/>
        </w:rPr>
        <w:t>Substituted for “sub-regulation (1) of regulation 6” by the SEBI (Central Database of Market Participants)</w:t>
      </w:r>
    </w:p>
    <w:p>
      <w:pPr>
        <w:spacing w:after="0" w:line="11" w:lineRule="exact"/>
        <w:rPr>
          <w:sz w:val="20"/>
          <w:szCs w:val="20"/>
          <w:color w:val="auto"/>
        </w:rPr>
      </w:pPr>
    </w:p>
    <w:p>
      <w:pPr>
        <w:ind w:left="360"/>
        <w:spacing w:after="0"/>
        <w:tabs>
          <w:tab w:leader="none" w:pos="3560" w:val="left"/>
        </w:tabs>
        <w:rPr>
          <w:sz w:val="20"/>
          <w:szCs w:val="20"/>
          <w:color w:val="auto"/>
        </w:rPr>
      </w:pPr>
      <w:r>
        <w:rPr>
          <w:rFonts w:ascii="Times New Roman" w:cs="Times New Roman" w:eastAsia="Times New Roman" w:hAnsi="Times New Roman"/>
          <w:sz w:val="20"/>
          <w:szCs w:val="20"/>
          <w:color w:val="auto"/>
        </w:rPr>
        <w:t>(Amendment) Regulations, 2004, vide</w:t>
      </w:r>
      <w:r>
        <w:rPr>
          <w:sz w:val="20"/>
          <w:szCs w:val="20"/>
          <w:color w:val="auto"/>
        </w:rPr>
        <w:tab/>
      </w:r>
      <w:r>
        <w:rPr>
          <w:rFonts w:ascii="Times New Roman" w:cs="Times New Roman" w:eastAsia="Times New Roman" w:hAnsi="Times New Roman"/>
          <w:sz w:val="19"/>
          <w:szCs w:val="19"/>
          <w:color w:val="auto"/>
        </w:rPr>
        <w:t>S.O. No. 854(E) dated 21-7-2004.</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5 of 13</w:t>
      </w:r>
    </w:p>
    <w:p>
      <w:pPr>
        <w:sectPr>
          <w:pgSz w:w="12240" w:h="15840" w:orient="portrait"/>
          <w:cols w:equalWidth="0" w:num="1">
            <w:col w:w="9360"/>
          </w:cols>
          <w:pgMar w:left="1440" w:top="1440" w:right="1440" w:bottom="166" w:gutter="0" w:footer="0" w:header="0"/>
          <w:type w:val="continuous"/>
        </w:sectPr>
      </w:pPr>
    </w:p>
    <w:bookmarkStart w:id="5" w:name="page6"/>
    <w:bookmarkEnd w:id="5"/>
    <w:p>
      <w:pPr>
        <w:spacing w:after="0" w:line="43"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Specified intermediary and other entity to obtain unique identification numbers</w:t>
      </w:r>
    </w:p>
    <w:p>
      <w:pPr>
        <w:spacing w:after="0" w:line="289" w:lineRule="exact"/>
        <w:rPr>
          <w:sz w:val="20"/>
          <w:szCs w:val="20"/>
          <w:color w:val="auto"/>
        </w:rPr>
      </w:pPr>
    </w:p>
    <w:p>
      <w:pPr>
        <w:ind w:left="360" w:right="120" w:hanging="14"/>
        <w:spacing w:after="0"/>
        <w:tabs>
          <w:tab w:leader="none" w:pos="586" w:val="left"/>
        </w:tabs>
        <w:numPr>
          <w:ilvl w:val="0"/>
          <w:numId w:val="20"/>
        </w:numPr>
        <w:rPr>
          <w:rFonts w:ascii="Arial" w:cs="Arial" w:eastAsia="Arial" w:hAnsi="Arial"/>
          <w:sz w:val="21"/>
          <w:szCs w:val="21"/>
          <w:b w:val="1"/>
          <w:bCs w:val="1"/>
          <w:color w:val="auto"/>
        </w:rPr>
      </w:pPr>
      <w:r>
        <w:rPr>
          <w:rFonts w:ascii="Arial" w:cs="Arial" w:eastAsia="Arial" w:hAnsi="Arial"/>
          <w:sz w:val="21"/>
          <w:szCs w:val="21"/>
          <w:color w:val="auto"/>
        </w:rPr>
        <w:t>(1) On and from such date as may be notified by the Board in the official gazette, no specified intermediary or other entity shall act as such, unless—</w:t>
      </w:r>
    </w:p>
    <w:p>
      <w:pPr>
        <w:spacing w:after="0" w:line="290" w:lineRule="exact"/>
        <w:rPr>
          <w:rFonts w:ascii="Arial" w:cs="Arial" w:eastAsia="Arial" w:hAnsi="Arial"/>
          <w:sz w:val="21"/>
          <w:szCs w:val="21"/>
          <w:b w:val="1"/>
          <w:bCs w:val="1"/>
          <w:color w:val="auto"/>
        </w:rPr>
      </w:pPr>
    </w:p>
    <w:p>
      <w:pPr>
        <w:ind w:left="1100" w:right="640" w:hanging="19"/>
        <w:spacing w:after="0"/>
        <w:tabs>
          <w:tab w:leader="none" w:pos="1811" w:val="left"/>
        </w:tabs>
        <w:numPr>
          <w:ilvl w:val="1"/>
          <w:numId w:val="20"/>
        </w:numPr>
        <w:rPr>
          <w:rFonts w:ascii="Arial" w:cs="Arial" w:eastAsia="Arial" w:hAnsi="Arial"/>
          <w:sz w:val="21"/>
          <w:szCs w:val="21"/>
          <w:color w:val="auto"/>
        </w:rPr>
      </w:pPr>
      <w:r>
        <w:rPr>
          <w:rFonts w:ascii="Arial" w:cs="Arial" w:eastAsia="Arial" w:hAnsi="Arial"/>
          <w:sz w:val="21"/>
          <w:szCs w:val="21"/>
          <w:color w:val="auto"/>
        </w:rPr>
        <w:t>it has obtained a unique identification number from the Designated Service Provider; and</w:t>
      </w:r>
    </w:p>
    <w:p>
      <w:pPr>
        <w:spacing w:after="0" w:line="289" w:lineRule="exact"/>
        <w:rPr>
          <w:rFonts w:ascii="Arial" w:cs="Arial" w:eastAsia="Arial" w:hAnsi="Arial"/>
          <w:sz w:val="21"/>
          <w:szCs w:val="21"/>
          <w:color w:val="auto"/>
        </w:rPr>
      </w:pPr>
    </w:p>
    <w:p>
      <w:pPr>
        <w:ind w:left="1100" w:right="320" w:hanging="19"/>
        <w:spacing w:after="0"/>
        <w:tabs>
          <w:tab w:leader="none" w:pos="1811" w:val="left"/>
        </w:tabs>
        <w:numPr>
          <w:ilvl w:val="1"/>
          <w:numId w:val="20"/>
        </w:numPr>
        <w:rPr>
          <w:rFonts w:ascii="Arial" w:cs="Arial" w:eastAsia="Arial" w:hAnsi="Arial"/>
          <w:sz w:val="21"/>
          <w:szCs w:val="21"/>
          <w:color w:val="auto"/>
        </w:rPr>
      </w:pPr>
      <w:r>
        <w:rPr>
          <w:rFonts w:ascii="Arial" w:cs="Arial" w:eastAsia="Arial" w:hAnsi="Arial"/>
          <w:sz w:val="21"/>
          <w:szCs w:val="21"/>
          <w:color w:val="auto"/>
        </w:rPr>
        <w:t>the following related persons have been allotted unique identification numbers by the Designated Service Provider :</w:t>
      </w:r>
    </w:p>
    <w:p>
      <w:pPr>
        <w:spacing w:after="0" w:line="290" w:lineRule="exact"/>
        <w:rPr>
          <w:rFonts w:ascii="Arial" w:cs="Arial" w:eastAsia="Arial" w:hAnsi="Arial"/>
          <w:sz w:val="21"/>
          <w:szCs w:val="21"/>
          <w:color w:val="auto"/>
        </w:rPr>
      </w:pPr>
    </w:p>
    <w:p>
      <w:pPr>
        <w:ind w:left="2880" w:right="320" w:hanging="359"/>
        <w:spacing w:after="0" w:line="246" w:lineRule="auto"/>
        <w:tabs>
          <w:tab w:leader="none" w:pos="2880" w:val="left"/>
        </w:tabs>
        <w:numPr>
          <w:ilvl w:val="2"/>
          <w:numId w:val="20"/>
        </w:numPr>
        <w:rPr>
          <w:rFonts w:ascii="Arial" w:cs="Arial" w:eastAsia="Arial" w:hAnsi="Arial"/>
          <w:sz w:val="21"/>
          <w:szCs w:val="21"/>
          <w:color w:val="auto"/>
        </w:rPr>
      </w:pPr>
      <w:r>
        <w:rPr>
          <w:rFonts w:ascii="Arial" w:cs="Arial" w:eastAsia="Arial" w:hAnsi="Arial"/>
          <w:sz w:val="21"/>
          <w:szCs w:val="21"/>
          <w:color w:val="auto"/>
        </w:rPr>
        <w:t>its principal officer and personnel engaged in the operational activities of the intermediary for which a certificate of registration is required or taken from the Board;</w:t>
      </w:r>
    </w:p>
    <w:p>
      <w:pPr>
        <w:spacing w:after="0" w:line="284" w:lineRule="exact"/>
        <w:rPr>
          <w:rFonts w:ascii="Arial" w:cs="Arial" w:eastAsia="Arial" w:hAnsi="Arial"/>
          <w:sz w:val="21"/>
          <w:szCs w:val="21"/>
          <w:color w:val="auto"/>
        </w:rPr>
      </w:pPr>
    </w:p>
    <w:p>
      <w:pPr>
        <w:ind w:left="2880" w:right="480" w:hanging="359"/>
        <w:spacing w:after="0"/>
        <w:tabs>
          <w:tab w:leader="none" w:pos="2880" w:val="left"/>
        </w:tabs>
        <w:numPr>
          <w:ilvl w:val="2"/>
          <w:numId w:val="20"/>
        </w:numPr>
        <w:rPr>
          <w:rFonts w:ascii="Arial" w:cs="Arial" w:eastAsia="Arial" w:hAnsi="Arial"/>
          <w:sz w:val="21"/>
          <w:szCs w:val="21"/>
          <w:color w:val="auto"/>
        </w:rPr>
      </w:pPr>
      <w:r>
        <w:rPr>
          <w:rFonts w:ascii="Arial" w:cs="Arial" w:eastAsia="Arial" w:hAnsi="Arial"/>
          <w:sz w:val="21"/>
          <w:szCs w:val="21"/>
          <w:color w:val="auto"/>
        </w:rPr>
        <w:t>its promoters, other than the Central or State Government or any statutory authority;</w:t>
      </w:r>
    </w:p>
    <w:p>
      <w:pPr>
        <w:spacing w:after="0" w:line="283" w:lineRule="exact"/>
        <w:rPr>
          <w:rFonts w:ascii="Arial" w:cs="Arial" w:eastAsia="Arial" w:hAnsi="Arial"/>
          <w:sz w:val="21"/>
          <w:szCs w:val="21"/>
          <w:color w:val="auto"/>
        </w:rPr>
      </w:pPr>
    </w:p>
    <w:p>
      <w:pPr>
        <w:ind w:left="2880" w:hanging="359"/>
        <w:spacing w:after="0"/>
        <w:tabs>
          <w:tab w:leader="none" w:pos="2880" w:val="left"/>
        </w:tabs>
        <w:numPr>
          <w:ilvl w:val="2"/>
          <w:numId w:val="20"/>
        </w:numPr>
        <w:rPr>
          <w:rFonts w:ascii="Arial" w:cs="Arial" w:eastAsia="Arial" w:hAnsi="Arial"/>
          <w:sz w:val="21"/>
          <w:szCs w:val="21"/>
          <w:color w:val="auto"/>
        </w:rPr>
      </w:pPr>
      <w:r>
        <w:rPr>
          <w:rFonts w:ascii="Arial" w:cs="Arial" w:eastAsia="Arial" w:hAnsi="Arial"/>
          <w:sz w:val="21"/>
          <w:szCs w:val="21"/>
          <w:color w:val="auto"/>
        </w:rPr>
        <w:t>its directors, in case it is a body corporate;</w:t>
      </w:r>
    </w:p>
    <w:p>
      <w:pPr>
        <w:spacing w:after="0" w:line="281" w:lineRule="exact"/>
        <w:rPr>
          <w:rFonts w:ascii="Arial" w:cs="Arial" w:eastAsia="Arial" w:hAnsi="Arial"/>
          <w:sz w:val="21"/>
          <w:szCs w:val="21"/>
          <w:color w:val="auto"/>
        </w:rPr>
      </w:pPr>
    </w:p>
    <w:p>
      <w:pPr>
        <w:ind w:left="2880" w:hanging="359"/>
        <w:spacing w:after="0"/>
        <w:tabs>
          <w:tab w:leader="none" w:pos="2880" w:val="left"/>
        </w:tabs>
        <w:numPr>
          <w:ilvl w:val="2"/>
          <w:numId w:val="20"/>
        </w:numPr>
        <w:rPr>
          <w:rFonts w:ascii="Arial" w:cs="Arial" w:eastAsia="Arial" w:hAnsi="Arial"/>
          <w:sz w:val="21"/>
          <w:szCs w:val="21"/>
          <w:color w:val="auto"/>
        </w:rPr>
      </w:pPr>
      <w:r>
        <w:rPr>
          <w:rFonts w:ascii="Arial" w:cs="Arial" w:eastAsia="Arial" w:hAnsi="Arial"/>
          <w:sz w:val="21"/>
          <w:szCs w:val="21"/>
          <w:color w:val="auto"/>
        </w:rPr>
        <w:t>its partners, in case it is a partnership firm;</w:t>
      </w:r>
    </w:p>
    <w:p>
      <w:pPr>
        <w:spacing w:after="0" w:line="200" w:lineRule="exact"/>
        <w:rPr>
          <w:sz w:val="20"/>
          <w:szCs w:val="20"/>
          <w:color w:val="auto"/>
        </w:rPr>
      </w:pPr>
    </w:p>
    <w:p>
      <w:pPr>
        <w:spacing w:after="0" w:line="240" w:lineRule="exact"/>
        <w:rPr>
          <w:sz w:val="20"/>
          <w:szCs w:val="20"/>
          <w:color w:val="auto"/>
        </w:rPr>
      </w:pPr>
    </w:p>
    <w:p>
      <w:pPr>
        <w:ind w:left="2520" w:right="160" w:firstLine="77"/>
        <w:spacing w:after="0" w:line="246" w:lineRule="auto"/>
        <w:rPr>
          <w:sz w:val="20"/>
          <w:szCs w:val="20"/>
          <w:color w:val="auto"/>
        </w:rPr>
      </w:pPr>
      <w:r>
        <w:rPr>
          <w:rFonts w:ascii="Arial" w:cs="Arial" w:eastAsia="Arial" w:hAnsi="Arial"/>
          <w:sz w:val="26"/>
          <w:szCs w:val="26"/>
          <w:b w:val="1"/>
          <w:bCs w:val="1"/>
          <w:color w:val="auto"/>
          <w:vertAlign w:val="superscript"/>
        </w:rPr>
        <w:t>1</w:t>
      </w:r>
      <w:r>
        <w:rPr>
          <w:rFonts w:ascii="Arial" w:cs="Arial" w:eastAsia="Arial" w:hAnsi="Arial"/>
          <w:sz w:val="20"/>
          <w:szCs w:val="20"/>
          <w:b w:val="1"/>
          <w:bCs w:val="1"/>
          <w:color w:val="auto"/>
        </w:rPr>
        <w:t>[</w:t>
      </w:r>
      <w:r>
        <w:rPr>
          <w:rFonts w:ascii="Arial" w:cs="Arial" w:eastAsia="Arial" w:hAnsi="Arial"/>
          <w:sz w:val="20"/>
          <w:szCs w:val="20"/>
          <w:color w:val="auto"/>
        </w:rPr>
        <w:t>(</w:t>
      </w:r>
      <w:r>
        <w:rPr>
          <w:rFonts w:ascii="Arial" w:cs="Arial" w:eastAsia="Arial" w:hAnsi="Arial"/>
          <w:sz w:val="20"/>
          <w:szCs w:val="20"/>
          <w:i w:val="1"/>
          <w:iCs w:val="1"/>
          <w:color w:val="auto"/>
        </w:rPr>
        <w:t>v</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in case of a stock broker, any approved user of the terminals</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allotted to him by the stock exchange, including terminals installed through Computer to Computer Link (CTCL) connectivity or any other means of connectivity approved by the stock exchange, which facilitates access to trading system of the exchange, except his sub-broker;</w:t>
      </w:r>
      <w:r>
        <w:rPr>
          <w:rFonts w:ascii="Arial" w:cs="Arial" w:eastAsia="Arial" w:hAnsi="Arial"/>
          <w:sz w:val="20"/>
          <w:szCs w:val="20"/>
          <w:b w:val="1"/>
          <w:bCs w:val="1"/>
          <w:color w:val="auto"/>
        </w:rPr>
        <w:t>]</w:t>
      </w:r>
    </w:p>
    <w:p>
      <w:pPr>
        <w:spacing w:after="0" w:line="280" w:lineRule="exact"/>
        <w:rPr>
          <w:sz w:val="20"/>
          <w:szCs w:val="20"/>
          <w:color w:val="auto"/>
        </w:rPr>
      </w:pPr>
    </w:p>
    <w:p>
      <w:pPr>
        <w:ind w:left="2540" w:right="480" w:hanging="9"/>
        <w:spacing w:after="0" w:line="241" w:lineRule="auto"/>
        <w:rPr>
          <w:sz w:val="20"/>
          <w:szCs w:val="20"/>
          <w:color w:val="auto"/>
        </w:rPr>
      </w:pPr>
      <w:r>
        <w:rPr>
          <w:rFonts w:ascii="Arial" w:cs="Arial" w:eastAsia="Arial" w:hAnsi="Arial"/>
          <w:sz w:val="21"/>
          <w:szCs w:val="21"/>
          <w:color w:val="auto"/>
        </w:rPr>
        <w:t>(</w:t>
      </w:r>
      <w:r>
        <w:rPr>
          <w:rFonts w:ascii="Arial" w:cs="Arial" w:eastAsia="Arial" w:hAnsi="Arial"/>
          <w:sz w:val="21"/>
          <w:szCs w:val="21"/>
          <w:i w:val="1"/>
          <w:iCs w:val="1"/>
          <w:color w:val="auto"/>
        </w:rPr>
        <w:t>vi</w:t>
      </w:r>
      <w:r>
        <w:rPr>
          <w:rFonts w:ascii="Arial" w:cs="Arial" w:eastAsia="Arial" w:hAnsi="Arial"/>
          <w:sz w:val="21"/>
          <w:szCs w:val="21"/>
          <w:color w:val="auto"/>
        </w:rPr>
        <w:t>) the sponsors, trustees, asset management companies and asset managers, where applicable;</w:t>
      </w:r>
    </w:p>
    <w:p>
      <w:pPr>
        <w:spacing w:after="0" w:line="200" w:lineRule="exact"/>
        <w:rPr>
          <w:sz w:val="20"/>
          <w:szCs w:val="20"/>
          <w:color w:val="auto"/>
        </w:rPr>
      </w:pPr>
    </w:p>
    <w:p>
      <w:pPr>
        <w:spacing w:after="0" w:line="239" w:lineRule="exact"/>
        <w:rPr>
          <w:sz w:val="20"/>
          <w:szCs w:val="20"/>
          <w:color w:val="auto"/>
        </w:rPr>
      </w:pPr>
    </w:p>
    <w:p>
      <w:pPr>
        <w:ind w:left="2600"/>
        <w:spacing w:after="0"/>
        <w:rPr>
          <w:sz w:val="20"/>
          <w:szCs w:val="20"/>
          <w:color w:val="auto"/>
        </w:rPr>
      </w:pPr>
      <w:r>
        <w:rPr>
          <w:rFonts w:ascii="Arial" w:cs="Arial" w:eastAsia="Arial" w:hAnsi="Arial"/>
          <w:sz w:val="27"/>
          <w:szCs w:val="27"/>
          <w:b w:val="1"/>
          <w:bCs w:val="1"/>
          <w:color w:val="auto"/>
          <w:vertAlign w:val="superscript"/>
        </w:rPr>
        <w:t>2</w:t>
      </w:r>
      <w:r>
        <w:rPr>
          <w:rFonts w:ascii="Arial" w:cs="Arial" w:eastAsia="Arial" w:hAnsi="Arial"/>
          <w:sz w:val="21"/>
          <w:szCs w:val="21"/>
          <w:b w:val="1"/>
          <w:bCs w:val="1"/>
          <w:color w:val="auto"/>
        </w:rPr>
        <w:t>[</w:t>
      </w:r>
      <w:r>
        <w:rPr>
          <w:rFonts w:ascii="Arial" w:cs="Arial" w:eastAsia="Arial" w:hAnsi="Arial"/>
          <w:sz w:val="21"/>
          <w:szCs w:val="21"/>
          <w:i w:val="1"/>
          <w:iCs w:val="1"/>
          <w:color w:val="auto"/>
        </w:rPr>
        <w:t>(</w:t>
      </w:r>
      <w:r>
        <w:rPr>
          <w:rFonts w:ascii="Arial" w:cs="Arial" w:eastAsia="Arial" w:hAnsi="Arial"/>
          <w:sz w:val="21"/>
          <w:szCs w:val="21"/>
          <w:color w:val="auto"/>
        </w:rPr>
        <w:t>vi-a</w:t>
      </w:r>
      <w:r>
        <w:rPr>
          <w:rFonts w:ascii="Arial" w:cs="Arial" w:eastAsia="Arial" w:hAnsi="Arial"/>
          <w:sz w:val="21"/>
          <w:szCs w:val="21"/>
          <w:i w:val="1"/>
          <w:iCs w:val="1"/>
          <w:color w:val="auto"/>
        </w:rPr>
        <w:t>)the directors and personnel engaged in the operational</w:t>
      </w:r>
    </w:p>
    <w:p>
      <w:pPr>
        <w:spacing w:after="0" w:line="158" w:lineRule="exact"/>
        <w:rPr>
          <w:sz w:val="20"/>
          <w:szCs w:val="20"/>
          <w:color w:val="auto"/>
        </w:rPr>
      </w:pPr>
    </w:p>
    <w:p>
      <w:pPr>
        <w:ind w:left="2520" w:right="600"/>
        <w:spacing w:after="0" w:line="419" w:lineRule="auto"/>
        <w:rPr>
          <w:sz w:val="20"/>
          <w:szCs w:val="20"/>
          <w:color w:val="auto"/>
        </w:rPr>
      </w:pPr>
      <w:r>
        <w:rPr>
          <w:rFonts w:ascii="Arial" w:cs="Arial" w:eastAsia="Arial" w:hAnsi="Arial"/>
          <w:sz w:val="21"/>
          <w:szCs w:val="21"/>
          <w:i w:val="1"/>
          <w:iCs w:val="1"/>
          <w:color w:val="auto"/>
        </w:rPr>
        <w:t>activities of asset management companies; and</w:t>
      </w:r>
      <w:r>
        <w:rPr>
          <w:rFonts w:ascii="Arial" w:cs="Arial" w:eastAsia="Arial" w:hAnsi="Arial"/>
          <w:sz w:val="21"/>
          <w:szCs w:val="21"/>
          <w:b w:val="1"/>
          <w:bCs w:val="1"/>
          <w:color w:val="auto"/>
        </w:rPr>
        <w:t>]</w:t>
      </w:r>
      <w:r>
        <w:rPr>
          <w:rFonts w:ascii="Arial" w:cs="Arial" w:eastAsia="Arial" w:hAnsi="Arial"/>
          <w:sz w:val="21"/>
          <w:szCs w:val="21"/>
          <w:i w:val="1"/>
          <w:iCs w:val="1"/>
          <w:color w:val="auto"/>
        </w:rPr>
        <w:t xml:space="preserve"> </w:t>
      </w:r>
      <w:r>
        <w:rPr>
          <w:rFonts w:ascii="Arial" w:cs="Arial" w:eastAsia="Arial" w:hAnsi="Arial"/>
          <w:sz w:val="21"/>
          <w:szCs w:val="21"/>
          <w:color w:val="auto"/>
        </w:rPr>
        <w:t>(</w:t>
      </w:r>
      <w:r>
        <w:rPr>
          <w:rFonts w:ascii="Arial" w:cs="Arial" w:eastAsia="Arial" w:hAnsi="Arial"/>
          <w:sz w:val="21"/>
          <w:szCs w:val="21"/>
          <w:i w:val="1"/>
          <w:iCs w:val="1"/>
          <w:color w:val="auto"/>
        </w:rPr>
        <w:t>vii</w:t>
      </w:r>
      <w:r>
        <w:rPr>
          <w:rFonts w:ascii="Arial" w:cs="Arial" w:eastAsia="Arial" w:hAnsi="Arial"/>
          <w:sz w:val="21"/>
          <w:szCs w:val="21"/>
          <w:color w:val="auto"/>
        </w:rPr>
        <w:t>) its proprietor,</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where applicable; </w:t>
      </w:r>
      <w:r>
        <w:rPr>
          <w:rFonts w:ascii="Arial" w:cs="Arial" w:eastAsia="Arial" w:hAnsi="Arial"/>
          <w:sz w:val="27"/>
          <w:szCs w:val="27"/>
          <w:color w:val="auto"/>
          <w:vertAlign w:val="superscript"/>
        </w:rPr>
        <w:t>3</w:t>
      </w:r>
      <w:r>
        <w:rPr>
          <w:rFonts w:ascii="Arial" w:cs="Arial" w:eastAsia="Arial" w:hAnsi="Arial"/>
          <w:sz w:val="21"/>
          <w:szCs w:val="21"/>
          <w:b w:val="1"/>
          <w:bCs w:val="1"/>
          <w:color w:val="auto"/>
        </w:rPr>
        <w:t>[</w:t>
      </w:r>
      <w:r>
        <w:rPr>
          <w:rFonts w:ascii="Arial" w:cs="Arial" w:eastAsia="Arial" w:hAnsi="Arial"/>
          <w:sz w:val="21"/>
          <w:szCs w:val="21"/>
          <w:color w:val="auto"/>
        </w:rPr>
        <w:t>***</w:t>
      </w:r>
      <w:r>
        <w:rPr>
          <w:rFonts w:ascii="Arial" w:cs="Arial" w:eastAsia="Arial" w:hAnsi="Arial"/>
          <w:sz w:val="21"/>
          <w:szCs w:val="21"/>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782955</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61.65pt" to="162.05pt,61.6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360" w:right="80" w:hanging="14"/>
        <w:spacing w:after="0" w:line="200" w:lineRule="auto"/>
        <w:tabs>
          <w:tab w:leader="none" w:pos="485" w:val="left"/>
        </w:tabs>
        <w:numPr>
          <w:ilvl w:val="0"/>
          <w:numId w:val="21"/>
        </w:numPr>
        <w:rPr>
          <w:rFonts w:ascii="Arial" w:cs="Arial" w:eastAsia="Arial" w:hAnsi="Arial"/>
          <w:sz w:val="28"/>
          <w:szCs w:val="28"/>
          <w:color w:val="auto"/>
          <w:vertAlign w:val="superscript"/>
        </w:rPr>
      </w:pPr>
      <w:r>
        <w:rPr>
          <w:rFonts w:ascii="Times New Roman" w:cs="Times New Roman" w:eastAsia="Times New Roman" w:hAnsi="Times New Roman"/>
          <w:sz w:val="20"/>
          <w:szCs w:val="20"/>
          <w:color w:val="auto"/>
        </w:rPr>
        <w:t>Substituted by the SEBI (Central Database of Market Participants) (Amendment) Regulations, 2004, vide S.O. No. 854(E) dated 21-7-2004. Prior to its substitution, sub-clause (v) read as under :-</w:t>
      </w:r>
    </w:p>
    <w:p>
      <w:pPr>
        <w:spacing w:after="0" w:line="30" w:lineRule="exact"/>
        <w:rPr>
          <w:rFonts w:ascii="Arial" w:cs="Arial" w:eastAsia="Arial" w:hAnsi="Arial"/>
          <w:sz w:val="28"/>
          <w:szCs w:val="28"/>
          <w:color w:val="auto"/>
          <w:vertAlign w:val="superscript"/>
        </w:rPr>
      </w:pPr>
    </w:p>
    <w:p>
      <w:pPr>
        <w:ind w:left="340"/>
        <w:spacing w:after="0"/>
        <w:rPr>
          <w:rFonts w:ascii="Arial" w:cs="Arial" w:eastAsia="Arial" w:hAnsi="Arial"/>
          <w:sz w:val="28"/>
          <w:szCs w:val="28"/>
          <w:color w:val="auto"/>
          <w:vertAlign w:val="superscript"/>
        </w:rPr>
      </w:pPr>
      <w:r>
        <w:rPr>
          <w:rFonts w:ascii="Times New Roman" w:cs="Times New Roman" w:eastAsia="Times New Roman" w:hAnsi="Times New Roman"/>
          <w:sz w:val="20"/>
          <w:szCs w:val="20"/>
          <w:color w:val="auto"/>
        </w:rPr>
        <w:t>“(v) its associates and their directors;”</w:t>
      </w:r>
    </w:p>
    <w:p>
      <w:pPr>
        <w:spacing w:after="0" w:line="29" w:lineRule="exact"/>
        <w:rPr>
          <w:sz w:val="20"/>
          <w:szCs w:val="20"/>
          <w:color w:val="auto"/>
        </w:rPr>
      </w:pPr>
    </w:p>
    <w:p>
      <w:pPr>
        <w:ind w:left="340"/>
        <w:spacing w:after="0"/>
        <w:tabs>
          <w:tab w:leader="none" w:pos="8920" w:val="left"/>
        </w:tabs>
        <w:rPr>
          <w:sz w:val="20"/>
          <w:szCs w:val="20"/>
          <w:color w:val="auto"/>
        </w:rPr>
      </w:pPr>
      <w:r>
        <w:rPr>
          <w:rFonts w:ascii="Times New Roman" w:cs="Times New Roman" w:eastAsia="Times New Roman" w:hAnsi="Times New Roman"/>
          <w:sz w:val="20"/>
          <w:szCs w:val="20"/>
          <w:color w:val="auto"/>
        </w:rPr>
        <w:t>2 Inserted by the SEBI (Central Database of Market Participants) (Amendment) Regulations, 2004, vide</w:t>
      </w:r>
      <w:r>
        <w:rPr>
          <w:sz w:val="20"/>
          <w:szCs w:val="20"/>
          <w:color w:val="auto"/>
        </w:rPr>
        <w:tab/>
      </w:r>
      <w:r>
        <w:rPr>
          <w:rFonts w:ascii="Times New Roman" w:cs="Times New Roman" w:eastAsia="Times New Roman" w:hAnsi="Times New Roman"/>
          <w:sz w:val="19"/>
          <w:szCs w:val="19"/>
          <w:color w:val="auto"/>
        </w:rPr>
        <w:t>S.O.</w:t>
      </w:r>
    </w:p>
    <w:p>
      <w:pPr>
        <w:spacing w:after="0" w:line="1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No. 854(E) dated 21-7-2004.</w:t>
      </w:r>
    </w:p>
    <w:p>
      <w:pPr>
        <w:spacing w:after="0" w:line="29" w:lineRule="exact"/>
        <w:rPr>
          <w:sz w:val="20"/>
          <w:szCs w:val="20"/>
          <w:color w:val="auto"/>
        </w:rPr>
      </w:pPr>
    </w:p>
    <w:p>
      <w:pPr>
        <w:ind w:left="580" w:hanging="234"/>
        <w:spacing w:after="0"/>
        <w:tabs>
          <w:tab w:leader="none" w:pos="58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Word “and” omitted by the SEBI (Central Database of Market Participants) (Amendment) Regulations,</w:t>
      </w:r>
    </w:p>
    <w:p>
      <w:pPr>
        <w:spacing w:after="0" w:line="11" w:lineRule="exact"/>
        <w:rPr>
          <w:sz w:val="20"/>
          <w:szCs w:val="20"/>
          <w:color w:val="auto"/>
        </w:rPr>
      </w:pPr>
    </w:p>
    <w:p>
      <w:pPr>
        <w:ind w:left="360"/>
        <w:spacing w:after="0"/>
        <w:tabs>
          <w:tab w:leader="none" w:pos="1340" w:val="left"/>
        </w:tabs>
        <w:rPr>
          <w:sz w:val="20"/>
          <w:szCs w:val="20"/>
          <w:color w:val="auto"/>
        </w:rPr>
      </w:pPr>
      <w:r>
        <w:rPr>
          <w:rFonts w:ascii="Times New Roman" w:cs="Times New Roman" w:eastAsia="Times New Roman" w:hAnsi="Times New Roman"/>
          <w:sz w:val="20"/>
          <w:szCs w:val="20"/>
          <w:color w:val="auto"/>
        </w:rPr>
        <w:t>2004, vide</w:t>
      </w:r>
      <w:r>
        <w:rPr>
          <w:sz w:val="20"/>
          <w:szCs w:val="20"/>
          <w:color w:val="auto"/>
        </w:rPr>
        <w:tab/>
      </w:r>
      <w:r>
        <w:rPr>
          <w:rFonts w:ascii="Times New Roman" w:cs="Times New Roman" w:eastAsia="Times New Roman" w:hAnsi="Times New Roman"/>
          <w:sz w:val="19"/>
          <w:szCs w:val="19"/>
          <w:color w:val="auto"/>
        </w:rPr>
        <w:t>S.O. No. 854(E) dated 21-7-2004.</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6 of 13</w:t>
      </w:r>
    </w:p>
    <w:p>
      <w:pPr>
        <w:sectPr>
          <w:pgSz w:w="12240" w:h="15840" w:orient="portrait"/>
          <w:cols w:equalWidth="0" w:num="1">
            <w:col w:w="9360"/>
          </w:cols>
          <w:pgMar w:left="1440" w:top="1440" w:right="1440" w:bottom="166" w:gutter="0" w:footer="0" w:header="0"/>
          <w:type w:val="continuous"/>
        </w:sectPr>
      </w:pPr>
    </w:p>
    <w:bookmarkStart w:id="6" w:name="page7"/>
    <w:bookmarkEnd w:id="6"/>
    <w:p>
      <w:pPr>
        <w:spacing w:after="0" w:line="43" w:lineRule="exact"/>
        <w:rPr>
          <w:sz w:val="20"/>
          <w:szCs w:val="20"/>
          <w:color w:val="auto"/>
        </w:rPr>
      </w:pPr>
    </w:p>
    <w:p>
      <w:pPr>
        <w:ind w:left="2600"/>
        <w:spacing w:after="0"/>
        <w:rPr>
          <w:sz w:val="20"/>
          <w:szCs w:val="20"/>
          <w:color w:val="auto"/>
        </w:rPr>
      </w:pPr>
      <w:r>
        <w:rPr>
          <w:rFonts w:ascii="Arial" w:cs="Arial" w:eastAsia="Arial" w:hAnsi="Arial"/>
          <w:sz w:val="21"/>
          <w:szCs w:val="21"/>
          <w:color w:val="auto"/>
        </w:rPr>
        <w:t>(</w:t>
      </w:r>
      <w:r>
        <w:rPr>
          <w:rFonts w:ascii="Arial" w:cs="Arial" w:eastAsia="Arial" w:hAnsi="Arial"/>
          <w:sz w:val="21"/>
          <w:szCs w:val="21"/>
          <w:i w:val="1"/>
          <w:iCs w:val="1"/>
          <w:color w:val="auto"/>
        </w:rPr>
        <w:t>viii</w:t>
      </w:r>
      <w:r>
        <w:rPr>
          <w:rFonts w:ascii="Arial" w:cs="Arial" w:eastAsia="Arial" w:hAnsi="Arial"/>
          <w:sz w:val="21"/>
          <w:szCs w:val="21"/>
          <w:color w:val="auto"/>
        </w:rPr>
        <w:t xml:space="preserve">) </w:t>
      </w:r>
      <w:r>
        <w:rPr>
          <w:rFonts w:ascii="Arial" w:cs="Arial" w:eastAsia="Arial" w:hAnsi="Arial"/>
          <w:sz w:val="27"/>
          <w:szCs w:val="27"/>
          <w:color w:val="auto"/>
          <w:vertAlign w:val="superscript"/>
        </w:rPr>
        <w:t>1</w:t>
      </w:r>
      <w:r>
        <w:rPr>
          <w:rFonts w:ascii="Arial" w:cs="Arial" w:eastAsia="Arial" w:hAnsi="Arial"/>
          <w:sz w:val="21"/>
          <w:szCs w:val="21"/>
          <w:b w:val="1"/>
          <w:bCs w:val="1"/>
          <w:color w:val="auto"/>
        </w:rPr>
        <w:t>[</w:t>
      </w:r>
      <w:r>
        <w:rPr>
          <w:rFonts w:ascii="Arial" w:cs="Arial" w:eastAsia="Arial" w:hAnsi="Arial"/>
          <w:sz w:val="21"/>
          <w:szCs w:val="21"/>
          <w:color w:val="auto"/>
        </w:rPr>
        <w:t>***</w:t>
      </w:r>
      <w:r>
        <w:rPr>
          <w:rFonts w:ascii="Arial" w:cs="Arial" w:eastAsia="Arial" w:hAnsi="Arial"/>
          <w:sz w:val="21"/>
          <w:szCs w:val="21"/>
          <w:b w:val="1"/>
          <w:bCs w:val="1"/>
          <w:color w:val="auto"/>
        </w:rPr>
        <w:t>]</w:t>
      </w:r>
      <w:r>
        <w:rPr>
          <w:rFonts w:ascii="Arial" w:cs="Arial" w:eastAsia="Arial" w:hAnsi="Arial"/>
          <w:sz w:val="21"/>
          <w:szCs w:val="21"/>
          <w:color w:val="auto"/>
        </w:rPr>
        <w:t>.</w:t>
      </w:r>
    </w:p>
    <w:p>
      <w:pPr>
        <w:spacing w:after="0" w:line="146" w:lineRule="exact"/>
        <w:rPr>
          <w:sz w:val="20"/>
          <w:szCs w:val="20"/>
          <w:color w:val="auto"/>
        </w:rPr>
      </w:pPr>
    </w:p>
    <w:p>
      <w:pPr>
        <w:ind w:left="340" w:right="220" w:firstLine="154"/>
        <w:spacing w:after="0" w:line="230" w:lineRule="auto"/>
        <w:rPr>
          <w:sz w:val="20"/>
          <w:szCs w:val="20"/>
          <w:color w:val="auto"/>
        </w:rPr>
      </w:pPr>
      <w:r>
        <w:rPr>
          <w:rFonts w:ascii="Arial" w:cs="Arial" w:eastAsia="Arial" w:hAnsi="Arial"/>
          <w:sz w:val="27"/>
          <w:szCs w:val="27"/>
          <w:b w:val="1"/>
          <w:bCs w:val="1"/>
          <w:color w:val="auto"/>
          <w:vertAlign w:val="superscript"/>
        </w:rPr>
        <w:t>2</w:t>
      </w:r>
      <w:r>
        <w:rPr>
          <w:rFonts w:ascii="Arial" w:cs="Arial" w:eastAsia="Arial" w:hAnsi="Arial"/>
          <w:sz w:val="21"/>
          <w:szCs w:val="21"/>
          <w:b w:val="1"/>
          <w:bCs w:val="1"/>
          <w:color w:val="auto"/>
        </w:rPr>
        <w:t>[</w:t>
      </w:r>
      <w:r>
        <w:rPr>
          <w:rFonts w:ascii="Arial" w:cs="Arial" w:eastAsia="Arial" w:hAnsi="Arial"/>
          <w:sz w:val="21"/>
          <w:szCs w:val="21"/>
          <w:color w:val="auto"/>
        </w:rPr>
        <w:t>Explanation.—</w:t>
      </w:r>
      <w:r>
        <w:rPr>
          <w:rFonts w:ascii="Arial" w:cs="Arial" w:eastAsia="Arial" w:hAnsi="Arial"/>
          <w:sz w:val="21"/>
          <w:szCs w:val="21"/>
          <w:i w:val="1"/>
          <w:iCs w:val="1"/>
          <w:color w:val="auto"/>
        </w:rPr>
        <w:t>For the purposes of sub-clauses (</w:t>
      </w:r>
      <w:r>
        <w:rPr>
          <w:rFonts w:ascii="Arial" w:cs="Arial" w:eastAsia="Arial" w:hAnsi="Arial"/>
          <w:sz w:val="21"/>
          <w:szCs w:val="21"/>
          <w:color w:val="auto"/>
        </w:rPr>
        <w:t>i</w:t>
      </w:r>
      <w:r>
        <w:rPr>
          <w:rFonts w:ascii="Arial" w:cs="Arial" w:eastAsia="Arial" w:hAnsi="Arial"/>
          <w:sz w:val="21"/>
          <w:szCs w:val="21"/>
          <w:i w:val="1"/>
          <w:iCs w:val="1"/>
          <w:color w:val="auto"/>
        </w:rPr>
        <w:t>) and (</w:t>
      </w:r>
      <w:r>
        <w:rPr>
          <w:rFonts w:ascii="Arial" w:cs="Arial" w:eastAsia="Arial" w:hAnsi="Arial"/>
          <w:sz w:val="21"/>
          <w:szCs w:val="21"/>
          <w:color w:val="auto"/>
        </w:rPr>
        <w:t>vi-a</w:t>
      </w:r>
      <w:r>
        <w:rPr>
          <w:rFonts w:ascii="Arial" w:cs="Arial" w:eastAsia="Arial" w:hAnsi="Arial"/>
          <w:sz w:val="21"/>
          <w:szCs w:val="21"/>
          <w:i w:val="1"/>
          <w:iCs w:val="1"/>
          <w:color w:val="auto"/>
        </w:rPr>
        <w:t>), the words ‘personnel engaged</w:t>
      </w:r>
      <w:r>
        <w:rPr>
          <w:rFonts w:ascii="Arial" w:cs="Arial" w:eastAsia="Arial" w:hAnsi="Arial"/>
          <w:sz w:val="21"/>
          <w:szCs w:val="21"/>
          <w:b w:val="1"/>
          <w:bCs w:val="1"/>
          <w:color w:val="auto"/>
        </w:rPr>
        <w:t xml:space="preserve"> </w:t>
      </w:r>
      <w:r>
        <w:rPr>
          <w:rFonts w:ascii="Arial" w:cs="Arial" w:eastAsia="Arial" w:hAnsi="Arial"/>
          <w:sz w:val="21"/>
          <w:szCs w:val="21"/>
          <w:i w:val="1"/>
          <w:iCs w:val="1"/>
          <w:color w:val="auto"/>
        </w:rPr>
        <w:t>in the operational activities’ shall mean the employees comprising the top three tiers of management excluding the Board of Directors engaged in the operational activities of the specified intermediary and such other employees as may be identified by the intermediary:</w:t>
      </w:r>
      <w:r>
        <w:rPr>
          <w:rFonts w:ascii="Arial" w:cs="Arial" w:eastAsia="Arial" w:hAnsi="Arial"/>
          <w:sz w:val="21"/>
          <w:szCs w:val="21"/>
          <w:b w:val="1"/>
          <w:bCs w:val="1"/>
          <w:color w:val="auto"/>
        </w:rPr>
        <w:t>]</w:t>
      </w:r>
    </w:p>
    <w:p>
      <w:pPr>
        <w:spacing w:after="0" w:line="288" w:lineRule="exact"/>
        <w:rPr>
          <w:sz w:val="20"/>
          <w:szCs w:val="20"/>
          <w:color w:val="auto"/>
        </w:rPr>
      </w:pPr>
    </w:p>
    <w:p>
      <w:pPr>
        <w:jc w:val="both"/>
        <w:ind w:left="360" w:right="200" w:hanging="9"/>
        <w:spacing w:after="0" w:line="247" w:lineRule="auto"/>
        <w:rPr>
          <w:sz w:val="20"/>
          <w:szCs w:val="20"/>
          <w:color w:val="auto"/>
        </w:rPr>
      </w:pPr>
      <w:r>
        <w:rPr>
          <w:rFonts w:ascii="Arial" w:cs="Arial" w:eastAsia="Arial" w:hAnsi="Arial"/>
          <w:sz w:val="21"/>
          <w:szCs w:val="21"/>
          <w:b w:val="1"/>
          <w:bCs w:val="1"/>
          <w:color w:val="auto"/>
        </w:rPr>
        <w:t xml:space="preserve">Provided </w:t>
      </w:r>
      <w:r>
        <w:rPr>
          <w:rFonts w:ascii="Arial" w:cs="Arial" w:eastAsia="Arial" w:hAnsi="Arial"/>
          <w:sz w:val="21"/>
          <w:szCs w:val="21"/>
          <w:color w:val="auto"/>
        </w:rPr>
        <w:t>that such person may continue to act as an intermediary or other entity if it has made</w:t>
      </w:r>
      <w:r>
        <w:rPr>
          <w:rFonts w:ascii="Arial" w:cs="Arial" w:eastAsia="Arial" w:hAnsi="Arial"/>
          <w:sz w:val="21"/>
          <w:szCs w:val="21"/>
          <w:b w:val="1"/>
          <w:bCs w:val="1"/>
          <w:color w:val="auto"/>
        </w:rPr>
        <w:t xml:space="preserve"> </w:t>
      </w:r>
      <w:r>
        <w:rPr>
          <w:rFonts w:ascii="Arial" w:cs="Arial" w:eastAsia="Arial" w:hAnsi="Arial"/>
          <w:sz w:val="21"/>
          <w:szCs w:val="21"/>
          <w:color w:val="auto"/>
        </w:rPr>
        <w:t>applications for allotment of unique identification number under regulation 7 before the notified date and where such application has been rejected by the Board, an appeal has been filed and such appeal is pending for disposal.</w:t>
      </w:r>
    </w:p>
    <w:p>
      <w:pPr>
        <w:spacing w:after="0" w:line="283" w:lineRule="exact"/>
        <w:rPr>
          <w:sz w:val="20"/>
          <w:szCs w:val="20"/>
          <w:color w:val="auto"/>
        </w:rPr>
      </w:pPr>
    </w:p>
    <w:p>
      <w:pPr>
        <w:ind w:left="360" w:right="160" w:hanging="14"/>
        <w:spacing w:after="0" w:line="247" w:lineRule="auto"/>
        <w:tabs>
          <w:tab w:leader="none" w:pos="667" w:val="left"/>
        </w:tabs>
        <w:numPr>
          <w:ilvl w:val="0"/>
          <w:numId w:val="23"/>
        </w:numPr>
        <w:rPr>
          <w:rFonts w:ascii="Arial" w:cs="Arial" w:eastAsia="Arial" w:hAnsi="Arial"/>
          <w:sz w:val="21"/>
          <w:szCs w:val="21"/>
          <w:color w:val="auto"/>
        </w:rPr>
      </w:pPr>
      <w:r>
        <w:rPr>
          <w:rFonts w:ascii="Arial" w:cs="Arial" w:eastAsia="Arial" w:hAnsi="Arial"/>
          <w:sz w:val="21"/>
          <w:szCs w:val="21"/>
          <w:color w:val="auto"/>
        </w:rPr>
        <w:t>Every certificate of registration issued to a specified intermediary by the Board after commencement of these regulations shall be subject to the condition that prior to commencement of its activities, the intermediary shall obtain a unique identification number for itself and for the persons mentioned in clause (</w:t>
      </w:r>
      <w:r>
        <w:rPr>
          <w:rFonts w:ascii="Arial" w:cs="Arial" w:eastAsia="Arial" w:hAnsi="Arial"/>
          <w:sz w:val="21"/>
          <w:szCs w:val="21"/>
          <w:i w:val="1"/>
          <w:iCs w:val="1"/>
          <w:color w:val="auto"/>
        </w:rPr>
        <w:t>b</w:t>
      </w:r>
      <w:r>
        <w:rPr>
          <w:rFonts w:ascii="Arial" w:cs="Arial" w:eastAsia="Arial" w:hAnsi="Arial"/>
          <w:sz w:val="21"/>
          <w:szCs w:val="21"/>
          <w:color w:val="auto"/>
        </w:rPr>
        <w:t>) of sub-regulation (1) in accordance with these regulations.</w:t>
      </w:r>
    </w:p>
    <w:p>
      <w:pPr>
        <w:spacing w:after="0" w:line="277"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Specified listed company to obtain unique identification number</w:t>
      </w:r>
    </w:p>
    <w:p>
      <w:pPr>
        <w:spacing w:after="0" w:line="277" w:lineRule="exact"/>
        <w:rPr>
          <w:sz w:val="20"/>
          <w:szCs w:val="20"/>
          <w:color w:val="auto"/>
        </w:rPr>
      </w:pPr>
    </w:p>
    <w:p>
      <w:pPr>
        <w:ind w:left="580" w:hanging="234"/>
        <w:spacing w:after="0"/>
        <w:tabs>
          <w:tab w:leader="none" w:pos="580" w:val="left"/>
        </w:tabs>
        <w:numPr>
          <w:ilvl w:val="0"/>
          <w:numId w:val="24"/>
        </w:numPr>
        <w:rPr>
          <w:rFonts w:ascii="Arial" w:cs="Arial" w:eastAsia="Arial" w:hAnsi="Arial"/>
          <w:sz w:val="21"/>
          <w:szCs w:val="21"/>
          <w:b w:val="1"/>
          <w:bCs w:val="1"/>
          <w:color w:val="auto"/>
        </w:rPr>
      </w:pPr>
      <w:r>
        <w:rPr>
          <w:rFonts w:ascii="Arial" w:cs="Arial" w:eastAsia="Arial" w:hAnsi="Arial"/>
          <w:sz w:val="21"/>
          <w:szCs w:val="21"/>
          <w:color w:val="auto"/>
        </w:rPr>
        <w:t>On and from such date as may be notified by the Board in the official gazette, no specified</w:t>
      </w:r>
    </w:p>
    <w:p>
      <w:pPr>
        <w:spacing w:after="0" w:line="20" w:lineRule="exact"/>
        <w:rPr>
          <w:rFonts w:ascii="Arial" w:cs="Arial" w:eastAsia="Arial" w:hAnsi="Arial"/>
          <w:sz w:val="21"/>
          <w:szCs w:val="21"/>
          <w:b w:val="1"/>
          <w:bCs w:val="1"/>
          <w:color w:val="auto"/>
        </w:rPr>
      </w:pPr>
    </w:p>
    <w:p>
      <w:pPr>
        <w:ind w:left="360" w:right="200"/>
        <w:spacing w:after="0"/>
        <w:rPr>
          <w:rFonts w:ascii="Arial" w:cs="Arial" w:eastAsia="Arial" w:hAnsi="Arial"/>
          <w:sz w:val="21"/>
          <w:szCs w:val="21"/>
          <w:b w:val="1"/>
          <w:bCs w:val="1"/>
          <w:color w:val="auto"/>
        </w:rPr>
      </w:pPr>
      <w:r>
        <w:rPr>
          <w:rFonts w:ascii="Arial" w:cs="Arial" w:eastAsia="Arial" w:hAnsi="Arial"/>
          <w:sz w:val="21"/>
          <w:szCs w:val="21"/>
          <w:color w:val="auto"/>
        </w:rPr>
        <w:t>listed company or a company which intends to get its securities listed shall issue any securities which are proposed to be listed on a recognized stock exchange, unless—</w:t>
      </w:r>
    </w:p>
    <w:p>
      <w:pPr>
        <w:spacing w:after="0" w:line="290" w:lineRule="exact"/>
        <w:rPr>
          <w:rFonts w:ascii="Arial" w:cs="Arial" w:eastAsia="Arial" w:hAnsi="Arial"/>
          <w:sz w:val="21"/>
          <w:szCs w:val="21"/>
          <w:b w:val="1"/>
          <w:bCs w:val="1"/>
          <w:color w:val="auto"/>
        </w:rPr>
      </w:pPr>
    </w:p>
    <w:p>
      <w:pPr>
        <w:ind w:left="1100" w:right="640" w:hanging="19"/>
        <w:spacing w:after="0"/>
        <w:tabs>
          <w:tab w:leader="none" w:pos="1811" w:val="left"/>
        </w:tabs>
        <w:numPr>
          <w:ilvl w:val="1"/>
          <w:numId w:val="24"/>
        </w:numPr>
        <w:rPr>
          <w:rFonts w:ascii="Arial" w:cs="Arial" w:eastAsia="Arial" w:hAnsi="Arial"/>
          <w:sz w:val="21"/>
          <w:szCs w:val="21"/>
          <w:color w:val="auto"/>
        </w:rPr>
      </w:pPr>
      <w:r>
        <w:rPr>
          <w:rFonts w:ascii="Arial" w:cs="Arial" w:eastAsia="Arial" w:hAnsi="Arial"/>
          <w:sz w:val="21"/>
          <w:szCs w:val="21"/>
          <w:color w:val="auto"/>
        </w:rPr>
        <w:t>it has obtained a unique identification number from the Designated Service Provider; and</w:t>
      </w:r>
    </w:p>
    <w:p>
      <w:pPr>
        <w:spacing w:after="0" w:line="289" w:lineRule="exact"/>
        <w:rPr>
          <w:rFonts w:ascii="Arial" w:cs="Arial" w:eastAsia="Arial" w:hAnsi="Arial"/>
          <w:sz w:val="21"/>
          <w:szCs w:val="21"/>
          <w:color w:val="auto"/>
        </w:rPr>
      </w:pPr>
    </w:p>
    <w:p>
      <w:pPr>
        <w:ind w:left="1100" w:right="320" w:hanging="19"/>
        <w:spacing w:after="0"/>
        <w:tabs>
          <w:tab w:leader="none" w:pos="1811" w:val="left"/>
        </w:tabs>
        <w:numPr>
          <w:ilvl w:val="1"/>
          <w:numId w:val="24"/>
        </w:numPr>
        <w:rPr>
          <w:rFonts w:ascii="Arial" w:cs="Arial" w:eastAsia="Arial" w:hAnsi="Arial"/>
          <w:sz w:val="21"/>
          <w:szCs w:val="21"/>
          <w:color w:val="auto"/>
        </w:rPr>
      </w:pPr>
      <w:r>
        <w:rPr>
          <w:rFonts w:ascii="Arial" w:cs="Arial" w:eastAsia="Arial" w:hAnsi="Arial"/>
          <w:sz w:val="21"/>
          <w:szCs w:val="21"/>
          <w:color w:val="auto"/>
        </w:rPr>
        <w:t>the following related persons have been allotted unique identification numbers by the Designated Service Provider:</w:t>
      </w:r>
    </w:p>
    <w:p>
      <w:pPr>
        <w:spacing w:after="0" w:line="290" w:lineRule="exact"/>
        <w:rPr>
          <w:rFonts w:ascii="Arial" w:cs="Arial" w:eastAsia="Arial" w:hAnsi="Arial"/>
          <w:sz w:val="21"/>
          <w:szCs w:val="21"/>
          <w:color w:val="auto"/>
        </w:rPr>
      </w:pPr>
    </w:p>
    <w:p>
      <w:pPr>
        <w:ind w:left="2860" w:right="480" w:hanging="339"/>
        <w:spacing w:after="0" w:line="245" w:lineRule="auto"/>
        <w:tabs>
          <w:tab w:leader="none" w:pos="2860" w:val="left"/>
        </w:tabs>
        <w:numPr>
          <w:ilvl w:val="2"/>
          <w:numId w:val="24"/>
        </w:numPr>
        <w:rPr>
          <w:rFonts w:ascii="Arial" w:cs="Arial" w:eastAsia="Arial" w:hAnsi="Arial"/>
          <w:sz w:val="21"/>
          <w:szCs w:val="21"/>
          <w:color w:val="auto"/>
        </w:rPr>
      </w:pPr>
      <w:r>
        <w:rPr>
          <w:rFonts w:ascii="Arial" w:cs="Arial" w:eastAsia="Arial" w:hAnsi="Arial"/>
          <w:sz w:val="21"/>
          <w:szCs w:val="21"/>
          <w:color w:val="auto"/>
        </w:rPr>
        <w:t>its promoters, other than the Central or State Government or any statutory authority;</w:t>
      </w:r>
    </w:p>
    <w:p>
      <w:pPr>
        <w:spacing w:after="0" w:line="277" w:lineRule="exact"/>
        <w:rPr>
          <w:rFonts w:ascii="Arial" w:cs="Arial" w:eastAsia="Arial" w:hAnsi="Arial"/>
          <w:sz w:val="21"/>
          <w:szCs w:val="21"/>
          <w:color w:val="auto"/>
        </w:rPr>
      </w:pPr>
    </w:p>
    <w:p>
      <w:pPr>
        <w:ind w:left="2860" w:hanging="339"/>
        <w:spacing w:after="0"/>
        <w:tabs>
          <w:tab w:leader="none" w:pos="2860" w:val="left"/>
        </w:tabs>
        <w:numPr>
          <w:ilvl w:val="2"/>
          <w:numId w:val="24"/>
        </w:numPr>
        <w:rPr>
          <w:rFonts w:ascii="Arial" w:cs="Arial" w:eastAsia="Arial" w:hAnsi="Arial"/>
          <w:sz w:val="21"/>
          <w:szCs w:val="21"/>
          <w:color w:val="auto"/>
        </w:rPr>
      </w:pPr>
      <w:r>
        <w:rPr>
          <w:rFonts w:ascii="Arial" w:cs="Arial" w:eastAsia="Arial" w:hAnsi="Arial"/>
          <w:sz w:val="21"/>
          <w:szCs w:val="21"/>
          <w:color w:val="auto"/>
        </w:rPr>
        <w:t>its directors and officers;</w:t>
      </w:r>
    </w:p>
    <w:p>
      <w:pPr>
        <w:spacing w:after="0" w:line="281" w:lineRule="exact"/>
        <w:rPr>
          <w:rFonts w:ascii="Arial" w:cs="Arial" w:eastAsia="Arial" w:hAnsi="Arial"/>
          <w:sz w:val="21"/>
          <w:szCs w:val="21"/>
          <w:color w:val="auto"/>
        </w:rPr>
      </w:pPr>
    </w:p>
    <w:p>
      <w:pPr>
        <w:ind w:left="2860" w:hanging="339"/>
        <w:spacing w:after="0"/>
        <w:tabs>
          <w:tab w:leader="none" w:pos="2860" w:val="left"/>
        </w:tabs>
        <w:numPr>
          <w:ilvl w:val="2"/>
          <w:numId w:val="24"/>
        </w:numPr>
        <w:rPr>
          <w:rFonts w:ascii="Arial" w:cs="Arial" w:eastAsia="Arial" w:hAnsi="Arial"/>
          <w:sz w:val="21"/>
          <w:szCs w:val="21"/>
          <w:color w:val="auto"/>
        </w:rPr>
      </w:pPr>
      <w:r>
        <w:rPr>
          <w:rFonts w:ascii="Arial" w:cs="Arial" w:eastAsia="Arial" w:hAnsi="Arial"/>
          <w:sz w:val="21"/>
          <w:szCs w:val="21"/>
          <w:color w:val="auto"/>
        </w:rPr>
        <w:t>its designated employees;</w:t>
      </w:r>
    </w:p>
    <w:p>
      <w:pPr>
        <w:spacing w:after="0" w:line="289" w:lineRule="exact"/>
        <w:rPr>
          <w:rFonts w:ascii="Arial" w:cs="Arial" w:eastAsia="Arial" w:hAnsi="Arial"/>
          <w:sz w:val="21"/>
          <w:szCs w:val="21"/>
          <w:color w:val="auto"/>
        </w:rPr>
      </w:pPr>
    </w:p>
    <w:p>
      <w:pPr>
        <w:ind w:left="2860" w:right="600" w:hanging="339"/>
        <w:spacing w:after="0"/>
        <w:tabs>
          <w:tab w:leader="none" w:pos="2860" w:val="left"/>
        </w:tabs>
        <w:numPr>
          <w:ilvl w:val="2"/>
          <w:numId w:val="24"/>
        </w:numPr>
        <w:rPr>
          <w:rFonts w:ascii="Arial" w:cs="Arial" w:eastAsia="Arial" w:hAnsi="Arial"/>
          <w:sz w:val="21"/>
          <w:szCs w:val="21"/>
          <w:color w:val="auto"/>
        </w:rPr>
      </w:pPr>
      <w:r>
        <w:rPr>
          <w:rFonts w:ascii="Arial" w:cs="Arial" w:eastAsia="Arial" w:hAnsi="Arial"/>
          <w:sz w:val="21"/>
          <w:szCs w:val="21"/>
          <w:color w:val="auto"/>
        </w:rPr>
        <w:t>its subsidiaries, its holding company and the holding company’s subsidiaries, if any;</w:t>
      </w:r>
    </w:p>
    <w:p>
      <w:pPr>
        <w:spacing w:after="0" w:line="282" w:lineRule="exact"/>
        <w:rPr>
          <w:rFonts w:ascii="Arial" w:cs="Arial" w:eastAsia="Arial" w:hAnsi="Arial"/>
          <w:sz w:val="21"/>
          <w:szCs w:val="21"/>
          <w:color w:val="auto"/>
        </w:rPr>
      </w:pPr>
    </w:p>
    <w:p>
      <w:pPr>
        <w:ind w:left="2860" w:hanging="339"/>
        <w:spacing w:after="0"/>
        <w:tabs>
          <w:tab w:leader="none" w:pos="2860" w:val="left"/>
        </w:tabs>
        <w:numPr>
          <w:ilvl w:val="2"/>
          <w:numId w:val="24"/>
        </w:numPr>
        <w:rPr>
          <w:rFonts w:ascii="Arial" w:cs="Arial" w:eastAsia="Arial" w:hAnsi="Arial"/>
          <w:sz w:val="21"/>
          <w:szCs w:val="21"/>
          <w:color w:val="auto"/>
        </w:rPr>
      </w:pPr>
      <w:r>
        <w:rPr>
          <w:rFonts w:ascii="Arial" w:cs="Arial" w:eastAsia="Arial" w:hAnsi="Arial"/>
          <w:sz w:val="21"/>
          <w:szCs w:val="21"/>
          <w:color w:val="auto"/>
        </w:rPr>
        <w:t>its associates and their directors; and</w:t>
      </w:r>
    </w:p>
    <w:p>
      <w:pPr>
        <w:spacing w:after="0" w:line="289" w:lineRule="exact"/>
        <w:rPr>
          <w:rFonts w:ascii="Arial" w:cs="Arial" w:eastAsia="Arial" w:hAnsi="Arial"/>
          <w:sz w:val="21"/>
          <w:szCs w:val="21"/>
          <w:color w:val="auto"/>
        </w:rPr>
      </w:pPr>
    </w:p>
    <w:p>
      <w:pPr>
        <w:ind w:left="2860" w:right="360" w:hanging="339"/>
        <w:spacing w:after="0" w:line="241" w:lineRule="auto"/>
        <w:tabs>
          <w:tab w:leader="none" w:pos="2860" w:val="left"/>
        </w:tabs>
        <w:numPr>
          <w:ilvl w:val="2"/>
          <w:numId w:val="24"/>
        </w:numPr>
        <w:rPr>
          <w:rFonts w:ascii="Arial" w:cs="Arial" w:eastAsia="Arial" w:hAnsi="Arial"/>
          <w:sz w:val="21"/>
          <w:szCs w:val="21"/>
          <w:color w:val="auto"/>
        </w:rPr>
      </w:pPr>
      <w:r>
        <w:rPr>
          <w:rFonts w:ascii="Arial" w:cs="Arial" w:eastAsia="Arial" w:hAnsi="Arial"/>
          <w:sz w:val="21"/>
          <w:szCs w:val="21"/>
          <w:color w:val="auto"/>
        </w:rPr>
        <w:t>relatives of the natural persons mentioned in sub-clauses (</w:t>
      </w:r>
      <w:r>
        <w:rPr>
          <w:rFonts w:ascii="Arial" w:cs="Arial" w:eastAsia="Arial" w:hAnsi="Arial"/>
          <w:sz w:val="21"/>
          <w:szCs w:val="21"/>
          <w:i w:val="1"/>
          <w:iCs w:val="1"/>
          <w:color w:val="auto"/>
        </w:rPr>
        <w:t>i</w:t>
      </w:r>
      <w:r>
        <w:rPr>
          <w:rFonts w:ascii="Arial" w:cs="Arial" w:eastAsia="Arial" w:hAnsi="Arial"/>
          <w:sz w:val="21"/>
          <w:szCs w:val="21"/>
          <w:color w:val="auto"/>
        </w:rPr>
        <w:t>) to (</w:t>
      </w:r>
      <w:r>
        <w:rPr>
          <w:rFonts w:ascii="Arial" w:cs="Arial" w:eastAsia="Arial" w:hAnsi="Arial"/>
          <w:sz w:val="21"/>
          <w:szCs w:val="21"/>
          <w:i w:val="1"/>
          <w:iCs w:val="1"/>
          <w:color w:val="auto"/>
        </w:rPr>
        <w:t>iii</w:t>
      </w:r>
      <w:r>
        <w:rPr>
          <w:rFonts w:ascii="Arial" w:cs="Arial" w:eastAsia="Arial" w:hAnsi="Arial"/>
          <w:sz w:val="21"/>
          <w:szCs w:val="21"/>
          <w:color w:val="auto"/>
        </w:rPr>
        <w:t>) and (</w:t>
      </w:r>
      <w:r>
        <w:rPr>
          <w:rFonts w:ascii="Arial" w:cs="Arial" w:eastAsia="Arial" w:hAnsi="Arial"/>
          <w:sz w:val="21"/>
          <w:szCs w:val="21"/>
          <w:i w:val="1"/>
          <w:iCs w:val="1"/>
          <w:color w:val="auto"/>
        </w:rPr>
        <w:t>v</w:t>
      </w:r>
      <w:r>
        <w:rPr>
          <w:rFonts w:ascii="Arial" w:cs="Arial" w:eastAsia="Arial" w:hAnsi="Arial"/>
          <w:sz w:val="21"/>
          <w:szCs w:val="21"/>
          <w:color w:val="auto"/>
        </w:rPr>
        <w:t>) above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156845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2.35pt" to="162.05pt,12.35pt" o:allowincell="f" strokecolor="#000000" strokeweight="0.4799pt"/>
            </w:pict>
          </mc:Fallback>
        </mc:AlternateContent>
      </w:r>
    </w:p>
    <w:p>
      <w:pPr>
        <w:spacing w:after="0" w:line="255" w:lineRule="exact"/>
        <w:rPr>
          <w:sz w:val="20"/>
          <w:szCs w:val="20"/>
          <w:color w:val="auto"/>
        </w:rPr>
      </w:pPr>
    </w:p>
    <w:p>
      <w:pPr>
        <w:ind w:left="480" w:hanging="134"/>
        <w:spacing w:after="0"/>
        <w:tabs>
          <w:tab w:leader="none" w:pos="480" w:val="left"/>
        </w:tabs>
        <w:numPr>
          <w:ilvl w:val="0"/>
          <w:numId w:val="25"/>
        </w:numPr>
        <w:rPr>
          <w:rFonts w:ascii="Arial" w:cs="Arial" w:eastAsia="Arial" w:hAnsi="Arial"/>
          <w:sz w:val="28"/>
          <w:szCs w:val="28"/>
          <w:color w:val="auto"/>
          <w:vertAlign w:val="superscript"/>
        </w:rPr>
      </w:pPr>
      <w:r>
        <w:rPr>
          <w:rFonts w:ascii="Times New Roman" w:cs="Times New Roman" w:eastAsia="Times New Roman" w:hAnsi="Times New Roman"/>
          <w:sz w:val="20"/>
          <w:szCs w:val="20"/>
          <w:color w:val="auto"/>
        </w:rPr>
        <w:t>Sub-clause (viii) omitted by the SEBI (Central Database of Market Participants) (Amendment) Regulations,</w:t>
      </w:r>
    </w:p>
    <w:p>
      <w:pPr>
        <w:spacing w:after="0" w:line="27" w:lineRule="exact"/>
        <w:rPr>
          <w:sz w:val="20"/>
          <w:szCs w:val="20"/>
          <w:color w:val="auto"/>
        </w:rPr>
      </w:pPr>
    </w:p>
    <w:p>
      <w:pPr>
        <w:ind w:left="360" w:right="80"/>
        <w:spacing w:after="0" w:line="236" w:lineRule="auto"/>
        <w:rPr>
          <w:sz w:val="20"/>
          <w:szCs w:val="20"/>
          <w:color w:val="auto"/>
        </w:rPr>
      </w:pPr>
      <w:r>
        <w:rPr>
          <w:rFonts w:ascii="Times New Roman" w:cs="Times New Roman" w:eastAsia="Times New Roman" w:hAnsi="Times New Roman"/>
          <w:sz w:val="20"/>
          <w:szCs w:val="20"/>
          <w:color w:val="auto"/>
        </w:rPr>
        <w:t>2004, vide S.O. No. 854(E) dated 21-7-2004. Prior to omission, it read as under: “(viii) relatives of the natural persons mentioned in sub-clauses (i) to (vii) above:”</w:t>
      </w:r>
    </w:p>
    <w:p>
      <w:pPr>
        <w:spacing w:after="0" w:line="39" w:lineRule="exact"/>
        <w:rPr>
          <w:sz w:val="20"/>
          <w:szCs w:val="20"/>
          <w:color w:val="auto"/>
        </w:rPr>
      </w:pPr>
    </w:p>
    <w:p>
      <w:pPr>
        <w:ind w:left="360" w:right="80" w:hanging="9"/>
        <w:spacing w:after="0"/>
        <w:rPr>
          <w:sz w:val="20"/>
          <w:szCs w:val="20"/>
          <w:color w:val="auto"/>
        </w:rPr>
      </w:pPr>
      <w:r>
        <w:rPr>
          <w:rFonts w:ascii="Times New Roman" w:cs="Times New Roman" w:eastAsia="Times New Roman" w:hAnsi="Times New Roman"/>
          <w:sz w:val="20"/>
          <w:szCs w:val="20"/>
          <w:color w:val="auto"/>
        </w:rPr>
        <w:t>2 Inserted by the SEBI (Central Database of Market Participants) (Amendment) Regulations, 2004, vide</w:t>
      </w:r>
      <w:r>
        <w:rPr>
          <w:sz w:val="20"/>
          <w:szCs w:val="20"/>
          <w:color w:val="auto"/>
        </w:rPr>
        <w:t xml:space="preserve"> </w:t>
      </w:r>
      <w:r>
        <w:rPr>
          <w:rFonts w:ascii="Times New Roman" w:cs="Times New Roman" w:eastAsia="Times New Roman" w:hAnsi="Times New Roman"/>
          <w:sz w:val="20"/>
          <w:szCs w:val="20"/>
          <w:color w:val="auto"/>
        </w:rPr>
        <w:t>S.O. No. 854(E) dated 21-7-2004</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7 of 13</w:t>
      </w:r>
    </w:p>
    <w:p>
      <w:pPr>
        <w:sectPr>
          <w:pgSz w:w="12240" w:h="15840" w:orient="portrait"/>
          <w:cols w:equalWidth="0" w:num="1">
            <w:col w:w="9360"/>
          </w:cols>
          <w:pgMar w:left="1440" w:top="1440" w:right="1440" w:bottom="166" w:gutter="0" w:footer="0" w:header="0"/>
          <w:type w:val="continuous"/>
        </w:sectPr>
      </w:pPr>
    </w:p>
    <w:bookmarkStart w:id="7" w:name="page8"/>
    <w:bookmarkEnd w:id="7"/>
    <w:p>
      <w:pPr>
        <w:spacing w:after="0" w:line="50" w:lineRule="exact"/>
        <w:rPr>
          <w:sz w:val="20"/>
          <w:szCs w:val="20"/>
          <w:color w:val="auto"/>
        </w:rPr>
      </w:pPr>
    </w:p>
    <w:p>
      <w:pPr>
        <w:ind w:left="360" w:right="200" w:hanging="9"/>
        <w:spacing w:after="0" w:line="247" w:lineRule="auto"/>
        <w:rPr>
          <w:sz w:val="20"/>
          <w:szCs w:val="20"/>
          <w:color w:val="auto"/>
        </w:rPr>
      </w:pPr>
      <w:r>
        <w:rPr>
          <w:rFonts w:ascii="Arial" w:cs="Arial" w:eastAsia="Arial" w:hAnsi="Arial"/>
          <w:sz w:val="21"/>
          <w:szCs w:val="21"/>
          <w:b w:val="1"/>
          <w:bCs w:val="1"/>
          <w:color w:val="auto"/>
        </w:rPr>
        <w:t xml:space="preserve">Provided </w:t>
      </w:r>
      <w:r>
        <w:rPr>
          <w:rFonts w:ascii="Arial" w:cs="Arial" w:eastAsia="Arial" w:hAnsi="Arial"/>
          <w:sz w:val="21"/>
          <w:szCs w:val="21"/>
          <w:color w:val="auto"/>
        </w:rPr>
        <w:t>that a specified listed company may, make an issue of securities which are proposed</w:t>
      </w:r>
      <w:r>
        <w:rPr>
          <w:rFonts w:ascii="Arial" w:cs="Arial" w:eastAsia="Arial" w:hAnsi="Arial"/>
          <w:sz w:val="21"/>
          <w:szCs w:val="21"/>
          <w:b w:val="1"/>
          <w:bCs w:val="1"/>
          <w:color w:val="auto"/>
        </w:rPr>
        <w:t xml:space="preserve"> </w:t>
      </w:r>
      <w:r>
        <w:rPr>
          <w:rFonts w:ascii="Arial" w:cs="Arial" w:eastAsia="Arial" w:hAnsi="Arial"/>
          <w:sz w:val="21"/>
          <w:szCs w:val="21"/>
          <w:color w:val="auto"/>
        </w:rPr>
        <w:t>to be listed in any recognized stock exchange if it has made an application for allotment of unique identification number before the notified date, till the disposal of the application and where an appeal has been filed, till such appeal is disposed of.</w:t>
      </w:r>
    </w:p>
    <w:p>
      <w:pPr>
        <w:spacing w:after="0" w:line="200" w:lineRule="exact"/>
        <w:rPr>
          <w:sz w:val="20"/>
          <w:szCs w:val="20"/>
          <w:color w:val="auto"/>
        </w:rPr>
      </w:pPr>
    </w:p>
    <w:p>
      <w:pPr>
        <w:spacing w:after="0" w:line="234" w:lineRule="exact"/>
        <w:rPr>
          <w:sz w:val="20"/>
          <w:szCs w:val="20"/>
          <w:color w:val="auto"/>
        </w:rPr>
      </w:pPr>
    </w:p>
    <w:p>
      <w:pPr>
        <w:ind w:left="520"/>
        <w:spacing w:after="0"/>
        <w:rPr>
          <w:sz w:val="20"/>
          <w:szCs w:val="20"/>
          <w:color w:val="auto"/>
        </w:rPr>
      </w:pPr>
      <w:r>
        <w:rPr>
          <w:rFonts w:ascii="Arial" w:cs="Arial" w:eastAsia="Arial" w:hAnsi="Arial"/>
          <w:sz w:val="27"/>
          <w:szCs w:val="27"/>
          <w:b w:val="1"/>
          <w:bCs w:val="1"/>
          <w:color w:val="auto"/>
          <w:vertAlign w:val="superscript"/>
        </w:rPr>
        <w:t>1</w:t>
      </w:r>
      <w:r>
        <w:rPr>
          <w:rFonts w:ascii="Arial" w:cs="Arial" w:eastAsia="Arial" w:hAnsi="Arial"/>
          <w:sz w:val="21"/>
          <w:szCs w:val="21"/>
          <w:b w:val="1"/>
          <w:bCs w:val="1"/>
          <w:color w:val="auto"/>
        </w:rPr>
        <w:t>[Power of the Board to extend time in respect of related persons</w:t>
      </w:r>
    </w:p>
    <w:p>
      <w:pPr>
        <w:spacing w:after="0" w:line="220" w:lineRule="exact"/>
        <w:rPr>
          <w:sz w:val="20"/>
          <w:szCs w:val="20"/>
          <w:color w:val="auto"/>
        </w:rPr>
      </w:pPr>
    </w:p>
    <w:p>
      <w:pPr>
        <w:ind w:left="360" w:right="180" w:hanging="9"/>
        <w:spacing w:after="0" w:line="247" w:lineRule="auto"/>
        <w:rPr>
          <w:sz w:val="20"/>
          <w:szCs w:val="20"/>
          <w:color w:val="auto"/>
        </w:rPr>
      </w:pPr>
      <w:r>
        <w:rPr>
          <w:rFonts w:ascii="Arial" w:cs="Arial" w:eastAsia="Arial" w:hAnsi="Arial"/>
          <w:sz w:val="21"/>
          <w:szCs w:val="21"/>
          <w:b w:val="1"/>
          <w:bCs w:val="1"/>
          <w:color w:val="auto"/>
        </w:rPr>
        <w:t>5A.</w:t>
      </w:r>
      <w:r>
        <w:rPr>
          <w:rFonts w:ascii="Arial" w:cs="Arial" w:eastAsia="Arial" w:hAnsi="Arial"/>
          <w:sz w:val="21"/>
          <w:szCs w:val="21"/>
          <w:color w:val="auto"/>
        </w:rPr>
        <w:t>(1)</w:t>
      </w:r>
      <w:r>
        <w:rPr>
          <w:rFonts w:ascii="Arial" w:cs="Arial" w:eastAsia="Arial" w:hAnsi="Arial"/>
          <w:sz w:val="21"/>
          <w:szCs w:val="21"/>
          <w:b w:val="1"/>
          <w:bCs w:val="1"/>
          <w:color w:val="auto"/>
        </w:rPr>
        <w:t xml:space="preserve"> </w:t>
      </w:r>
      <w:r>
        <w:rPr>
          <w:rFonts w:ascii="Arial" w:cs="Arial" w:eastAsia="Arial" w:hAnsi="Arial"/>
          <w:sz w:val="21"/>
          <w:szCs w:val="21"/>
          <w:i w:val="1"/>
          <w:iCs w:val="1"/>
          <w:color w:val="auto"/>
        </w:rPr>
        <w:t>Where the Board is satisfied that it is necessary, in order to prevent genuine hardship,</w:t>
      </w:r>
      <w:r>
        <w:rPr>
          <w:rFonts w:ascii="Arial" w:cs="Arial" w:eastAsia="Arial" w:hAnsi="Arial"/>
          <w:sz w:val="21"/>
          <w:szCs w:val="21"/>
          <w:b w:val="1"/>
          <w:bCs w:val="1"/>
          <w:color w:val="auto"/>
        </w:rPr>
        <w:t xml:space="preserve"> </w:t>
      </w:r>
      <w:r>
        <w:rPr>
          <w:rFonts w:ascii="Arial" w:cs="Arial" w:eastAsia="Arial" w:hAnsi="Arial"/>
          <w:sz w:val="21"/>
          <w:szCs w:val="21"/>
          <w:i w:val="1"/>
          <w:iCs w:val="1"/>
          <w:color w:val="auto"/>
        </w:rPr>
        <w:t>that the time for obtaining unique identification numbers has to be extended beyond the date notified under regulations 4 or 5, as the case may be, in respect of any class of related persons of specified intermediaries or specified listed companies, it may by notification in the Official Gazette, specify a date within which such class of related persons ought to obtain unique identification numbers.</w:t>
      </w:r>
    </w:p>
    <w:p>
      <w:pPr>
        <w:spacing w:after="0" w:line="280" w:lineRule="exact"/>
        <w:rPr>
          <w:sz w:val="20"/>
          <w:szCs w:val="20"/>
          <w:color w:val="auto"/>
        </w:rPr>
      </w:pPr>
    </w:p>
    <w:p>
      <w:pPr>
        <w:ind w:left="360" w:right="120" w:hanging="14"/>
        <w:spacing w:after="0" w:line="247" w:lineRule="auto"/>
        <w:tabs>
          <w:tab w:leader="none" w:pos="668" w:val="left"/>
        </w:tabs>
        <w:numPr>
          <w:ilvl w:val="0"/>
          <w:numId w:val="26"/>
        </w:numPr>
        <w:rPr>
          <w:rFonts w:ascii="Arial" w:cs="Arial" w:eastAsia="Arial" w:hAnsi="Arial"/>
          <w:sz w:val="21"/>
          <w:szCs w:val="21"/>
          <w:color w:val="auto"/>
        </w:rPr>
      </w:pPr>
      <w:r>
        <w:rPr>
          <w:rFonts w:ascii="Arial" w:cs="Arial" w:eastAsia="Arial" w:hAnsi="Arial"/>
          <w:sz w:val="21"/>
          <w:szCs w:val="21"/>
          <w:i w:val="1"/>
          <w:iCs w:val="1"/>
          <w:color w:val="auto"/>
        </w:rPr>
        <w:t>Where any person belonging to such class of related persons does not obtain unique identification number within the date notified under sub-regulation (1), the prohibitions contained in sub-regulation (1) of regulation 4 or regulation 5, as the case may be, shall apply to the concerned specified intermediary or specified listed company.</w:t>
      </w:r>
      <w:r>
        <w:rPr>
          <w:rFonts w:ascii="Arial" w:cs="Arial" w:eastAsia="Arial" w:hAnsi="Arial"/>
          <w:sz w:val="21"/>
          <w:szCs w:val="21"/>
          <w:b w:val="1"/>
          <w:bCs w:val="1"/>
          <w:color w:val="auto"/>
        </w:rPr>
        <w:t>]</w:t>
      </w:r>
    </w:p>
    <w:p>
      <w:pPr>
        <w:spacing w:after="0" w:line="271"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Specified investors to obtain unique identification numbers</w:t>
      </w:r>
    </w:p>
    <w:p>
      <w:pPr>
        <w:spacing w:after="0" w:line="289" w:lineRule="exact"/>
        <w:rPr>
          <w:sz w:val="20"/>
          <w:szCs w:val="20"/>
          <w:color w:val="auto"/>
        </w:rPr>
      </w:pPr>
    </w:p>
    <w:p>
      <w:pPr>
        <w:ind w:left="360" w:right="180" w:hanging="14"/>
        <w:spacing w:after="0" w:line="247" w:lineRule="auto"/>
        <w:tabs>
          <w:tab w:leader="none" w:pos="586" w:val="left"/>
        </w:tabs>
        <w:numPr>
          <w:ilvl w:val="0"/>
          <w:numId w:val="27"/>
        </w:numPr>
        <w:rPr>
          <w:rFonts w:ascii="Arial" w:cs="Arial" w:eastAsia="Arial" w:hAnsi="Arial"/>
          <w:sz w:val="21"/>
          <w:szCs w:val="21"/>
          <w:b w:val="1"/>
          <w:bCs w:val="1"/>
          <w:color w:val="auto"/>
        </w:rPr>
      </w:pPr>
      <w:r>
        <w:rPr>
          <w:rFonts w:ascii="Arial" w:cs="Arial" w:eastAsia="Arial" w:hAnsi="Arial"/>
          <w:sz w:val="21"/>
          <w:szCs w:val="21"/>
          <w:color w:val="auto"/>
        </w:rPr>
        <w:t>(1) On and from such date as may be notified by the Board in the Official Gazette, no specified investor, not being a body corporate, shall buy, sell or deal in any securities which are listed on any recognized stock exchange or in units of a mutual fund or a collective investment scheme or subscribe to securities which are proposed to be listed in any recognized stock exchange or units of a mutual fund or a collective investment scheme unless he has been allotted a unique identification number.</w:t>
      </w:r>
    </w:p>
    <w:p>
      <w:pPr>
        <w:spacing w:after="0" w:line="285" w:lineRule="exact"/>
        <w:rPr>
          <w:rFonts w:ascii="Arial" w:cs="Arial" w:eastAsia="Arial" w:hAnsi="Arial"/>
          <w:sz w:val="21"/>
          <w:szCs w:val="21"/>
          <w:b w:val="1"/>
          <w:bCs w:val="1"/>
          <w:color w:val="auto"/>
        </w:rPr>
      </w:pPr>
    </w:p>
    <w:p>
      <w:pPr>
        <w:ind w:left="380" w:right="260" w:hanging="20"/>
        <w:spacing w:after="0" w:line="262" w:lineRule="auto"/>
        <w:tabs>
          <w:tab w:leader="none" w:pos="1091" w:val="left"/>
        </w:tabs>
        <w:numPr>
          <w:ilvl w:val="1"/>
          <w:numId w:val="27"/>
        </w:numPr>
        <w:rPr>
          <w:rFonts w:ascii="Arial" w:cs="Arial" w:eastAsia="Arial" w:hAnsi="Arial"/>
          <w:sz w:val="20"/>
          <w:szCs w:val="20"/>
          <w:color w:val="auto"/>
        </w:rPr>
      </w:pPr>
      <w:r>
        <w:rPr>
          <w:rFonts w:ascii="Arial" w:cs="Arial" w:eastAsia="Arial" w:hAnsi="Arial"/>
          <w:sz w:val="20"/>
          <w:szCs w:val="20"/>
          <w:color w:val="auto"/>
        </w:rPr>
        <w:t>On and from such date as may be notified by the Board in the Official Gazette, no specified investor being a body corporate shall buy, sell or deal in any securities which are listed on any recognized stock exchange or in units of a mutual fund or a collective investment scheme or subscribe to securities which are proposed to be listed in any recognized stock exchange or units of a mutual fund or a collective investment scheme unless such specified investor, its promoters and directors have been allotted unique identification numbers.</w:t>
      </w:r>
    </w:p>
    <w:p>
      <w:pPr>
        <w:spacing w:after="0" w:line="270" w:lineRule="exact"/>
        <w:rPr>
          <w:rFonts w:ascii="Arial" w:cs="Arial" w:eastAsia="Arial" w:hAnsi="Arial"/>
          <w:sz w:val="20"/>
          <w:szCs w:val="20"/>
          <w:color w:val="auto"/>
        </w:rPr>
      </w:pPr>
    </w:p>
    <w:p>
      <w:pPr>
        <w:ind w:left="380" w:right="100" w:hanging="20"/>
        <w:spacing w:after="0" w:line="236" w:lineRule="auto"/>
        <w:tabs>
          <w:tab w:leader="none" w:pos="1091" w:val="left"/>
        </w:tabs>
        <w:numPr>
          <w:ilvl w:val="1"/>
          <w:numId w:val="27"/>
        </w:numPr>
        <w:rPr>
          <w:rFonts w:ascii="Arial" w:cs="Arial" w:eastAsia="Arial" w:hAnsi="Arial"/>
          <w:sz w:val="21"/>
          <w:szCs w:val="21"/>
          <w:color w:val="auto"/>
        </w:rPr>
      </w:pPr>
      <w:r>
        <w:rPr>
          <w:rFonts w:ascii="Arial" w:cs="Arial" w:eastAsia="Arial" w:hAnsi="Arial"/>
          <w:sz w:val="21"/>
          <w:szCs w:val="21"/>
          <w:color w:val="auto"/>
        </w:rPr>
        <w:t xml:space="preserve">On and from such date as may be notified by the Board in the Official Gazette, no specified investor, being a </w:t>
      </w:r>
      <w:r>
        <w:rPr>
          <w:rFonts w:ascii="Arial" w:cs="Arial" w:eastAsia="Arial" w:hAnsi="Arial"/>
          <w:sz w:val="27"/>
          <w:szCs w:val="27"/>
          <w:color w:val="auto"/>
          <w:vertAlign w:val="superscript"/>
        </w:rPr>
        <w:t>2</w:t>
      </w:r>
      <w:r>
        <w:rPr>
          <w:rFonts w:ascii="Arial" w:cs="Arial" w:eastAsia="Arial" w:hAnsi="Arial"/>
          <w:sz w:val="21"/>
          <w:szCs w:val="21"/>
          <w:color w:val="auto"/>
        </w:rPr>
        <w:t>[Foreign portfolio Investor], a sub-account or a Foreign Venture Capital Investor shall buy, sell or deal in any securities which are listed on any recognized stock exchange or in units of a mutual fund or a collective investment scheme or subscribe to securities which are proposed to be listed in any recognized stock exchange or units of a mutual fund or a collective investment scheme unless it has been allotted a unique identification number.</w:t>
      </w:r>
    </w:p>
    <w:p>
      <w:pPr>
        <w:spacing w:after="0" w:line="296" w:lineRule="exact"/>
        <w:rPr>
          <w:rFonts w:ascii="Arial" w:cs="Arial" w:eastAsia="Arial" w:hAnsi="Arial"/>
          <w:sz w:val="21"/>
          <w:szCs w:val="21"/>
          <w:color w:val="auto"/>
        </w:rPr>
      </w:pPr>
    </w:p>
    <w:p>
      <w:pPr>
        <w:jc w:val="both"/>
        <w:ind w:left="380" w:right="100" w:hanging="20"/>
        <w:spacing w:after="0" w:line="264" w:lineRule="auto"/>
        <w:tabs>
          <w:tab w:leader="none" w:pos="1091" w:val="left"/>
        </w:tabs>
        <w:numPr>
          <w:ilvl w:val="1"/>
          <w:numId w:val="27"/>
        </w:numPr>
        <w:rPr>
          <w:rFonts w:ascii="Arial" w:cs="Arial" w:eastAsia="Arial" w:hAnsi="Arial"/>
          <w:sz w:val="20"/>
          <w:szCs w:val="20"/>
          <w:color w:val="auto"/>
        </w:rPr>
      </w:pPr>
      <w:r>
        <w:rPr>
          <w:rFonts w:ascii="Arial" w:cs="Arial" w:eastAsia="Arial" w:hAnsi="Arial"/>
          <w:sz w:val="20"/>
          <w:szCs w:val="20"/>
          <w:color w:val="auto"/>
        </w:rPr>
        <w:t>No intermediary shall, after such specified date, deal in or allot such securities on behalf of or to a specified investor unless the investor has been allotted a unique identification number.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97790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7.7pt" to="162.05pt,7.7pt" o:allowincell="f" strokecolor="#000000" strokeweight="0.48pt"/>
            </w:pict>
          </mc:Fallback>
        </mc:AlternateContent>
      </w:r>
    </w:p>
    <w:p>
      <w:pPr>
        <w:spacing w:after="0" w:line="253" w:lineRule="exact"/>
        <w:rPr>
          <w:sz w:val="20"/>
          <w:szCs w:val="20"/>
          <w:color w:val="auto"/>
        </w:rPr>
      </w:pPr>
    </w:p>
    <w:p>
      <w:pPr>
        <w:ind w:left="360" w:right="80" w:hanging="9"/>
        <w:spacing w:after="0"/>
        <w:rPr>
          <w:sz w:val="20"/>
          <w:szCs w:val="20"/>
          <w:color w:val="auto"/>
        </w:rPr>
      </w:pPr>
      <w:r>
        <w:rPr>
          <w:rFonts w:ascii="Times New Roman" w:cs="Times New Roman" w:eastAsia="Times New Roman" w:hAnsi="Times New Roman"/>
          <w:sz w:val="20"/>
          <w:szCs w:val="20"/>
          <w:color w:val="auto"/>
        </w:rPr>
        <w:t>1 Inserted by the SEBI (Central Database of Market Participants) (Amendment) Regulations, 2004, vide</w:t>
      </w:r>
      <w:r>
        <w:rPr>
          <w:sz w:val="20"/>
          <w:szCs w:val="20"/>
          <w:color w:val="auto"/>
        </w:rPr>
        <w:t xml:space="preserve"> </w:t>
      </w:r>
      <w:r>
        <w:rPr>
          <w:rFonts w:ascii="Times New Roman" w:cs="Times New Roman" w:eastAsia="Times New Roman" w:hAnsi="Times New Roman"/>
          <w:sz w:val="20"/>
          <w:szCs w:val="20"/>
          <w:color w:val="auto"/>
        </w:rPr>
        <w:t>S.O. No. 854(E) dated 21-7-2004</w:t>
      </w:r>
    </w:p>
    <w:p>
      <w:pPr>
        <w:spacing w:after="0" w:line="269" w:lineRule="exact"/>
        <w:rPr>
          <w:sz w:val="20"/>
          <w:szCs w:val="20"/>
          <w:color w:val="auto"/>
        </w:rPr>
      </w:pPr>
    </w:p>
    <w:p>
      <w:pPr>
        <w:ind w:left="380" w:right="200" w:hanging="20"/>
        <w:spacing w:after="0" w:line="205" w:lineRule="auto"/>
        <w:tabs>
          <w:tab w:leader="none" w:pos="501" w:val="left"/>
        </w:tabs>
        <w:numPr>
          <w:ilvl w:val="0"/>
          <w:numId w:val="28"/>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Substituted for "Foreign Institutional Investor" by the SEBI (Foreign Portfolio Investors) Regulations, 2014, w.e.f. 7-1-2014.</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376"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8 of 13</w:t>
      </w:r>
    </w:p>
    <w:p>
      <w:pPr>
        <w:sectPr>
          <w:pgSz w:w="12240" w:h="15840" w:orient="portrait"/>
          <w:cols w:equalWidth="0" w:num="1">
            <w:col w:w="9360"/>
          </w:cols>
          <w:pgMar w:left="1440" w:top="1440" w:right="1440" w:bottom="166" w:gutter="0" w:footer="0" w:header="0"/>
          <w:type w:val="continuous"/>
        </w:sectPr>
      </w:pPr>
    </w:p>
    <w:bookmarkStart w:id="8" w:name="page9"/>
    <w:bookmarkEnd w:id="8"/>
    <w:p>
      <w:pPr>
        <w:spacing w:after="0" w:line="50" w:lineRule="exact"/>
        <w:rPr>
          <w:sz w:val="20"/>
          <w:szCs w:val="20"/>
          <w:color w:val="auto"/>
        </w:rPr>
      </w:pPr>
    </w:p>
    <w:p>
      <w:pPr>
        <w:ind w:left="380" w:right="100" w:hanging="20"/>
        <w:spacing w:after="0" w:line="247" w:lineRule="auto"/>
        <w:tabs>
          <w:tab w:leader="none" w:pos="1091" w:val="left"/>
        </w:tabs>
        <w:numPr>
          <w:ilvl w:val="0"/>
          <w:numId w:val="29"/>
        </w:numPr>
        <w:rPr>
          <w:rFonts w:ascii="Arial" w:cs="Arial" w:eastAsia="Arial" w:hAnsi="Arial"/>
          <w:sz w:val="21"/>
          <w:szCs w:val="21"/>
          <w:color w:val="auto"/>
        </w:rPr>
      </w:pPr>
      <w:r>
        <w:rPr>
          <w:rFonts w:ascii="Arial" w:cs="Arial" w:eastAsia="Arial" w:hAnsi="Arial"/>
          <w:sz w:val="21"/>
          <w:szCs w:val="21"/>
          <w:color w:val="auto"/>
        </w:rPr>
        <w:t>Nothing in this regulation shall apply to any specified investor who has applied for allotment of a unique identification number under regulation 9 before the notified date, till the disposal of his application or, where he has filed an appeal, till the disposal of the appeal, as the case may be.</w:t>
      </w:r>
    </w:p>
    <w:p>
      <w:pPr>
        <w:spacing w:after="0" w:line="276"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Application by specified intermediary or other entity</w:t>
      </w:r>
    </w:p>
    <w:p>
      <w:pPr>
        <w:spacing w:after="0" w:line="284" w:lineRule="exact"/>
        <w:rPr>
          <w:sz w:val="20"/>
          <w:szCs w:val="20"/>
          <w:color w:val="auto"/>
        </w:rPr>
      </w:pPr>
    </w:p>
    <w:p>
      <w:pPr>
        <w:ind w:left="360" w:right="340" w:hanging="14"/>
        <w:spacing w:after="0" w:line="229" w:lineRule="auto"/>
        <w:tabs>
          <w:tab w:leader="none" w:pos="586" w:val="left"/>
        </w:tabs>
        <w:numPr>
          <w:ilvl w:val="0"/>
          <w:numId w:val="30"/>
        </w:numPr>
        <w:rPr>
          <w:rFonts w:ascii="Arial" w:cs="Arial" w:eastAsia="Arial" w:hAnsi="Arial"/>
          <w:sz w:val="21"/>
          <w:szCs w:val="21"/>
          <w:b w:val="1"/>
          <w:bCs w:val="1"/>
          <w:color w:val="auto"/>
        </w:rPr>
      </w:pPr>
      <w:r>
        <w:rPr>
          <w:rFonts w:ascii="Arial" w:cs="Arial" w:eastAsia="Arial" w:hAnsi="Arial"/>
          <w:sz w:val="21"/>
          <w:szCs w:val="21"/>
          <w:color w:val="auto"/>
        </w:rPr>
        <w:t xml:space="preserve">Every specified intermediary or other entity shall make an application in accordance with </w:t>
      </w:r>
      <w:r>
        <w:rPr>
          <w:rFonts w:ascii="Arial" w:cs="Arial" w:eastAsia="Arial" w:hAnsi="Arial"/>
          <w:sz w:val="27"/>
          <w:szCs w:val="27"/>
          <w:color w:val="auto"/>
          <w:vertAlign w:val="superscript"/>
        </w:rPr>
        <w:t>1</w:t>
      </w:r>
      <w:r>
        <w:rPr>
          <w:rFonts w:ascii="Arial" w:cs="Arial" w:eastAsia="Arial" w:hAnsi="Arial"/>
          <w:sz w:val="21"/>
          <w:szCs w:val="21"/>
          <w:b w:val="1"/>
          <w:bCs w:val="1"/>
          <w:color w:val="auto"/>
        </w:rPr>
        <w:t>[</w:t>
      </w:r>
      <w:r>
        <w:rPr>
          <w:rFonts w:ascii="Arial" w:cs="Arial" w:eastAsia="Arial" w:hAnsi="Arial"/>
          <w:sz w:val="21"/>
          <w:szCs w:val="21"/>
          <w:i w:val="1"/>
          <w:iCs w:val="1"/>
          <w:color w:val="auto"/>
        </w:rPr>
        <w:t>sub-regulation (1) or sub-regulation (2), as the case may be, of regulation 12</w:t>
      </w:r>
      <w:r>
        <w:rPr>
          <w:rFonts w:ascii="Arial" w:cs="Arial" w:eastAsia="Arial" w:hAnsi="Arial"/>
          <w:sz w:val="21"/>
          <w:szCs w:val="21"/>
          <w:b w:val="1"/>
          <w:bCs w:val="1"/>
          <w:color w:val="auto"/>
        </w:rPr>
        <w:t xml:space="preserve">] </w:t>
      </w:r>
      <w:r>
        <w:rPr>
          <w:rFonts w:ascii="Arial" w:cs="Arial" w:eastAsia="Arial" w:hAnsi="Arial"/>
          <w:sz w:val="21"/>
          <w:szCs w:val="21"/>
          <w:color w:val="auto"/>
        </w:rPr>
        <w:t>to the</w:t>
      </w:r>
      <w:r>
        <w:rPr>
          <w:rFonts w:ascii="Arial" w:cs="Arial" w:eastAsia="Arial" w:hAnsi="Arial"/>
          <w:sz w:val="21"/>
          <w:szCs w:val="21"/>
          <w:b w:val="1"/>
          <w:bCs w:val="1"/>
          <w:color w:val="auto"/>
        </w:rPr>
        <w:t xml:space="preserve"> </w:t>
      </w:r>
      <w:r>
        <w:rPr>
          <w:rFonts w:ascii="Arial" w:cs="Arial" w:eastAsia="Arial" w:hAnsi="Arial"/>
          <w:sz w:val="21"/>
          <w:szCs w:val="21"/>
          <w:color w:val="auto"/>
        </w:rPr>
        <w:t>Designated Service Provider for allotment of unique identification numbers for itself and for its related persons.</w:t>
      </w:r>
    </w:p>
    <w:p>
      <w:pPr>
        <w:spacing w:after="0" w:line="282"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Application by specified listed company</w:t>
      </w:r>
    </w:p>
    <w:p>
      <w:pPr>
        <w:spacing w:after="0" w:line="284" w:lineRule="exact"/>
        <w:rPr>
          <w:sz w:val="20"/>
          <w:szCs w:val="20"/>
          <w:color w:val="auto"/>
        </w:rPr>
      </w:pPr>
    </w:p>
    <w:p>
      <w:pPr>
        <w:ind w:left="360" w:right="140" w:hanging="14"/>
        <w:spacing w:after="0" w:line="223" w:lineRule="auto"/>
        <w:tabs>
          <w:tab w:leader="none" w:pos="586" w:val="left"/>
        </w:tabs>
        <w:numPr>
          <w:ilvl w:val="0"/>
          <w:numId w:val="31"/>
        </w:numPr>
        <w:rPr>
          <w:rFonts w:ascii="Arial" w:cs="Arial" w:eastAsia="Arial" w:hAnsi="Arial"/>
          <w:sz w:val="21"/>
          <w:szCs w:val="21"/>
          <w:b w:val="1"/>
          <w:bCs w:val="1"/>
          <w:color w:val="auto"/>
        </w:rPr>
      </w:pPr>
      <w:r>
        <w:rPr>
          <w:rFonts w:ascii="Arial" w:cs="Arial" w:eastAsia="Arial" w:hAnsi="Arial"/>
          <w:sz w:val="21"/>
          <w:szCs w:val="21"/>
          <w:color w:val="auto"/>
        </w:rPr>
        <w:t xml:space="preserve">(1) Every specified listed company shall make an application to the Designated Service Provider in accordance with </w:t>
      </w:r>
      <w:r>
        <w:rPr>
          <w:rFonts w:ascii="Arial" w:cs="Arial" w:eastAsia="Arial" w:hAnsi="Arial"/>
          <w:sz w:val="27"/>
          <w:szCs w:val="27"/>
          <w:color w:val="auto"/>
          <w:vertAlign w:val="superscript"/>
        </w:rPr>
        <w:t>2</w:t>
      </w:r>
      <w:r>
        <w:rPr>
          <w:rFonts w:ascii="Arial" w:cs="Arial" w:eastAsia="Arial" w:hAnsi="Arial"/>
          <w:sz w:val="21"/>
          <w:szCs w:val="21"/>
          <w:b w:val="1"/>
          <w:bCs w:val="1"/>
          <w:color w:val="auto"/>
        </w:rPr>
        <w:t>[</w:t>
      </w:r>
      <w:r>
        <w:rPr>
          <w:rFonts w:ascii="Arial" w:cs="Arial" w:eastAsia="Arial" w:hAnsi="Arial"/>
          <w:sz w:val="21"/>
          <w:szCs w:val="21"/>
          <w:i w:val="1"/>
          <w:iCs w:val="1"/>
          <w:color w:val="auto"/>
        </w:rPr>
        <w:t>sub-regulation (1) or sub-regulation (2), as the case may be, of</w:t>
      </w:r>
      <w:r>
        <w:rPr>
          <w:rFonts w:ascii="Arial" w:cs="Arial" w:eastAsia="Arial" w:hAnsi="Arial"/>
          <w:sz w:val="21"/>
          <w:szCs w:val="21"/>
          <w:color w:val="auto"/>
        </w:rPr>
        <w:t xml:space="preserve"> </w:t>
      </w:r>
      <w:r>
        <w:rPr>
          <w:rFonts w:ascii="Arial" w:cs="Arial" w:eastAsia="Arial" w:hAnsi="Arial"/>
          <w:sz w:val="21"/>
          <w:szCs w:val="21"/>
          <w:i w:val="1"/>
          <w:iCs w:val="1"/>
          <w:color w:val="auto"/>
        </w:rPr>
        <w:t>regulation 12</w:t>
      </w:r>
      <w:r>
        <w:rPr>
          <w:rFonts w:ascii="Arial" w:cs="Arial" w:eastAsia="Arial" w:hAnsi="Arial"/>
          <w:sz w:val="21"/>
          <w:szCs w:val="21"/>
          <w:b w:val="1"/>
          <w:bCs w:val="1"/>
          <w:color w:val="auto"/>
        </w:rPr>
        <w:t>]</w:t>
      </w:r>
      <w:r>
        <w:rPr>
          <w:rFonts w:ascii="Arial" w:cs="Arial" w:eastAsia="Arial" w:hAnsi="Arial"/>
          <w:sz w:val="21"/>
          <w:szCs w:val="21"/>
          <w:i w:val="1"/>
          <w:iCs w:val="1"/>
          <w:color w:val="auto"/>
        </w:rPr>
        <w:t xml:space="preserve"> </w:t>
      </w:r>
      <w:r>
        <w:rPr>
          <w:rFonts w:ascii="Arial" w:cs="Arial" w:eastAsia="Arial" w:hAnsi="Arial"/>
          <w:sz w:val="21"/>
          <w:szCs w:val="21"/>
          <w:color w:val="auto"/>
        </w:rPr>
        <w:t>for allotment of unique identification numbers for itself and for its related persons.</w:t>
      </w:r>
    </w:p>
    <w:p>
      <w:pPr>
        <w:spacing w:after="0" w:line="291" w:lineRule="exact"/>
        <w:rPr>
          <w:sz w:val="20"/>
          <w:szCs w:val="20"/>
          <w:color w:val="auto"/>
        </w:rPr>
      </w:pPr>
    </w:p>
    <w:p>
      <w:pPr>
        <w:ind w:left="360" w:right="260" w:hanging="14"/>
        <w:spacing w:after="0" w:line="232" w:lineRule="auto"/>
        <w:tabs>
          <w:tab w:leader="none" w:pos="667" w:val="left"/>
        </w:tabs>
        <w:numPr>
          <w:ilvl w:val="0"/>
          <w:numId w:val="32"/>
        </w:numPr>
        <w:rPr>
          <w:rFonts w:ascii="Arial" w:cs="Arial" w:eastAsia="Arial" w:hAnsi="Arial"/>
          <w:sz w:val="21"/>
          <w:szCs w:val="21"/>
          <w:color w:val="auto"/>
        </w:rPr>
      </w:pPr>
      <w:r>
        <w:rPr>
          <w:rFonts w:ascii="Arial" w:cs="Arial" w:eastAsia="Arial" w:hAnsi="Arial"/>
          <w:sz w:val="21"/>
          <w:szCs w:val="21"/>
          <w:color w:val="auto"/>
        </w:rPr>
        <w:t xml:space="preserve">Every public company specified in the notification issued under regulation 5 and which intends to get its securities listed in a recognized stock exchange shall make an application to the Designated Service Provider for allotment of unique identification numbers for itself and for the related persons mentioned in </w:t>
      </w:r>
      <w:r>
        <w:rPr>
          <w:rFonts w:ascii="Arial" w:cs="Arial" w:eastAsia="Arial" w:hAnsi="Arial"/>
          <w:sz w:val="27"/>
          <w:szCs w:val="27"/>
          <w:color w:val="auto"/>
          <w:vertAlign w:val="superscript"/>
        </w:rPr>
        <w:t>3</w:t>
      </w:r>
      <w:r>
        <w:rPr>
          <w:rFonts w:ascii="Arial" w:cs="Arial" w:eastAsia="Arial" w:hAnsi="Arial"/>
          <w:sz w:val="21"/>
          <w:szCs w:val="21"/>
          <w:b w:val="1"/>
          <w:bCs w:val="1"/>
          <w:color w:val="auto"/>
        </w:rPr>
        <w:t>[</w:t>
      </w:r>
      <w:r>
        <w:rPr>
          <w:rFonts w:ascii="Arial" w:cs="Arial" w:eastAsia="Arial" w:hAnsi="Arial"/>
          <w:sz w:val="21"/>
          <w:szCs w:val="21"/>
          <w:color w:val="auto"/>
        </w:rPr>
        <w:t>clause (</w:t>
      </w:r>
      <w:r>
        <w:rPr>
          <w:rFonts w:ascii="Arial" w:cs="Arial" w:eastAsia="Arial" w:hAnsi="Arial"/>
          <w:sz w:val="21"/>
          <w:szCs w:val="21"/>
          <w:i w:val="1"/>
          <w:iCs w:val="1"/>
          <w:color w:val="auto"/>
        </w:rPr>
        <w:t>b</w:t>
      </w:r>
      <w:r>
        <w:rPr>
          <w:rFonts w:ascii="Arial" w:cs="Arial" w:eastAsia="Arial" w:hAnsi="Arial"/>
          <w:sz w:val="21"/>
          <w:szCs w:val="21"/>
          <w:color w:val="auto"/>
        </w:rPr>
        <w:t xml:space="preserve">) of regulation </w:t>
      </w:r>
      <w:r>
        <w:rPr>
          <w:rFonts w:ascii="Arial" w:cs="Arial" w:eastAsia="Arial" w:hAnsi="Arial"/>
          <w:sz w:val="21"/>
          <w:szCs w:val="21"/>
          <w:i w:val="1"/>
          <w:iCs w:val="1"/>
          <w:color w:val="auto"/>
        </w:rPr>
        <w:t>5</w:t>
      </w:r>
      <w:r>
        <w:rPr>
          <w:rFonts w:ascii="Arial" w:cs="Arial" w:eastAsia="Arial" w:hAnsi="Arial"/>
          <w:sz w:val="21"/>
          <w:szCs w:val="21"/>
          <w:b w:val="1"/>
          <w:bCs w:val="1"/>
          <w:color w:val="auto"/>
        </w:rPr>
        <w:t>]</w:t>
      </w:r>
      <w:r>
        <w:rPr>
          <w:rFonts w:ascii="Arial" w:cs="Arial" w:eastAsia="Arial" w:hAnsi="Arial"/>
          <w:sz w:val="21"/>
          <w:szCs w:val="21"/>
          <w:color w:val="auto"/>
        </w:rPr>
        <w:t xml:space="preserve"> simultaneously with the filing of the offer document with the Central Listing Authority.</w:t>
      </w:r>
    </w:p>
    <w:p>
      <w:pPr>
        <w:spacing w:after="0" w:line="286"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Application by specified investor</w:t>
      </w:r>
    </w:p>
    <w:p>
      <w:pPr>
        <w:spacing w:after="0" w:line="284" w:lineRule="exact"/>
        <w:rPr>
          <w:sz w:val="20"/>
          <w:szCs w:val="20"/>
          <w:color w:val="auto"/>
        </w:rPr>
      </w:pPr>
    </w:p>
    <w:p>
      <w:pPr>
        <w:ind w:left="360" w:right="100" w:hanging="14"/>
        <w:spacing w:after="0" w:line="223" w:lineRule="auto"/>
        <w:tabs>
          <w:tab w:leader="none" w:pos="586" w:val="left"/>
        </w:tabs>
        <w:numPr>
          <w:ilvl w:val="0"/>
          <w:numId w:val="33"/>
        </w:numPr>
        <w:rPr>
          <w:rFonts w:ascii="Arial" w:cs="Arial" w:eastAsia="Arial" w:hAnsi="Arial"/>
          <w:sz w:val="21"/>
          <w:szCs w:val="21"/>
          <w:b w:val="1"/>
          <w:bCs w:val="1"/>
          <w:color w:val="auto"/>
        </w:rPr>
      </w:pPr>
      <w:r>
        <w:rPr>
          <w:rFonts w:ascii="Arial" w:cs="Arial" w:eastAsia="Arial" w:hAnsi="Arial"/>
          <w:sz w:val="21"/>
          <w:szCs w:val="21"/>
          <w:color w:val="auto"/>
        </w:rPr>
        <w:t xml:space="preserve">Every specified investor shall make an application to the Designated Service Provider in accordance with </w:t>
      </w:r>
      <w:r>
        <w:rPr>
          <w:rFonts w:ascii="Arial" w:cs="Arial" w:eastAsia="Arial" w:hAnsi="Arial"/>
          <w:sz w:val="27"/>
          <w:szCs w:val="27"/>
          <w:color w:val="auto"/>
          <w:vertAlign w:val="superscript"/>
        </w:rPr>
        <w:t>4</w:t>
      </w:r>
      <w:r>
        <w:rPr>
          <w:rFonts w:ascii="Arial" w:cs="Arial" w:eastAsia="Arial" w:hAnsi="Arial"/>
          <w:sz w:val="21"/>
          <w:szCs w:val="21"/>
          <w:b w:val="1"/>
          <w:bCs w:val="1"/>
          <w:color w:val="auto"/>
        </w:rPr>
        <w:t>[</w:t>
      </w:r>
      <w:r>
        <w:rPr>
          <w:rFonts w:ascii="Arial" w:cs="Arial" w:eastAsia="Arial" w:hAnsi="Arial"/>
          <w:sz w:val="21"/>
          <w:szCs w:val="21"/>
          <w:i w:val="1"/>
          <w:iCs w:val="1"/>
          <w:color w:val="auto"/>
        </w:rPr>
        <w:t>sub-regulation (1) or sub-regulation (2), as the case may be, of regulation 12</w:t>
      </w:r>
      <w:r>
        <w:rPr>
          <w:rFonts w:ascii="Arial" w:cs="Arial" w:eastAsia="Arial" w:hAnsi="Arial"/>
          <w:sz w:val="21"/>
          <w:szCs w:val="21"/>
          <w:b w:val="1"/>
          <w:bCs w:val="1"/>
          <w:color w:val="auto"/>
        </w:rPr>
        <w:t>]</w:t>
      </w:r>
      <w:r>
        <w:rPr>
          <w:rFonts w:ascii="Arial" w:cs="Arial" w:eastAsia="Arial" w:hAnsi="Arial"/>
          <w:sz w:val="21"/>
          <w:szCs w:val="21"/>
          <w:color w:val="auto"/>
        </w:rPr>
        <w:t xml:space="preserve"> for allotment of a unique identification number.</w:t>
      </w:r>
    </w:p>
    <w:p>
      <w:pPr>
        <w:spacing w:after="0" w:line="290" w:lineRule="exact"/>
        <w:rPr>
          <w:sz w:val="20"/>
          <w:szCs w:val="20"/>
          <w:color w:val="auto"/>
        </w:rPr>
      </w:pPr>
    </w:p>
    <w:p>
      <w:pPr>
        <w:ind w:left="360" w:right="580" w:hanging="9"/>
        <w:spacing w:after="0"/>
        <w:rPr>
          <w:sz w:val="20"/>
          <w:szCs w:val="20"/>
          <w:color w:val="auto"/>
        </w:rPr>
      </w:pPr>
      <w:r>
        <w:rPr>
          <w:rFonts w:ascii="Arial" w:cs="Arial" w:eastAsia="Arial" w:hAnsi="Arial"/>
          <w:sz w:val="21"/>
          <w:szCs w:val="21"/>
          <w:b w:val="1"/>
          <w:bCs w:val="1"/>
          <w:color w:val="auto"/>
        </w:rPr>
        <w:t>Person holding a unique identification number not required to obtain another unique identification number</w:t>
      </w:r>
    </w:p>
    <w:p>
      <w:pPr>
        <w:spacing w:after="0" w:line="285" w:lineRule="exact"/>
        <w:rPr>
          <w:sz w:val="20"/>
          <w:szCs w:val="20"/>
          <w:color w:val="auto"/>
        </w:rPr>
      </w:pPr>
    </w:p>
    <w:p>
      <w:pPr>
        <w:jc w:val="both"/>
        <w:ind w:left="360" w:right="120" w:hanging="14"/>
        <w:spacing w:after="0" w:line="246" w:lineRule="auto"/>
        <w:tabs>
          <w:tab w:leader="none" w:pos="706" w:val="left"/>
        </w:tabs>
        <w:numPr>
          <w:ilvl w:val="0"/>
          <w:numId w:val="34"/>
        </w:numPr>
        <w:rPr>
          <w:rFonts w:ascii="Arial" w:cs="Arial" w:eastAsia="Arial" w:hAnsi="Arial"/>
          <w:sz w:val="21"/>
          <w:szCs w:val="21"/>
          <w:b w:val="1"/>
          <w:bCs w:val="1"/>
          <w:color w:val="auto"/>
        </w:rPr>
      </w:pPr>
      <w:r>
        <w:rPr>
          <w:rFonts w:ascii="Arial" w:cs="Arial" w:eastAsia="Arial" w:hAnsi="Arial"/>
          <w:sz w:val="21"/>
          <w:szCs w:val="21"/>
          <w:color w:val="auto"/>
        </w:rPr>
        <w:t>Notwithstanding anything contained in these regulations, no person shall be obliged to apply for or be allotted another unique identification number, if he already holds a unique identification number allotted to him under these regulations in any other capacity :</w:t>
      </w:r>
    </w:p>
    <w:p>
      <w:pPr>
        <w:spacing w:after="0" w:line="285" w:lineRule="exact"/>
        <w:rPr>
          <w:sz w:val="20"/>
          <w:szCs w:val="20"/>
          <w:color w:val="auto"/>
        </w:rPr>
      </w:pPr>
    </w:p>
    <w:p>
      <w:pPr>
        <w:ind w:left="360" w:right="180" w:hanging="9"/>
        <w:spacing w:after="0" w:line="244" w:lineRule="auto"/>
        <w:rPr>
          <w:sz w:val="20"/>
          <w:szCs w:val="20"/>
          <w:color w:val="auto"/>
        </w:rPr>
      </w:pPr>
      <w:r>
        <w:rPr>
          <w:rFonts w:ascii="Arial" w:cs="Arial" w:eastAsia="Arial" w:hAnsi="Arial"/>
          <w:sz w:val="21"/>
          <w:szCs w:val="21"/>
          <w:b w:val="1"/>
          <w:bCs w:val="1"/>
          <w:color w:val="auto"/>
        </w:rPr>
        <w:t xml:space="preserve">Provided </w:t>
      </w:r>
      <w:r>
        <w:rPr>
          <w:rFonts w:ascii="Arial" w:cs="Arial" w:eastAsia="Arial" w:hAnsi="Arial"/>
          <w:sz w:val="21"/>
          <w:szCs w:val="21"/>
          <w:color w:val="auto"/>
        </w:rPr>
        <w:t>that where any person holding a unique identification number subsequently becomes</w:t>
      </w:r>
      <w:r>
        <w:rPr>
          <w:rFonts w:ascii="Arial" w:cs="Arial" w:eastAsia="Arial" w:hAnsi="Arial"/>
          <w:sz w:val="21"/>
          <w:szCs w:val="21"/>
          <w:b w:val="1"/>
          <w:bCs w:val="1"/>
          <w:color w:val="auto"/>
        </w:rPr>
        <w:t xml:space="preserve"> </w:t>
      </w:r>
      <w:r>
        <w:rPr>
          <w:rFonts w:ascii="Arial" w:cs="Arial" w:eastAsia="Arial" w:hAnsi="Arial"/>
          <w:sz w:val="21"/>
          <w:szCs w:val="21"/>
          <w:color w:val="auto"/>
        </w:rPr>
        <w:t>an intermediary or a listed company or a related person of any of them, he shall disclose such fact to the Designated Service Provider.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417830</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9pt" to="162.05pt,32.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500" w:hanging="140"/>
        <w:spacing w:after="0"/>
        <w:tabs>
          <w:tab w:leader="none" w:pos="500" w:val="left"/>
        </w:tabs>
        <w:numPr>
          <w:ilvl w:val="0"/>
          <w:numId w:val="35"/>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Substituted for “sub-regulation (1) of regulation 12” by the SEBI (Central Database of Market Participants)</w:t>
      </w:r>
    </w:p>
    <w:p>
      <w:pPr>
        <w:ind w:left="380"/>
        <w:spacing w:after="0"/>
        <w:tabs>
          <w:tab w:leader="none" w:pos="3580" w:val="left"/>
        </w:tabs>
        <w:rPr>
          <w:sz w:val="20"/>
          <w:szCs w:val="20"/>
          <w:color w:val="auto"/>
        </w:rPr>
      </w:pPr>
      <w:r>
        <w:rPr>
          <w:rFonts w:ascii="Times New Roman" w:cs="Times New Roman" w:eastAsia="Times New Roman" w:hAnsi="Times New Roman"/>
          <w:sz w:val="20"/>
          <w:szCs w:val="20"/>
          <w:color w:val="auto"/>
        </w:rPr>
        <w:t>(Amendment) Regulations, 2004, vide</w:t>
      </w:r>
      <w:r>
        <w:rPr>
          <w:sz w:val="20"/>
          <w:szCs w:val="20"/>
          <w:color w:val="auto"/>
        </w:rPr>
        <w:tab/>
      </w:r>
      <w:r>
        <w:rPr>
          <w:rFonts w:ascii="Times New Roman" w:cs="Times New Roman" w:eastAsia="Times New Roman" w:hAnsi="Times New Roman"/>
          <w:sz w:val="19"/>
          <w:szCs w:val="19"/>
          <w:color w:val="auto"/>
        </w:rPr>
        <w:t>S.O. No. 854(E) dated 21-7-2004.</w:t>
      </w:r>
    </w:p>
    <w:p>
      <w:pPr>
        <w:ind w:left="360"/>
        <w:spacing w:after="0"/>
        <w:rPr>
          <w:sz w:val="20"/>
          <w:szCs w:val="20"/>
          <w:color w:val="auto"/>
        </w:rPr>
      </w:pPr>
      <w:r>
        <w:rPr>
          <w:rFonts w:ascii="Times New Roman" w:cs="Times New Roman" w:eastAsia="Times New Roman" w:hAnsi="Times New Roman"/>
          <w:sz w:val="20"/>
          <w:szCs w:val="20"/>
          <w:color w:val="auto"/>
        </w:rPr>
        <w:t>2 Substituted for “sub-regulation (2) of regulation 12” by the SEBI (Central Database of Market Participants)</w:t>
      </w:r>
    </w:p>
    <w:p>
      <w:pPr>
        <w:ind w:left="380"/>
        <w:spacing w:after="0"/>
        <w:tabs>
          <w:tab w:leader="none" w:pos="3580" w:val="left"/>
        </w:tabs>
        <w:rPr>
          <w:sz w:val="20"/>
          <w:szCs w:val="20"/>
          <w:color w:val="auto"/>
        </w:rPr>
      </w:pPr>
      <w:r>
        <w:rPr>
          <w:rFonts w:ascii="Times New Roman" w:cs="Times New Roman" w:eastAsia="Times New Roman" w:hAnsi="Times New Roman"/>
          <w:sz w:val="20"/>
          <w:szCs w:val="20"/>
          <w:color w:val="auto"/>
        </w:rPr>
        <w:t>(Amendment) Regulations, 2004, vide</w:t>
      </w:r>
      <w:r>
        <w:rPr>
          <w:sz w:val="20"/>
          <w:szCs w:val="20"/>
          <w:color w:val="auto"/>
        </w:rPr>
        <w:tab/>
      </w:r>
      <w:r>
        <w:rPr>
          <w:rFonts w:ascii="Times New Roman" w:cs="Times New Roman" w:eastAsia="Times New Roman" w:hAnsi="Times New Roman"/>
          <w:sz w:val="19"/>
          <w:szCs w:val="19"/>
          <w:color w:val="auto"/>
        </w:rPr>
        <w:t>S.O. No. 854(E) dated 21-7-2004.</w:t>
      </w:r>
    </w:p>
    <w:p>
      <w:pPr>
        <w:ind w:left="360"/>
        <w:spacing w:after="0"/>
        <w:rPr>
          <w:sz w:val="20"/>
          <w:szCs w:val="20"/>
          <w:color w:val="auto"/>
        </w:rPr>
      </w:pPr>
      <w:r>
        <w:rPr>
          <w:rFonts w:ascii="Times New Roman" w:cs="Times New Roman" w:eastAsia="Times New Roman" w:hAnsi="Times New Roman"/>
          <w:sz w:val="20"/>
          <w:szCs w:val="20"/>
          <w:color w:val="auto"/>
        </w:rPr>
        <w:t>3 Substituted  for  “clause  (b)  of  regulation  4”,  by  the  SEBI  (Central  Database  of  Market  Participants)</w:t>
      </w:r>
    </w:p>
    <w:p>
      <w:pPr>
        <w:ind w:left="380"/>
        <w:spacing w:after="0"/>
        <w:tabs>
          <w:tab w:leader="none" w:pos="3580" w:val="left"/>
        </w:tabs>
        <w:rPr>
          <w:sz w:val="20"/>
          <w:szCs w:val="20"/>
          <w:color w:val="auto"/>
        </w:rPr>
      </w:pPr>
      <w:r>
        <w:rPr>
          <w:rFonts w:ascii="Times New Roman" w:cs="Times New Roman" w:eastAsia="Times New Roman" w:hAnsi="Times New Roman"/>
          <w:sz w:val="20"/>
          <w:szCs w:val="20"/>
          <w:color w:val="auto"/>
        </w:rPr>
        <w:t>(Amendment) Regulations, 2004, vide</w:t>
      </w:r>
      <w:r>
        <w:rPr>
          <w:sz w:val="20"/>
          <w:szCs w:val="20"/>
          <w:color w:val="auto"/>
        </w:rPr>
        <w:tab/>
      </w:r>
      <w:r>
        <w:rPr>
          <w:rFonts w:ascii="Times New Roman" w:cs="Times New Roman" w:eastAsia="Times New Roman" w:hAnsi="Times New Roman"/>
          <w:sz w:val="19"/>
          <w:szCs w:val="19"/>
          <w:color w:val="auto"/>
        </w:rPr>
        <w:t>S.O. No. 854(E) dated 21-7-2004.</w:t>
      </w:r>
    </w:p>
    <w:p>
      <w:pPr>
        <w:spacing w:after="0" w:line="9" w:lineRule="exact"/>
        <w:rPr>
          <w:sz w:val="20"/>
          <w:szCs w:val="20"/>
          <w:color w:val="auto"/>
        </w:rPr>
      </w:pPr>
    </w:p>
    <w:p>
      <w:pPr>
        <w:ind w:left="380" w:right="60" w:hanging="9"/>
        <w:spacing w:after="0" w:line="235" w:lineRule="auto"/>
        <w:rPr>
          <w:sz w:val="20"/>
          <w:szCs w:val="20"/>
          <w:color w:val="auto"/>
        </w:rPr>
      </w:pPr>
      <w:r>
        <w:rPr>
          <w:rFonts w:ascii="Times New Roman" w:cs="Times New Roman" w:eastAsia="Times New Roman" w:hAnsi="Times New Roman"/>
          <w:sz w:val="20"/>
          <w:szCs w:val="20"/>
          <w:color w:val="auto"/>
        </w:rPr>
        <w:t>4 Substituted for “sub-regulation (3) of regulation 12”, by the SEBI (Central Database of Market Participants) (Amendment) Regulations, 2004, vide S.O. No. 854(E) dated 21-7-2004.</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378"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9 of 13</w:t>
      </w:r>
    </w:p>
    <w:p>
      <w:pPr>
        <w:sectPr>
          <w:pgSz w:w="12240" w:h="15840" w:orient="portrait"/>
          <w:cols w:equalWidth="0" w:num="1">
            <w:col w:w="9360"/>
          </w:cols>
          <w:pgMar w:left="1440" w:top="1440" w:right="1440" w:bottom="166" w:gutter="0" w:footer="0" w:header="0"/>
          <w:type w:val="continuous"/>
        </w:sectPr>
      </w:pPr>
    </w:p>
    <w:bookmarkStart w:id="9" w:name="page10"/>
    <w:bookmarkEnd w:id="9"/>
    <w:p>
      <w:pPr>
        <w:spacing w:after="0" w:line="43"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Maintenance of records</w:t>
      </w:r>
    </w:p>
    <w:p>
      <w:pPr>
        <w:spacing w:after="0" w:line="289" w:lineRule="exact"/>
        <w:rPr>
          <w:sz w:val="20"/>
          <w:szCs w:val="20"/>
          <w:color w:val="auto"/>
        </w:rPr>
      </w:pPr>
    </w:p>
    <w:p>
      <w:pPr>
        <w:ind w:left="360" w:right="540" w:hanging="14"/>
        <w:spacing w:after="0"/>
        <w:tabs>
          <w:tab w:leader="none" w:pos="706" w:val="left"/>
        </w:tabs>
        <w:numPr>
          <w:ilvl w:val="0"/>
          <w:numId w:val="36"/>
        </w:numPr>
        <w:rPr>
          <w:rFonts w:ascii="Arial" w:cs="Arial" w:eastAsia="Arial" w:hAnsi="Arial"/>
          <w:sz w:val="21"/>
          <w:szCs w:val="21"/>
          <w:b w:val="1"/>
          <w:bCs w:val="1"/>
          <w:color w:val="auto"/>
        </w:rPr>
      </w:pPr>
      <w:r>
        <w:rPr>
          <w:rFonts w:ascii="Arial" w:cs="Arial" w:eastAsia="Arial" w:hAnsi="Arial"/>
          <w:sz w:val="21"/>
          <w:szCs w:val="21"/>
          <w:color w:val="auto"/>
        </w:rPr>
        <w:t>The Designated Service Provider shall maintain such books, records and documents, in such manner and for such period as may be specified by the Board.</w:t>
      </w:r>
    </w:p>
    <w:p>
      <w:pPr>
        <w:spacing w:after="0" w:line="200" w:lineRule="exact"/>
        <w:rPr>
          <w:sz w:val="20"/>
          <w:szCs w:val="20"/>
          <w:color w:val="auto"/>
        </w:rPr>
      </w:pPr>
    </w:p>
    <w:p>
      <w:pPr>
        <w:spacing w:after="0" w:line="280" w:lineRule="exact"/>
        <w:rPr>
          <w:sz w:val="20"/>
          <w:szCs w:val="20"/>
          <w:color w:val="auto"/>
        </w:rPr>
      </w:pPr>
    </w:p>
    <w:p>
      <w:pPr>
        <w:jc w:val="center"/>
        <w:ind w:right="-299"/>
        <w:spacing w:after="0"/>
        <w:rPr>
          <w:sz w:val="20"/>
          <w:szCs w:val="20"/>
          <w:color w:val="auto"/>
        </w:rPr>
      </w:pPr>
      <w:r>
        <w:rPr>
          <w:rFonts w:ascii="Arial" w:cs="Arial" w:eastAsia="Arial" w:hAnsi="Arial"/>
          <w:sz w:val="21"/>
          <w:szCs w:val="21"/>
          <w:b w:val="1"/>
          <w:bCs w:val="1"/>
          <w:color w:val="auto"/>
        </w:rPr>
        <w:t>Chapter III</w:t>
      </w:r>
    </w:p>
    <w:p>
      <w:pPr>
        <w:spacing w:after="0" w:line="282" w:lineRule="exact"/>
        <w:rPr>
          <w:sz w:val="20"/>
          <w:szCs w:val="20"/>
          <w:color w:val="auto"/>
        </w:rPr>
      </w:pPr>
    </w:p>
    <w:p>
      <w:pPr>
        <w:ind w:left="1420"/>
        <w:spacing w:after="0"/>
        <w:rPr>
          <w:sz w:val="20"/>
          <w:szCs w:val="20"/>
          <w:color w:val="auto"/>
        </w:rPr>
      </w:pPr>
      <w:r>
        <w:rPr>
          <w:rFonts w:ascii="Arial" w:cs="Arial" w:eastAsia="Arial" w:hAnsi="Arial"/>
          <w:sz w:val="21"/>
          <w:szCs w:val="21"/>
          <w:b w:val="1"/>
          <w:bCs w:val="1"/>
          <w:color w:val="auto"/>
        </w:rPr>
        <w:t>GRANT AND REVOCATION OF UNIQUE IDENTIFICATION NUMBERS</w:t>
      </w:r>
    </w:p>
    <w:p>
      <w:pPr>
        <w:spacing w:after="0" w:line="273"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Format of application</w:t>
      </w:r>
    </w:p>
    <w:p>
      <w:pPr>
        <w:spacing w:after="0" w:line="289" w:lineRule="exact"/>
        <w:rPr>
          <w:sz w:val="20"/>
          <w:szCs w:val="20"/>
          <w:color w:val="auto"/>
        </w:rPr>
      </w:pPr>
    </w:p>
    <w:p>
      <w:pPr>
        <w:ind w:left="360" w:right="160" w:hanging="14"/>
        <w:spacing w:after="0" w:line="245" w:lineRule="auto"/>
        <w:tabs>
          <w:tab w:leader="none" w:pos="706" w:val="left"/>
        </w:tabs>
        <w:numPr>
          <w:ilvl w:val="0"/>
          <w:numId w:val="37"/>
        </w:numPr>
        <w:rPr>
          <w:rFonts w:ascii="Arial" w:cs="Arial" w:eastAsia="Arial" w:hAnsi="Arial"/>
          <w:sz w:val="21"/>
          <w:szCs w:val="21"/>
          <w:b w:val="1"/>
          <w:bCs w:val="1"/>
          <w:color w:val="auto"/>
        </w:rPr>
      </w:pPr>
      <w:r>
        <w:rPr>
          <w:rFonts w:ascii="Arial" w:cs="Arial" w:eastAsia="Arial" w:hAnsi="Arial"/>
          <w:sz w:val="21"/>
          <w:szCs w:val="21"/>
          <w:color w:val="auto"/>
        </w:rPr>
        <w:t>(1) Every application made by a specified investor or a related person of a specified intermediary or specified listed company being a natural person, under regulation 7, 8 or 9, as the case may be, shall be in Form A specified in the Schedule and shall be accompanied with a fee as specified in the notifications issued under regulations 4, 5 or 6, as the case may be.</w:t>
      </w:r>
    </w:p>
    <w:p>
      <w:pPr>
        <w:spacing w:after="0" w:line="287" w:lineRule="exact"/>
        <w:rPr>
          <w:sz w:val="20"/>
          <w:szCs w:val="20"/>
          <w:color w:val="auto"/>
        </w:rPr>
      </w:pPr>
    </w:p>
    <w:p>
      <w:pPr>
        <w:ind w:left="360" w:right="240" w:hanging="14"/>
        <w:spacing w:after="0" w:line="247" w:lineRule="auto"/>
        <w:tabs>
          <w:tab w:leader="none" w:pos="667" w:val="left"/>
        </w:tabs>
        <w:numPr>
          <w:ilvl w:val="0"/>
          <w:numId w:val="38"/>
        </w:numPr>
        <w:rPr>
          <w:rFonts w:ascii="Arial" w:cs="Arial" w:eastAsia="Arial" w:hAnsi="Arial"/>
          <w:sz w:val="21"/>
          <w:szCs w:val="21"/>
          <w:color w:val="auto"/>
        </w:rPr>
      </w:pPr>
      <w:r>
        <w:rPr>
          <w:rFonts w:ascii="Arial" w:cs="Arial" w:eastAsia="Arial" w:hAnsi="Arial"/>
          <w:sz w:val="21"/>
          <w:szCs w:val="21"/>
          <w:color w:val="auto"/>
        </w:rPr>
        <w:t>Every application made by a specified listed company, specified intermediary, a related person of any of the above or a specified investor, not being a natural person, under regulation 7, 8 or 9, as the case may be, shall be in Form B specified in the Schedule and shall be accompanied with a fee as specified in the notifications issued under regulations 4, 5 or 6, as the case may be.</w:t>
      </w:r>
    </w:p>
    <w:p>
      <w:pPr>
        <w:spacing w:after="0" w:line="277"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Procedure on receipt of application</w:t>
      </w:r>
    </w:p>
    <w:p>
      <w:pPr>
        <w:spacing w:after="0" w:line="289" w:lineRule="exact"/>
        <w:rPr>
          <w:sz w:val="20"/>
          <w:szCs w:val="20"/>
          <w:color w:val="auto"/>
        </w:rPr>
      </w:pPr>
    </w:p>
    <w:p>
      <w:pPr>
        <w:ind w:left="360" w:right="180" w:hanging="14"/>
        <w:spacing w:after="0" w:line="262" w:lineRule="auto"/>
        <w:tabs>
          <w:tab w:leader="none" w:pos="706" w:val="left"/>
        </w:tabs>
        <w:numPr>
          <w:ilvl w:val="0"/>
          <w:numId w:val="39"/>
        </w:numPr>
        <w:rPr>
          <w:rFonts w:ascii="Arial" w:cs="Arial" w:eastAsia="Arial" w:hAnsi="Arial"/>
          <w:sz w:val="20"/>
          <w:szCs w:val="20"/>
          <w:b w:val="1"/>
          <w:bCs w:val="1"/>
          <w:color w:val="auto"/>
        </w:rPr>
      </w:pPr>
      <w:r>
        <w:rPr>
          <w:rFonts w:ascii="Arial" w:cs="Arial" w:eastAsia="Arial" w:hAnsi="Arial"/>
          <w:sz w:val="20"/>
          <w:szCs w:val="20"/>
          <w:color w:val="auto"/>
        </w:rPr>
        <w:t>(1) Upon receipt of an application for allotment of unique identification number under these regulations, the Designated Service Provider shall, if the application is not found defective, allot to the applicant a unique identification number within thirty days of receipt of the application.</w:t>
      </w:r>
    </w:p>
    <w:p>
      <w:pPr>
        <w:spacing w:after="0" w:line="269" w:lineRule="exact"/>
        <w:rPr>
          <w:sz w:val="20"/>
          <w:szCs w:val="20"/>
          <w:color w:val="auto"/>
        </w:rPr>
      </w:pPr>
    </w:p>
    <w:p>
      <w:pPr>
        <w:ind w:left="380" w:right="100" w:hanging="20"/>
        <w:spacing w:after="0" w:line="247" w:lineRule="auto"/>
        <w:tabs>
          <w:tab w:leader="none" w:pos="1091" w:val="left"/>
        </w:tabs>
        <w:numPr>
          <w:ilvl w:val="0"/>
          <w:numId w:val="40"/>
        </w:numPr>
        <w:rPr>
          <w:rFonts w:ascii="Arial" w:cs="Arial" w:eastAsia="Arial" w:hAnsi="Arial"/>
          <w:sz w:val="21"/>
          <w:szCs w:val="21"/>
          <w:color w:val="auto"/>
        </w:rPr>
      </w:pPr>
      <w:r>
        <w:rPr>
          <w:rFonts w:ascii="Arial" w:cs="Arial" w:eastAsia="Arial" w:hAnsi="Arial"/>
          <w:sz w:val="21"/>
          <w:szCs w:val="21"/>
          <w:color w:val="auto"/>
        </w:rPr>
        <w:t>Where it is found that any such application is defective, the Designated Service Provider may intimate the defect to the applicant and give it an opportunity to rectify the defect within a period of fifteen days from the date of such intimation or within such further period which the Board may allow on a request made in this behalf.</w:t>
      </w:r>
    </w:p>
    <w:p>
      <w:pPr>
        <w:spacing w:after="0" w:line="283" w:lineRule="exact"/>
        <w:rPr>
          <w:rFonts w:ascii="Arial" w:cs="Arial" w:eastAsia="Arial" w:hAnsi="Arial"/>
          <w:sz w:val="21"/>
          <w:szCs w:val="21"/>
          <w:color w:val="auto"/>
        </w:rPr>
      </w:pPr>
    </w:p>
    <w:p>
      <w:pPr>
        <w:ind w:left="380" w:right="140" w:hanging="20"/>
        <w:spacing w:after="0" w:line="247" w:lineRule="auto"/>
        <w:tabs>
          <w:tab w:leader="none" w:pos="1091" w:val="left"/>
        </w:tabs>
        <w:numPr>
          <w:ilvl w:val="0"/>
          <w:numId w:val="40"/>
        </w:numPr>
        <w:rPr>
          <w:rFonts w:ascii="Arial" w:cs="Arial" w:eastAsia="Arial" w:hAnsi="Arial"/>
          <w:sz w:val="21"/>
          <w:szCs w:val="21"/>
          <w:color w:val="auto"/>
        </w:rPr>
      </w:pPr>
      <w:r>
        <w:rPr>
          <w:rFonts w:ascii="Arial" w:cs="Arial" w:eastAsia="Arial" w:hAnsi="Arial"/>
          <w:sz w:val="21"/>
          <w:szCs w:val="21"/>
          <w:color w:val="auto"/>
        </w:rPr>
        <w:t>Where any defect in the application is intimated under sub-section (2) and the defect is not rectified by the applicant within the said period of fifteen days or, as the case may be, further period allowed under sub-regulation (2), then, notwithstanding anything contained in any other provision of this Chapter, Designated Service Provider shall refer the application to the Board, which may either direct the Designated Service Provider to allot the unique identification number or reject the application after giving an opportunity to the applicant to make representations.</w:t>
      </w:r>
    </w:p>
    <w:p>
      <w:pPr>
        <w:spacing w:after="0" w:line="287" w:lineRule="exact"/>
        <w:rPr>
          <w:sz w:val="20"/>
          <w:szCs w:val="20"/>
          <w:color w:val="auto"/>
        </w:rPr>
      </w:pPr>
    </w:p>
    <w:p>
      <w:pPr>
        <w:ind w:left="360" w:right="320" w:hanging="9"/>
        <w:spacing w:after="0" w:line="241" w:lineRule="auto"/>
        <w:rPr>
          <w:sz w:val="20"/>
          <w:szCs w:val="20"/>
          <w:color w:val="auto"/>
        </w:rPr>
      </w:pPr>
      <w:r>
        <w:rPr>
          <w:rFonts w:ascii="Arial" w:cs="Arial" w:eastAsia="Arial" w:hAnsi="Arial"/>
          <w:sz w:val="21"/>
          <w:szCs w:val="21"/>
          <w:b w:val="1"/>
          <w:bCs w:val="1"/>
          <w:color w:val="auto"/>
        </w:rPr>
        <w:t>Criteria to determine specified intermediaries, specified listed companies and specified investors</w:t>
      </w:r>
    </w:p>
    <w:p>
      <w:pPr>
        <w:spacing w:after="0" w:line="288" w:lineRule="exact"/>
        <w:rPr>
          <w:sz w:val="20"/>
          <w:szCs w:val="20"/>
          <w:color w:val="auto"/>
        </w:rPr>
      </w:pPr>
    </w:p>
    <w:p>
      <w:pPr>
        <w:ind w:left="360" w:right="280" w:hanging="14"/>
        <w:spacing w:after="0" w:line="244" w:lineRule="auto"/>
        <w:tabs>
          <w:tab w:leader="none" w:pos="706" w:val="left"/>
        </w:tabs>
        <w:numPr>
          <w:ilvl w:val="0"/>
          <w:numId w:val="41"/>
        </w:numPr>
        <w:rPr>
          <w:rFonts w:ascii="Arial" w:cs="Arial" w:eastAsia="Arial" w:hAnsi="Arial"/>
          <w:sz w:val="21"/>
          <w:szCs w:val="21"/>
          <w:b w:val="1"/>
          <w:bCs w:val="1"/>
          <w:color w:val="auto"/>
        </w:rPr>
      </w:pPr>
      <w:r>
        <w:rPr>
          <w:rFonts w:ascii="Arial" w:cs="Arial" w:eastAsia="Arial" w:hAnsi="Arial"/>
          <w:sz w:val="21"/>
          <w:szCs w:val="21"/>
          <w:color w:val="auto"/>
        </w:rPr>
        <w:t>For the purposes of specifying the intermediaries, listed companies or investors under subregulation (1) of regulation 4 or regulation 5 or sub-regulation (1) of regulation 6, the Board may take into consideration the following factors :</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10 of 13</w:t>
      </w:r>
    </w:p>
    <w:p>
      <w:pPr>
        <w:sectPr>
          <w:pgSz w:w="12240" w:h="15840" w:orient="portrait"/>
          <w:cols w:equalWidth="0" w:num="1">
            <w:col w:w="9360"/>
          </w:cols>
          <w:pgMar w:left="1440" w:top="1440" w:right="1440" w:bottom="166" w:gutter="0" w:footer="0" w:header="0"/>
          <w:type w:val="continuous"/>
        </w:sectPr>
      </w:pPr>
    </w:p>
    <w:bookmarkStart w:id="10" w:name="page11"/>
    <w:bookmarkEnd w:id="10"/>
    <w:p>
      <w:pPr>
        <w:spacing w:after="0" w:line="50" w:lineRule="exact"/>
        <w:rPr>
          <w:sz w:val="20"/>
          <w:szCs w:val="20"/>
          <w:color w:val="auto"/>
        </w:rPr>
      </w:pPr>
    </w:p>
    <w:p>
      <w:pPr>
        <w:ind w:left="1100" w:right="840" w:hanging="19"/>
        <w:spacing w:after="0"/>
        <w:tabs>
          <w:tab w:leader="none" w:pos="1811" w:val="left"/>
        </w:tabs>
        <w:numPr>
          <w:ilvl w:val="0"/>
          <w:numId w:val="42"/>
        </w:numPr>
        <w:rPr>
          <w:rFonts w:ascii="Arial" w:cs="Arial" w:eastAsia="Arial" w:hAnsi="Arial"/>
          <w:sz w:val="21"/>
          <w:szCs w:val="21"/>
          <w:color w:val="auto"/>
        </w:rPr>
      </w:pPr>
      <w:r>
        <w:rPr>
          <w:rFonts w:ascii="Arial" w:cs="Arial" w:eastAsia="Arial" w:hAnsi="Arial"/>
          <w:sz w:val="21"/>
          <w:szCs w:val="21"/>
          <w:color w:val="auto"/>
        </w:rPr>
        <w:t>with regard to intermediaries or other entities-their kind and the nature of functions performed by them, their networth and other similar factors;</w:t>
      </w:r>
    </w:p>
    <w:p>
      <w:pPr>
        <w:spacing w:after="0" w:line="289" w:lineRule="exact"/>
        <w:rPr>
          <w:rFonts w:ascii="Arial" w:cs="Arial" w:eastAsia="Arial" w:hAnsi="Arial"/>
          <w:sz w:val="21"/>
          <w:szCs w:val="21"/>
          <w:color w:val="auto"/>
        </w:rPr>
      </w:pPr>
    </w:p>
    <w:p>
      <w:pPr>
        <w:ind w:left="1100" w:right="120" w:hanging="19"/>
        <w:spacing w:after="0" w:line="265" w:lineRule="auto"/>
        <w:tabs>
          <w:tab w:leader="none" w:pos="1811" w:val="left"/>
        </w:tabs>
        <w:numPr>
          <w:ilvl w:val="0"/>
          <w:numId w:val="42"/>
        </w:numPr>
        <w:rPr>
          <w:rFonts w:ascii="Arial" w:cs="Arial" w:eastAsia="Arial" w:hAnsi="Arial"/>
          <w:sz w:val="20"/>
          <w:szCs w:val="20"/>
          <w:color w:val="auto"/>
        </w:rPr>
      </w:pPr>
      <w:r>
        <w:rPr>
          <w:rFonts w:ascii="Arial" w:cs="Arial" w:eastAsia="Arial" w:hAnsi="Arial"/>
          <w:sz w:val="20"/>
          <w:szCs w:val="20"/>
          <w:color w:val="auto"/>
        </w:rPr>
        <w:t>with regard to listed companies or companies which intend to get their securities listed-their paid up capital, the number of their public shareholders, the volume of trading in their securities, the proposed issue size and other similar factors; and,</w:t>
      </w:r>
    </w:p>
    <w:p>
      <w:pPr>
        <w:spacing w:after="0" w:line="265" w:lineRule="exact"/>
        <w:rPr>
          <w:rFonts w:ascii="Arial" w:cs="Arial" w:eastAsia="Arial" w:hAnsi="Arial"/>
          <w:sz w:val="20"/>
          <w:szCs w:val="20"/>
          <w:color w:val="auto"/>
        </w:rPr>
      </w:pPr>
    </w:p>
    <w:p>
      <w:pPr>
        <w:ind w:left="1100" w:right="440" w:hanging="19"/>
        <w:spacing w:after="0" w:line="244" w:lineRule="auto"/>
        <w:tabs>
          <w:tab w:leader="none" w:pos="1811" w:val="left"/>
        </w:tabs>
        <w:numPr>
          <w:ilvl w:val="0"/>
          <w:numId w:val="42"/>
        </w:numPr>
        <w:rPr>
          <w:rFonts w:ascii="Arial" w:cs="Arial" w:eastAsia="Arial" w:hAnsi="Arial"/>
          <w:sz w:val="21"/>
          <w:szCs w:val="21"/>
          <w:color w:val="auto"/>
        </w:rPr>
      </w:pPr>
      <w:r>
        <w:rPr>
          <w:rFonts w:ascii="Arial" w:cs="Arial" w:eastAsia="Arial" w:hAnsi="Arial"/>
          <w:sz w:val="21"/>
          <w:szCs w:val="21"/>
          <w:color w:val="auto"/>
        </w:rPr>
        <w:t>with regard to investors - the quantum of investment made by them in the securities of any listed company or their volume of trading in securities in a particular financial year.</w:t>
      </w:r>
    </w:p>
    <w:p>
      <w:pPr>
        <w:spacing w:after="0" w:line="279"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Duty not to make false statements and revocation of unique identification number</w:t>
      </w:r>
    </w:p>
    <w:p>
      <w:pPr>
        <w:spacing w:after="0" w:line="289" w:lineRule="exact"/>
        <w:rPr>
          <w:sz w:val="20"/>
          <w:szCs w:val="20"/>
          <w:color w:val="auto"/>
        </w:rPr>
      </w:pPr>
    </w:p>
    <w:p>
      <w:pPr>
        <w:ind w:left="360" w:right="100" w:hanging="14"/>
        <w:spacing w:after="0"/>
        <w:tabs>
          <w:tab w:leader="none" w:pos="706" w:val="left"/>
        </w:tabs>
        <w:numPr>
          <w:ilvl w:val="0"/>
          <w:numId w:val="43"/>
        </w:numPr>
        <w:rPr>
          <w:rFonts w:ascii="Arial" w:cs="Arial" w:eastAsia="Arial" w:hAnsi="Arial"/>
          <w:sz w:val="21"/>
          <w:szCs w:val="21"/>
          <w:b w:val="1"/>
          <w:bCs w:val="1"/>
          <w:color w:val="auto"/>
        </w:rPr>
      </w:pPr>
      <w:r>
        <w:rPr>
          <w:rFonts w:ascii="Arial" w:cs="Arial" w:eastAsia="Arial" w:hAnsi="Arial"/>
          <w:sz w:val="21"/>
          <w:szCs w:val="21"/>
          <w:color w:val="auto"/>
        </w:rPr>
        <w:t>(1) No person shall make a false statement or misrepresent any fact in any application made to the Designated Service Provider under these regulations.</w:t>
      </w:r>
    </w:p>
    <w:p>
      <w:pPr>
        <w:spacing w:after="0" w:line="290" w:lineRule="exact"/>
        <w:rPr>
          <w:sz w:val="20"/>
          <w:szCs w:val="20"/>
          <w:color w:val="auto"/>
        </w:rPr>
      </w:pPr>
    </w:p>
    <w:p>
      <w:pPr>
        <w:ind w:left="360" w:right="560" w:hanging="14"/>
        <w:spacing w:after="0" w:line="241" w:lineRule="auto"/>
        <w:tabs>
          <w:tab w:leader="none" w:pos="667" w:val="left"/>
        </w:tabs>
        <w:numPr>
          <w:ilvl w:val="0"/>
          <w:numId w:val="44"/>
        </w:numPr>
        <w:rPr>
          <w:rFonts w:ascii="Arial" w:cs="Arial" w:eastAsia="Arial" w:hAnsi="Arial"/>
          <w:sz w:val="21"/>
          <w:szCs w:val="21"/>
          <w:color w:val="auto"/>
        </w:rPr>
      </w:pPr>
      <w:r>
        <w:rPr>
          <w:rFonts w:ascii="Arial" w:cs="Arial" w:eastAsia="Arial" w:hAnsi="Arial"/>
          <w:sz w:val="21"/>
          <w:szCs w:val="21"/>
          <w:color w:val="auto"/>
        </w:rPr>
        <w:t>Every application made to the Designated Service Provider under these regulations and every intimation made under regulation 17 shall be certified to be true and correct:</w:t>
      </w:r>
    </w:p>
    <w:p>
      <w:pPr>
        <w:spacing w:after="0" w:line="288" w:lineRule="exact"/>
        <w:rPr>
          <w:rFonts w:ascii="Arial" w:cs="Arial" w:eastAsia="Arial" w:hAnsi="Arial"/>
          <w:sz w:val="21"/>
          <w:szCs w:val="21"/>
          <w:color w:val="auto"/>
        </w:rPr>
      </w:pPr>
    </w:p>
    <w:p>
      <w:pPr>
        <w:ind w:left="1380" w:right="340" w:hanging="299"/>
        <w:spacing w:after="0" w:line="245" w:lineRule="auto"/>
        <w:tabs>
          <w:tab w:leader="none" w:pos="1380" w:val="left"/>
        </w:tabs>
        <w:numPr>
          <w:ilvl w:val="1"/>
          <w:numId w:val="44"/>
        </w:numPr>
        <w:rPr>
          <w:rFonts w:ascii="Arial" w:cs="Arial" w:eastAsia="Arial" w:hAnsi="Arial"/>
          <w:sz w:val="21"/>
          <w:szCs w:val="21"/>
          <w:color w:val="auto"/>
        </w:rPr>
      </w:pPr>
      <w:r>
        <w:rPr>
          <w:rFonts w:ascii="Arial" w:cs="Arial" w:eastAsia="Arial" w:hAnsi="Arial"/>
          <w:sz w:val="21"/>
          <w:szCs w:val="21"/>
          <w:color w:val="auto"/>
        </w:rPr>
        <w:t>in case of an intermediary, by its whole time director, managing partner, managing trustee or sole proprietor, as the case may be, and by its compliance officer;</w:t>
      </w:r>
    </w:p>
    <w:p>
      <w:pPr>
        <w:spacing w:after="0" w:line="284" w:lineRule="exact"/>
        <w:rPr>
          <w:rFonts w:ascii="Arial" w:cs="Arial" w:eastAsia="Arial" w:hAnsi="Arial"/>
          <w:sz w:val="21"/>
          <w:szCs w:val="21"/>
          <w:color w:val="auto"/>
        </w:rPr>
      </w:pPr>
    </w:p>
    <w:p>
      <w:pPr>
        <w:ind w:left="1380" w:right="260" w:hanging="299"/>
        <w:spacing w:after="0" w:line="241" w:lineRule="auto"/>
        <w:tabs>
          <w:tab w:leader="none" w:pos="1380" w:val="left"/>
        </w:tabs>
        <w:numPr>
          <w:ilvl w:val="1"/>
          <w:numId w:val="44"/>
        </w:numPr>
        <w:rPr>
          <w:rFonts w:ascii="Arial" w:cs="Arial" w:eastAsia="Arial" w:hAnsi="Arial"/>
          <w:sz w:val="21"/>
          <w:szCs w:val="21"/>
          <w:color w:val="auto"/>
        </w:rPr>
      </w:pPr>
      <w:r>
        <w:rPr>
          <w:rFonts w:ascii="Arial" w:cs="Arial" w:eastAsia="Arial" w:hAnsi="Arial"/>
          <w:sz w:val="21"/>
          <w:szCs w:val="21"/>
          <w:color w:val="auto"/>
        </w:rPr>
        <w:t>in case of a listed company, by its whole time director and its company secretary or auditor, and</w:t>
      </w:r>
    </w:p>
    <w:p>
      <w:pPr>
        <w:spacing w:after="0" w:line="280" w:lineRule="exact"/>
        <w:rPr>
          <w:rFonts w:ascii="Arial" w:cs="Arial" w:eastAsia="Arial" w:hAnsi="Arial"/>
          <w:sz w:val="21"/>
          <w:szCs w:val="21"/>
          <w:color w:val="auto"/>
        </w:rPr>
      </w:pPr>
    </w:p>
    <w:p>
      <w:pPr>
        <w:ind w:left="1380" w:hanging="299"/>
        <w:spacing w:after="0"/>
        <w:tabs>
          <w:tab w:leader="none" w:pos="1380" w:val="left"/>
        </w:tabs>
        <w:numPr>
          <w:ilvl w:val="1"/>
          <w:numId w:val="44"/>
        </w:numPr>
        <w:rPr>
          <w:rFonts w:ascii="Arial" w:cs="Arial" w:eastAsia="Arial" w:hAnsi="Arial"/>
          <w:sz w:val="21"/>
          <w:szCs w:val="21"/>
          <w:color w:val="auto"/>
        </w:rPr>
      </w:pPr>
      <w:r>
        <w:rPr>
          <w:rFonts w:ascii="Arial" w:cs="Arial" w:eastAsia="Arial" w:hAnsi="Arial"/>
          <w:sz w:val="21"/>
          <w:szCs w:val="21"/>
          <w:color w:val="auto"/>
        </w:rPr>
        <w:t>in case of an investor, by him.</w:t>
      </w:r>
    </w:p>
    <w:p>
      <w:pPr>
        <w:spacing w:after="0" w:line="282"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Revocation of unique identification number</w:t>
      </w:r>
    </w:p>
    <w:p>
      <w:pPr>
        <w:spacing w:after="0" w:line="285" w:lineRule="exact"/>
        <w:rPr>
          <w:sz w:val="20"/>
          <w:szCs w:val="20"/>
          <w:color w:val="auto"/>
        </w:rPr>
      </w:pPr>
    </w:p>
    <w:p>
      <w:pPr>
        <w:ind w:left="360" w:right="100" w:hanging="14"/>
        <w:spacing w:after="0" w:line="247" w:lineRule="auto"/>
        <w:tabs>
          <w:tab w:leader="none" w:pos="706" w:val="left"/>
        </w:tabs>
        <w:numPr>
          <w:ilvl w:val="0"/>
          <w:numId w:val="45"/>
        </w:numPr>
        <w:rPr>
          <w:rFonts w:ascii="Arial" w:cs="Arial" w:eastAsia="Arial" w:hAnsi="Arial"/>
          <w:sz w:val="21"/>
          <w:szCs w:val="21"/>
          <w:b w:val="1"/>
          <w:bCs w:val="1"/>
          <w:color w:val="auto"/>
        </w:rPr>
      </w:pPr>
      <w:r>
        <w:rPr>
          <w:rFonts w:ascii="Arial" w:cs="Arial" w:eastAsia="Arial" w:hAnsi="Arial"/>
          <w:sz w:val="21"/>
          <w:szCs w:val="21"/>
          <w:color w:val="auto"/>
        </w:rPr>
        <w:t>(1) Where it is found that the unique identification number was obtained by a person through fraud or misrepresentation or was allotted to him under a mistake, the Board may, without prejudice to other action that it may take under any law for the time being in force and after giving him an opportunity of making representations, revoke the unique identification number allotted to him or to the related persons.</w:t>
      </w:r>
    </w:p>
    <w:p>
      <w:pPr>
        <w:spacing w:after="0" w:line="284" w:lineRule="exact"/>
        <w:rPr>
          <w:sz w:val="20"/>
          <w:szCs w:val="20"/>
          <w:color w:val="auto"/>
        </w:rPr>
      </w:pPr>
    </w:p>
    <w:p>
      <w:pPr>
        <w:ind w:left="680" w:right="140" w:hanging="320"/>
        <w:spacing w:after="0" w:line="247" w:lineRule="auto"/>
        <w:tabs>
          <w:tab w:leader="none" w:pos="680" w:val="left"/>
        </w:tabs>
        <w:numPr>
          <w:ilvl w:val="0"/>
          <w:numId w:val="46"/>
        </w:numPr>
        <w:rPr>
          <w:rFonts w:ascii="Arial" w:cs="Arial" w:eastAsia="Arial" w:hAnsi="Arial"/>
          <w:sz w:val="21"/>
          <w:szCs w:val="21"/>
          <w:color w:val="auto"/>
        </w:rPr>
      </w:pPr>
      <w:r>
        <w:rPr>
          <w:rFonts w:ascii="Arial" w:cs="Arial" w:eastAsia="Arial" w:hAnsi="Arial"/>
          <w:sz w:val="21"/>
          <w:szCs w:val="21"/>
          <w:color w:val="auto"/>
        </w:rPr>
        <w:t>Upon revocation of the unique identification number of a person, the provisions of these regulations shall apply from the date of revocation, as if no unique identification number was allotted to him.</w:t>
      </w:r>
    </w:p>
    <w:p>
      <w:pPr>
        <w:spacing w:after="0" w:line="279" w:lineRule="exact"/>
        <w:rPr>
          <w:rFonts w:ascii="Arial" w:cs="Arial" w:eastAsia="Arial" w:hAnsi="Arial"/>
          <w:sz w:val="21"/>
          <w:szCs w:val="21"/>
          <w:color w:val="auto"/>
        </w:rPr>
      </w:pPr>
    </w:p>
    <w:p>
      <w:pPr>
        <w:ind w:left="680" w:hanging="320"/>
        <w:spacing w:after="0"/>
        <w:tabs>
          <w:tab w:leader="none" w:pos="680" w:val="left"/>
        </w:tabs>
        <w:numPr>
          <w:ilvl w:val="0"/>
          <w:numId w:val="46"/>
        </w:numPr>
        <w:rPr>
          <w:rFonts w:ascii="Arial" w:cs="Arial" w:eastAsia="Arial" w:hAnsi="Arial"/>
          <w:sz w:val="21"/>
          <w:szCs w:val="21"/>
          <w:color w:val="auto"/>
        </w:rPr>
      </w:pPr>
      <w:r>
        <w:rPr>
          <w:rFonts w:ascii="Arial" w:cs="Arial" w:eastAsia="Arial" w:hAnsi="Arial"/>
          <w:sz w:val="21"/>
          <w:szCs w:val="21"/>
          <w:color w:val="auto"/>
        </w:rPr>
        <w:t>Every order passed by the Board under these regulations shall be in writing.</w:t>
      </w:r>
    </w:p>
    <w:p>
      <w:pPr>
        <w:spacing w:after="0" w:line="200" w:lineRule="exact"/>
        <w:rPr>
          <w:sz w:val="20"/>
          <w:szCs w:val="20"/>
          <w:color w:val="auto"/>
        </w:rPr>
      </w:pPr>
    </w:p>
    <w:p>
      <w:pPr>
        <w:spacing w:after="0" w:line="235" w:lineRule="exact"/>
        <w:rPr>
          <w:sz w:val="20"/>
          <w:szCs w:val="20"/>
          <w:color w:val="auto"/>
        </w:rPr>
      </w:pPr>
    </w:p>
    <w:p>
      <w:pPr>
        <w:ind w:left="520"/>
        <w:spacing w:after="0"/>
        <w:rPr>
          <w:sz w:val="20"/>
          <w:szCs w:val="20"/>
          <w:color w:val="auto"/>
        </w:rPr>
      </w:pPr>
      <w:r>
        <w:rPr>
          <w:rFonts w:ascii="Arial" w:cs="Arial" w:eastAsia="Arial" w:hAnsi="Arial"/>
          <w:sz w:val="27"/>
          <w:szCs w:val="27"/>
          <w:b w:val="1"/>
          <w:bCs w:val="1"/>
          <w:color w:val="auto"/>
          <w:vertAlign w:val="superscript"/>
        </w:rPr>
        <w:t>1</w:t>
      </w:r>
      <w:r>
        <w:rPr>
          <w:rFonts w:ascii="Arial" w:cs="Arial" w:eastAsia="Arial" w:hAnsi="Arial"/>
          <w:sz w:val="21"/>
          <w:szCs w:val="21"/>
          <w:b w:val="1"/>
          <w:bCs w:val="1"/>
          <w:color w:val="auto"/>
        </w:rPr>
        <w:t>[Power of the Board to issue clarifications</w:t>
      </w:r>
    </w:p>
    <w:p>
      <w:pPr>
        <w:spacing w:after="0" w:line="216" w:lineRule="exact"/>
        <w:rPr>
          <w:sz w:val="20"/>
          <w:szCs w:val="20"/>
          <w:color w:val="auto"/>
        </w:rPr>
      </w:pPr>
    </w:p>
    <w:p>
      <w:pPr>
        <w:ind w:left="360" w:right="320" w:hanging="9"/>
        <w:spacing w:after="0" w:line="264" w:lineRule="auto"/>
        <w:rPr>
          <w:sz w:val="20"/>
          <w:szCs w:val="20"/>
          <w:color w:val="auto"/>
        </w:rPr>
      </w:pPr>
      <w:r>
        <w:rPr>
          <w:rFonts w:ascii="Arial" w:cs="Arial" w:eastAsia="Arial" w:hAnsi="Arial"/>
          <w:sz w:val="20"/>
          <w:szCs w:val="20"/>
          <w:b w:val="1"/>
          <w:bCs w:val="1"/>
          <w:color w:val="auto"/>
        </w:rPr>
        <w:t xml:space="preserve">16A. </w:t>
      </w:r>
      <w:r>
        <w:rPr>
          <w:rFonts w:ascii="Arial" w:cs="Arial" w:eastAsia="Arial" w:hAnsi="Arial"/>
          <w:sz w:val="20"/>
          <w:szCs w:val="20"/>
          <w:i w:val="1"/>
          <w:iCs w:val="1"/>
          <w:color w:val="auto"/>
        </w:rPr>
        <w:t>In order to remove any difficulties in the application or interpretation of these regulations,</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the Board may issue clarifications and guidelines in the form of circulars or notes.</w:t>
      </w: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329565</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5.95pt" to="162.05pt,25.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360"/>
        <w:spacing w:after="0"/>
        <w:tabs>
          <w:tab w:leader="none" w:pos="8900" w:val="left"/>
        </w:tabs>
        <w:rPr>
          <w:sz w:val="20"/>
          <w:szCs w:val="20"/>
          <w:color w:val="auto"/>
        </w:rPr>
      </w:pPr>
      <w:r>
        <w:rPr>
          <w:rFonts w:ascii="Times New Roman" w:cs="Times New Roman" w:eastAsia="Times New Roman" w:hAnsi="Times New Roman"/>
          <w:sz w:val="20"/>
          <w:szCs w:val="20"/>
          <w:color w:val="auto"/>
        </w:rPr>
        <w:t>1 Inserted by the SEBI (Central Database of Market Participants) (Amendment) Regulations, 2004, vide</w:t>
        <w:tab/>
        <w:t>S.O.</w:t>
      </w:r>
    </w:p>
    <w:p>
      <w:pPr>
        <w:spacing w:after="0" w:line="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0"/>
          <w:szCs w:val="20"/>
          <w:color w:val="auto"/>
        </w:rPr>
        <w:t>No. 854(E) dated 21-7-2004.</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376"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11 of 13</w:t>
      </w:r>
    </w:p>
    <w:p>
      <w:pPr>
        <w:sectPr>
          <w:pgSz w:w="12240" w:h="15840" w:orient="portrait"/>
          <w:cols w:equalWidth="0" w:num="1">
            <w:col w:w="9360"/>
          </w:cols>
          <w:pgMar w:left="1440" w:top="1440" w:right="1440" w:bottom="166"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ind w:right="-279"/>
        <w:spacing w:after="0"/>
        <w:rPr>
          <w:sz w:val="20"/>
          <w:szCs w:val="20"/>
          <w:color w:val="auto"/>
        </w:rPr>
      </w:pPr>
      <w:r>
        <w:rPr>
          <w:rFonts w:ascii="Arial" w:cs="Arial" w:eastAsia="Arial" w:hAnsi="Arial"/>
          <w:sz w:val="21"/>
          <w:szCs w:val="21"/>
          <w:b w:val="1"/>
          <w:bCs w:val="1"/>
          <w:color w:val="auto"/>
        </w:rPr>
        <w:t>Chapter IV</w:t>
      </w:r>
    </w:p>
    <w:p>
      <w:pPr>
        <w:spacing w:after="0" w:line="282" w:lineRule="exact"/>
        <w:rPr>
          <w:sz w:val="20"/>
          <w:szCs w:val="20"/>
          <w:color w:val="auto"/>
        </w:rPr>
      </w:pPr>
    </w:p>
    <w:p>
      <w:pPr>
        <w:jc w:val="center"/>
        <w:ind w:right="-299"/>
        <w:spacing w:after="0"/>
        <w:rPr>
          <w:sz w:val="20"/>
          <w:szCs w:val="20"/>
          <w:color w:val="auto"/>
        </w:rPr>
      </w:pPr>
      <w:r>
        <w:rPr>
          <w:rFonts w:ascii="Arial" w:cs="Arial" w:eastAsia="Arial" w:hAnsi="Arial"/>
          <w:sz w:val="21"/>
          <w:szCs w:val="21"/>
          <w:b w:val="1"/>
          <w:bCs w:val="1"/>
          <w:color w:val="auto"/>
        </w:rPr>
        <w:t>CONTINUING OBLIGATIONS</w:t>
      </w:r>
    </w:p>
    <w:p>
      <w:pPr>
        <w:spacing w:after="0" w:line="272"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Duty to intimate changes</w:t>
      </w:r>
    </w:p>
    <w:p>
      <w:pPr>
        <w:spacing w:after="0" w:line="289" w:lineRule="exact"/>
        <w:rPr>
          <w:sz w:val="20"/>
          <w:szCs w:val="20"/>
          <w:color w:val="auto"/>
        </w:rPr>
      </w:pPr>
    </w:p>
    <w:p>
      <w:pPr>
        <w:ind w:left="360" w:right="320" w:hanging="14"/>
        <w:spacing w:after="0" w:line="245" w:lineRule="auto"/>
        <w:tabs>
          <w:tab w:leader="none" w:pos="706" w:val="left"/>
        </w:tabs>
        <w:numPr>
          <w:ilvl w:val="0"/>
          <w:numId w:val="47"/>
        </w:numPr>
        <w:rPr>
          <w:rFonts w:ascii="Arial" w:cs="Arial" w:eastAsia="Arial" w:hAnsi="Arial"/>
          <w:sz w:val="21"/>
          <w:szCs w:val="21"/>
          <w:b w:val="1"/>
          <w:bCs w:val="1"/>
          <w:color w:val="auto"/>
        </w:rPr>
      </w:pPr>
      <w:r>
        <w:rPr>
          <w:rFonts w:ascii="Arial" w:cs="Arial" w:eastAsia="Arial" w:hAnsi="Arial"/>
          <w:sz w:val="21"/>
          <w:szCs w:val="21"/>
          <w:color w:val="auto"/>
        </w:rPr>
        <w:t>(1) Every person who has been allotted a unique identification number under these regulations shall intimate the changes if any, in the particulars submitted by him in the application, to the Designated Service Provider, in such electronic or other manner as may be specified by the Board, within thirty days of occurrence of the change.</w:t>
      </w:r>
    </w:p>
    <w:p>
      <w:pPr>
        <w:spacing w:after="0" w:line="291" w:lineRule="exact"/>
        <w:rPr>
          <w:sz w:val="20"/>
          <w:szCs w:val="20"/>
          <w:color w:val="auto"/>
        </w:rPr>
      </w:pPr>
    </w:p>
    <w:p>
      <w:pPr>
        <w:ind w:left="360" w:right="940" w:hanging="14"/>
        <w:spacing w:after="0"/>
        <w:tabs>
          <w:tab w:leader="none" w:pos="667" w:val="left"/>
        </w:tabs>
        <w:numPr>
          <w:ilvl w:val="0"/>
          <w:numId w:val="48"/>
        </w:numPr>
        <w:rPr>
          <w:rFonts w:ascii="Arial" w:cs="Arial" w:eastAsia="Arial" w:hAnsi="Arial"/>
          <w:sz w:val="21"/>
          <w:szCs w:val="21"/>
          <w:color w:val="auto"/>
        </w:rPr>
      </w:pPr>
      <w:r>
        <w:rPr>
          <w:rFonts w:ascii="Arial" w:cs="Arial" w:eastAsia="Arial" w:hAnsi="Arial"/>
          <w:sz w:val="21"/>
          <w:szCs w:val="21"/>
          <w:color w:val="auto"/>
        </w:rPr>
        <w:t>Every intermediary shall exercise due diligence so satisfy itself that its clients, being specified investors, have complied with sub-regulation (1).</w:t>
      </w:r>
    </w:p>
    <w:p>
      <w:pPr>
        <w:spacing w:after="0" w:line="283"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Duty to seek unique identification numbers for newly added related persons</w:t>
      </w:r>
    </w:p>
    <w:p>
      <w:pPr>
        <w:spacing w:after="0" w:line="284" w:lineRule="exact"/>
        <w:rPr>
          <w:sz w:val="20"/>
          <w:szCs w:val="20"/>
          <w:color w:val="auto"/>
        </w:rPr>
      </w:pPr>
    </w:p>
    <w:p>
      <w:pPr>
        <w:ind w:left="360" w:right="640" w:hanging="14"/>
        <w:spacing w:after="0" w:line="246" w:lineRule="auto"/>
        <w:tabs>
          <w:tab w:leader="none" w:pos="706" w:val="left"/>
        </w:tabs>
        <w:numPr>
          <w:ilvl w:val="0"/>
          <w:numId w:val="49"/>
        </w:numPr>
        <w:rPr>
          <w:rFonts w:ascii="Arial" w:cs="Arial" w:eastAsia="Arial" w:hAnsi="Arial"/>
          <w:sz w:val="21"/>
          <w:szCs w:val="21"/>
          <w:b w:val="1"/>
          <w:bCs w:val="1"/>
          <w:color w:val="auto"/>
        </w:rPr>
      </w:pPr>
      <w:r>
        <w:rPr>
          <w:rFonts w:ascii="Arial" w:cs="Arial" w:eastAsia="Arial" w:hAnsi="Arial"/>
          <w:sz w:val="21"/>
          <w:szCs w:val="21"/>
          <w:color w:val="auto"/>
        </w:rPr>
        <w:t>(1) Every specified intermediary and other entity shall within thirty days of any person becoming a related person, ensure that such person has been allotted or has applied for a unique identification number.</w:t>
      </w:r>
    </w:p>
    <w:p>
      <w:pPr>
        <w:spacing w:after="0" w:line="285" w:lineRule="exact"/>
        <w:rPr>
          <w:sz w:val="20"/>
          <w:szCs w:val="20"/>
          <w:color w:val="auto"/>
        </w:rPr>
      </w:pPr>
    </w:p>
    <w:p>
      <w:pPr>
        <w:jc w:val="both"/>
        <w:ind w:left="360" w:right="540" w:hanging="14"/>
        <w:spacing w:after="0" w:line="246" w:lineRule="auto"/>
        <w:tabs>
          <w:tab w:leader="none" w:pos="667" w:val="left"/>
        </w:tabs>
        <w:numPr>
          <w:ilvl w:val="0"/>
          <w:numId w:val="50"/>
        </w:numPr>
        <w:rPr>
          <w:rFonts w:ascii="Arial" w:cs="Arial" w:eastAsia="Arial" w:hAnsi="Arial"/>
          <w:sz w:val="21"/>
          <w:szCs w:val="21"/>
          <w:color w:val="auto"/>
        </w:rPr>
      </w:pPr>
      <w:r>
        <w:rPr>
          <w:rFonts w:ascii="Arial" w:cs="Arial" w:eastAsia="Arial" w:hAnsi="Arial"/>
          <w:sz w:val="21"/>
          <w:szCs w:val="21"/>
          <w:color w:val="auto"/>
        </w:rPr>
        <w:t>Every specified listed company shall within thirty days of any person becoming a related person, ensure that such person has been allotted or has applied for a unique identification number.</w:t>
      </w:r>
    </w:p>
    <w:p>
      <w:pPr>
        <w:spacing w:after="0" w:line="200" w:lineRule="exact"/>
        <w:rPr>
          <w:sz w:val="20"/>
          <w:szCs w:val="20"/>
          <w:color w:val="auto"/>
        </w:rPr>
      </w:pPr>
    </w:p>
    <w:p>
      <w:pPr>
        <w:spacing w:after="0" w:line="269" w:lineRule="exact"/>
        <w:rPr>
          <w:sz w:val="20"/>
          <w:szCs w:val="20"/>
          <w:color w:val="auto"/>
        </w:rPr>
      </w:pPr>
    </w:p>
    <w:p>
      <w:pPr>
        <w:jc w:val="center"/>
        <w:ind w:right="-279"/>
        <w:spacing w:after="0"/>
        <w:rPr>
          <w:sz w:val="20"/>
          <w:szCs w:val="20"/>
          <w:color w:val="auto"/>
        </w:rPr>
      </w:pPr>
      <w:r>
        <w:rPr>
          <w:rFonts w:ascii="Arial" w:cs="Arial" w:eastAsia="Arial" w:hAnsi="Arial"/>
          <w:sz w:val="21"/>
          <w:szCs w:val="21"/>
          <w:b w:val="1"/>
          <w:bCs w:val="1"/>
          <w:color w:val="auto"/>
        </w:rPr>
        <w:t>Chapter V</w:t>
      </w:r>
    </w:p>
    <w:p>
      <w:pPr>
        <w:spacing w:after="0" w:line="282" w:lineRule="exact"/>
        <w:rPr>
          <w:sz w:val="20"/>
          <w:szCs w:val="20"/>
          <w:color w:val="auto"/>
        </w:rPr>
      </w:pPr>
    </w:p>
    <w:p>
      <w:pPr>
        <w:jc w:val="center"/>
        <w:ind w:right="-299"/>
        <w:spacing w:after="0"/>
        <w:rPr>
          <w:sz w:val="20"/>
          <w:szCs w:val="20"/>
          <w:color w:val="auto"/>
        </w:rPr>
      </w:pPr>
      <w:r>
        <w:rPr>
          <w:rFonts w:ascii="Arial" w:cs="Arial" w:eastAsia="Arial" w:hAnsi="Arial"/>
          <w:sz w:val="21"/>
          <w:szCs w:val="21"/>
          <w:b w:val="1"/>
          <w:bCs w:val="1"/>
          <w:color w:val="auto"/>
        </w:rPr>
        <w:t>ACTION IN CASE OF VIOLATION</w:t>
      </w:r>
    </w:p>
    <w:p>
      <w:pPr>
        <w:spacing w:after="0" w:line="272"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Action for acting, dealing etc. without obtaining unique identification number</w:t>
      </w:r>
    </w:p>
    <w:p>
      <w:pPr>
        <w:spacing w:after="0" w:line="289" w:lineRule="exact"/>
        <w:rPr>
          <w:sz w:val="20"/>
          <w:szCs w:val="20"/>
          <w:color w:val="auto"/>
        </w:rPr>
      </w:pPr>
    </w:p>
    <w:p>
      <w:pPr>
        <w:ind w:left="360" w:right="140" w:hanging="14"/>
        <w:spacing w:after="0"/>
        <w:tabs>
          <w:tab w:leader="none" w:pos="706" w:val="left"/>
        </w:tabs>
        <w:numPr>
          <w:ilvl w:val="0"/>
          <w:numId w:val="51"/>
        </w:numPr>
        <w:rPr>
          <w:rFonts w:ascii="Arial" w:cs="Arial" w:eastAsia="Arial" w:hAnsi="Arial"/>
          <w:sz w:val="21"/>
          <w:szCs w:val="21"/>
          <w:b w:val="1"/>
          <w:bCs w:val="1"/>
          <w:color w:val="auto"/>
        </w:rPr>
      </w:pPr>
      <w:r>
        <w:rPr>
          <w:rFonts w:ascii="Arial" w:cs="Arial" w:eastAsia="Arial" w:hAnsi="Arial"/>
          <w:sz w:val="21"/>
          <w:szCs w:val="21"/>
          <w:color w:val="auto"/>
        </w:rPr>
        <w:t>Any person who issues any security or buys, sells or deals in any securities in contravention of these regulations shall be liable for—</w:t>
      </w:r>
    </w:p>
    <w:p>
      <w:pPr>
        <w:spacing w:after="0" w:line="283" w:lineRule="exact"/>
        <w:rPr>
          <w:rFonts w:ascii="Arial" w:cs="Arial" w:eastAsia="Arial" w:hAnsi="Arial"/>
          <w:sz w:val="21"/>
          <w:szCs w:val="21"/>
          <w:b w:val="1"/>
          <w:bCs w:val="1"/>
          <w:color w:val="auto"/>
        </w:rPr>
      </w:pPr>
    </w:p>
    <w:p>
      <w:pPr>
        <w:ind w:left="1400" w:hanging="319"/>
        <w:spacing w:after="0"/>
        <w:tabs>
          <w:tab w:leader="none" w:pos="1400" w:val="left"/>
        </w:tabs>
        <w:numPr>
          <w:ilvl w:val="1"/>
          <w:numId w:val="51"/>
        </w:numPr>
        <w:rPr>
          <w:rFonts w:ascii="Arial" w:cs="Arial" w:eastAsia="Arial" w:hAnsi="Arial"/>
          <w:sz w:val="21"/>
          <w:szCs w:val="21"/>
          <w:color w:val="auto"/>
        </w:rPr>
      </w:pPr>
      <w:r>
        <w:rPr>
          <w:rFonts w:ascii="Arial" w:cs="Arial" w:eastAsia="Arial" w:hAnsi="Arial"/>
          <w:sz w:val="21"/>
          <w:szCs w:val="21"/>
          <w:color w:val="auto"/>
        </w:rPr>
        <w:t>action under sub-section (4) of section 11 of the Act;</w:t>
      </w:r>
    </w:p>
    <w:p>
      <w:pPr>
        <w:spacing w:after="0" w:line="281" w:lineRule="exact"/>
        <w:rPr>
          <w:rFonts w:ascii="Arial" w:cs="Arial" w:eastAsia="Arial" w:hAnsi="Arial"/>
          <w:sz w:val="21"/>
          <w:szCs w:val="21"/>
          <w:color w:val="auto"/>
        </w:rPr>
      </w:pPr>
    </w:p>
    <w:p>
      <w:pPr>
        <w:ind w:left="1400" w:hanging="319"/>
        <w:spacing w:after="0"/>
        <w:tabs>
          <w:tab w:leader="none" w:pos="1400" w:val="left"/>
        </w:tabs>
        <w:numPr>
          <w:ilvl w:val="1"/>
          <w:numId w:val="51"/>
        </w:numPr>
        <w:rPr>
          <w:rFonts w:ascii="Arial" w:cs="Arial" w:eastAsia="Arial" w:hAnsi="Arial"/>
          <w:sz w:val="21"/>
          <w:szCs w:val="21"/>
          <w:color w:val="auto"/>
        </w:rPr>
      </w:pPr>
      <w:r>
        <w:rPr>
          <w:rFonts w:ascii="Arial" w:cs="Arial" w:eastAsia="Arial" w:hAnsi="Arial"/>
          <w:sz w:val="21"/>
          <w:szCs w:val="21"/>
          <w:color w:val="auto"/>
        </w:rPr>
        <w:t>delisting of securities;</w:t>
      </w:r>
    </w:p>
    <w:p>
      <w:pPr>
        <w:spacing w:after="0" w:line="281" w:lineRule="exact"/>
        <w:rPr>
          <w:rFonts w:ascii="Arial" w:cs="Arial" w:eastAsia="Arial" w:hAnsi="Arial"/>
          <w:sz w:val="21"/>
          <w:szCs w:val="21"/>
          <w:color w:val="auto"/>
        </w:rPr>
      </w:pPr>
    </w:p>
    <w:p>
      <w:pPr>
        <w:ind w:left="1400" w:hanging="319"/>
        <w:spacing w:after="0"/>
        <w:tabs>
          <w:tab w:leader="none" w:pos="1400" w:val="left"/>
        </w:tabs>
        <w:numPr>
          <w:ilvl w:val="1"/>
          <w:numId w:val="51"/>
        </w:numPr>
        <w:rPr>
          <w:rFonts w:ascii="Arial" w:cs="Arial" w:eastAsia="Arial" w:hAnsi="Arial"/>
          <w:sz w:val="21"/>
          <w:szCs w:val="21"/>
          <w:color w:val="auto"/>
        </w:rPr>
      </w:pPr>
      <w:r>
        <w:rPr>
          <w:rFonts w:ascii="Arial" w:cs="Arial" w:eastAsia="Arial" w:hAnsi="Arial"/>
          <w:sz w:val="21"/>
          <w:szCs w:val="21"/>
          <w:color w:val="auto"/>
        </w:rPr>
        <w:t>being debarred from acting in any capacity in any security market related institution;</w:t>
      </w:r>
    </w:p>
    <w:p>
      <w:pPr>
        <w:spacing w:after="0" w:line="289" w:lineRule="exact"/>
        <w:rPr>
          <w:rFonts w:ascii="Arial" w:cs="Arial" w:eastAsia="Arial" w:hAnsi="Arial"/>
          <w:sz w:val="21"/>
          <w:szCs w:val="21"/>
          <w:color w:val="auto"/>
        </w:rPr>
      </w:pPr>
    </w:p>
    <w:p>
      <w:pPr>
        <w:ind w:left="1400" w:right="680" w:hanging="319"/>
        <w:spacing w:after="0"/>
        <w:tabs>
          <w:tab w:leader="none" w:pos="1400" w:val="left"/>
        </w:tabs>
        <w:numPr>
          <w:ilvl w:val="1"/>
          <w:numId w:val="51"/>
        </w:numPr>
        <w:rPr>
          <w:rFonts w:ascii="Arial" w:cs="Arial" w:eastAsia="Arial" w:hAnsi="Arial"/>
          <w:sz w:val="21"/>
          <w:szCs w:val="21"/>
          <w:color w:val="auto"/>
        </w:rPr>
      </w:pPr>
      <w:r>
        <w:rPr>
          <w:rFonts w:ascii="Arial" w:cs="Arial" w:eastAsia="Arial" w:hAnsi="Arial"/>
          <w:sz w:val="21"/>
          <w:szCs w:val="21"/>
          <w:color w:val="auto"/>
        </w:rPr>
        <w:t>such other action as may be deemed appropriate by the Board in the facts and circumstances of the case :</w:t>
      </w:r>
    </w:p>
    <w:p>
      <w:pPr>
        <w:spacing w:after="0" w:line="290" w:lineRule="exact"/>
        <w:rPr>
          <w:sz w:val="20"/>
          <w:szCs w:val="20"/>
          <w:color w:val="auto"/>
        </w:rPr>
      </w:pPr>
    </w:p>
    <w:p>
      <w:pPr>
        <w:ind w:left="360" w:right="100" w:hanging="9"/>
        <w:spacing w:after="0"/>
        <w:rPr>
          <w:sz w:val="20"/>
          <w:szCs w:val="20"/>
          <w:color w:val="auto"/>
        </w:rPr>
      </w:pPr>
      <w:r>
        <w:rPr>
          <w:rFonts w:ascii="Arial" w:cs="Arial" w:eastAsia="Arial" w:hAnsi="Arial"/>
          <w:sz w:val="21"/>
          <w:szCs w:val="21"/>
          <w:b w:val="1"/>
          <w:bCs w:val="1"/>
          <w:color w:val="auto"/>
        </w:rPr>
        <w:t xml:space="preserve">Provided </w:t>
      </w:r>
      <w:r>
        <w:rPr>
          <w:rFonts w:ascii="Arial" w:cs="Arial" w:eastAsia="Arial" w:hAnsi="Arial"/>
          <w:sz w:val="21"/>
          <w:szCs w:val="21"/>
          <w:color w:val="auto"/>
        </w:rPr>
        <w:t>that no such action shall be taken without following the procedure laid down under the</w:t>
      </w:r>
      <w:r>
        <w:rPr>
          <w:rFonts w:ascii="Arial" w:cs="Arial" w:eastAsia="Arial" w:hAnsi="Arial"/>
          <w:sz w:val="21"/>
          <w:szCs w:val="21"/>
          <w:b w:val="1"/>
          <w:bCs w:val="1"/>
          <w:color w:val="auto"/>
        </w:rPr>
        <w:t xml:space="preserve"> </w:t>
      </w:r>
      <w:r>
        <w:rPr>
          <w:rFonts w:ascii="Arial" w:cs="Arial" w:eastAsia="Arial" w:hAnsi="Arial"/>
          <w:sz w:val="21"/>
          <w:szCs w:val="21"/>
          <w:color w:val="auto"/>
        </w:rPr>
        <w:t>relevant rules or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18"/>
          <w:szCs w:val="18"/>
          <w:b w:val="1"/>
          <w:bCs w:val="1"/>
          <w:color w:val="auto"/>
        </w:rPr>
        <w:t>Page 12 of 13</w:t>
      </w:r>
    </w:p>
    <w:p>
      <w:pPr>
        <w:sectPr>
          <w:pgSz w:w="12240" w:h="15840" w:orient="portrait"/>
          <w:cols w:equalWidth="0" w:num="1">
            <w:col w:w="9360"/>
          </w:cols>
          <w:pgMar w:left="1440" w:top="1440" w:right="1440" w:bottom="166" w:gutter="0" w:footer="0" w:header="0"/>
        </w:sectPr>
      </w:pPr>
    </w:p>
    <w:bookmarkStart w:id="12" w:name="page13"/>
    <w:bookmarkEnd w:id="12"/>
    <w:p>
      <w:pPr>
        <w:spacing w:after="0" w:line="200" w:lineRule="exact"/>
        <w:rPr>
          <w:sz w:val="20"/>
          <w:szCs w:val="20"/>
          <w:color w:val="auto"/>
        </w:rPr>
      </w:pPr>
    </w:p>
    <w:p>
      <w:pPr>
        <w:spacing w:after="0" w:line="366"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Action for giving false statement</w:t>
      </w:r>
    </w:p>
    <w:p>
      <w:pPr>
        <w:spacing w:after="0" w:line="290" w:lineRule="exact"/>
        <w:rPr>
          <w:sz w:val="20"/>
          <w:szCs w:val="20"/>
          <w:color w:val="auto"/>
        </w:rPr>
      </w:pPr>
    </w:p>
    <w:p>
      <w:pPr>
        <w:ind w:left="360" w:right="260" w:hanging="14"/>
        <w:spacing w:after="0" w:line="245" w:lineRule="auto"/>
        <w:tabs>
          <w:tab w:leader="none" w:pos="706" w:val="left"/>
        </w:tabs>
        <w:numPr>
          <w:ilvl w:val="0"/>
          <w:numId w:val="52"/>
        </w:numPr>
        <w:rPr>
          <w:rFonts w:ascii="Arial" w:cs="Arial" w:eastAsia="Arial" w:hAnsi="Arial"/>
          <w:sz w:val="21"/>
          <w:szCs w:val="21"/>
          <w:b w:val="1"/>
          <w:bCs w:val="1"/>
          <w:color w:val="auto"/>
        </w:rPr>
      </w:pPr>
      <w:r>
        <w:rPr>
          <w:rFonts w:ascii="Arial" w:cs="Arial" w:eastAsia="Arial" w:hAnsi="Arial"/>
          <w:sz w:val="21"/>
          <w:szCs w:val="21"/>
          <w:color w:val="auto"/>
        </w:rPr>
        <w:t>Any person who makes any false statement or misrepresents any fact in any application or other document submitted to the Designated Service Provider shall, without prejudice to any action which may be taken under section 24 of the Act by the Board, be liable for action under section 15HB of the Act.</w:t>
      </w:r>
    </w:p>
    <w:p>
      <w:pPr>
        <w:spacing w:after="0" w:line="279"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Action for failure to intimate changes</w:t>
      </w:r>
    </w:p>
    <w:p>
      <w:pPr>
        <w:spacing w:after="0" w:line="282" w:lineRule="exact"/>
        <w:rPr>
          <w:sz w:val="20"/>
          <w:szCs w:val="20"/>
          <w:color w:val="auto"/>
        </w:rPr>
      </w:pPr>
    </w:p>
    <w:p>
      <w:pPr>
        <w:ind w:left="360" w:right="80" w:hanging="14"/>
        <w:spacing w:after="0" w:line="213" w:lineRule="auto"/>
        <w:tabs>
          <w:tab w:leader="none" w:pos="706" w:val="left"/>
        </w:tabs>
        <w:numPr>
          <w:ilvl w:val="0"/>
          <w:numId w:val="53"/>
        </w:numPr>
        <w:rPr>
          <w:rFonts w:ascii="Arial" w:cs="Arial" w:eastAsia="Arial" w:hAnsi="Arial"/>
          <w:sz w:val="21"/>
          <w:szCs w:val="21"/>
          <w:b w:val="1"/>
          <w:bCs w:val="1"/>
          <w:color w:val="auto"/>
        </w:rPr>
      </w:pPr>
      <w:r>
        <w:rPr>
          <w:rFonts w:ascii="Arial" w:cs="Arial" w:eastAsia="Arial" w:hAnsi="Arial"/>
          <w:sz w:val="21"/>
          <w:szCs w:val="21"/>
          <w:color w:val="auto"/>
        </w:rPr>
        <w:t xml:space="preserve">Any person who being required to do so, fails to intimate changes as required in </w:t>
      </w:r>
      <w:r>
        <w:rPr>
          <w:rFonts w:ascii="Arial" w:cs="Arial" w:eastAsia="Arial" w:hAnsi="Arial"/>
          <w:sz w:val="27"/>
          <w:szCs w:val="27"/>
          <w:color w:val="auto"/>
          <w:vertAlign w:val="superscript"/>
        </w:rPr>
        <w:t>1</w:t>
      </w:r>
      <w:r>
        <w:rPr>
          <w:rFonts w:ascii="Arial" w:cs="Arial" w:eastAsia="Arial" w:hAnsi="Arial"/>
          <w:sz w:val="21"/>
          <w:szCs w:val="21"/>
          <w:b w:val="1"/>
          <w:bCs w:val="1"/>
          <w:color w:val="auto"/>
        </w:rPr>
        <w:t>[</w:t>
      </w:r>
      <w:r>
        <w:rPr>
          <w:rFonts w:ascii="Arial" w:cs="Arial" w:eastAsia="Arial" w:hAnsi="Arial"/>
          <w:sz w:val="21"/>
          <w:szCs w:val="21"/>
          <w:color w:val="auto"/>
        </w:rPr>
        <w:t xml:space="preserve">regulation </w:t>
      </w:r>
      <w:r>
        <w:rPr>
          <w:rFonts w:ascii="Arial" w:cs="Arial" w:eastAsia="Arial" w:hAnsi="Arial"/>
          <w:sz w:val="21"/>
          <w:szCs w:val="21"/>
          <w:i w:val="1"/>
          <w:iCs w:val="1"/>
          <w:color w:val="auto"/>
        </w:rPr>
        <w:t>17</w:t>
      </w:r>
      <w:r>
        <w:rPr>
          <w:rFonts w:ascii="Arial" w:cs="Arial" w:eastAsia="Arial" w:hAnsi="Arial"/>
          <w:sz w:val="21"/>
          <w:szCs w:val="21"/>
          <w:b w:val="1"/>
          <w:bCs w:val="1"/>
          <w:color w:val="auto"/>
        </w:rPr>
        <w:t>]</w:t>
      </w:r>
      <w:r>
        <w:rPr>
          <w:rFonts w:ascii="Arial" w:cs="Arial" w:eastAsia="Arial" w:hAnsi="Arial"/>
          <w:sz w:val="21"/>
          <w:szCs w:val="21"/>
          <w:i w:val="1"/>
          <w:iCs w:val="1"/>
          <w:color w:val="auto"/>
        </w:rPr>
        <w:t xml:space="preserve"> </w:t>
      </w:r>
      <w:r>
        <w:rPr>
          <w:rFonts w:ascii="Arial" w:cs="Arial" w:eastAsia="Arial" w:hAnsi="Arial"/>
          <w:sz w:val="21"/>
          <w:szCs w:val="21"/>
          <w:color w:val="auto"/>
        </w:rPr>
        <w:t>shall be liable for action under clause (</w:t>
      </w:r>
      <w:r>
        <w:rPr>
          <w:rFonts w:ascii="Arial" w:cs="Arial" w:eastAsia="Arial" w:hAnsi="Arial"/>
          <w:sz w:val="21"/>
          <w:szCs w:val="21"/>
          <w:i w:val="1"/>
          <w:iCs w:val="1"/>
          <w:color w:val="auto"/>
        </w:rPr>
        <w:t>b</w:t>
      </w:r>
      <w:r>
        <w:rPr>
          <w:rFonts w:ascii="Arial" w:cs="Arial" w:eastAsia="Arial" w:hAnsi="Arial"/>
          <w:sz w:val="21"/>
          <w:szCs w:val="21"/>
          <w:color w:val="auto"/>
        </w:rPr>
        <w:t>) of section 15A of the Act.</w:t>
      </w:r>
    </w:p>
    <w:p>
      <w:pPr>
        <w:spacing w:after="0" w:line="288"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Action for failure to make application for newly added related persons</w:t>
      </w:r>
    </w:p>
    <w:p>
      <w:pPr>
        <w:spacing w:after="0" w:line="311" w:lineRule="exact"/>
        <w:rPr>
          <w:sz w:val="20"/>
          <w:szCs w:val="20"/>
          <w:color w:val="auto"/>
        </w:rPr>
      </w:pPr>
    </w:p>
    <w:p>
      <w:pPr>
        <w:ind w:left="360" w:right="540" w:hanging="14"/>
        <w:spacing w:after="0" w:line="213" w:lineRule="auto"/>
        <w:tabs>
          <w:tab w:leader="none" w:pos="706" w:val="left"/>
        </w:tabs>
        <w:numPr>
          <w:ilvl w:val="0"/>
          <w:numId w:val="54"/>
        </w:numPr>
        <w:rPr>
          <w:rFonts w:ascii="Arial" w:cs="Arial" w:eastAsia="Arial" w:hAnsi="Arial"/>
          <w:sz w:val="21"/>
          <w:szCs w:val="21"/>
          <w:b w:val="1"/>
          <w:bCs w:val="1"/>
          <w:color w:val="auto"/>
        </w:rPr>
      </w:pPr>
      <w:r>
        <w:rPr>
          <w:rFonts w:ascii="Arial" w:cs="Arial" w:eastAsia="Arial" w:hAnsi="Arial"/>
          <w:sz w:val="21"/>
          <w:szCs w:val="21"/>
          <w:color w:val="auto"/>
        </w:rPr>
        <w:t xml:space="preserve">Any intermediary or listed company who fails to ensure compliance with </w:t>
      </w:r>
      <w:r>
        <w:rPr>
          <w:rFonts w:ascii="Arial" w:cs="Arial" w:eastAsia="Arial" w:hAnsi="Arial"/>
          <w:sz w:val="27"/>
          <w:szCs w:val="27"/>
          <w:color w:val="auto"/>
          <w:vertAlign w:val="superscript"/>
        </w:rPr>
        <w:t>2</w:t>
      </w:r>
      <w:r>
        <w:rPr>
          <w:rFonts w:ascii="Arial" w:cs="Arial" w:eastAsia="Arial" w:hAnsi="Arial"/>
          <w:sz w:val="21"/>
          <w:szCs w:val="21"/>
          <w:b w:val="1"/>
          <w:bCs w:val="1"/>
          <w:color w:val="auto"/>
        </w:rPr>
        <w:t>[</w:t>
      </w:r>
      <w:r>
        <w:rPr>
          <w:rFonts w:ascii="Arial" w:cs="Arial" w:eastAsia="Arial" w:hAnsi="Arial"/>
          <w:sz w:val="21"/>
          <w:szCs w:val="21"/>
          <w:color w:val="auto"/>
        </w:rPr>
        <w:t>regulation 18</w:t>
      </w:r>
      <w:r>
        <w:rPr>
          <w:rFonts w:ascii="Arial" w:cs="Arial" w:eastAsia="Arial" w:hAnsi="Arial"/>
          <w:sz w:val="21"/>
          <w:szCs w:val="21"/>
          <w:b w:val="1"/>
          <w:bCs w:val="1"/>
          <w:color w:val="auto"/>
        </w:rPr>
        <w:t>]</w:t>
      </w:r>
      <w:r>
        <w:rPr>
          <w:rFonts w:ascii="Arial" w:cs="Arial" w:eastAsia="Arial" w:hAnsi="Arial"/>
          <w:sz w:val="21"/>
          <w:szCs w:val="21"/>
          <w:color w:val="auto"/>
        </w:rPr>
        <w:t xml:space="preserve"> shall be liable for action under section 15HB of the Act.</w:t>
      </w:r>
    </w:p>
    <w:p>
      <w:pPr>
        <w:spacing w:after="0" w:line="200" w:lineRule="exact"/>
        <w:rPr>
          <w:sz w:val="20"/>
          <w:szCs w:val="20"/>
          <w:color w:val="auto"/>
        </w:rPr>
      </w:pPr>
    </w:p>
    <w:p>
      <w:pPr>
        <w:spacing w:after="0" w:line="332"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31"/>
          <w:szCs w:val="31"/>
          <w:b w:val="1"/>
          <w:bCs w:val="1"/>
          <w:color w:val="auto"/>
          <w:vertAlign w:val="superscript"/>
        </w:rPr>
        <w:t>3</w:t>
      </w:r>
      <w:r>
        <w:rPr>
          <w:rFonts w:ascii="Times New Roman" w:cs="Times New Roman" w:eastAsia="Times New Roman" w:hAnsi="Times New Roman"/>
          <w:sz w:val="24"/>
          <w:szCs w:val="24"/>
          <w:b w:val="1"/>
          <w:bCs w:val="1"/>
          <w:color w:val="auto"/>
        </w:rPr>
        <w:t>[</w:t>
      </w:r>
      <w:r>
        <w:rPr>
          <w:rFonts w:ascii="Arial" w:cs="Arial" w:eastAsia="Arial" w:hAnsi="Arial"/>
          <w:sz w:val="21"/>
          <w:szCs w:val="21"/>
          <w:b w:val="1"/>
          <w:bCs w:val="1"/>
          <w:color w:val="auto"/>
        </w:rPr>
        <w:t>CHAPTER VI</w:t>
      </w:r>
    </w:p>
    <w:p>
      <w:pPr>
        <w:spacing w:after="0" w:line="244" w:lineRule="exact"/>
        <w:rPr>
          <w:sz w:val="20"/>
          <w:szCs w:val="20"/>
          <w:color w:val="auto"/>
        </w:rPr>
      </w:pPr>
    </w:p>
    <w:p>
      <w:pPr>
        <w:ind w:left="1400"/>
        <w:spacing w:after="0"/>
        <w:rPr>
          <w:sz w:val="20"/>
          <w:szCs w:val="20"/>
          <w:color w:val="auto"/>
        </w:rPr>
      </w:pPr>
      <w:r>
        <w:rPr>
          <w:rFonts w:ascii="Arial" w:cs="Arial" w:eastAsia="Arial" w:hAnsi="Arial"/>
          <w:sz w:val="21"/>
          <w:szCs w:val="21"/>
          <w:b w:val="1"/>
          <w:bCs w:val="1"/>
          <w:color w:val="auto"/>
        </w:rPr>
        <w:t>POWER TO RELAX STRICT ENFORCEMENT OF THE REGULATIONS</w:t>
      </w:r>
    </w:p>
    <w:p>
      <w:pPr>
        <w:spacing w:after="0" w:line="305" w:lineRule="exact"/>
        <w:rPr>
          <w:sz w:val="20"/>
          <w:szCs w:val="20"/>
          <w:color w:val="auto"/>
        </w:rPr>
      </w:pPr>
    </w:p>
    <w:p>
      <w:pPr>
        <w:ind w:left="340"/>
        <w:spacing w:after="0"/>
        <w:rPr>
          <w:sz w:val="20"/>
          <w:szCs w:val="20"/>
          <w:color w:val="auto"/>
        </w:rPr>
      </w:pPr>
      <w:r>
        <w:rPr>
          <w:rFonts w:ascii="Arial" w:cs="Arial" w:eastAsia="Arial" w:hAnsi="Arial"/>
          <w:sz w:val="21"/>
          <w:szCs w:val="21"/>
          <w:b w:val="1"/>
          <w:bCs w:val="1"/>
          <w:color w:val="auto"/>
        </w:rPr>
        <w:t>Exemption from enforcement of the regulations in special cases</w:t>
      </w:r>
      <w:r>
        <w:rPr>
          <w:rFonts w:ascii="Times New Roman" w:cs="Times New Roman" w:eastAsia="Times New Roman" w:hAnsi="Times New Roman"/>
          <w:sz w:val="24"/>
          <w:szCs w:val="24"/>
          <w:b w:val="1"/>
          <w:bCs w:val="1"/>
          <w:color w:val="auto"/>
        </w:rPr>
        <w:t>.</w:t>
      </w:r>
    </w:p>
    <w:p>
      <w:pPr>
        <w:spacing w:after="0" w:line="321" w:lineRule="exact"/>
        <w:rPr>
          <w:sz w:val="20"/>
          <w:szCs w:val="20"/>
          <w:color w:val="auto"/>
        </w:rPr>
      </w:pPr>
    </w:p>
    <w:p>
      <w:pPr>
        <w:jc w:val="both"/>
        <w:ind w:left="360" w:right="80" w:hanging="14"/>
        <w:spacing w:after="0" w:line="247" w:lineRule="auto"/>
        <w:tabs>
          <w:tab w:leader="none" w:pos="716" w:val="left"/>
        </w:tabs>
        <w:numPr>
          <w:ilvl w:val="0"/>
          <w:numId w:val="55"/>
        </w:numPr>
        <w:rPr>
          <w:rFonts w:ascii="Arial" w:cs="Arial" w:eastAsia="Arial" w:hAnsi="Arial"/>
          <w:sz w:val="21"/>
          <w:szCs w:val="21"/>
          <w:b w:val="1"/>
          <w:bCs w:val="1"/>
          <w:color w:val="auto"/>
        </w:rPr>
      </w:pPr>
      <w:r>
        <w:rPr>
          <w:rFonts w:ascii="Arial" w:cs="Arial" w:eastAsia="Arial" w:hAnsi="Arial"/>
          <w:sz w:val="21"/>
          <w:szCs w:val="21"/>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75" w:lineRule="exact"/>
        <w:rPr>
          <w:sz w:val="20"/>
          <w:szCs w:val="20"/>
          <w:color w:val="auto"/>
        </w:rPr>
      </w:pPr>
    </w:p>
    <w:p>
      <w:pPr>
        <w:jc w:val="both"/>
        <w:ind w:left="360" w:right="80" w:hanging="14"/>
        <w:spacing w:after="0" w:line="244" w:lineRule="auto"/>
        <w:tabs>
          <w:tab w:leader="none" w:pos="724" w:val="left"/>
        </w:tabs>
        <w:numPr>
          <w:ilvl w:val="0"/>
          <w:numId w:val="56"/>
        </w:numPr>
        <w:rPr>
          <w:rFonts w:ascii="Arial" w:cs="Arial" w:eastAsia="Arial" w:hAnsi="Arial"/>
          <w:sz w:val="21"/>
          <w:szCs w:val="21"/>
          <w:color w:val="auto"/>
        </w:rPr>
      </w:pPr>
      <w:r>
        <w:rPr>
          <w:rFonts w:ascii="Arial" w:cs="Arial" w:eastAsia="Arial" w:hAnsi="Arial"/>
          <w:sz w:val="21"/>
          <w:szCs w:val="21"/>
          <w:color w:val="auto"/>
        </w:rPr>
        <w:t>Any exemption granted by the Board under sub-regulation (1) shall be subject to the applicant satisfying such conditions as may be specified by the Board including conditions to be complied with on a continuous basis.</w:t>
      </w:r>
    </w:p>
    <w:p>
      <w:pPr>
        <w:spacing w:after="0" w:line="277" w:lineRule="exact"/>
        <w:rPr>
          <w:sz w:val="20"/>
          <w:szCs w:val="20"/>
          <w:color w:val="auto"/>
        </w:rPr>
      </w:pPr>
    </w:p>
    <w:p>
      <w:pPr>
        <w:jc w:val="both"/>
        <w:ind w:left="360" w:right="80" w:hanging="9"/>
        <w:spacing w:after="0" w:line="247" w:lineRule="auto"/>
        <w:rPr>
          <w:sz w:val="20"/>
          <w:szCs w:val="20"/>
          <w:color w:val="auto"/>
        </w:rPr>
      </w:pPr>
      <w:r>
        <w:rPr>
          <w:rFonts w:ascii="Arial" w:cs="Arial" w:eastAsia="Arial" w:hAnsi="Arial"/>
          <w:sz w:val="21"/>
          <w:szCs w:val="21"/>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708660</wp:posOffset>
                </wp:positionV>
                <wp:extent cx="1829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5.8pt" to="162.05pt,55.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380" w:right="80" w:hanging="9"/>
        <w:spacing w:after="0" w:line="213" w:lineRule="auto"/>
        <w:rPr>
          <w:sz w:val="20"/>
          <w:szCs w:val="20"/>
          <w:color w:val="auto"/>
        </w:rPr>
      </w:pPr>
      <w:r>
        <w:rPr>
          <w:rFonts w:ascii="Arial" w:cs="Arial" w:eastAsia="Arial" w:hAnsi="Arial"/>
          <w:sz w:val="25"/>
          <w:szCs w:val="25"/>
          <w:color w:val="auto"/>
          <w:vertAlign w:val="superscript"/>
        </w:rPr>
        <w:t>1</w:t>
      </w:r>
      <w:r>
        <w:rPr>
          <w:rFonts w:ascii="Times New Roman" w:cs="Times New Roman" w:eastAsia="Times New Roman" w:hAnsi="Times New Roman"/>
          <w:sz w:val="20"/>
          <w:szCs w:val="20"/>
          <w:color w:val="auto"/>
        </w:rPr>
        <w:t xml:space="preserve"> Substituted for " regulation 15" by the SEBI (Central Database of Market Participants) (Amendment) Regulations, 2004, w.e.f. 21-7-2004.</w:t>
      </w:r>
    </w:p>
    <w:p>
      <w:pPr>
        <w:spacing w:after="0" w:line="10" w:lineRule="exact"/>
        <w:rPr>
          <w:sz w:val="20"/>
          <w:szCs w:val="20"/>
          <w:color w:val="auto"/>
        </w:rPr>
      </w:pPr>
    </w:p>
    <w:p>
      <w:pPr>
        <w:ind w:left="380" w:right="80" w:hanging="20"/>
        <w:spacing w:after="0" w:line="235" w:lineRule="auto"/>
        <w:tabs>
          <w:tab w:leader="none" w:pos="601" w:val="left"/>
        </w:tabs>
        <w:numPr>
          <w:ilvl w:val="0"/>
          <w:numId w:val="5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for "regulation 16" by the SEBI (Central Database of Market Participants) (Amendment) Regulations, 2004, w.e.f. 21-7-2004.</w:t>
      </w:r>
    </w:p>
    <w:p>
      <w:pPr>
        <w:spacing w:after="0" w:line="1" w:lineRule="exact"/>
        <w:rPr>
          <w:rFonts w:ascii="Times New Roman" w:cs="Times New Roman" w:eastAsia="Times New Roman" w:hAnsi="Times New Roman"/>
          <w:sz w:val="20"/>
          <w:szCs w:val="20"/>
          <w:color w:val="auto"/>
        </w:rPr>
      </w:pPr>
    </w:p>
    <w:p>
      <w:pPr>
        <w:ind w:left="500" w:hanging="140"/>
        <w:spacing w:after="0" w:line="185" w:lineRule="auto"/>
        <w:tabs>
          <w:tab w:leader="none" w:pos="500" w:val="left"/>
        </w:tabs>
        <w:numPr>
          <w:ilvl w:val="0"/>
          <w:numId w:val="57"/>
        </w:numPr>
        <w:rPr>
          <w:rFonts w:ascii="Arial" w:cs="Arial" w:eastAsia="Arial" w:hAnsi="Arial"/>
          <w:sz w:val="26"/>
          <w:szCs w:val="26"/>
          <w:color w:val="auto"/>
          <w:vertAlign w:val="superscript"/>
        </w:rPr>
      </w:pPr>
      <w:r>
        <w:rPr>
          <w:rFonts w:ascii="Arial" w:cs="Arial" w:eastAsia="Arial" w:hAnsi="Arial"/>
          <w:sz w:val="20"/>
          <w:szCs w:val="20"/>
          <w:color w:val="auto"/>
        </w:rPr>
        <w:t>I</w:t>
      </w:r>
      <w:r>
        <w:rPr>
          <w:rFonts w:ascii="Times New Roman" w:cs="Times New Roman" w:eastAsia="Times New Roman" w:hAnsi="Times New Roman"/>
          <w:sz w:val="20"/>
          <w:szCs w:val="20"/>
          <w:color w:val="auto"/>
        </w:rPr>
        <w:t>nserted by the SEBI (Regulatory Sandbox) (Amendment) Regulations, 2020, w.e.f. 17-04-2020.</w:t>
      </w:r>
    </w:p>
    <w:p>
      <w:pPr>
        <w:spacing w:after="0" w:line="200" w:lineRule="exact"/>
        <w:rPr>
          <w:sz w:val="20"/>
          <w:szCs w:val="20"/>
          <w:color w:val="auto"/>
        </w:rPr>
      </w:pPr>
    </w:p>
    <w:p>
      <w:pPr>
        <w:spacing w:after="0" w:line="377"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18"/>
          <w:szCs w:val="18"/>
          <w:b w:val="1"/>
          <w:bCs w:val="1"/>
          <w:color w:val="auto"/>
        </w:rPr>
        <w:t>Page 13 of 13</w:t>
      </w:r>
    </w:p>
    <w:sectPr>
      <w:pgSz w:w="12240" w:h="15840" w:orient="portrait"/>
      <w:cols w:equalWidth="0" w:num="1">
        <w:col w:w="9360"/>
      </w:cols>
      <w:pgMar w:left="1440" w:top="1440" w:right="1440" w:bottom="16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901D82"/>
    <w:multiLevelType w:val="hybridMultilevel"/>
    <w:lvl w:ilvl="0">
      <w:lvlJc w:val="left"/>
      <w:lvlText w:val="%1."/>
      <w:numFmt w:val="decimal"/>
      <w:start w:val="1"/>
    </w:lvl>
  </w:abstractNum>
  <w:abstractNum w:abstractNumId="1">
    <w:nsid w:val="3A95F874"/>
    <w:multiLevelType w:val="hybridMultilevel"/>
    <w:lvl w:ilvl="0">
      <w:lvlJc w:val="left"/>
      <w:lvlText w:val="%1."/>
      <w:numFmt w:val="decimal"/>
      <w:start w:val="2"/>
    </w:lvl>
    <w:lvl w:ilvl="1">
      <w:lvlJc w:val="left"/>
      <w:lvlText w:val="(%2)"/>
      <w:numFmt w:val="lowerLetter"/>
      <w:start w:val="1"/>
    </w:lvl>
  </w:abstractNum>
  <w:abstractNum w:abstractNumId="2">
    <w:nsid w:val="8138641"/>
    <w:multiLevelType w:val="hybridMultilevel"/>
    <w:lvl w:ilvl="0">
      <w:lvlJc w:val="left"/>
      <w:lvlText w:val="(%1)"/>
      <w:numFmt w:val="lowerRoman"/>
      <w:start w:val="3"/>
    </w:lvl>
  </w:abstractNum>
  <w:abstractNum w:abstractNumId="3">
    <w:nsid w:val="1E7FF521"/>
    <w:multiLevelType w:val="hybridMultilevel"/>
    <w:lvl w:ilvl="0">
      <w:lvlJc w:val="left"/>
      <w:lvlText w:val="%1"/>
      <w:numFmt w:val="lowerLetter"/>
      <w:start w:val="1"/>
    </w:lvl>
    <w:lvl w:ilvl="1">
      <w:lvlJc w:val="left"/>
      <w:lvlText w:val="(%2)"/>
      <w:numFmt w:val="lowerRoman"/>
      <w:start w:val="1"/>
    </w:lvl>
  </w:abstractNum>
  <w:abstractNum w:abstractNumId="4">
    <w:nsid w:val="7C3DBD3D"/>
    <w:multiLevelType w:val="hybridMultilevel"/>
    <w:lvl w:ilvl="0">
      <w:lvlJc w:val="left"/>
      <w:lvlText w:val="(%1)"/>
      <w:numFmt w:val="lowerLetter"/>
      <w:start w:val="3"/>
    </w:lvl>
    <w:lvl w:ilvl="1">
      <w:lvlJc w:val="left"/>
      <w:lvlText w:val="%2"/>
      <w:numFmt w:val="lowerRoman"/>
      <w:start w:val="1"/>
    </w:lvl>
  </w:abstractNum>
  <w:abstractNum w:abstractNumId="5">
    <w:nsid w:val="737B8DDC"/>
    <w:multiLevelType w:val="hybridMultilevel"/>
    <w:lvl w:ilvl="0">
      <w:lvlJc w:val="left"/>
      <w:lvlText w:val="(%1)"/>
      <w:numFmt w:val="lowerLetter"/>
      <w:start w:val="8"/>
    </w:lvl>
  </w:abstractNum>
  <w:abstractNum w:abstractNumId="6">
    <w:nsid w:val="6CEAF087"/>
    <w:multiLevelType w:val="hybridMultilevel"/>
    <w:lvl w:ilvl="0">
      <w:lvlJc w:val="left"/>
      <w:lvlText w:val="(%1)"/>
      <w:numFmt w:val="lowerLetter"/>
      <w:start w:val="12"/>
    </w:lvl>
  </w:abstractNum>
  <w:abstractNum w:abstractNumId="7">
    <w:nsid w:val="22221A70"/>
    <w:multiLevelType w:val="hybridMultilevel"/>
    <w:lvl w:ilvl="0">
      <w:lvlJc w:val="left"/>
      <w:lvlText w:val="(%1)"/>
      <w:numFmt w:val="lowerLetter"/>
      <w:start w:val="14"/>
    </w:lvl>
    <w:lvl w:ilvl="1">
      <w:lvlJc w:val="left"/>
      <w:lvlText w:val="(%2)"/>
      <w:numFmt w:val="decimal"/>
      <w:start w:val="1"/>
    </w:lvl>
  </w:abstractNum>
  <w:abstractNum w:abstractNumId="8">
    <w:nsid w:val="4516DDE9"/>
    <w:multiLevelType w:val="hybridMultilevel"/>
    <w:lvl w:ilvl="0">
      <w:lvlJc w:val="left"/>
      <w:lvlText w:val="(%1)"/>
      <w:numFmt w:val="upperLetter"/>
      <w:start w:val="1"/>
    </w:lvl>
    <w:lvl w:ilvl="1">
      <w:lvlJc w:val="left"/>
      <w:lvlText w:val="(%2)"/>
      <w:numFmt w:val="lowerRoman"/>
      <w:start w:val="1"/>
    </w:lvl>
  </w:abstractNum>
  <w:abstractNum w:abstractNumId="9">
    <w:nsid w:val="3006C83E"/>
    <w:multiLevelType w:val="hybridMultilevel"/>
    <w:lvl w:ilvl="0">
      <w:lvlJc w:val="left"/>
      <w:lvlText w:val="%1"/>
      <w:numFmt w:val="decimal"/>
      <w:start w:val="1"/>
    </w:lvl>
  </w:abstractNum>
  <w:abstractNum w:abstractNumId="10">
    <w:nsid w:val="614FD4A1"/>
    <w:multiLevelType w:val="hybridMultilevel"/>
    <w:lvl w:ilvl="0">
      <w:lvlJc w:val="left"/>
      <w:lvlText w:val="(%1)"/>
      <w:numFmt w:val="lowerRoman"/>
      <w:start w:val="3"/>
    </w:lvl>
  </w:abstractNum>
  <w:abstractNum w:abstractNumId="11">
    <w:nsid w:val="419AC241"/>
    <w:multiLevelType w:val="hybridMultilevel"/>
    <w:lvl w:ilvl="0">
      <w:lvlJc w:val="left"/>
      <w:lvlText w:val="(%1)"/>
      <w:numFmt w:val="upperLetter"/>
      <w:start w:val="2"/>
    </w:lvl>
    <w:lvl w:ilvl="1">
      <w:lvlJc w:val="left"/>
      <w:lvlText w:val="(%2)"/>
      <w:numFmt w:val="lowerRoman"/>
      <w:start w:val="1"/>
    </w:lvl>
  </w:abstractNum>
  <w:abstractNum w:abstractNumId="12">
    <w:nsid w:val="5577F8E1"/>
    <w:multiLevelType w:val="hybridMultilevel"/>
    <w:lvl w:ilvl="0">
      <w:lvlJc w:val="left"/>
      <w:lvlText w:val="(%1)"/>
      <w:numFmt w:val="lowerRoman"/>
      <w:start w:val="3"/>
    </w:lvl>
  </w:abstractNum>
  <w:abstractNum w:abstractNumId="13">
    <w:nsid w:val="440BADFC"/>
    <w:multiLevelType w:val="hybridMultilevel"/>
    <w:lvl w:ilvl="0">
      <w:lvlJc w:val="left"/>
      <w:lvlText w:val="(%1)"/>
      <w:numFmt w:val="lowerLetter"/>
      <w:start w:val="15"/>
    </w:lvl>
  </w:abstractNum>
  <w:abstractNum w:abstractNumId="14">
    <w:nsid w:val="5072367"/>
    <w:multiLevelType w:val="hybridMultilevel"/>
    <w:lvl w:ilvl="0">
      <w:lvlJc w:val="left"/>
      <w:lvlText w:val="%1"/>
      <w:numFmt w:val="decimal"/>
      <w:start w:val="1"/>
    </w:lvl>
  </w:abstractNum>
  <w:abstractNum w:abstractNumId="15">
    <w:nsid w:val="3804823E"/>
    <w:multiLevelType w:val="hybridMultilevel"/>
    <w:lvl w:ilvl="0">
      <w:lvlJc w:val="left"/>
      <w:lvlText w:val="(%1)"/>
      <w:numFmt w:val="lowerLetter"/>
      <w:start w:val="18"/>
    </w:lvl>
  </w:abstractNum>
  <w:abstractNum w:abstractNumId="16">
    <w:nsid w:val="77465F01"/>
    <w:multiLevelType w:val="hybridMultilevel"/>
    <w:lvl w:ilvl="0">
      <w:lvlJc w:val="left"/>
      <w:lvlText w:val="(%1)"/>
      <w:numFmt w:val="lowerLetter"/>
      <w:start w:val="2"/>
    </w:lvl>
  </w:abstractNum>
  <w:abstractNum w:abstractNumId="17">
    <w:nsid w:val="7724C67E"/>
    <w:multiLevelType w:val="hybridMultilevel"/>
    <w:lvl w:ilvl="0">
      <w:lvlJc w:val="left"/>
      <w:lvlText w:val="%1."/>
      <w:numFmt w:val="decimal"/>
      <w:start w:val="3"/>
    </w:lvl>
  </w:abstractNum>
  <w:abstractNum w:abstractNumId="18">
    <w:nsid w:val="5C482A97"/>
    <w:multiLevelType w:val="hybridMultilevel"/>
    <w:lvl w:ilvl="0">
      <w:lvlJc w:val="left"/>
      <w:lvlText w:val="%1"/>
      <w:numFmt w:val="decimal"/>
      <w:start w:val="1"/>
    </w:lvl>
  </w:abstractNum>
  <w:abstractNum w:abstractNumId="19">
    <w:nsid w:val="2463B9EA"/>
    <w:multiLevelType w:val="hybridMultilevel"/>
    <w:lvl w:ilvl="0">
      <w:lvlJc w:val="left"/>
      <w:lvlText w:val="%1."/>
      <w:numFmt w:val="decimal"/>
      <w:start w:val="4"/>
    </w:lvl>
    <w:lvl w:ilvl="1">
      <w:lvlJc w:val="left"/>
      <w:lvlText w:val="(%2)"/>
      <w:numFmt w:val="lowerLetter"/>
      <w:start w:val="1"/>
    </w:lvl>
    <w:lvl w:ilvl="2">
      <w:lvlJc w:val="left"/>
      <w:lvlText w:val="(%3)"/>
      <w:numFmt w:val="lowerRoman"/>
      <w:start w:val="1"/>
    </w:lvl>
  </w:abstractNum>
  <w:abstractNum w:abstractNumId="20">
    <w:nsid w:val="5E884ADC"/>
    <w:multiLevelType w:val="hybridMultilevel"/>
    <w:lvl w:ilvl="0">
      <w:lvlJc w:val="left"/>
      <w:lvlText w:val="%1"/>
      <w:numFmt w:val="decimal"/>
      <w:start w:val="1"/>
    </w:lvl>
  </w:abstractNum>
  <w:abstractNum w:abstractNumId="21">
    <w:nsid w:val="51EAD36B"/>
    <w:multiLevelType w:val="hybridMultilevel"/>
    <w:lvl w:ilvl="0">
      <w:lvlJc w:val="left"/>
      <w:lvlText w:val="%1"/>
      <w:numFmt w:val="decimal"/>
      <w:start w:val="3"/>
    </w:lvl>
  </w:abstractNum>
  <w:abstractNum w:abstractNumId="22">
    <w:nsid w:val="2D517796"/>
    <w:multiLevelType w:val="hybridMultilevel"/>
    <w:lvl w:ilvl="0">
      <w:lvlJc w:val="left"/>
      <w:lvlText w:val="(%1)"/>
      <w:numFmt w:val="decimal"/>
      <w:start w:val="2"/>
    </w:lvl>
  </w:abstractNum>
  <w:abstractNum w:abstractNumId="23">
    <w:nsid w:val="580BD78F"/>
    <w:multiLevelType w:val="hybridMultilevel"/>
    <w:lvl w:ilvl="0">
      <w:lvlJc w:val="left"/>
      <w:lvlText w:val="%1."/>
      <w:numFmt w:val="decimal"/>
      <w:start w:val="5"/>
    </w:lvl>
    <w:lvl w:ilvl="1">
      <w:lvlJc w:val="left"/>
      <w:lvlText w:val="(%2)"/>
      <w:numFmt w:val="lowerLetter"/>
      <w:start w:val="1"/>
    </w:lvl>
    <w:lvl w:ilvl="2">
      <w:lvlJc w:val="left"/>
      <w:lvlText w:val="(%3)"/>
      <w:numFmt w:val="lowerRoman"/>
      <w:start w:val="1"/>
    </w:lvl>
  </w:abstractNum>
  <w:abstractNum w:abstractNumId="24">
    <w:nsid w:val="153EA438"/>
    <w:multiLevelType w:val="hybridMultilevel"/>
    <w:lvl w:ilvl="0">
      <w:lvlJc w:val="left"/>
      <w:lvlText w:val="%1"/>
      <w:numFmt w:val="decimal"/>
      <w:start w:val="1"/>
    </w:lvl>
  </w:abstractNum>
  <w:abstractNum w:abstractNumId="25">
    <w:nsid w:val="3855585C"/>
    <w:multiLevelType w:val="hybridMultilevel"/>
    <w:lvl w:ilvl="0">
      <w:lvlJc w:val="left"/>
      <w:lvlText w:val="(%1)"/>
      <w:numFmt w:val="decimal"/>
      <w:start w:val="2"/>
    </w:lvl>
  </w:abstractNum>
  <w:abstractNum w:abstractNumId="26">
    <w:nsid w:val="70A64E2A"/>
    <w:multiLevelType w:val="hybridMultilevel"/>
    <w:lvl w:ilvl="0">
      <w:lvlJc w:val="left"/>
      <w:lvlText w:val="%1."/>
      <w:numFmt w:val="decimal"/>
      <w:start w:val="6"/>
    </w:lvl>
    <w:lvl w:ilvl="1">
      <w:lvlJc w:val="left"/>
      <w:lvlText w:val="(%2)"/>
      <w:numFmt w:val="decimal"/>
      <w:start w:val="2"/>
    </w:lvl>
  </w:abstractNum>
  <w:abstractNum w:abstractNumId="27">
    <w:nsid w:val="6A2342EC"/>
    <w:multiLevelType w:val="hybridMultilevel"/>
    <w:lvl w:ilvl="0">
      <w:lvlJc w:val="left"/>
      <w:lvlText w:val="%1"/>
      <w:numFmt w:val="decimal"/>
      <w:start w:val="2"/>
    </w:lvl>
  </w:abstractNum>
  <w:abstractNum w:abstractNumId="28">
    <w:nsid w:val="2A487CB0"/>
    <w:multiLevelType w:val="hybridMultilevel"/>
    <w:lvl w:ilvl="0">
      <w:lvlJc w:val="left"/>
      <w:lvlText w:val="(%1)"/>
      <w:numFmt w:val="decimal"/>
      <w:start w:val="5"/>
    </w:lvl>
  </w:abstractNum>
  <w:abstractNum w:abstractNumId="29">
    <w:nsid w:val="1D4ED43B"/>
    <w:multiLevelType w:val="hybridMultilevel"/>
    <w:lvl w:ilvl="0">
      <w:lvlJc w:val="left"/>
      <w:lvlText w:val="%1."/>
      <w:numFmt w:val="decimal"/>
      <w:start w:val="7"/>
    </w:lvl>
  </w:abstractNum>
  <w:abstractNum w:abstractNumId="30">
    <w:nsid w:val="725A06FB"/>
    <w:multiLevelType w:val="hybridMultilevel"/>
    <w:lvl w:ilvl="0">
      <w:lvlJc w:val="left"/>
      <w:lvlText w:val="%1."/>
      <w:numFmt w:val="decimal"/>
      <w:start w:val="8"/>
    </w:lvl>
  </w:abstractNum>
  <w:abstractNum w:abstractNumId="31">
    <w:nsid w:val="2CD89A32"/>
    <w:multiLevelType w:val="hybridMultilevel"/>
    <w:lvl w:ilvl="0">
      <w:lvlJc w:val="left"/>
      <w:lvlText w:val="(%1)"/>
      <w:numFmt w:val="decimal"/>
      <w:start w:val="2"/>
    </w:lvl>
  </w:abstractNum>
  <w:abstractNum w:abstractNumId="32">
    <w:nsid w:val="57E4CCAF"/>
    <w:multiLevelType w:val="hybridMultilevel"/>
    <w:lvl w:ilvl="0">
      <w:lvlJc w:val="left"/>
      <w:lvlText w:val="%1."/>
      <w:numFmt w:val="decimal"/>
      <w:start w:val="9"/>
    </w:lvl>
  </w:abstractNum>
  <w:abstractNum w:abstractNumId="33">
    <w:nsid w:val="7A6D8D3C"/>
    <w:multiLevelType w:val="hybridMultilevel"/>
    <w:lvl w:ilvl="0">
      <w:lvlJc w:val="left"/>
      <w:lvlText w:val="%1."/>
      <w:numFmt w:val="decimal"/>
      <w:start w:val="10"/>
    </w:lvl>
  </w:abstractNum>
  <w:abstractNum w:abstractNumId="34">
    <w:nsid w:val="4B588F54"/>
    <w:multiLevelType w:val="hybridMultilevel"/>
    <w:lvl w:ilvl="0">
      <w:lvlJc w:val="left"/>
      <w:lvlText w:val="%1"/>
      <w:numFmt w:val="decimal"/>
      <w:start w:val="1"/>
    </w:lvl>
  </w:abstractNum>
  <w:abstractNum w:abstractNumId="35">
    <w:nsid w:val="542289EC"/>
    <w:multiLevelType w:val="hybridMultilevel"/>
    <w:lvl w:ilvl="0">
      <w:lvlJc w:val="left"/>
      <w:lvlText w:val="%1."/>
      <w:numFmt w:val="decimal"/>
      <w:start w:val="11"/>
    </w:lvl>
  </w:abstractNum>
  <w:abstractNum w:abstractNumId="36">
    <w:nsid w:val="6DE91B18"/>
    <w:multiLevelType w:val="hybridMultilevel"/>
    <w:lvl w:ilvl="0">
      <w:lvlJc w:val="left"/>
      <w:lvlText w:val="%1."/>
      <w:numFmt w:val="decimal"/>
      <w:start w:val="12"/>
    </w:lvl>
  </w:abstractNum>
  <w:abstractNum w:abstractNumId="37">
    <w:nsid w:val="38437FDB"/>
    <w:multiLevelType w:val="hybridMultilevel"/>
    <w:lvl w:ilvl="0">
      <w:lvlJc w:val="left"/>
      <w:lvlText w:val="(%1)"/>
      <w:numFmt w:val="decimal"/>
      <w:start w:val="2"/>
    </w:lvl>
  </w:abstractNum>
  <w:abstractNum w:abstractNumId="38">
    <w:nsid w:val="7644A45C"/>
    <w:multiLevelType w:val="hybridMultilevel"/>
    <w:lvl w:ilvl="0">
      <w:lvlJc w:val="left"/>
      <w:lvlText w:val="%1."/>
      <w:numFmt w:val="decimal"/>
      <w:start w:val="13"/>
    </w:lvl>
  </w:abstractNum>
  <w:abstractNum w:abstractNumId="39">
    <w:nsid w:val="32FFF902"/>
    <w:multiLevelType w:val="hybridMultilevel"/>
    <w:lvl w:ilvl="0">
      <w:lvlJc w:val="left"/>
      <w:lvlText w:val="(%1)"/>
      <w:numFmt w:val="decimal"/>
      <w:start w:val="2"/>
    </w:lvl>
  </w:abstractNum>
  <w:abstractNum w:abstractNumId="40">
    <w:nsid w:val="684A481A"/>
    <w:multiLevelType w:val="hybridMultilevel"/>
    <w:lvl w:ilvl="0">
      <w:lvlJc w:val="left"/>
      <w:lvlText w:val="%1."/>
      <w:numFmt w:val="decimal"/>
      <w:start w:val="14"/>
    </w:lvl>
  </w:abstractNum>
  <w:abstractNum w:abstractNumId="41">
    <w:nsid w:val="579478FE"/>
    <w:multiLevelType w:val="hybridMultilevel"/>
    <w:lvl w:ilvl="0">
      <w:lvlJc w:val="left"/>
      <w:lvlText w:val="(%1)"/>
      <w:numFmt w:val="lowerLetter"/>
      <w:start w:val="1"/>
    </w:lvl>
  </w:abstractNum>
  <w:abstractNum w:abstractNumId="42">
    <w:nsid w:val="749ABB43"/>
    <w:multiLevelType w:val="hybridMultilevel"/>
    <w:lvl w:ilvl="0">
      <w:lvlJc w:val="left"/>
      <w:lvlText w:val="%1."/>
      <w:numFmt w:val="decimal"/>
      <w:start w:val="15"/>
    </w:lvl>
  </w:abstractNum>
  <w:abstractNum w:abstractNumId="43">
    <w:nsid w:val="3DC240FB"/>
    <w:multiLevelType w:val="hybridMultilevel"/>
    <w:lvl w:ilvl="0">
      <w:lvlJc w:val="left"/>
      <w:lvlText w:val="(%1)"/>
      <w:numFmt w:val="decimal"/>
      <w:start w:val="2"/>
    </w:lvl>
    <w:lvl w:ilvl="1">
      <w:lvlJc w:val="left"/>
      <w:lvlText w:val="(%2)"/>
      <w:numFmt w:val="lowerLetter"/>
      <w:start w:val="1"/>
    </w:lvl>
  </w:abstractNum>
  <w:abstractNum w:abstractNumId="44">
    <w:nsid w:val="1BA026FA"/>
    <w:multiLevelType w:val="hybridMultilevel"/>
    <w:lvl w:ilvl="0">
      <w:lvlJc w:val="left"/>
      <w:lvlText w:val="%1."/>
      <w:numFmt w:val="decimal"/>
      <w:start w:val="16"/>
    </w:lvl>
  </w:abstractNum>
  <w:abstractNum w:abstractNumId="45">
    <w:nsid w:val="79A1DEAA"/>
    <w:multiLevelType w:val="hybridMultilevel"/>
    <w:lvl w:ilvl="0">
      <w:lvlJc w:val="left"/>
      <w:lvlText w:val="(%1)"/>
      <w:numFmt w:val="decimal"/>
      <w:start w:val="2"/>
    </w:lvl>
  </w:abstractNum>
  <w:abstractNum w:abstractNumId="46">
    <w:nsid w:val="75C6C33A"/>
    <w:multiLevelType w:val="hybridMultilevel"/>
    <w:lvl w:ilvl="0">
      <w:lvlJc w:val="left"/>
      <w:lvlText w:val="%1."/>
      <w:numFmt w:val="decimal"/>
      <w:start w:val="17"/>
    </w:lvl>
  </w:abstractNum>
  <w:abstractNum w:abstractNumId="47">
    <w:nsid w:val="12E685FB"/>
    <w:multiLevelType w:val="hybridMultilevel"/>
    <w:lvl w:ilvl="0">
      <w:lvlJc w:val="left"/>
      <w:lvlText w:val="(%1)"/>
      <w:numFmt w:val="decimal"/>
      <w:start w:val="2"/>
    </w:lvl>
  </w:abstractNum>
  <w:abstractNum w:abstractNumId="48">
    <w:nsid w:val="70C6A529"/>
    <w:multiLevelType w:val="hybridMultilevel"/>
    <w:lvl w:ilvl="0">
      <w:lvlJc w:val="left"/>
      <w:lvlText w:val="%1."/>
      <w:numFmt w:val="decimal"/>
      <w:start w:val="18"/>
    </w:lvl>
  </w:abstractNum>
  <w:abstractNum w:abstractNumId="49">
    <w:nsid w:val="520EEDD1"/>
    <w:multiLevelType w:val="hybridMultilevel"/>
    <w:lvl w:ilvl="0">
      <w:lvlJc w:val="left"/>
      <w:lvlText w:val="(%1)"/>
      <w:numFmt w:val="decimal"/>
      <w:start w:val="2"/>
    </w:lvl>
  </w:abstractNum>
  <w:abstractNum w:abstractNumId="50">
    <w:nsid w:val="374A3FE6"/>
    <w:multiLevelType w:val="hybridMultilevel"/>
    <w:lvl w:ilvl="0">
      <w:lvlJc w:val="left"/>
      <w:lvlText w:val="%1."/>
      <w:numFmt w:val="decimal"/>
      <w:start w:val="19"/>
    </w:lvl>
    <w:lvl w:ilvl="1">
      <w:lvlJc w:val="left"/>
      <w:lvlText w:val="(%2)"/>
      <w:numFmt w:val="lowerLetter"/>
      <w:start w:val="1"/>
    </w:lvl>
  </w:abstractNum>
  <w:abstractNum w:abstractNumId="51">
    <w:nsid w:val="4F4EF005"/>
    <w:multiLevelType w:val="hybridMultilevel"/>
    <w:lvl w:ilvl="0">
      <w:lvlJc w:val="left"/>
      <w:lvlText w:val="%1."/>
      <w:numFmt w:val="decimal"/>
      <w:start w:val="20"/>
    </w:lvl>
  </w:abstractNum>
  <w:abstractNum w:abstractNumId="52">
    <w:nsid w:val="23F9C13C"/>
    <w:multiLevelType w:val="hybridMultilevel"/>
    <w:lvl w:ilvl="0">
      <w:lvlJc w:val="left"/>
      <w:lvlText w:val="%1."/>
      <w:numFmt w:val="decimal"/>
      <w:start w:val="21"/>
    </w:lvl>
  </w:abstractNum>
  <w:abstractNum w:abstractNumId="53">
    <w:nsid w:val="649BB77C"/>
    <w:multiLevelType w:val="hybridMultilevel"/>
    <w:lvl w:ilvl="0">
      <w:lvlJc w:val="left"/>
      <w:lvlText w:val="%1."/>
      <w:numFmt w:val="decimal"/>
      <w:start w:val="22"/>
    </w:lvl>
  </w:abstractNum>
  <w:abstractNum w:abstractNumId="54">
    <w:nsid w:val="275AC794"/>
    <w:multiLevelType w:val="hybridMultilevel"/>
    <w:lvl w:ilvl="0">
      <w:lvlJc w:val="left"/>
      <w:lvlText w:val="%1."/>
      <w:numFmt w:val="decimal"/>
      <w:start w:val="23"/>
    </w:lvl>
  </w:abstractNum>
  <w:abstractNum w:abstractNumId="55">
    <w:nsid w:val="39386575"/>
    <w:multiLevelType w:val="hybridMultilevel"/>
    <w:lvl w:ilvl="0">
      <w:lvlJc w:val="left"/>
      <w:lvlText w:val="(%1)"/>
      <w:numFmt w:val="decimal"/>
      <w:start w:val="2"/>
    </w:lvl>
  </w:abstractNum>
  <w:abstractNum w:abstractNumId="56">
    <w:nsid w:val="1CF10FD8"/>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2021-01-04T13:06:40Z</dcterms:created>
  <dcterms:modified xsi:type="dcterms:W3CDTF">2021-01-04T13:06:40Z</dcterms:modified>
</cp:coreProperties>
</file>