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46" w:lineRule="exact"/>
        <w:rPr>
          <w:sz w:val="24"/>
          <w:szCs w:val="24"/>
          <w:color w:val="auto"/>
        </w:rPr>
      </w:pPr>
    </w:p>
    <w:p>
      <w:pPr>
        <w:jc w:val="center"/>
        <w:ind w:left="360" w:right="280"/>
        <w:spacing w:after="0" w:line="236" w:lineRule="auto"/>
        <w:rPr>
          <w:sz w:val="20"/>
          <w:szCs w:val="20"/>
          <w:color w:val="auto"/>
        </w:rPr>
      </w:pPr>
      <w:r>
        <w:rPr>
          <w:rFonts w:ascii="Arial" w:cs="Arial" w:eastAsia="Arial" w:hAnsi="Arial"/>
          <w:sz w:val="24"/>
          <w:szCs w:val="24"/>
          <w:b w:val="1"/>
          <w:bCs w:val="1"/>
          <w:color w:val="auto"/>
        </w:rPr>
        <w:t>SECURITIES AND EXCHANGE BOARD OF INDIA (BANKERS TO AN ISSUE) REGULATIONS, 1994</w:t>
      </w:r>
    </w:p>
    <w:p>
      <w:pPr>
        <w:spacing w:after="0" w:line="124"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CHAPTER I: PRELIMINARY</w:t>
      </w:r>
    </w:p>
    <w:p>
      <w:pPr>
        <w:spacing w:after="0" w:line="98" w:lineRule="exact"/>
        <w:rPr>
          <w:sz w:val="24"/>
          <w:szCs w:val="24"/>
          <w:color w:val="auto"/>
        </w:rPr>
      </w:pPr>
    </w:p>
    <w:p>
      <w:pPr>
        <w:ind w:left="1080" w:hanging="359"/>
        <w:spacing w:after="0"/>
        <w:tabs>
          <w:tab w:leader="none" w:pos="1080" w:val="left"/>
        </w:tabs>
        <w:numPr>
          <w:ilvl w:val="0"/>
          <w:numId w:val="1"/>
        </w:numPr>
        <w:rPr>
          <w:rFonts w:ascii="Arial" w:cs="Arial" w:eastAsia="Arial" w:hAnsi="Arial"/>
          <w:sz w:val="24"/>
          <w:szCs w:val="24"/>
          <w:color w:val="auto"/>
        </w:rPr>
      </w:pPr>
      <w:r>
        <w:rPr>
          <w:rFonts w:ascii="Arial" w:cs="Arial" w:eastAsia="Arial" w:hAnsi="Arial"/>
          <w:sz w:val="24"/>
          <w:szCs w:val="24"/>
          <w:color w:val="auto"/>
        </w:rPr>
        <w:t>Short title and commencement.</w:t>
      </w:r>
    </w:p>
    <w:p>
      <w:pPr>
        <w:spacing w:after="0" w:line="40" w:lineRule="exact"/>
        <w:rPr>
          <w:rFonts w:ascii="Arial" w:cs="Arial" w:eastAsia="Arial" w:hAnsi="Arial"/>
          <w:sz w:val="24"/>
          <w:szCs w:val="24"/>
          <w:color w:val="auto"/>
        </w:rPr>
      </w:pPr>
    </w:p>
    <w:p>
      <w:pPr>
        <w:ind w:left="1080" w:hanging="359"/>
        <w:spacing w:after="0"/>
        <w:tabs>
          <w:tab w:leader="none" w:pos="1080" w:val="left"/>
        </w:tabs>
        <w:numPr>
          <w:ilvl w:val="0"/>
          <w:numId w:val="1"/>
        </w:numPr>
        <w:rPr>
          <w:rFonts w:ascii="Arial" w:cs="Arial" w:eastAsia="Arial" w:hAnsi="Arial"/>
          <w:sz w:val="24"/>
          <w:szCs w:val="24"/>
          <w:color w:val="auto"/>
        </w:rPr>
      </w:pPr>
      <w:r>
        <w:rPr>
          <w:rFonts w:ascii="Arial" w:cs="Arial" w:eastAsia="Arial" w:hAnsi="Arial"/>
          <w:sz w:val="24"/>
          <w:szCs w:val="24"/>
          <w:color w:val="auto"/>
        </w:rPr>
        <w:t>Definitions.</w:t>
      </w:r>
    </w:p>
    <w:p>
      <w:pPr>
        <w:spacing w:after="0" w:line="122"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CHAPTER II: REGISTRATION OF BANKERS TO AN ISSUE</w:t>
      </w:r>
    </w:p>
    <w:p>
      <w:pPr>
        <w:spacing w:after="0" w:line="98" w:lineRule="exact"/>
        <w:rPr>
          <w:sz w:val="24"/>
          <w:szCs w:val="24"/>
          <w:color w:val="auto"/>
        </w:rPr>
      </w:pPr>
    </w:p>
    <w:p>
      <w:pPr>
        <w:ind w:left="1080" w:hanging="359"/>
        <w:spacing w:after="0"/>
        <w:tabs>
          <w:tab w:leader="none" w:pos="1080" w:val="left"/>
        </w:tabs>
        <w:numPr>
          <w:ilvl w:val="0"/>
          <w:numId w:val="2"/>
        </w:numPr>
        <w:rPr>
          <w:rFonts w:ascii="Arial" w:cs="Arial" w:eastAsia="Arial" w:hAnsi="Arial"/>
          <w:sz w:val="24"/>
          <w:szCs w:val="24"/>
          <w:color w:val="auto"/>
        </w:rPr>
      </w:pPr>
      <w:r>
        <w:rPr>
          <w:rFonts w:ascii="Arial" w:cs="Arial" w:eastAsia="Arial" w:hAnsi="Arial"/>
          <w:sz w:val="24"/>
          <w:szCs w:val="24"/>
          <w:color w:val="auto"/>
        </w:rPr>
        <w:t>Application for grant of certificate.</w:t>
      </w:r>
    </w:p>
    <w:p>
      <w:pPr>
        <w:spacing w:after="0" w:line="41" w:lineRule="exact"/>
        <w:rPr>
          <w:rFonts w:ascii="Arial" w:cs="Arial" w:eastAsia="Arial" w:hAnsi="Arial"/>
          <w:sz w:val="24"/>
          <w:szCs w:val="24"/>
          <w:color w:val="auto"/>
        </w:rPr>
      </w:pPr>
    </w:p>
    <w:p>
      <w:pPr>
        <w:ind w:left="1080" w:hanging="359"/>
        <w:spacing w:after="0"/>
        <w:tabs>
          <w:tab w:leader="none" w:pos="1080" w:val="left"/>
        </w:tabs>
        <w:numPr>
          <w:ilvl w:val="0"/>
          <w:numId w:val="2"/>
        </w:numPr>
        <w:rPr>
          <w:rFonts w:ascii="Arial" w:cs="Arial" w:eastAsia="Arial" w:hAnsi="Arial"/>
          <w:sz w:val="24"/>
          <w:szCs w:val="24"/>
          <w:color w:val="auto"/>
        </w:rPr>
      </w:pPr>
      <w:r>
        <w:rPr>
          <w:rFonts w:ascii="Arial" w:cs="Arial" w:eastAsia="Arial" w:hAnsi="Arial"/>
          <w:sz w:val="24"/>
          <w:szCs w:val="24"/>
          <w:color w:val="auto"/>
        </w:rPr>
        <w:t>Application to conform to the requirements.</w:t>
      </w:r>
    </w:p>
    <w:p>
      <w:pPr>
        <w:spacing w:after="0" w:line="40" w:lineRule="exact"/>
        <w:rPr>
          <w:rFonts w:ascii="Arial" w:cs="Arial" w:eastAsia="Arial" w:hAnsi="Arial"/>
          <w:sz w:val="24"/>
          <w:szCs w:val="24"/>
          <w:color w:val="auto"/>
        </w:rPr>
      </w:pPr>
    </w:p>
    <w:p>
      <w:pPr>
        <w:ind w:left="1080" w:hanging="359"/>
        <w:spacing w:after="0"/>
        <w:tabs>
          <w:tab w:leader="none" w:pos="1080" w:val="left"/>
        </w:tabs>
        <w:numPr>
          <w:ilvl w:val="0"/>
          <w:numId w:val="2"/>
        </w:numPr>
        <w:rPr>
          <w:rFonts w:ascii="Arial" w:cs="Arial" w:eastAsia="Arial" w:hAnsi="Arial"/>
          <w:sz w:val="24"/>
          <w:szCs w:val="24"/>
          <w:color w:val="auto"/>
        </w:rPr>
      </w:pPr>
      <w:r>
        <w:rPr>
          <w:rFonts w:ascii="Arial" w:cs="Arial" w:eastAsia="Arial" w:hAnsi="Arial"/>
          <w:sz w:val="24"/>
          <w:szCs w:val="24"/>
          <w:color w:val="auto"/>
        </w:rPr>
        <w:t>Furnishing of information, clarification and personal representation.</w:t>
      </w:r>
    </w:p>
    <w:p>
      <w:pPr>
        <w:spacing w:after="0" w:line="36" w:lineRule="exact"/>
        <w:rPr>
          <w:rFonts w:ascii="Arial" w:cs="Arial" w:eastAsia="Arial" w:hAnsi="Arial"/>
          <w:sz w:val="24"/>
          <w:szCs w:val="24"/>
          <w:color w:val="auto"/>
        </w:rPr>
      </w:pPr>
    </w:p>
    <w:p>
      <w:pPr>
        <w:ind w:left="1080" w:hanging="359"/>
        <w:spacing w:after="0"/>
        <w:tabs>
          <w:tab w:leader="none" w:pos="1080" w:val="left"/>
        </w:tabs>
        <w:numPr>
          <w:ilvl w:val="0"/>
          <w:numId w:val="2"/>
        </w:numPr>
        <w:rPr>
          <w:rFonts w:ascii="Arial" w:cs="Arial" w:eastAsia="Arial" w:hAnsi="Arial"/>
          <w:sz w:val="24"/>
          <w:szCs w:val="24"/>
          <w:color w:val="auto"/>
        </w:rPr>
      </w:pPr>
      <w:r>
        <w:rPr>
          <w:rFonts w:ascii="Arial" w:cs="Arial" w:eastAsia="Arial" w:hAnsi="Arial"/>
          <w:sz w:val="24"/>
          <w:szCs w:val="24"/>
          <w:color w:val="auto"/>
        </w:rPr>
        <w:t>Consideration of application.</w:t>
      </w:r>
    </w:p>
    <w:p>
      <w:pPr>
        <w:spacing w:after="0" w:line="41" w:lineRule="exact"/>
        <w:rPr>
          <w:sz w:val="24"/>
          <w:szCs w:val="24"/>
          <w:color w:val="auto"/>
        </w:rPr>
      </w:pPr>
    </w:p>
    <w:p>
      <w:pPr>
        <w:ind w:left="720"/>
        <w:spacing w:after="0"/>
        <w:rPr>
          <w:sz w:val="20"/>
          <w:szCs w:val="20"/>
          <w:color w:val="auto"/>
        </w:rPr>
      </w:pPr>
      <w:r>
        <w:rPr>
          <w:rFonts w:ascii="Arial" w:cs="Arial" w:eastAsia="Arial" w:hAnsi="Arial"/>
          <w:sz w:val="24"/>
          <w:szCs w:val="24"/>
          <w:color w:val="auto"/>
        </w:rPr>
        <w:t>6A. Criteria for fit and proper person.</w:t>
      </w:r>
    </w:p>
    <w:p>
      <w:pPr>
        <w:spacing w:after="0" w:line="41" w:lineRule="exact"/>
        <w:rPr>
          <w:sz w:val="24"/>
          <w:szCs w:val="24"/>
          <w:color w:val="auto"/>
        </w:rPr>
      </w:pPr>
    </w:p>
    <w:p>
      <w:pPr>
        <w:ind w:left="980" w:hanging="259"/>
        <w:spacing w:after="0"/>
        <w:tabs>
          <w:tab w:leader="none" w:pos="980" w:val="left"/>
        </w:tabs>
        <w:numPr>
          <w:ilvl w:val="0"/>
          <w:numId w:val="3"/>
        </w:numPr>
        <w:rPr>
          <w:rFonts w:ascii="Arial" w:cs="Arial" w:eastAsia="Arial" w:hAnsi="Arial"/>
          <w:sz w:val="24"/>
          <w:szCs w:val="24"/>
          <w:color w:val="auto"/>
        </w:rPr>
      </w:pPr>
      <w:r>
        <w:rPr>
          <w:rFonts w:ascii="Arial" w:cs="Arial" w:eastAsia="Arial" w:hAnsi="Arial"/>
          <w:sz w:val="24"/>
          <w:szCs w:val="24"/>
          <w:color w:val="auto"/>
        </w:rPr>
        <w:t>Procedure for registration.</w:t>
      </w:r>
    </w:p>
    <w:p>
      <w:pPr>
        <w:spacing w:after="0" w:line="41" w:lineRule="exact"/>
        <w:rPr>
          <w:rFonts w:ascii="Arial" w:cs="Arial" w:eastAsia="Arial" w:hAnsi="Arial"/>
          <w:sz w:val="24"/>
          <w:szCs w:val="24"/>
          <w:color w:val="auto"/>
        </w:rPr>
      </w:pPr>
    </w:p>
    <w:p>
      <w:pPr>
        <w:ind w:left="980" w:hanging="259"/>
        <w:spacing w:after="0"/>
        <w:tabs>
          <w:tab w:leader="none" w:pos="980" w:val="left"/>
        </w:tabs>
        <w:numPr>
          <w:ilvl w:val="0"/>
          <w:numId w:val="3"/>
        </w:numPr>
        <w:rPr>
          <w:rFonts w:ascii="Arial" w:cs="Arial" w:eastAsia="Arial" w:hAnsi="Arial"/>
          <w:sz w:val="24"/>
          <w:szCs w:val="24"/>
          <w:color w:val="auto"/>
        </w:rPr>
      </w:pPr>
      <w:r>
        <w:rPr>
          <w:rFonts w:ascii="Arial" w:cs="Arial" w:eastAsia="Arial" w:hAnsi="Arial"/>
          <w:sz w:val="24"/>
          <w:szCs w:val="24"/>
          <w:color w:val="auto"/>
        </w:rPr>
        <w:t>Renewal of certificate.</w:t>
      </w:r>
    </w:p>
    <w:p>
      <w:pPr>
        <w:spacing w:after="0" w:line="41" w:lineRule="exact"/>
        <w:rPr>
          <w:sz w:val="24"/>
          <w:szCs w:val="24"/>
          <w:color w:val="auto"/>
        </w:rPr>
      </w:pPr>
    </w:p>
    <w:p>
      <w:pPr>
        <w:ind w:left="720"/>
        <w:spacing w:after="0"/>
        <w:rPr>
          <w:sz w:val="20"/>
          <w:szCs w:val="20"/>
          <w:color w:val="auto"/>
        </w:rPr>
      </w:pPr>
      <w:r>
        <w:rPr>
          <w:rFonts w:ascii="Arial" w:cs="Arial" w:eastAsia="Arial" w:hAnsi="Arial"/>
          <w:sz w:val="24"/>
          <w:szCs w:val="24"/>
          <w:color w:val="auto"/>
        </w:rPr>
        <w:t>8A. Conditions of registration.</w:t>
      </w:r>
    </w:p>
    <w:p>
      <w:pPr>
        <w:spacing w:after="0" w:line="41" w:lineRule="exact"/>
        <w:rPr>
          <w:sz w:val="24"/>
          <w:szCs w:val="24"/>
          <w:color w:val="auto"/>
        </w:rPr>
      </w:pPr>
    </w:p>
    <w:p>
      <w:pPr>
        <w:ind w:left="720"/>
        <w:spacing w:after="0"/>
        <w:rPr>
          <w:sz w:val="20"/>
          <w:szCs w:val="20"/>
          <w:color w:val="auto"/>
        </w:rPr>
      </w:pPr>
      <w:r>
        <w:rPr>
          <w:rFonts w:ascii="Arial" w:cs="Arial" w:eastAsia="Arial" w:hAnsi="Arial"/>
          <w:sz w:val="24"/>
          <w:szCs w:val="24"/>
          <w:color w:val="auto"/>
        </w:rPr>
        <w:t>8B. Period of validity of certificate.</w:t>
      </w:r>
    </w:p>
    <w:p>
      <w:pPr>
        <w:spacing w:after="0" w:line="36" w:lineRule="exact"/>
        <w:rPr>
          <w:sz w:val="24"/>
          <w:szCs w:val="24"/>
          <w:color w:val="auto"/>
        </w:rPr>
      </w:pPr>
    </w:p>
    <w:p>
      <w:pPr>
        <w:ind w:left="980" w:hanging="259"/>
        <w:spacing w:after="0"/>
        <w:tabs>
          <w:tab w:leader="none" w:pos="980" w:val="left"/>
        </w:tabs>
        <w:numPr>
          <w:ilvl w:val="0"/>
          <w:numId w:val="4"/>
        </w:numPr>
        <w:rPr>
          <w:rFonts w:ascii="Arial" w:cs="Arial" w:eastAsia="Arial" w:hAnsi="Arial"/>
          <w:sz w:val="24"/>
          <w:szCs w:val="24"/>
          <w:color w:val="auto"/>
        </w:rPr>
      </w:pPr>
      <w:r>
        <w:rPr>
          <w:rFonts w:ascii="Arial" w:cs="Arial" w:eastAsia="Arial" w:hAnsi="Arial"/>
          <w:sz w:val="24"/>
          <w:szCs w:val="24"/>
          <w:color w:val="auto"/>
        </w:rPr>
        <w:t>Procedure where registration is not granted.</w:t>
      </w:r>
    </w:p>
    <w:p>
      <w:pPr>
        <w:spacing w:after="0" w:line="40" w:lineRule="exact"/>
        <w:rPr>
          <w:rFonts w:ascii="Arial" w:cs="Arial" w:eastAsia="Arial" w:hAnsi="Arial"/>
          <w:sz w:val="24"/>
          <w:szCs w:val="24"/>
          <w:color w:val="auto"/>
        </w:rPr>
      </w:pPr>
    </w:p>
    <w:p>
      <w:pPr>
        <w:ind w:left="1120" w:hanging="399"/>
        <w:spacing w:after="0"/>
        <w:tabs>
          <w:tab w:leader="none" w:pos="1120" w:val="left"/>
        </w:tabs>
        <w:numPr>
          <w:ilvl w:val="0"/>
          <w:numId w:val="4"/>
        </w:numPr>
        <w:rPr>
          <w:rFonts w:ascii="Arial" w:cs="Arial" w:eastAsia="Arial" w:hAnsi="Arial"/>
          <w:sz w:val="24"/>
          <w:szCs w:val="24"/>
          <w:color w:val="auto"/>
        </w:rPr>
      </w:pPr>
      <w:r>
        <w:rPr>
          <w:rFonts w:ascii="Arial" w:cs="Arial" w:eastAsia="Arial" w:hAnsi="Arial"/>
          <w:sz w:val="24"/>
          <w:szCs w:val="24"/>
          <w:color w:val="auto"/>
        </w:rPr>
        <w:t>Effect of refusal to grant certificate.</w:t>
      </w:r>
    </w:p>
    <w:p>
      <w:pPr>
        <w:spacing w:after="0" w:line="41" w:lineRule="exact"/>
        <w:rPr>
          <w:rFonts w:ascii="Arial" w:cs="Arial" w:eastAsia="Arial" w:hAnsi="Arial"/>
          <w:sz w:val="24"/>
          <w:szCs w:val="24"/>
          <w:color w:val="auto"/>
        </w:rPr>
      </w:pPr>
    </w:p>
    <w:p>
      <w:pPr>
        <w:ind w:left="1120" w:hanging="399"/>
        <w:spacing w:after="0"/>
        <w:tabs>
          <w:tab w:leader="none" w:pos="1120" w:val="left"/>
        </w:tabs>
        <w:numPr>
          <w:ilvl w:val="0"/>
          <w:numId w:val="4"/>
        </w:numPr>
        <w:rPr>
          <w:rFonts w:ascii="Arial" w:cs="Arial" w:eastAsia="Arial" w:hAnsi="Arial"/>
          <w:sz w:val="24"/>
          <w:szCs w:val="24"/>
          <w:color w:val="auto"/>
        </w:rPr>
      </w:pPr>
      <w:r>
        <w:rPr>
          <w:rFonts w:ascii="Arial" w:cs="Arial" w:eastAsia="Arial" w:hAnsi="Arial"/>
          <w:sz w:val="24"/>
          <w:szCs w:val="24"/>
          <w:color w:val="auto"/>
        </w:rPr>
        <w:t>Payment of fees and the consequences of failure to pay fees.</w:t>
      </w:r>
    </w:p>
    <w:p>
      <w:pPr>
        <w:spacing w:after="0" w:line="40" w:lineRule="exact"/>
        <w:rPr>
          <w:rFonts w:ascii="Arial" w:cs="Arial" w:eastAsia="Arial" w:hAnsi="Arial"/>
          <w:sz w:val="24"/>
          <w:szCs w:val="24"/>
          <w:color w:val="auto"/>
        </w:rPr>
      </w:pPr>
    </w:p>
    <w:p>
      <w:pPr>
        <w:ind w:left="360"/>
        <w:spacing w:after="0"/>
        <w:rPr>
          <w:rFonts w:ascii="Arial" w:cs="Arial" w:eastAsia="Arial" w:hAnsi="Arial"/>
          <w:sz w:val="24"/>
          <w:szCs w:val="24"/>
          <w:color w:val="auto"/>
        </w:rPr>
      </w:pPr>
      <w:r>
        <w:rPr>
          <w:rFonts w:ascii="Arial" w:cs="Arial" w:eastAsia="Arial" w:hAnsi="Arial"/>
          <w:sz w:val="24"/>
          <w:szCs w:val="24"/>
          <w:b w:val="1"/>
          <w:bCs w:val="1"/>
          <w:color w:val="auto"/>
        </w:rPr>
        <w:t>CHAPTER III: GENERAL OBLIGATIONS AND RESPONSIBILITIES</w:t>
      </w:r>
    </w:p>
    <w:p>
      <w:pPr>
        <w:spacing w:after="0" w:line="117" w:lineRule="exact"/>
        <w:rPr>
          <w:rFonts w:ascii="Arial" w:cs="Arial" w:eastAsia="Arial" w:hAnsi="Arial"/>
          <w:sz w:val="24"/>
          <w:szCs w:val="24"/>
          <w:color w:val="auto"/>
        </w:rPr>
      </w:pPr>
    </w:p>
    <w:p>
      <w:pPr>
        <w:ind w:left="1120" w:hanging="399"/>
        <w:spacing w:after="0"/>
        <w:tabs>
          <w:tab w:leader="none" w:pos="1120" w:val="left"/>
        </w:tabs>
        <w:numPr>
          <w:ilvl w:val="0"/>
          <w:numId w:val="4"/>
        </w:numPr>
        <w:rPr>
          <w:rFonts w:ascii="Arial" w:cs="Arial" w:eastAsia="Arial" w:hAnsi="Arial"/>
          <w:sz w:val="24"/>
          <w:szCs w:val="24"/>
          <w:b w:val="1"/>
          <w:bCs w:val="1"/>
          <w:color w:val="auto"/>
        </w:rPr>
      </w:pPr>
      <w:r>
        <w:rPr>
          <w:rFonts w:ascii="Arial" w:cs="Arial" w:eastAsia="Arial" w:hAnsi="Arial"/>
          <w:sz w:val="24"/>
          <w:szCs w:val="24"/>
          <w:color w:val="auto"/>
        </w:rPr>
        <w:t>Maintenance of books of account, records and the documents.</w:t>
      </w:r>
    </w:p>
    <w:p>
      <w:pPr>
        <w:spacing w:after="0" w:line="40" w:lineRule="exact"/>
        <w:rPr>
          <w:rFonts w:ascii="Arial" w:cs="Arial" w:eastAsia="Arial" w:hAnsi="Arial"/>
          <w:sz w:val="24"/>
          <w:szCs w:val="24"/>
          <w:b w:val="1"/>
          <w:bCs w:val="1"/>
          <w:color w:val="auto"/>
        </w:rPr>
      </w:pPr>
    </w:p>
    <w:p>
      <w:pPr>
        <w:ind w:left="1120" w:hanging="399"/>
        <w:spacing w:after="0"/>
        <w:tabs>
          <w:tab w:leader="none" w:pos="1120" w:val="left"/>
        </w:tabs>
        <w:numPr>
          <w:ilvl w:val="0"/>
          <w:numId w:val="4"/>
        </w:numPr>
        <w:rPr>
          <w:rFonts w:ascii="Arial" w:cs="Arial" w:eastAsia="Arial" w:hAnsi="Arial"/>
          <w:sz w:val="24"/>
          <w:szCs w:val="24"/>
          <w:color w:val="auto"/>
        </w:rPr>
      </w:pPr>
      <w:r>
        <w:rPr>
          <w:rFonts w:ascii="Arial" w:cs="Arial" w:eastAsia="Arial" w:hAnsi="Arial"/>
          <w:sz w:val="24"/>
          <w:szCs w:val="24"/>
          <w:color w:val="auto"/>
        </w:rPr>
        <w:t>Furnishing of information to the Board.</w:t>
      </w:r>
    </w:p>
    <w:p>
      <w:pPr>
        <w:spacing w:after="0" w:line="40" w:lineRule="exact"/>
        <w:rPr>
          <w:rFonts w:ascii="Arial" w:cs="Arial" w:eastAsia="Arial" w:hAnsi="Arial"/>
          <w:sz w:val="24"/>
          <w:szCs w:val="24"/>
          <w:color w:val="auto"/>
        </w:rPr>
      </w:pPr>
    </w:p>
    <w:p>
      <w:pPr>
        <w:ind w:left="1120" w:hanging="399"/>
        <w:spacing w:after="0"/>
        <w:tabs>
          <w:tab w:leader="none" w:pos="1120" w:val="left"/>
        </w:tabs>
        <w:numPr>
          <w:ilvl w:val="0"/>
          <w:numId w:val="4"/>
        </w:numPr>
        <w:rPr>
          <w:rFonts w:ascii="Arial" w:cs="Arial" w:eastAsia="Arial" w:hAnsi="Arial"/>
          <w:sz w:val="24"/>
          <w:szCs w:val="24"/>
          <w:color w:val="auto"/>
        </w:rPr>
      </w:pPr>
      <w:r>
        <w:rPr>
          <w:rFonts w:ascii="Arial" w:cs="Arial" w:eastAsia="Arial" w:hAnsi="Arial"/>
          <w:sz w:val="24"/>
          <w:szCs w:val="24"/>
          <w:color w:val="auto"/>
        </w:rPr>
        <w:t>Agreement with bodies corporate.</w:t>
      </w:r>
    </w:p>
    <w:p>
      <w:pPr>
        <w:spacing w:after="0" w:line="41" w:lineRule="exact"/>
        <w:rPr>
          <w:rFonts w:ascii="Arial" w:cs="Arial" w:eastAsia="Arial" w:hAnsi="Arial"/>
          <w:sz w:val="24"/>
          <w:szCs w:val="24"/>
          <w:color w:val="auto"/>
        </w:rPr>
      </w:pPr>
    </w:p>
    <w:p>
      <w:pPr>
        <w:ind w:left="1120" w:hanging="399"/>
        <w:spacing w:after="0"/>
        <w:tabs>
          <w:tab w:leader="none" w:pos="1120" w:val="left"/>
        </w:tabs>
        <w:numPr>
          <w:ilvl w:val="0"/>
          <w:numId w:val="4"/>
        </w:numPr>
        <w:rPr>
          <w:rFonts w:ascii="Arial" w:cs="Arial" w:eastAsia="Arial" w:hAnsi="Arial"/>
          <w:sz w:val="24"/>
          <w:szCs w:val="24"/>
          <w:color w:val="auto"/>
        </w:rPr>
      </w:pPr>
      <w:r>
        <w:rPr>
          <w:rFonts w:ascii="Arial" w:cs="Arial" w:eastAsia="Arial" w:hAnsi="Arial"/>
          <w:sz w:val="24"/>
          <w:szCs w:val="24"/>
          <w:color w:val="auto"/>
        </w:rPr>
        <w:t>Board to be informed of any disciplinary action taken by the Reserve Bank.</w:t>
      </w:r>
    </w:p>
    <w:p>
      <w:pPr>
        <w:spacing w:after="0" w:line="40" w:lineRule="exact"/>
        <w:rPr>
          <w:rFonts w:ascii="Arial" w:cs="Arial" w:eastAsia="Arial" w:hAnsi="Arial"/>
          <w:sz w:val="24"/>
          <w:szCs w:val="24"/>
          <w:color w:val="auto"/>
        </w:rPr>
      </w:pPr>
    </w:p>
    <w:p>
      <w:pPr>
        <w:ind w:left="1120" w:hanging="399"/>
        <w:spacing w:after="0"/>
        <w:tabs>
          <w:tab w:leader="none" w:pos="1120" w:val="left"/>
        </w:tabs>
        <w:numPr>
          <w:ilvl w:val="0"/>
          <w:numId w:val="4"/>
        </w:numPr>
        <w:rPr>
          <w:rFonts w:ascii="Arial" w:cs="Arial" w:eastAsia="Arial" w:hAnsi="Arial"/>
          <w:sz w:val="24"/>
          <w:szCs w:val="24"/>
          <w:color w:val="auto"/>
        </w:rPr>
      </w:pPr>
      <w:r>
        <w:rPr>
          <w:rFonts w:ascii="Arial" w:cs="Arial" w:eastAsia="Arial" w:hAnsi="Arial"/>
          <w:sz w:val="24"/>
          <w:szCs w:val="24"/>
          <w:color w:val="auto"/>
        </w:rPr>
        <w:t>Code of conduct.</w:t>
      </w:r>
    </w:p>
    <w:p>
      <w:pPr>
        <w:spacing w:after="0" w:line="41" w:lineRule="exact"/>
        <w:rPr>
          <w:sz w:val="24"/>
          <w:szCs w:val="24"/>
          <w:color w:val="auto"/>
        </w:rPr>
      </w:pPr>
    </w:p>
    <w:p>
      <w:pPr>
        <w:ind w:left="720"/>
        <w:spacing w:after="0"/>
        <w:rPr>
          <w:sz w:val="20"/>
          <w:szCs w:val="20"/>
          <w:color w:val="auto"/>
        </w:rPr>
      </w:pPr>
      <w:r>
        <w:rPr>
          <w:rFonts w:ascii="Arial" w:cs="Arial" w:eastAsia="Arial" w:hAnsi="Arial"/>
          <w:sz w:val="24"/>
          <w:szCs w:val="24"/>
          <w:color w:val="auto"/>
        </w:rPr>
        <w:t>16A. Appointment of compliance officer.</w:t>
      </w:r>
    </w:p>
    <w:p>
      <w:pPr>
        <w:spacing w:after="0" w:line="118"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CHAPTER IV: PROCEDURE FOR INSPECTION</w:t>
      </w:r>
    </w:p>
    <w:p>
      <w:pPr>
        <w:spacing w:after="0" w:line="98" w:lineRule="exact"/>
        <w:rPr>
          <w:sz w:val="24"/>
          <w:szCs w:val="24"/>
          <w:color w:val="auto"/>
        </w:rPr>
      </w:pPr>
    </w:p>
    <w:p>
      <w:pPr>
        <w:ind w:left="1120" w:hanging="399"/>
        <w:spacing w:after="0"/>
        <w:tabs>
          <w:tab w:leader="none" w:pos="1120" w:val="left"/>
        </w:tabs>
        <w:numPr>
          <w:ilvl w:val="0"/>
          <w:numId w:val="5"/>
        </w:numPr>
        <w:rPr>
          <w:rFonts w:ascii="Arial" w:cs="Arial" w:eastAsia="Arial" w:hAnsi="Arial"/>
          <w:sz w:val="24"/>
          <w:szCs w:val="24"/>
          <w:color w:val="auto"/>
        </w:rPr>
      </w:pPr>
      <w:r>
        <w:rPr>
          <w:rFonts w:ascii="Arial" w:cs="Arial" w:eastAsia="Arial" w:hAnsi="Arial"/>
          <w:sz w:val="24"/>
          <w:szCs w:val="24"/>
          <w:color w:val="auto"/>
        </w:rPr>
        <w:t>Inspection of Banker to an Issue.</w:t>
      </w:r>
    </w:p>
    <w:p>
      <w:pPr>
        <w:spacing w:after="0" w:line="41" w:lineRule="exact"/>
        <w:rPr>
          <w:rFonts w:ascii="Arial" w:cs="Arial" w:eastAsia="Arial" w:hAnsi="Arial"/>
          <w:sz w:val="24"/>
          <w:szCs w:val="24"/>
          <w:color w:val="auto"/>
        </w:rPr>
      </w:pPr>
    </w:p>
    <w:p>
      <w:pPr>
        <w:ind w:left="1120" w:hanging="399"/>
        <w:spacing w:after="0"/>
        <w:tabs>
          <w:tab w:leader="none" w:pos="1120" w:val="left"/>
        </w:tabs>
        <w:numPr>
          <w:ilvl w:val="0"/>
          <w:numId w:val="5"/>
        </w:numPr>
        <w:rPr>
          <w:rFonts w:ascii="Arial" w:cs="Arial" w:eastAsia="Arial" w:hAnsi="Arial"/>
          <w:sz w:val="24"/>
          <w:szCs w:val="24"/>
          <w:color w:val="auto"/>
        </w:rPr>
      </w:pPr>
      <w:r>
        <w:rPr>
          <w:rFonts w:ascii="Arial" w:cs="Arial" w:eastAsia="Arial" w:hAnsi="Arial"/>
          <w:sz w:val="24"/>
          <w:szCs w:val="24"/>
          <w:color w:val="auto"/>
        </w:rPr>
        <w:t>Purpose of inspection.</w:t>
      </w:r>
    </w:p>
    <w:p>
      <w:pPr>
        <w:spacing w:after="0" w:line="40" w:lineRule="exact"/>
        <w:rPr>
          <w:rFonts w:ascii="Arial" w:cs="Arial" w:eastAsia="Arial" w:hAnsi="Arial"/>
          <w:sz w:val="24"/>
          <w:szCs w:val="24"/>
          <w:color w:val="auto"/>
        </w:rPr>
      </w:pPr>
    </w:p>
    <w:p>
      <w:pPr>
        <w:ind w:left="1120" w:hanging="399"/>
        <w:spacing w:after="0"/>
        <w:tabs>
          <w:tab w:leader="none" w:pos="1120" w:val="left"/>
        </w:tabs>
        <w:numPr>
          <w:ilvl w:val="0"/>
          <w:numId w:val="5"/>
        </w:numPr>
        <w:rPr>
          <w:rFonts w:ascii="Arial" w:cs="Arial" w:eastAsia="Arial" w:hAnsi="Arial"/>
          <w:sz w:val="24"/>
          <w:szCs w:val="24"/>
          <w:color w:val="auto"/>
        </w:rPr>
      </w:pPr>
      <w:r>
        <w:rPr>
          <w:rFonts w:ascii="Arial" w:cs="Arial" w:eastAsia="Arial" w:hAnsi="Arial"/>
          <w:sz w:val="24"/>
          <w:szCs w:val="24"/>
          <w:color w:val="auto"/>
        </w:rPr>
        <w:t>Procedure for inspection.</w:t>
      </w:r>
    </w:p>
    <w:p>
      <w:pPr>
        <w:spacing w:after="0" w:line="40" w:lineRule="exact"/>
        <w:rPr>
          <w:rFonts w:ascii="Arial" w:cs="Arial" w:eastAsia="Arial" w:hAnsi="Arial"/>
          <w:sz w:val="24"/>
          <w:szCs w:val="24"/>
          <w:color w:val="auto"/>
        </w:rPr>
      </w:pPr>
    </w:p>
    <w:p>
      <w:pPr>
        <w:ind w:left="1120" w:hanging="399"/>
        <w:spacing w:after="0"/>
        <w:tabs>
          <w:tab w:leader="none" w:pos="1120" w:val="left"/>
        </w:tabs>
        <w:numPr>
          <w:ilvl w:val="0"/>
          <w:numId w:val="5"/>
        </w:numPr>
        <w:rPr>
          <w:rFonts w:ascii="Arial" w:cs="Arial" w:eastAsia="Arial" w:hAnsi="Arial"/>
          <w:sz w:val="24"/>
          <w:szCs w:val="24"/>
          <w:color w:val="auto"/>
        </w:rPr>
      </w:pPr>
      <w:r>
        <w:rPr>
          <w:rFonts w:ascii="Arial" w:cs="Arial" w:eastAsia="Arial" w:hAnsi="Arial"/>
          <w:sz w:val="24"/>
          <w:szCs w:val="24"/>
          <w:color w:val="auto"/>
        </w:rPr>
        <w:t>Obligations of banker to an issue on inspection.</w:t>
      </w:r>
    </w:p>
    <w:p>
      <w:pPr>
        <w:spacing w:after="0" w:line="40" w:lineRule="exact"/>
        <w:rPr>
          <w:rFonts w:ascii="Arial" w:cs="Arial" w:eastAsia="Arial" w:hAnsi="Arial"/>
          <w:sz w:val="24"/>
          <w:szCs w:val="24"/>
          <w:color w:val="auto"/>
        </w:rPr>
      </w:pPr>
    </w:p>
    <w:p>
      <w:pPr>
        <w:ind w:left="1120" w:hanging="399"/>
        <w:spacing w:after="0"/>
        <w:tabs>
          <w:tab w:leader="none" w:pos="1120" w:val="left"/>
        </w:tabs>
        <w:numPr>
          <w:ilvl w:val="0"/>
          <w:numId w:val="5"/>
        </w:numPr>
        <w:rPr>
          <w:rFonts w:ascii="Arial" w:cs="Arial" w:eastAsia="Arial" w:hAnsi="Arial"/>
          <w:sz w:val="24"/>
          <w:szCs w:val="24"/>
          <w:color w:val="auto"/>
        </w:rPr>
      </w:pPr>
      <w:r>
        <w:rPr>
          <w:rFonts w:ascii="Arial" w:cs="Arial" w:eastAsia="Arial" w:hAnsi="Arial"/>
          <w:sz w:val="24"/>
          <w:szCs w:val="24"/>
          <w:color w:val="auto"/>
        </w:rPr>
        <w:t>Submission of report to the Board.</w:t>
      </w:r>
    </w:p>
    <w:p>
      <w:pPr>
        <w:spacing w:after="0" w:line="40" w:lineRule="exact"/>
        <w:rPr>
          <w:rFonts w:ascii="Arial" w:cs="Arial" w:eastAsia="Arial" w:hAnsi="Arial"/>
          <w:sz w:val="24"/>
          <w:szCs w:val="24"/>
          <w:color w:val="auto"/>
        </w:rPr>
      </w:pPr>
    </w:p>
    <w:p>
      <w:pPr>
        <w:ind w:left="1120" w:hanging="399"/>
        <w:spacing w:after="0"/>
        <w:tabs>
          <w:tab w:leader="none" w:pos="1120" w:val="left"/>
        </w:tabs>
        <w:numPr>
          <w:ilvl w:val="0"/>
          <w:numId w:val="5"/>
        </w:numPr>
        <w:rPr>
          <w:rFonts w:ascii="Arial" w:cs="Arial" w:eastAsia="Arial" w:hAnsi="Arial"/>
          <w:sz w:val="24"/>
          <w:szCs w:val="24"/>
          <w:color w:val="auto"/>
        </w:rPr>
      </w:pPr>
      <w:r>
        <w:rPr>
          <w:rFonts w:ascii="Arial" w:cs="Arial" w:eastAsia="Arial" w:hAnsi="Arial"/>
          <w:sz w:val="24"/>
          <w:szCs w:val="24"/>
          <w:color w:val="auto"/>
        </w:rPr>
        <w:t>Action on inspection or investigation report.</w:t>
      </w:r>
    </w:p>
    <w:p>
      <w:pPr>
        <w:spacing w:after="0" w:line="36"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CHAPTER V: PROCEDURE FOR ACTION IN CASE OF DEFAULT</w:t>
      </w:r>
    </w:p>
    <w:p>
      <w:pPr>
        <w:spacing w:after="0" w:line="41" w:lineRule="exact"/>
        <w:rPr>
          <w:sz w:val="24"/>
          <w:szCs w:val="24"/>
          <w:color w:val="auto"/>
        </w:rPr>
      </w:pPr>
    </w:p>
    <w:p>
      <w:pPr>
        <w:ind w:left="1120" w:hanging="399"/>
        <w:spacing w:after="0"/>
        <w:tabs>
          <w:tab w:leader="none" w:pos="1120" w:val="left"/>
        </w:tabs>
        <w:numPr>
          <w:ilvl w:val="0"/>
          <w:numId w:val="6"/>
        </w:numPr>
        <w:rPr>
          <w:rFonts w:ascii="Arial" w:cs="Arial" w:eastAsia="Arial" w:hAnsi="Arial"/>
          <w:sz w:val="24"/>
          <w:szCs w:val="24"/>
          <w:color w:val="auto"/>
        </w:rPr>
      </w:pPr>
      <w:r>
        <w:rPr>
          <w:rFonts w:ascii="Arial" w:cs="Arial" w:eastAsia="Arial" w:hAnsi="Arial"/>
          <w:sz w:val="24"/>
          <w:szCs w:val="24"/>
          <w:color w:val="auto"/>
        </w:rPr>
        <w:t>Liability for action in case of default.</w:t>
      </w:r>
    </w:p>
    <w:p>
      <w:pPr>
        <w:spacing w:after="0" w:line="51" w:lineRule="exact"/>
        <w:rPr>
          <w:rFonts w:ascii="Arial" w:cs="Arial" w:eastAsia="Arial" w:hAnsi="Arial"/>
          <w:sz w:val="24"/>
          <w:szCs w:val="24"/>
          <w:color w:val="auto"/>
        </w:rPr>
      </w:pPr>
    </w:p>
    <w:p>
      <w:pPr>
        <w:jc w:val="both"/>
        <w:ind w:left="720" w:right="260" w:firstLine="1"/>
        <w:spacing w:after="0" w:line="236" w:lineRule="auto"/>
        <w:tabs>
          <w:tab w:leader="none" w:pos="1142" w:val="left"/>
        </w:tabs>
        <w:numPr>
          <w:ilvl w:val="0"/>
          <w:numId w:val="6"/>
        </w:numPr>
        <w:rPr>
          <w:rFonts w:ascii="Arial" w:cs="Arial" w:eastAsia="Arial" w:hAnsi="Arial"/>
          <w:sz w:val="24"/>
          <w:szCs w:val="24"/>
          <w:color w:val="auto"/>
        </w:rPr>
      </w:pPr>
      <w:r>
        <w:rPr>
          <w:rFonts w:ascii="Arial" w:cs="Arial" w:eastAsia="Arial" w:hAnsi="Arial"/>
          <w:sz w:val="24"/>
          <w:szCs w:val="24"/>
          <w:color w:val="auto"/>
        </w:rPr>
        <w:t>to 31. Omitted by the Securities and Exchange Board of India (Procedure for Holding Enquiry by Enquiry Officer and Imposing Penalty) Regulations, 2002, w.e.f. 27-09-2002.</w:t>
      </w:r>
    </w:p>
    <w:p>
      <w:pPr>
        <w:spacing w:after="0" w:line="337"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SCHEDULE I: FORMS</w:t>
      </w:r>
    </w:p>
    <w:p>
      <w:pPr>
        <w:spacing w:after="0" w:line="295" w:lineRule="exact"/>
        <w:rPr>
          <w:sz w:val="24"/>
          <w:szCs w:val="24"/>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1" w:name="page2"/>
    <w:bookmarkEnd w:id="1"/>
    <w:p>
      <w:pPr>
        <w:spacing w:after="0" w:line="11" w:lineRule="exact"/>
        <w:rPr>
          <w:sz w:val="20"/>
          <w:szCs w:val="20"/>
          <w:color w:val="auto"/>
        </w:rPr>
      </w:pPr>
    </w:p>
    <w:p>
      <w:pPr>
        <w:ind w:left="360" w:right="1060"/>
        <w:spacing w:after="0" w:line="234" w:lineRule="auto"/>
        <w:rPr>
          <w:sz w:val="20"/>
          <w:szCs w:val="20"/>
          <w:color w:val="auto"/>
        </w:rPr>
      </w:pPr>
      <w:r>
        <w:rPr>
          <w:rFonts w:ascii="Arial" w:cs="Arial" w:eastAsia="Arial" w:hAnsi="Arial"/>
          <w:sz w:val="24"/>
          <w:szCs w:val="24"/>
          <w:b w:val="1"/>
          <w:bCs w:val="1"/>
          <w:color w:val="auto"/>
        </w:rPr>
        <w:t>FORM A: APPLICATION FOR GRANT/RENEWAL OF CERTIFICATE OF REGISTRATION AS BANKERS TO THE ISSUE.</w:t>
      </w:r>
    </w:p>
    <w:p>
      <w:pPr>
        <w:spacing w:after="0" w:line="6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FORM B: CERTIFICATE OF REGISTRATION</w:t>
      </w:r>
    </w:p>
    <w:p>
      <w:pPr>
        <w:spacing w:after="0" w:line="238"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SCHEDULE II: FEES</w:t>
      </w:r>
    </w:p>
    <w:p>
      <w:pPr>
        <w:spacing w:after="0" w:line="24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SCHEDULE III: CODE OF CONDUCT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2" w:name="page3"/>
    <w:bookmarkEnd w:id="2"/>
    <w:p>
      <w:pPr>
        <w:spacing w:after="0" w:line="200" w:lineRule="exact"/>
        <w:rPr>
          <w:sz w:val="20"/>
          <w:szCs w:val="20"/>
          <w:color w:val="auto"/>
        </w:rPr>
      </w:pPr>
    </w:p>
    <w:p>
      <w:pPr>
        <w:spacing w:after="0" w:line="357" w:lineRule="exact"/>
        <w:rPr>
          <w:sz w:val="20"/>
          <w:szCs w:val="20"/>
          <w:color w:val="auto"/>
        </w:rPr>
      </w:pPr>
    </w:p>
    <w:p>
      <w:pPr>
        <w:jc w:val="center"/>
        <w:ind w:right="-79"/>
        <w:spacing w:after="0"/>
        <w:rPr>
          <w:sz w:val="20"/>
          <w:szCs w:val="20"/>
          <w:color w:val="auto"/>
        </w:rPr>
      </w:pPr>
      <w:r>
        <w:rPr>
          <w:rFonts w:ascii="Arial" w:cs="Arial" w:eastAsia="Arial" w:hAnsi="Arial"/>
          <w:sz w:val="24"/>
          <w:szCs w:val="24"/>
          <w:b w:val="1"/>
          <w:bCs w:val="1"/>
          <w:color w:val="auto"/>
        </w:rPr>
        <w:t>THE GAZETTE OF INDIA EXTRAORDINARY</w:t>
      </w:r>
    </w:p>
    <w:p>
      <w:pPr>
        <w:jc w:val="center"/>
        <w:ind w:right="-99"/>
        <w:spacing w:after="0" w:line="238" w:lineRule="auto"/>
        <w:rPr>
          <w:sz w:val="20"/>
          <w:szCs w:val="20"/>
          <w:color w:val="auto"/>
        </w:rPr>
      </w:pPr>
      <w:r>
        <w:rPr>
          <w:rFonts w:ascii="Arial" w:cs="Arial" w:eastAsia="Arial" w:hAnsi="Arial"/>
          <w:sz w:val="24"/>
          <w:szCs w:val="24"/>
          <w:b w:val="1"/>
          <w:bCs w:val="1"/>
          <w:color w:val="auto"/>
        </w:rPr>
        <w:t>PART III - SECTION 4</w:t>
      </w:r>
    </w:p>
    <w:p>
      <w:pPr>
        <w:spacing w:after="0" w:line="3" w:lineRule="exact"/>
        <w:rPr>
          <w:sz w:val="20"/>
          <w:szCs w:val="20"/>
          <w:color w:val="auto"/>
        </w:rPr>
      </w:pPr>
    </w:p>
    <w:p>
      <w:pPr>
        <w:jc w:val="center"/>
        <w:ind w:right="-99"/>
        <w:spacing w:after="0"/>
        <w:rPr>
          <w:sz w:val="20"/>
          <w:szCs w:val="20"/>
          <w:color w:val="auto"/>
        </w:rPr>
      </w:pPr>
      <w:r>
        <w:rPr>
          <w:rFonts w:ascii="Arial" w:cs="Arial" w:eastAsia="Arial" w:hAnsi="Arial"/>
          <w:sz w:val="24"/>
          <w:szCs w:val="24"/>
          <w:b w:val="1"/>
          <w:bCs w:val="1"/>
          <w:color w:val="auto"/>
        </w:rPr>
        <w:t>PUBLISHED BY AUTHORITY</w:t>
      </w:r>
    </w:p>
    <w:p>
      <w:pPr>
        <w:jc w:val="center"/>
        <w:ind w:right="-79"/>
        <w:spacing w:after="0" w:line="237" w:lineRule="auto"/>
        <w:rPr>
          <w:sz w:val="20"/>
          <w:szCs w:val="20"/>
          <w:color w:val="auto"/>
        </w:rPr>
      </w:pPr>
      <w:r>
        <w:rPr>
          <w:rFonts w:ascii="Arial" w:cs="Arial" w:eastAsia="Arial" w:hAnsi="Arial"/>
          <w:sz w:val="24"/>
          <w:szCs w:val="24"/>
          <w:b w:val="1"/>
          <w:bCs w:val="1"/>
          <w:color w:val="auto"/>
        </w:rPr>
        <w:t>NOTIFICATION</w:t>
      </w:r>
    </w:p>
    <w:p>
      <w:pPr>
        <w:spacing w:after="0" w:line="3" w:lineRule="exact"/>
        <w:rPr>
          <w:sz w:val="20"/>
          <w:szCs w:val="20"/>
          <w:color w:val="auto"/>
        </w:rPr>
      </w:pPr>
    </w:p>
    <w:p>
      <w:pPr>
        <w:jc w:val="center"/>
        <w:ind w:right="-159"/>
        <w:spacing w:after="0"/>
        <w:rPr>
          <w:sz w:val="20"/>
          <w:szCs w:val="20"/>
          <w:color w:val="auto"/>
        </w:rPr>
      </w:pPr>
      <w:r>
        <w:rPr>
          <w:rFonts w:ascii="Arial" w:cs="Arial" w:eastAsia="Arial" w:hAnsi="Arial"/>
          <w:sz w:val="24"/>
          <w:szCs w:val="24"/>
          <w:b w:val="1"/>
          <w:bCs w:val="1"/>
          <w:color w:val="auto"/>
        </w:rPr>
        <w:t>THE 14TH DAY OF JULY 1994</w:t>
      </w:r>
    </w:p>
    <w:p>
      <w:pPr>
        <w:jc w:val="center"/>
        <w:ind w:right="-99"/>
        <w:spacing w:after="0" w:line="237" w:lineRule="auto"/>
        <w:rPr>
          <w:sz w:val="20"/>
          <w:szCs w:val="20"/>
          <w:color w:val="auto"/>
        </w:rPr>
      </w:pPr>
      <w:r>
        <w:rPr>
          <w:rFonts w:ascii="Arial" w:cs="Arial" w:eastAsia="Arial" w:hAnsi="Arial"/>
          <w:sz w:val="24"/>
          <w:szCs w:val="24"/>
          <w:b w:val="1"/>
          <w:bCs w:val="1"/>
          <w:color w:val="auto"/>
        </w:rPr>
        <w:t>BOMBAY</w:t>
      </w:r>
    </w:p>
    <w:p>
      <w:pPr>
        <w:spacing w:after="0" w:line="293" w:lineRule="exact"/>
        <w:rPr>
          <w:sz w:val="20"/>
          <w:szCs w:val="20"/>
          <w:color w:val="auto"/>
        </w:rPr>
      </w:pPr>
    </w:p>
    <w:p>
      <w:pPr>
        <w:jc w:val="center"/>
        <w:ind w:left="360" w:right="280"/>
        <w:spacing w:after="0" w:line="236" w:lineRule="auto"/>
        <w:rPr>
          <w:sz w:val="20"/>
          <w:szCs w:val="20"/>
          <w:color w:val="auto"/>
        </w:rPr>
      </w:pPr>
      <w:r>
        <w:rPr>
          <w:rFonts w:ascii="Arial" w:cs="Arial" w:eastAsia="Arial" w:hAnsi="Arial"/>
          <w:sz w:val="24"/>
          <w:szCs w:val="24"/>
          <w:b w:val="1"/>
          <w:bCs w:val="1"/>
          <w:color w:val="auto"/>
        </w:rPr>
        <w:t>SECURITIES AND EXCHANGE BOARD OF INDIA (BANKERS TO AN ISSUE) REGULATIONS, 1994</w:t>
      </w:r>
    </w:p>
    <w:p>
      <w:pPr>
        <w:spacing w:after="0" w:line="200" w:lineRule="exact"/>
        <w:rPr>
          <w:sz w:val="20"/>
          <w:szCs w:val="20"/>
          <w:color w:val="auto"/>
        </w:rPr>
      </w:pPr>
    </w:p>
    <w:p>
      <w:pPr>
        <w:spacing w:after="0" w:line="328" w:lineRule="exact"/>
        <w:rPr>
          <w:sz w:val="20"/>
          <w:szCs w:val="20"/>
          <w:color w:val="auto"/>
        </w:rPr>
      </w:pPr>
    </w:p>
    <w:p>
      <w:pPr>
        <w:jc w:val="both"/>
        <w:ind w:left="360" w:right="260"/>
        <w:spacing w:after="0" w:line="237" w:lineRule="auto"/>
        <w:rPr>
          <w:sz w:val="20"/>
          <w:szCs w:val="20"/>
          <w:color w:val="auto"/>
        </w:rPr>
      </w:pPr>
      <w:r>
        <w:rPr>
          <w:rFonts w:ascii="Arial" w:cs="Arial" w:eastAsia="Arial" w:hAnsi="Arial"/>
          <w:sz w:val="24"/>
          <w:szCs w:val="24"/>
          <w:color w:val="auto"/>
        </w:rPr>
        <w:t>No. LE/7/94.- In exercise of the powers conferred by section 30 of the Securities and Exchange Board of India Act, 1992 (15 of 1992), the Board with the previous approval of the Central Government, hereby makes the following regulations, namely :—</w:t>
      </w:r>
    </w:p>
    <w:p>
      <w:pPr>
        <w:spacing w:after="0" w:line="124" w:lineRule="exact"/>
        <w:rPr>
          <w:sz w:val="20"/>
          <w:szCs w:val="20"/>
          <w:color w:val="auto"/>
        </w:rPr>
      </w:pPr>
    </w:p>
    <w:p>
      <w:pPr>
        <w:ind w:left="4080"/>
        <w:spacing w:after="0"/>
        <w:rPr>
          <w:sz w:val="20"/>
          <w:szCs w:val="20"/>
          <w:color w:val="auto"/>
        </w:rPr>
      </w:pPr>
      <w:r>
        <w:rPr>
          <w:rFonts w:ascii="Arial" w:cs="Arial" w:eastAsia="Arial" w:hAnsi="Arial"/>
          <w:sz w:val="24"/>
          <w:szCs w:val="24"/>
          <w:b w:val="1"/>
          <w:bCs w:val="1"/>
          <w:color w:val="auto"/>
        </w:rPr>
        <w:t>CHAPTER I</w:t>
      </w:r>
    </w:p>
    <w:p>
      <w:pPr>
        <w:spacing w:after="0" w:line="98" w:lineRule="exact"/>
        <w:rPr>
          <w:sz w:val="20"/>
          <w:szCs w:val="20"/>
          <w:color w:val="auto"/>
        </w:rPr>
      </w:pPr>
    </w:p>
    <w:p>
      <w:pPr>
        <w:ind w:left="3900"/>
        <w:spacing w:after="0"/>
        <w:rPr>
          <w:sz w:val="20"/>
          <w:szCs w:val="20"/>
          <w:color w:val="auto"/>
        </w:rPr>
      </w:pPr>
      <w:r>
        <w:rPr>
          <w:rFonts w:ascii="Arial" w:cs="Arial" w:eastAsia="Arial" w:hAnsi="Arial"/>
          <w:sz w:val="24"/>
          <w:szCs w:val="24"/>
          <w:b w:val="1"/>
          <w:bCs w:val="1"/>
          <w:color w:val="auto"/>
        </w:rPr>
        <w:t>PRELIMINARY</w:t>
      </w:r>
    </w:p>
    <w:p>
      <w:pPr>
        <w:spacing w:after="0" w:line="118"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Short title and commencement.</w:t>
      </w:r>
    </w:p>
    <w:p>
      <w:pPr>
        <w:spacing w:after="0" w:line="52" w:lineRule="exact"/>
        <w:rPr>
          <w:sz w:val="20"/>
          <w:szCs w:val="20"/>
          <w:color w:val="auto"/>
        </w:rPr>
      </w:pPr>
    </w:p>
    <w:p>
      <w:pPr>
        <w:ind w:left="360" w:right="280"/>
        <w:spacing w:after="0" w:line="236" w:lineRule="auto"/>
        <w:tabs>
          <w:tab w:leader="none" w:pos="677" w:val="left"/>
        </w:tabs>
        <w:numPr>
          <w:ilvl w:val="0"/>
          <w:numId w:val="7"/>
        </w:numPr>
        <w:rPr>
          <w:rFonts w:ascii="Arial" w:cs="Arial" w:eastAsia="Arial" w:hAnsi="Arial"/>
          <w:sz w:val="24"/>
          <w:szCs w:val="24"/>
          <w:b w:val="1"/>
          <w:bCs w:val="1"/>
          <w:color w:val="auto"/>
        </w:rPr>
      </w:pPr>
      <w:r>
        <w:rPr>
          <w:rFonts w:ascii="Arial" w:cs="Arial" w:eastAsia="Arial" w:hAnsi="Arial"/>
          <w:sz w:val="24"/>
          <w:szCs w:val="24"/>
          <w:color w:val="auto"/>
        </w:rPr>
        <w:t>(1) These regulations may be called the Securities and Exchange Board of India (Bankers to an Issue) Regulations, 1994.</w:t>
      </w:r>
    </w:p>
    <w:p>
      <w:pPr>
        <w:spacing w:after="0" w:line="52" w:lineRule="exact"/>
        <w:rPr>
          <w:sz w:val="20"/>
          <w:szCs w:val="20"/>
          <w:color w:val="auto"/>
        </w:rPr>
      </w:pPr>
    </w:p>
    <w:p>
      <w:pPr>
        <w:ind w:left="360" w:right="280"/>
        <w:spacing w:after="0" w:line="234" w:lineRule="auto"/>
        <w:tabs>
          <w:tab w:leader="none" w:pos="782" w:val="left"/>
        </w:tabs>
        <w:numPr>
          <w:ilvl w:val="0"/>
          <w:numId w:val="8"/>
        </w:numPr>
        <w:rPr>
          <w:rFonts w:ascii="Arial" w:cs="Arial" w:eastAsia="Arial" w:hAnsi="Arial"/>
          <w:sz w:val="24"/>
          <w:szCs w:val="24"/>
          <w:color w:val="auto"/>
        </w:rPr>
      </w:pPr>
      <w:r>
        <w:rPr>
          <w:rFonts w:ascii="Arial" w:cs="Arial" w:eastAsia="Arial" w:hAnsi="Arial"/>
          <w:sz w:val="24"/>
          <w:szCs w:val="24"/>
          <w:color w:val="auto"/>
        </w:rPr>
        <w:t>They shall come into force on the date of their publication in the Official Gazette.</w:t>
      </w:r>
    </w:p>
    <w:p>
      <w:pPr>
        <w:spacing w:after="0" w:line="41" w:lineRule="exact"/>
        <w:rPr>
          <w:rFonts w:ascii="Arial" w:cs="Arial" w:eastAsia="Arial" w:hAnsi="Arial"/>
          <w:sz w:val="24"/>
          <w:szCs w:val="24"/>
          <w:color w:val="auto"/>
        </w:rPr>
      </w:pPr>
    </w:p>
    <w:p>
      <w:pPr>
        <w:ind w:left="360"/>
        <w:spacing w:after="0"/>
        <w:rPr>
          <w:rFonts w:ascii="Arial" w:cs="Arial" w:eastAsia="Arial" w:hAnsi="Arial"/>
          <w:sz w:val="24"/>
          <w:szCs w:val="24"/>
          <w:color w:val="auto"/>
        </w:rPr>
      </w:pPr>
      <w:r>
        <w:rPr>
          <w:rFonts w:ascii="Arial" w:cs="Arial" w:eastAsia="Arial" w:hAnsi="Arial"/>
          <w:sz w:val="24"/>
          <w:szCs w:val="24"/>
          <w:b w:val="1"/>
          <w:bCs w:val="1"/>
          <w:color w:val="auto"/>
        </w:rPr>
        <w:t>Definitions.</w:t>
      </w:r>
    </w:p>
    <w:p>
      <w:pPr>
        <w:spacing w:after="0" w:line="40" w:lineRule="exact"/>
        <w:rPr>
          <w:rFonts w:ascii="Arial" w:cs="Arial" w:eastAsia="Arial" w:hAnsi="Arial"/>
          <w:sz w:val="24"/>
          <w:szCs w:val="24"/>
          <w:color w:val="auto"/>
        </w:rPr>
      </w:pPr>
    </w:p>
    <w:p>
      <w:pPr>
        <w:ind w:left="360"/>
        <w:spacing w:after="0"/>
        <w:rPr>
          <w:rFonts w:ascii="Arial" w:cs="Arial" w:eastAsia="Arial" w:hAnsi="Arial"/>
          <w:sz w:val="24"/>
          <w:szCs w:val="24"/>
          <w:color w:val="auto"/>
        </w:rPr>
      </w:pPr>
      <w:r>
        <w:rPr>
          <w:rFonts w:ascii="Arial" w:cs="Arial" w:eastAsia="Arial" w:hAnsi="Arial"/>
          <w:sz w:val="24"/>
          <w:szCs w:val="24"/>
          <w:b w:val="1"/>
          <w:bCs w:val="1"/>
          <w:color w:val="auto"/>
        </w:rPr>
        <w:t xml:space="preserve">2. </w:t>
      </w:r>
      <w:r>
        <w:rPr>
          <w:rFonts w:ascii="Arial" w:cs="Arial" w:eastAsia="Arial" w:hAnsi="Arial"/>
          <w:sz w:val="24"/>
          <w:szCs w:val="24"/>
          <w:color w:val="auto"/>
        </w:rPr>
        <w:t>In these regulations, unless the context otherwise requires,—</w:t>
      </w:r>
    </w:p>
    <w:p>
      <w:pPr>
        <w:ind w:left="360"/>
        <w:spacing w:after="0" w:line="223" w:lineRule="auto"/>
        <w:rPr>
          <w:sz w:val="20"/>
          <w:szCs w:val="20"/>
          <w:color w:val="auto"/>
        </w:rPr>
      </w:pPr>
      <w:r>
        <w:rPr>
          <w:rFonts w:ascii="Arial" w:cs="Arial" w:eastAsia="Arial" w:hAnsi="Arial"/>
          <w:sz w:val="31"/>
          <w:szCs w:val="31"/>
          <w:color w:val="auto"/>
          <w:vertAlign w:val="superscript"/>
        </w:rPr>
        <w:t>1</w:t>
      </w:r>
      <w:r>
        <w:rPr>
          <w:rFonts w:ascii="Arial" w:cs="Arial" w:eastAsia="Arial" w:hAnsi="Arial"/>
          <w:sz w:val="24"/>
          <w:szCs w:val="24"/>
          <w:b w:val="1"/>
          <w:bCs w:val="1"/>
          <w:color w:val="auto"/>
        </w:rPr>
        <w:t>[</w:t>
      </w:r>
      <w:r>
        <w:rPr>
          <w:rFonts w:ascii="Arial" w:cs="Arial" w:eastAsia="Arial" w:hAnsi="Arial"/>
          <w:sz w:val="24"/>
          <w:szCs w:val="24"/>
          <w:color w:val="auto"/>
        </w:rPr>
        <w:t>(a)</w:t>
      </w:r>
      <w:r>
        <w:rPr>
          <w:rFonts w:ascii="Arial" w:cs="Arial" w:eastAsia="Arial" w:hAnsi="Arial"/>
          <w:sz w:val="24"/>
          <w:szCs w:val="24"/>
          <w:b w:val="1"/>
          <w:bCs w:val="1"/>
          <w:color w:val="auto"/>
        </w:rPr>
        <w:t xml:space="preserve"> </w:t>
      </w:r>
      <w:r>
        <w:rPr>
          <w:rFonts w:ascii="Arial" w:cs="Arial" w:eastAsia="Arial" w:hAnsi="Arial"/>
          <w:sz w:val="24"/>
          <w:szCs w:val="24"/>
          <w:color w:val="auto"/>
        </w:rPr>
        <w:t>“Act” means the Securities and Exchange Board of India Act, 1992 (15 of</w:t>
      </w:r>
    </w:p>
    <w:p>
      <w:pPr>
        <w:ind w:left="840"/>
        <w:spacing w:after="0" w:line="225" w:lineRule="auto"/>
        <w:rPr>
          <w:sz w:val="20"/>
          <w:szCs w:val="20"/>
          <w:color w:val="auto"/>
        </w:rPr>
      </w:pPr>
      <w:r>
        <w:rPr>
          <w:rFonts w:ascii="Arial" w:cs="Arial" w:eastAsia="Arial" w:hAnsi="Arial"/>
          <w:sz w:val="24"/>
          <w:szCs w:val="24"/>
          <w:color w:val="auto"/>
        </w:rPr>
        <w:t>1992);</w:t>
      </w:r>
    </w:p>
    <w:p>
      <w:pPr>
        <w:spacing w:after="0" w:line="52" w:lineRule="exact"/>
        <w:rPr>
          <w:sz w:val="20"/>
          <w:szCs w:val="20"/>
          <w:color w:val="auto"/>
        </w:rPr>
      </w:pPr>
    </w:p>
    <w:p>
      <w:pPr>
        <w:ind w:left="840" w:right="280" w:hanging="480"/>
        <w:spacing w:after="0" w:line="234" w:lineRule="auto"/>
        <w:tabs>
          <w:tab w:leader="none" w:pos="840" w:val="left"/>
        </w:tabs>
        <w:numPr>
          <w:ilvl w:val="0"/>
          <w:numId w:val="9"/>
        </w:numPr>
        <w:rPr>
          <w:rFonts w:ascii="Arial" w:cs="Arial" w:eastAsia="Arial" w:hAnsi="Arial"/>
          <w:sz w:val="24"/>
          <w:szCs w:val="24"/>
          <w:color w:val="auto"/>
        </w:rPr>
      </w:pPr>
      <w:r>
        <w:rPr>
          <w:rFonts w:ascii="Arial" w:cs="Arial" w:eastAsia="Arial" w:hAnsi="Arial"/>
          <w:sz w:val="24"/>
          <w:szCs w:val="24"/>
          <w:color w:val="auto"/>
        </w:rPr>
        <w:t>“banker to an issue” means a scheduled bank carrying on all or any of the following activities, namely :—</w:t>
      </w:r>
    </w:p>
    <w:p>
      <w:pPr>
        <w:spacing w:after="0" w:line="41" w:lineRule="exact"/>
        <w:rPr>
          <w:rFonts w:ascii="Arial" w:cs="Arial" w:eastAsia="Arial" w:hAnsi="Arial"/>
          <w:sz w:val="24"/>
          <w:szCs w:val="24"/>
          <w:color w:val="auto"/>
        </w:rPr>
      </w:pPr>
    </w:p>
    <w:p>
      <w:pPr>
        <w:ind w:left="1320" w:hanging="330"/>
        <w:spacing w:after="0"/>
        <w:tabs>
          <w:tab w:leader="none" w:pos="1320" w:val="left"/>
        </w:tabs>
        <w:numPr>
          <w:ilvl w:val="1"/>
          <w:numId w:val="9"/>
        </w:numPr>
        <w:rPr>
          <w:rFonts w:ascii="Arial" w:cs="Arial" w:eastAsia="Arial" w:hAnsi="Arial"/>
          <w:sz w:val="24"/>
          <w:szCs w:val="24"/>
          <w:color w:val="auto"/>
        </w:rPr>
      </w:pPr>
      <w:r>
        <w:rPr>
          <w:rFonts w:ascii="Arial" w:cs="Arial" w:eastAsia="Arial" w:hAnsi="Arial"/>
          <w:sz w:val="24"/>
          <w:szCs w:val="24"/>
          <w:color w:val="auto"/>
        </w:rPr>
        <w:t>acceptance of application and application monies;</w:t>
      </w:r>
    </w:p>
    <w:p>
      <w:pPr>
        <w:spacing w:after="0" w:line="41" w:lineRule="exact"/>
        <w:rPr>
          <w:rFonts w:ascii="Arial" w:cs="Arial" w:eastAsia="Arial" w:hAnsi="Arial"/>
          <w:sz w:val="24"/>
          <w:szCs w:val="24"/>
          <w:color w:val="auto"/>
        </w:rPr>
      </w:pPr>
    </w:p>
    <w:p>
      <w:pPr>
        <w:ind w:left="1320" w:hanging="388"/>
        <w:spacing w:after="0"/>
        <w:tabs>
          <w:tab w:leader="none" w:pos="1320" w:val="left"/>
        </w:tabs>
        <w:numPr>
          <w:ilvl w:val="1"/>
          <w:numId w:val="9"/>
        </w:numPr>
        <w:rPr>
          <w:rFonts w:ascii="Arial" w:cs="Arial" w:eastAsia="Arial" w:hAnsi="Arial"/>
          <w:sz w:val="24"/>
          <w:szCs w:val="24"/>
          <w:color w:val="auto"/>
        </w:rPr>
      </w:pPr>
      <w:r>
        <w:rPr>
          <w:rFonts w:ascii="Arial" w:cs="Arial" w:eastAsia="Arial" w:hAnsi="Arial"/>
          <w:sz w:val="24"/>
          <w:szCs w:val="24"/>
          <w:color w:val="auto"/>
        </w:rPr>
        <w:t>acceptance of allotment or call monies;</w:t>
      </w:r>
    </w:p>
    <w:p>
      <w:pPr>
        <w:spacing w:after="0" w:line="40" w:lineRule="exact"/>
        <w:rPr>
          <w:rFonts w:ascii="Arial" w:cs="Arial" w:eastAsia="Arial" w:hAnsi="Arial"/>
          <w:sz w:val="24"/>
          <w:szCs w:val="24"/>
          <w:color w:val="auto"/>
        </w:rPr>
      </w:pPr>
    </w:p>
    <w:p>
      <w:pPr>
        <w:ind w:left="1320" w:hanging="441"/>
        <w:spacing w:after="0"/>
        <w:tabs>
          <w:tab w:leader="none" w:pos="1320" w:val="left"/>
        </w:tabs>
        <w:numPr>
          <w:ilvl w:val="1"/>
          <w:numId w:val="9"/>
        </w:numPr>
        <w:rPr>
          <w:rFonts w:ascii="Arial" w:cs="Arial" w:eastAsia="Arial" w:hAnsi="Arial"/>
          <w:sz w:val="24"/>
          <w:szCs w:val="24"/>
          <w:color w:val="auto"/>
        </w:rPr>
      </w:pPr>
      <w:r>
        <w:rPr>
          <w:rFonts w:ascii="Arial" w:cs="Arial" w:eastAsia="Arial" w:hAnsi="Arial"/>
          <w:sz w:val="24"/>
          <w:szCs w:val="24"/>
          <w:color w:val="auto"/>
        </w:rPr>
        <w:t>refund of application monies;</w:t>
      </w:r>
    </w:p>
    <w:p>
      <w:pPr>
        <w:spacing w:after="0" w:line="40" w:lineRule="exact"/>
        <w:rPr>
          <w:rFonts w:ascii="Arial" w:cs="Arial" w:eastAsia="Arial" w:hAnsi="Arial"/>
          <w:sz w:val="24"/>
          <w:szCs w:val="24"/>
          <w:color w:val="auto"/>
        </w:rPr>
      </w:pPr>
    </w:p>
    <w:p>
      <w:pPr>
        <w:ind w:left="1320" w:hanging="450"/>
        <w:spacing w:after="0"/>
        <w:tabs>
          <w:tab w:leader="none" w:pos="1320" w:val="left"/>
        </w:tabs>
        <w:numPr>
          <w:ilvl w:val="1"/>
          <w:numId w:val="9"/>
        </w:numPr>
        <w:rPr>
          <w:rFonts w:ascii="Arial" w:cs="Arial" w:eastAsia="Arial" w:hAnsi="Arial"/>
          <w:sz w:val="24"/>
          <w:szCs w:val="24"/>
          <w:color w:val="auto"/>
        </w:rPr>
      </w:pPr>
      <w:r>
        <w:rPr>
          <w:rFonts w:ascii="Arial" w:cs="Arial" w:eastAsia="Arial" w:hAnsi="Arial"/>
          <w:sz w:val="24"/>
          <w:szCs w:val="24"/>
          <w:color w:val="auto"/>
        </w:rPr>
        <w:t>payment of dividend or interest warrants;</w:t>
      </w:r>
    </w:p>
    <w:p>
      <w:pPr>
        <w:spacing w:after="0" w:line="52" w:lineRule="exact"/>
        <w:rPr>
          <w:sz w:val="20"/>
          <w:szCs w:val="20"/>
          <w:color w:val="auto"/>
        </w:rPr>
      </w:pPr>
    </w:p>
    <w:p>
      <w:pPr>
        <w:ind w:left="840" w:right="260" w:hanging="480"/>
        <w:spacing w:after="0" w:line="234" w:lineRule="auto"/>
        <w:rPr>
          <w:sz w:val="20"/>
          <w:szCs w:val="20"/>
          <w:color w:val="auto"/>
        </w:rPr>
      </w:pPr>
      <w:r>
        <w:rPr>
          <w:rFonts w:ascii="Arial" w:cs="Arial" w:eastAsia="Arial" w:hAnsi="Arial"/>
          <w:sz w:val="24"/>
          <w:szCs w:val="24"/>
          <w:color w:val="auto"/>
        </w:rPr>
        <w:t>(ab) “body corporate” shall have the meaning assigned to it in or under clause (7) of section 2 of the Companies Act, 1956 (1 of 1956);</w:t>
      </w:r>
    </w:p>
    <w:p>
      <w:pPr>
        <w:spacing w:after="0" w:line="44"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xml:space="preserve">(ac) “certificate” means a certificate of </w:t>
      </w:r>
      <w:r>
        <w:rPr>
          <w:rFonts w:ascii="Arial" w:cs="Arial" w:eastAsia="Arial" w:hAnsi="Arial"/>
          <w:sz w:val="31"/>
          <w:szCs w:val="31"/>
          <w:color w:val="auto"/>
          <w:vertAlign w:val="superscript"/>
        </w:rPr>
        <w:t>2</w:t>
      </w:r>
      <w:r>
        <w:rPr>
          <w:rFonts w:ascii="Arial" w:cs="Arial" w:eastAsia="Arial" w:hAnsi="Arial"/>
          <w:sz w:val="24"/>
          <w:szCs w:val="24"/>
          <w:color w:val="auto"/>
        </w:rPr>
        <w:t>[***] registration issued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241935</wp:posOffset>
                </wp:positionV>
                <wp:extent cx="182943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9.05pt" to="162.05pt,19.05pt" o:allowincell="f" strokecolor="#000000" strokeweight="0.4799pt"/>
            </w:pict>
          </mc:Fallback>
        </mc:AlternateContent>
      </w:r>
    </w:p>
    <w:p>
      <w:pPr>
        <w:spacing w:after="0" w:line="200" w:lineRule="exact"/>
        <w:rPr>
          <w:sz w:val="20"/>
          <w:szCs w:val="20"/>
          <w:color w:val="auto"/>
        </w:rPr>
      </w:pPr>
    </w:p>
    <w:p>
      <w:pPr>
        <w:spacing w:after="0" w:line="280" w:lineRule="exact"/>
        <w:rPr>
          <w:sz w:val="20"/>
          <w:szCs w:val="20"/>
          <w:color w:val="auto"/>
        </w:rPr>
      </w:pPr>
    </w:p>
    <w:p>
      <w:pPr>
        <w:ind w:left="360" w:right="280"/>
        <w:spacing w:after="0" w:line="204" w:lineRule="auto"/>
        <w:tabs>
          <w:tab w:leader="none" w:pos="495"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(Bankers to an Issue) (Amendment) Regulations, 2006, w.e.f, 7-9-2006.</w:t>
      </w:r>
    </w:p>
    <w:p>
      <w:pPr>
        <w:spacing w:after="0" w:line="11" w:lineRule="exact"/>
        <w:rPr>
          <w:rFonts w:ascii="Times New Roman" w:cs="Times New Roman" w:eastAsia="Times New Roman" w:hAnsi="Times New Roman"/>
          <w:sz w:val="26"/>
          <w:szCs w:val="26"/>
          <w:color w:val="auto"/>
          <w:vertAlign w:val="superscript"/>
        </w:rPr>
      </w:pPr>
    </w:p>
    <w:p>
      <w:pPr>
        <w:jc w:val="both"/>
        <w:ind w:left="360" w:right="260"/>
        <w:spacing w:after="0" w:line="204" w:lineRule="auto"/>
        <w:tabs>
          <w:tab w:leader="none" w:pos="495" w:val="left"/>
        </w:tabs>
        <w:numPr>
          <w:ilvl w:val="0"/>
          <w:numId w:val="1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 or permanent”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360" w:right="2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“initial or permanent” were inserted by the Securities and Exchange Board of India (Bankers to an Issue) (Amendment) Regulations, 2011, w.e.f. 05-07-2011.</w:t>
      </w:r>
    </w:p>
    <w:p>
      <w:pPr>
        <w:spacing w:after="0" w:line="218"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3</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3" w:name="page4"/>
    <w:bookmarkEnd w:id="3"/>
    <w:p>
      <w:pPr>
        <w:ind w:left="360"/>
        <w:spacing w:after="0"/>
        <w:rPr>
          <w:sz w:val="20"/>
          <w:szCs w:val="20"/>
          <w:color w:val="auto"/>
        </w:rPr>
      </w:pPr>
      <w:r>
        <w:rPr>
          <w:rFonts w:ascii="Arial" w:cs="Arial" w:eastAsia="Arial" w:hAnsi="Arial"/>
          <w:sz w:val="24"/>
          <w:szCs w:val="24"/>
          <w:color w:val="auto"/>
        </w:rPr>
        <w:t xml:space="preserve">(ad) </w:t>
      </w:r>
      <w:r>
        <w:rPr>
          <w:rFonts w:ascii="Arial" w:cs="Arial" w:eastAsia="Arial" w:hAnsi="Arial"/>
          <w:sz w:val="31"/>
          <w:szCs w:val="31"/>
          <w:color w:val="auto"/>
          <w:vertAlign w:val="superscript"/>
        </w:rPr>
        <w:t>3</w:t>
      </w:r>
      <w:r>
        <w:rPr>
          <w:rFonts w:ascii="Arial" w:cs="Arial" w:eastAsia="Arial" w:hAnsi="Arial"/>
          <w:sz w:val="24"/>
          <w:szCs w:val="24"/>
          <w:color w:val="auto"/>
        </w:rPr>
        <w:t>[***]</w:t>
      </w:r>
    </w:p>
    <w:p>
      <w:pPr>
        <w:ind w:left="840" w:right="280" w:hanging="480"/>
        <w:spacing w:after="0" w:line="231" w:lineRule="auto"/>
        <w:rPr>
          <w:sz w:val="20"/>
          <w:szCs w:val="20"/>
          <w:color w:val="auto"/>
        </w:rPr>
      </w:pPr>
      <w:r>
        <w:rPr>
          <w:rFonts w:ascii="Arial" w:cs="Arial" w:eastAsia="Arial" w:hAnsi="Arial"/>
          <w:sz w:val="24"/>
          <w:szCs w:val="24"/>
          <w:color w:val="auto"/>
        </w:rPr>
        <w:t>(ae) “change in control”, in relation to a banker to an issue being a body corporate, means :—</w:t>
      </w:r>
    </w:p>
    <w:p>
      <w:pPr>
        <w:spacing w:after="0" w:line="54" w:lineRule="exact"/>
        <w:rPr>
          <w:sz w:val="20"/>
          <w:szCs w:val="20"/>
          <w:color w:val="auto"/>
        </w:rPr>
      </w:pPr>
    </w:p>
    <w:p>
      <w:pPr>
        <w:jc w:val="both"/>
        <w:ind w:left="1320" w:right="280" w:hanging="330"/>
        <w:spacing w:after="0" w:line="238" w:lineRule="auto"/>
        <w:tabs>
          <w:tab w:leader="none" w:pos="1320" w:val="left"/>
        </w:tabs>
        <w:numPr>
          <w:ilvl w:val="0"/>
          <w:numId w:val="11"/>
        </w:numPr>
        <w:rPr>
          <w:rFonts w:ascii="Arial" w:cs="Arial" w:eastAsia="Arial" w:hAnsi="Arial"/>
          <w:sz w:val="24"/>
          <w:szCs w:val="24"/>
          <w:color w:val="auto"/>
        </w:rPr>
      </w:pPr>
      <w:r>
        <w:rPr>
          <w:rFonts w:ascii="Arial" w:cs="Arial" w:eastAsia="Arial" w:hAnsi="Arial"/>
          <w:sz w:val="24"/>
          <w:szCs w:val="24"/>
          <w:color w:val="auto"/>
        </w:rPr>
        <w:t>if its shares are listed on any recognised stock exchange, change in control within the meaning of regulation 12 of the Securities and Exchange Board of India (Substantial Acquisition of Shares and Takeovers) Regulations, 1997;</w:t>
      </w:r>
    </w:p>
    <w:p>
      <w:pPr>
        <w:spacing w:after="0" w:line="47" w:lineRule="exact"/>
        <w:rPr>
          <w:rFonts w:ascii="Arial" w:cs="Arial" w:eastAsia="Arial" w:hAnsi="Arial"/>
          <w:sz w:val="24"/>
          <w:szCs w:val="24"/>
          <w:color w:val="auto"/>
        </w:rPr>
      </w:pPr>
    </w:p>
    <w:p>
      <w:pPr>
        <w:ind w:left="1320" w:right="280" w:hanging="388"/>
        <w:spacing w:after="0" w:line="236" w:lineRule="auto"/>
        <w:tabs>
          <w:tab w:leader="none" w:pos="1320" w:val="left"/>
        </w:tabs>
        <w:numPr>
          <w:ilvl w:val="0"/>
          <w:numId w:val="11"/>
        </w:numPr>
        <w:rPr>
          <w:rFonts w:ascii="Arial" w:cs="Arial" w:eastAsia="Arial" w:hAnsi="Arial"/>
          <w:sz w:val="24"/>
          <w:szCs w:val="24"/>
          <w:color w:val="auto"/>
        </w:rPr>
      </w:pPr>
      <w:r>
        <w:rPr>
          <w:rFonts w:ascii="Arial" w:cs="Arial" w:eastAsia="Arial" w:hAnsi="Arial"/>
          <w:sz w:val="24"/>
          <w:szCs w:val="24"/>
          <w:color w:val="auto"/>
        </w:rPr>
        <w:t>in any other case, change in the controlling interest in the body corporate.</w:t>
      </w:r>
    </w:p>
    <w:p>
      <w:pPr>
        <w:spacing w:after="0" w:line="53" w:lineRule="exact"/>
        <w:rPr>
          <w:sz w:val="20"/>
          <w:szCs w:val="20"/>
          <w:color w:val="auto"/>
        </w:rPr>
      </w:pPr>
    </w:p>
    <w:p>
      <w:pPr>
        <w:jc w:val="both"/>
        <w:ind w:left="840" w:right="260"/>
        <w:spacing w:after="0" w:line="236" w:lineRule="auto"/>
        <w:rPr>
          <w:sz w:val="20"/>
          <w:szCs w:val="20"/>
          <w:color w:val="auto"/>
        </w:rPr>
      </w:pPr>
      <w:r>
        <w:rPr>
          <w:rFonts w:ascii="Arial" w:cs="Arial" w:eastAsia="Arial" w:hAnsi="Arial"/>
          <w:sz w:val="24"/>
          <w:szCs w:val="24"/>
          <w:color w:val="auto"/>
        </w:rPr>
        <w:t>Explanation.—For the purpose of sub-clause (ii), the expression “controlling interest” means an interest, whether direct or indirect, to the extent of at least fifty-one per cent of voting rights in the body corporate;</w:t>
      </w:r>
      <w:r>
        <w:rPr>
          <w:rFonts w:ascii="Arial" w:cs="Arial" w:eastAsia="Arial" w:hAnsi="Arial"/>
          <w:sz w:val="24"/>
          <w:szCs w:val="24"/>
          <w:b w:val="1"/>
          <w:bCs w:val="1"/>
          <w:color w:val="auto"/>
        </w:rPr>
        <w:t>]</w:t>
      </w:r>
    </w:p>
    <w:p>
      <w:pPr>
        <w:spacing w:after="0" w:line="16"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4</w:t>
      </w:r>
      <w:r>
        <w:rPr>
          <w:rFonts w:ascii="Arial" w:cs="Arial" w:eastAsia="Arial" w:hAnsi="Arial"/>
          <w:sz w:val="24"/>
          <w:szCs w:val="24"/>
          <w:b w:val="1"/>
          <w:bCs w:val="1"/>
          <w:color w:val="auto"/>
        </w:rPr>
        <w:t>[***]</w:t>
      </w:r>
    </w:p>
    <w:p>
      <w:pPr>
        <w:ind w:left="840" w:hanging="412"/>
        <w:spacing w:after="0" w:line="225" w:lineRule="auto"/>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“form” means a form specified in Schedule I;</w:t>
      </w:r>
    </w:p>
    <w:p>
      <w:pPr>
        <w:spacing w:after="0" w:line="41" w:lineRule="exact"/>
        <w:rPr>
          <w:rFonts w:ascii="Arial" w:cs="Arial" w:eastAsia="Arial" w:hAnsi="Arial"/>
          <w:sz w:val="24"/>
          <w:szCs w:val="24"/>
          <w:color w:val="auto"/>
        </w:rPr>
      </w:pPr>
    </w:p>
    <w:p>
      <w:pPr>
        <w:ind w:left="840" w:hanging="398"/>
        <w:spacing w:after="0"/>
        <w:tabs>
          <w:tab w:leader="none" w:pos="840" w:val="left"/>
        </w:tabs>
        <w:numPr>
          <w:ilvl w:val="0"/>
          <w:numId w:val="12"/>
        </w:numPr>
        <w:rPr>
          <w:rFonts w:ascii="Arial" w:cs="Arial" w:eastAsia="Arial" w:hAnsi="Arial"/>
          <w:sz w:val="24"/>
          <w:szCs w:val="24"/>
          <w:color w:val="auto"/>
        </w:rPr>
      </w:pPr>
      <w:r>
        <w:rPr>
          <w:rFonts w:ascii="Arial" w:cs="Arial" w:eastAsia="Arial" w:hAnsi="Arial"/>
          <w:sz w:val="24"/>
          <w:szCs w:val="24"/>
          <w:color w:val="auto"/>
        </w:rPr>
        <w:t>“inspecting authority” means one or more persons appointed by the Reserve</w:t>
      </w:r>
    </w:p>
    <w:p>
      <w:pPr>
        <w:spacing w:after="0" w:line="2" w:lineRule="exact"/>
        <w:rPr>
          <w:rFonts w:ascii="Arial" w:cs="Arial" w:eastAsia="Arial" w:hAnsi="Arial"/>
          <w:sz w:val="24"/>
          <w:szCs w:val="24"/>
          <w:color w:val="auto"/>
        </w:rPr>
      </w:pPr>
    </w:p>
    <w:p>
      <w:pPr>
        <w:ind w:left="840"/>
        <w:spacing w:after="0"/>
        <w:rPr>
          <w:rFonts w:ascii="Arial" w:cs="Arial" w:eastAsia="Arial" w:hAnsi="Arial"/>
          <w:sz w:val="24"/>
          <w:szCs w:val="24"/>
          <w:color w:val="auto"/>
        </w:rPr>
      </w:pPr>
      <w:r>
        <w:rPr>
          <w:rFonts w:ascii="Arial" w:cs="Arial" w:eastAsia="Arial" w:hAnsi="Arial"/>
          <w:sz w:val="24"/>
          <w:szCs w:val="24"/>
          <w:color w:val="auto"/>
        </w:rPr>
        <w:t>Bank of India to exercise powers conferred under Chapter IV;</w:t>
      </w:r>
    </w:p>
    <w:p>
      <w:pPr>
        <w:spacing w:after="0" w:line="43" w:lineRule="exact"/>
        <w:rPr>
          <w:sz w:val="20"/>
          <w:szCs w:val="20"/>
          <w:color w:val="auto"/>
        </w:rPr>
      </w:pPr>
    </w:p>
    <w:p>
      <w:pPr>
        <w:jc w:val="both"/>
        <w:ind w:left="840" w:right="280" w:hanging="480"/>
        <w:spacing w:after="0" w:line="222" w:lineRule="auto"/>
        <w:rPr>
          <w:sz w:val="20"/>
          <w:szCs w:val="20"/>
          <w:color w:val="auto"/>
        </w:rPr>
      </w:pPr>
      <w:r>
        <w:rPr>
          <w:rFonts w:ascii="Arial" w:cs="Arial" w:eastAsia="Arial" w:hAnsi="Arial"/>
          <w:sz w:val="31"/>
          <w:szCs w:val="31"/>
          <w:color w:val="auto"/>
          <w:vertAlign w:val="superscript"/>
        </w:rPr>
        <w:t>5</w:t>
      </w:r>
      <w:r>
        <w:rPr>
          <w:rFonts w:ascii="Arial" w:cs="Arial" w:eastAsia="Arial" w:hAnsi="Arial"/>
          <w:sz w:val="24"/>
          <w:szCs w:val="24"/>
          <w:b w:val="1"/>
          <w:bCs w:val="1"/>
          <w:color w:val="auto"/>
        </w:rPr>
        <w:t>[</w:t>
      </w:r>
      <w:r>
        <w:rPr>
          <w:rFonts w:ascii="Arial" w:cs="Arial" w:eastAsia="Arial" w:hAnsi="Arial"/>
          <w:sz w:val="24"/>
          <w:szCs w:val="24"/>
          <w:color w:val="auto"/>
        </w:rPr>
        <w:t>(ca) “issue” means an offer of sale or purchase of securities by any body</w:t>
      </w:r>
      <w:r>
        <w:rPr>
          <w:rFonts w:ascii="Arial" w:cs="Arial" w:eastAsia="Arial" w:hAnsi="Arial"/>
          <w:sz w:val="24"/>
          <w:szCs w:val="24"/>
          <w:b w:val="1"/>
          <w:bCs w:val="1"/>
          <w:color w:val="auto"/>
        </w:rPr>
        <w:t xml:space="preserve"> </w:t>
      </w:r>
      <w:r>
        <w:rPr>
          <w:rFonts w:ascii="Arial" w:cs="Arial" w:eastAsia="Arial" w:hAnsi="Arial"/>
          <w:sz w:val="24"/>
          <w:szCs w:val="24"/>
          <w:color w:val="auto"/>
        </w:rPr>
        <w:t>corporate or by any other person or group of persons on his or its or their behalf, as the case may be, to or from the public, or the holders of securities of such body corporate or person or group of persons;</w:t>
      </w:r>
      <w:r>
        <w:rPr>
          <w:rFonts w:ascii="Arial" w:cs="Arial" w:eastAsia="Arial" w:hAnsi="Arial"/>
          <w:sz w:val="24"/>
          <w:szCs w:val="24"/>
          <w:b w:val="1"/>
          <w:bCs w:val="1"/>
          <w:color w:val="auto"/>
        </w:rPr>
        <w:t>]</w:t>
      </w:r>
    </w:p>
    <w:p>
      <w:pPr>
        <w:spacing w:after="0" w:line="45" w:lineRule="exact"/>
        <w:rPr>
          <w:sz w:val="20"/>
          <w:szCs w:val="20"/>
          <w:color w:val="auto"/>
        </w:rPr>
      </w:pPr>
    </w:p>
    <w:p>
      <w:pPr>
        <w:ind w:left="840" w:hanging="412"/>
        <w:spacing w:after="0"/>
        <w:tabs>
          <w:tab w:leader="none" w:pos="840" w:val="left"/>
        </w:tabs>
        <w:numPr>
          <w:ilvl w:val="0"/>
          <w:numId w:val="13"/>
        </w:numPr>
        <w:rPr>
          <w:rFonts w:ascii="Arial" w:cs="Arial" w:eastAsia="Arial" w:hAnsi="Arial"/>
          <w:sz w:val="24"/>
          <w:szCs w:val="24"/>
          <w:color w:val="auto"/>
        </w:rPr>
      </w:pPr>
      <w:r>
        <w:rPr>
          <w:rFonts w:ascii="Arial" w:cs="Arial" w:eastAsia="Arial" w:hAnsi="Arial"/>
          <w:sz w:val="24"/>
          <w:szCs w:val="24"/>
          <w:color w:val="auto"/>
        </w:rPr>
        <w:t>“Reserve Bank” means the Reserve Bank of India established under section</w:t>
      </w:r>
    </w:p>
    <w:p>
      <w:pPr>
        <w:ind w:left="840"/>
        <w:spacing w:after="0" w:line="237" w:lineRule="auto"/>
        <w:rPr>
          <w:rFonts w:ascii="Arial" w:cs="Arial" w:eastAsia="Arial" w:hAnsi="Arial"/>
          <w:sz w:val="24"/>
          <w:szCs w:val="24"/>
          <w:color w:val="auto"/>
        </w:rPr>
      </w:pPr>
      <w:r>
        <w:rPr>
          <w:rFonts w:ascii="Arial" w:cs="Arial" w:eastAsia="Arial" w:hAnsi="Arial"/>
          <w:sz w:val="24"/>
          <w:szCs w:val="24"/>
          <w:color w:val="auto"/>
        </w:rPr>
        <w:t>3 of the Reserve Bank of India Act, 1934;</w:t>
      </w:r>
    </w:p>
    <w:p>
      <w:pPr>
        <w:spacing w:after="0" w:line="44" w:lineRule="exact"/>
        <w:rPr>
          <w:sz w:val="20"/>
          <w:szCs w:val="20"/>
          <w:color w:val="auto"/>
        </w:rPr>
      </w:pPr>
    </w:p>
    <w:p>
      <w:pPr>
        <w:ind w:left="840" w:right="280" w:hanging="480"/>
        <w:spacing w:after="0" w:line="209" w:lineRule="auto"/>
        <w:rPr>
          <w:sz w:val="20"/>
          <w:szCs w:val="20"/>
          <w:color w:val="auto"/>
        </w:rPr>
      </w:pPr>
      <w:r>
        <w:rPr>
          <w:rFonts w:ascii="Arial" w:cs="Arial" w:eastAsia="Arial" w:hAnsi="Arial"/>
          <w:sz w:val="31"/>
          <w:szCs w:val="31"/>
          <w:color w:val="auto"/>
          <w:vertAlign w:val="superscript"/>
        </w:rPr>
        <w:t>6</w:t>
      </w:r>
      <w:r>
        <w:rPr>
          <w:rFonts w:ascii="Arial" w:cs="Arial" w:eastAsia="Arial" w:hAnsi="Arial"/>
          <w:sz w:val="24"/>
          <w:szCs w:val="24"/>
          <w:b w:val="1"/>
          <w:bCs w:val="1"/>
          <w:color w:val="auto"/>
        </w:rPr>
        <w:t>[</w:t>
      </w:r>
      <w:r>
        <w:rPr>
          <w:rFonts w:ascii="Arial" w:cs="Arial" w:eastAsia="Arial" w:hAnsi="Arial"/>
          <w:sz w:val="24"/>
          <w:szCs w:val="24"/>
          <w:color w:val="auto"/>
        </w:rPr>
        <w:t>(e)</w:t>
      </w:r>
      <w:r>
        <w:rPr>
          <w:rFonts w:ascii="Arial" w:cs="Arial" w:eastAsia="Arial" w:hAnsi="Arial"/>
          <w:sz w:val="24"/>
          <w:szCs w:val="24"/>
          <w:b w:val="1"/>
          <w:bCs w:val="1"/>
          <w:color w:val="auto"/>
        </w:rPr>
        <w:t xml:space="preserve"> </w:t>
      </w:r>
      <w:r>
        <w:rPr>
          <w:rFonts w:ascii="Arial" w:cs="Arial" w:eastAsia="Arial" w:hAnsi="Arial"/>
          <w:sz w:val="24"/>
          <w:szCs w:val="24"/>
          <w:color w:val="auto"/>
        </w:rPr>
        <w:t>“scheduled bank” means a bank included in the Second Schedule of the</w:t>
      </w:r>
      <w:r>
        <w:rPr>
          <w:rFonts w:ascii="Arial" w:cs="Arial" w:eastAsia="Arial" w:hAnsi="Arial"/>
          <w:sz w:val="24"/>
          <w:szCs w:val="24"/>
          <w:b w:val="1"/>
          <w:bCs w:val="1"/>
          <w:color w:val="auto"/>
        </w:rPr>
        <w:t xml:space="preserve"> </w:t>
      </w:r>
      <w:r>
        <w:rPr>
          <w:rFonts w:ascii="Arial" w:cs="Arial" w:eastAsia="Arial" w:hAnsi="Arial"/>
          <w:sz w:val="24"/>
          <w:szCs w:val="24"/>
          <w:color w:val="auto"/>
        </w:rPr>
        <w:t>Reserve Bank of India Act, 1934 (2 of 1934);</w:t>
      </w:r>
      <w:r>
        <w:rPr>
          <w:rFonts w:ascii="Arial" w:cs="Arial" w:eastAsia="Arial" w:hAnsi="Arial"/>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478155</wp:posOffset>
                </wp:positionV>
                <wp:extent cx="18294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7.65pt" to="162.05pt,37.6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360" w:right="260"/>
        <w:spacing w:after="0" w:line="212" w:lineRule="auto"/>
        <w:rPr>
          <w:sz w:val="20"/>
          <w:szCs w:val="20"/>
          <w:color w:val="auto"/>
        </w:rPr>
      </w:pPr>
      <w:r>
        <w:rPr>
          <w:rFonts w:ascii="Times New Roman" w:cs="Times New Roman" w:eastAsia="Times New Roman" w:hAnsi="Times New Roman"/>
          <w:sz w:val="25"/>
          <w:szCs w:val="25"/>
          <w:color w:val="auto"/>
          <w:vertAlign w:val="superscript"/>
        </w:rPr>
        <w:t>3</w:t>
      </w:r>
      <w:r>
        <w:rPr>
          <w:rFonts w:ascii="Times New Roman" w:cs="Times New Roman" w:eastAsia="Times New Roman" w:hAnsi="Times New Roman"/>
          <w:sz w:val="20"/>
          <w:szCs w:val="20"/>
          <w:color w:val="auto"/>
        </w:rPr>
        <w:t xml:space="preserve"> Omitted by Securities and Exchange Board of India (Change in conditions of Registration of Certain Intermediaries) (Amendment) Regulations, 2011. Prior to the omission clause (a) read as under:</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“(ad) change of status or constitution” in relation to a banker to an issue—</w:t>
      </w:r>
    </w:p>
    <w:p>
      <w:pPr>
        <w:spacing w:after="0" w:line="39" w:lineRule="exact"/>
        <w:rPr>
          <w:sz w:val="20"/>
          <w:szCs w:val="20"/>
          <w:color w:val="auto"/>
        </w:rPr>
      </w:pPr>
    </w:p>
    <w:p>
      <w:pPr>
        <w:ind w:left="1080" w:hanging="359"/>
        <w:spacing w:after="0"/>
        <w:tabs>
          <w:tab w:leader="none" w:pos="108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means any change in its status or constitution of whatsoever nature; and</w:t>
      </w:r>
    </w:p>
    <w:p>
      <w:pPr>
        <w:spacing w:after="0" w:line="38" w:lineRule="exact"/>
        <w:rPr>
          <w:rFonts w:ascii="Times New Roman" w:cs="Times New Roman" w:eastAsia="Times New Roman" w:hAnsi="Times New Roman"/>
          <w:sz w:val="20"/>
          <w:szCs w:val="20"/>
          <w:color w:val="auto"/>
        </w:rPr>
      </w:pPr>
    </w:p>
    <w:p>
      <w:pPr>
        <w:ind w:left="1080" w:hanging="359"/>
        <w:spacing w:after="0"/>
        <w:tabs>
          <w:tab w:leader="none" w:pos="108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without prejudice to generality of sub-clause (i), includes—</w:t>
      </w:r>
    </w:p>
    <w:p>
      <w:pPr>
        <w:spacing w:after="0" w:line="48" w:lineRule="exact"/>
        <w:rPr>
          <w:sz w:val="20"/>
          <w:szCs w:val="20"/>
          <w:color w:val="auto"/>
        </w:rPr>
      </w:pPr>
    </w:p>
    <w:p>
      <w:pPr>
        <w:jc w:val="both"/>
        <w:ind w:left="720" w:right="260" w:firstLine="1"/>
        <w:spacing w:after="0" w:line="237" w:lineRule="auto"/>
        <w:tabs>
          <w:tab w:leader="none" w:pos="108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amalgamation, demerger, consolidation or any other kind of corporate restructuring falling within the scope of section 391 of the Companies Act, 1956 (1 of 1956) or the corresponding provision of any other law for the time being in force;</w:t>
      </w:r>
    </w:p>
    <w:p>
      <w:pPr>
        <w:spacing w:after="0" w:line="40" w:lineRule="exact"/>
        <w:rPr>
          <w:rFonts w:ascii="Times New Roman" w:cs="Times New Roman" w:eastAsia="Times New Roman" w:hAnsi="Times New Roman"/>
          <w:sz w:val="20"/>
          <w:szCs w:val="20"/>
          <w:color w:val="auto"/>
        </w:rPr>
      </w:pPr>
    </w:p>
    <w:p>
      <w:pPr>
        <w:ind w:left="1040" w:hanging="319"/>
        <w:spacing w:after="0"/>
        <w:tabs>
          <w:tab w:leader="none" w:pos="104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change in its managing director or whole time director; and</w:t>
      </w:r>
    </w:p>
    <w:p>
      <w:pPr>
        <w:spacing w:after="0" w:line="43" w:lineRule="exact"/>
        <w:rPr>
          <w:rFonts w:ascii="Times New Roman" w:cs="Times New Roman" w:eastAsia="Times New Roman" w:hAnsi="Times New Roman"/>
          <w:sz w:val="20"/>
          <w:szCs w:val="20"/>
          <w:color w:val="auto"/>
        </w:rPr>
      </w:pPr>
    </w:p>
    <w:p>
      <w:pPr>
        <w:ind w:left="1620" w:hanging="357"/>
        <w:spacing w:after="0"/>
        <w:tabs>
          <w:tab w:leader="none" w:pos="1620" w:val="left"/>
        </w:tabs>
        <w:numPr>
          <w:ilvl w:val="1"/>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change in control over the body corporate;</w:t>
      </w:r>
    </w:p>
    <w:p>
      <w:pPr>
        <w:spacing w:after="0" w:line="278" w:lineRule="exact"/>
        <w:rPr>
          <w:sz w:val="20"/>
          <w:szCs w:val="20"/>
          <w:color w:val="auto"/>
        </w:rPr>
      </w:pPr>
    </w:p>
    <w:p>
      <w:pPr>
        <w:jc w:val="both"/>
        <w:ind w:left="360" w:right="260"/>
        <w:spacing w:after="0" w:line="237" w:lineRule="auto"/>
        <w:rPr>
          <w:sz w:val="20"/>
          <w:szCs w:val="20"/>
          <w:color w:val="auto"/>
        </w:rPr>
      </w:pPr>
      <w:r>
        <w:rPr>
          <w:rFonts w:ascii="Times New Roman" w:cs="Times New Roman" w:eastAsia="Times New Roman" w:hAnsi="Times New Roman"/>
          <w:sz w:val="20"/>
          <w:szCs w:val="20"/>
          <w:color w:val="auto"/>
        </w:rPr>
        <w:t>4 Clause (a) omitted by the Securities and Exchange Board of India (Procedure for Holding Enquiry by Enquiry Officer and Imposing Penalty) Regulations, 2002, w.e.f. 27-09-2002. Prior to the omission clause (a) read as under:</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“a. “enquiry officer” means any officer of the Board, or any other person, having experience in</w:t>
      </w:r>
    </w:p>
    <w:p>
      <w:pPr>
        <w:ind w:left="360"/>
        <w:spacing w:after="0" w:line="235" w:lineRule="auto"/>
        <w:rPr>
          <w:sz w:val="20"/>
          <w:szCs w:val="20"/>
          <w:color w:val="auto"/>
        </w:rPr>
      </w:pPr>
      <w:r>
        <w:rPr>
          <w:rFonts w:ascii="Times New Roman" w:cs="Times New Roman" w:eastAsia="Times New Roman" w:hAnsi="Times New Roman"/>
          <w:sz w:val="20"/>
          <w:szCs w:val="20"/>
          <w:color w:val="auto"/>
        </w:rPr>
        <w:t>dealing with the problems relating to securities market, who is authorized by the Board under Chapter V;”</w:t>
      </w:r>
    </w:p>
    <w:p>
      <w:pPr>
        <w:spacing w:after="0" w:line="10" w:lineRule="exact"/>
        <w:rPr>
          <w:sz w:val="20"/>
          <w:szCs w:val="20"/>
          <w:color w:val="auto"/>
        </w:rPr>
      </w:pPr>
    </w:p>
    <w:p>
      <w:pPr>
        <w:ind w:left="360" w:right="260"/>
        <w:spacing w:after="0" w:line="204" w:lineRule="auto"/>
        <w:tabs>
          <w:tab w:leader="none" w:pos="495" w:val="left"/>
        </w:tabs>
        <w:numPr>
          <w:ilvl w:val="0"/>
          <w:numId w:val="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(Bankers to an Issue) (Amendment) Regulations, 2006, w.e.f, 7-9-2006.</w:t>
      </w:r>
    </w:p>
    <w:p>
      <w:pPr>
        <w:spacing w:after="0" w:line="11" w:lineRule="exact"/>
        <w:rPr>
          <w:rFonts w:ascii="Times New Roman" w:cs="Times New Roman" w:eastAsia="Times New Roman" w:hAnsi="Times New Roman"/>
          <w:sz w:val="26"/>
          <w:szCs w:val="26"/>
          <w:color w:val="auto"/>
          <w:vertAlign w:val="superscript"/>
        </w:rPr>
      </w:pPr>
    </w:p>
    <w:p>
      <w:pPr>
        <w:ind w:left="360" w:right="280"/>
        <w:spacing w:after="0" w:line="204" w:lineRule="auto"/>
        <w:tabs>
          <w:tab w:leader="none" w:pos="553" w:val="left"/>
        </w:tabs>
        <w:numPr>
          <w:ilvl w:val="0"/>
          <w:numId w:val="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(Bankers to an Issue) (Amendment) Regulations, 2006, w.e.f, 7-9-2006. Prior to its substitution, clause (e) read as under:</w:t>
      </w:r>
    </w:p>
    <w:p>
      <w:pPr>
        <w:spacing w:after="0" w:line="2"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‘(e) “rules” means Securities and Exchange Board of India (Bankers to an Issue) Rules, 1994;’</w:t>
      </w:r>
    </w:p>
    <w:p>
      <w:pPr>
        <w:spacing w:after="0" w:line="216"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4</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17" w:right="1440" w:bottom="426" w:gutter="0" w:footer="0" w:header="0"/>
        </w:sectPr>
      </w:pPr>
    </w:p>
    <w:bookmarkStart w:id="4" w:name="page5"/>
    <w:bookmarkEnd w:id="4"/>
    <w:p>
      <w:pPr>
        <w:spacing w:after="0" w:line="11" w:lineRule="exact"/>
        <w:rPr>
          <w:sz w:val="20"/>
          <w:szCs w:val="20"/>
          <w:color w:val="auto"/>
        </w:rPr>
      </w:pPr>
    </w:p>
    <w:p>
      <w:pPr>
        <w:jc w:val="both"/>
        <w:ind w:left="840" w:right="280" w:hanging="345"/>
        <w:spacing w:after="0" w:line="224" w:lineRule="auto"/>
        <w:tabs>
          <w:tab w:leader="none" w:pos="840" w:val="left"/>
        </w:tabs>
        <w:numPr>
          <w:ilvl w:val="0"/>
          <w:numId w:val="17"/>
        </w:numPr>
        <w:rPr>
          <w:rFonts w:ascii="Arial" w:cs="Arial" w:eastAsia="Arial" w:hAnsi="Arial"/>
          <w:sz w:val="24"/>
          <w:szCs w:val="24"/>
          <w:color w:val="auto"/>
        </w:rPr>
      </w:pPr>
      <w:r>
        <w:rPr>
          <w:rFonts w:ascii="Arial" w:cs="Arial" w:eastAsia="Arial" w:hAnsi="Arial"/>
          <w:sz w:val="24"/>
          <w:szCs w:val="24"/>
          <w:color w:val="auto"/>
        </w:rPr>
        <w:t xml:space="preserve">words and expressions used and not defined in these regulations but defined in the Act </w:t>
      </w:r>
      <w:r>
        <w:rPr>
          <w:rFonts w:ascii="Arial" w:cs="Arial" w:eastAsia="Arial" w:hAnsi="Arial"/>
          <w:sz w:val="31"/>
          <w:szCs w:val="31"/>
          <w:color w:val="auto"/>
          <w:vertAlign w:val="superscript"/>
        </w:rPr>
        <w:t>7</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r>
        <w:rPr>
          <w:rFonts w:ascii="Arial" w:cs="Arial" w:eastAsia="Arial" w:hAnsi="Arial"/>
          <w:sz w:val="24"/>
          <w:szCs w:val="24"/>
          <w:color w:val="auto"/>
        </w:rPr>
        <w:t xml:space="preserve"> shall have the meanings respectively assigned to them in the Act </w:t>
      </w:r>
      <w:r>
        <w:rPr>
          <w:rFonts w:ascii="Arial" w:cs="Arial" w:eastAsia="Arial" w:hAnsi="Arial"/>
          <w:sz w:val="31"/>
          <w:szCs w:val="31"/>
          <w:color w:val="auto"/>
          <w:vertAlign w:val="superscript"/>
        </w:rPr>
        <w:t>8</w:t>
      </w:r>
      <w:r>
        <w:rPr>
          <w:rFonts w:ascii="Arial" w:cs="Arial" w:eastAsia="Arial" w:hAnsi="Arial"/>
          <w:sz w:val="24"/>
          <w:szCs w:val="24"/>
          <w:b w:val="1"/>
          <w:bCs w:val="1"/>
          <w:color w:val="auto"/>
        </w:rPr>
        <w:t>[</w:t>
      </w:r>
      <w:r>
        <w:rPr>
          <w:rFonts w:ascii="Arial" w:cs="Arial" w:eastAsia="Arial" w:hAnsi="Arial"/>
          <w:sz w:val="24"/>
          <w:szCs w:val="24"/>
          <w:color w:val="auto"/>
        </w:rPr>
        <w:t>***</w:t>
      </w:r>
      <w:r>
        <w:rPr>
          <w:rFonts w:ascii="Arial" w:cs="Arial" w:eastAsia="Arial" w:hAnsi="Arial"/>
          <w:sz w:val="24"/>
          <w:szCs w:val="24"/>
          <w:b w:val="1"/>
          <w:bCs w:val="1"/>
          <w:color w:val="auto"/>
        </w:rPr>
        <w:t>].</w:t>
      </w:r>
    </w:p>
    <w:p>
      <w:pPr>
        <w:spacing w:after="0" w:line="17" w:lineRule="exact"/>
        <w:rPr>
          <w:sz w:val="20"/>
          <w:szCs w:val="20"/>
          <w:color w:val="auto"/>
        </w:rPr>
      </w:pPr>
    </w:p>
    <w:p>
      <w:pPr>
        <w:jc w:val="center"/>
        <w:ind w:right="-99"/>
        <w:spacing w:after="0"/>
        <w:rPr>
          <w:sz w:val="20"/>
          <w:szCs w:val="20"/>
          <w:color w:val="auto"/>
        </w:rPr>
      </w:pPr>
      <w:r>
        <w:rPr>
          <w:rFonts w:ascii="Arial" w:cs="Arial" w:eastAsia="Arial" w:hAnsi="Arial"/>
          <w:sz w:val="24"/>
          <w:szCs w:val="24"/>
          <w:b w:val="1"/>
          <w:bCs w:val="1"/>
          <w:color w:val="auto"/>
        </w:rPr>
        <w:t>CHAPTER II</w:t>
      </w:r>
    </w:p>
    <w:p>
      <w:pPr>
        <w:spacing w:after="0" w:line="109" w:lineRule="exact"/>
        <w:rPr>
          <w:sz w:val="20"/>
          <w:szCs w:val="20"/>
          <w:color w:val="auto"/>
        </w:rPr>
      </w:pPr>
    </w:p>
    <w:p>
      <w:pPr>
        <w:ind w:left="360" w:right="2100" w:firstLine="1835"/>
        <w:spacing w:after="0" w:line="278" w:lineRule="auto"/>
        <w:rPr>
          <w:sz w:val="20"/>
          <w:szCs w:val="20"/>
          <w:color w:val="auto"/>
        </w:rPr>
      </w:pPr>
      <w:r>
        <w:rPr>
          <w:rFonts w:ascii="Arial" w:cs="Arial" w:eastAsia="Arial" w:hAnsi="Arial"/>
          <w:sz w:val="23"/>
          <w:szCs w:val="23"/>
          <w:b w:val="1"/>
          <w:bCs w:val="1"/>
          <w:color w:val="auto"/>
        </w:rPr>
        <w:t xml:space="preserve">REGISTRATION OF BANKERS TO AN ISSUE Application for grant of certificate </w:t>
      </w:r>
      <w:r>
        <w:rPr>
          <w:rFonts w:ascii="Arial" w:cs="Arial" w:eastAsia="Arial" w:hAnsi="Arial"/>
          <w:sz w:val="30"/>
          <w:szCs w:val="30"/>
          <w:b w:val="1"/>
          <w:bCs w:val="1"/>
          <w:color w:val="auto"/>
          <w:vertAlign w:val="superscript"/>
        </w:rPr>
        <w:t>9</w:t>
      </w:r>
      <w:r>
        <w:rPr>
          <w:rFonts w:ascii="Arial" w:cs="Arial" w:eastAsia="Arial" w:hAnsi="Arial"/>
          <w:sz w:val="23"/>
          <w:szCs w:val="23"/>
          <w:b w:val="1"/>
          <w:bCs w:val="1"/>
          <w:color w:val="auto"/>
        </w:rPr>
        <w:t xml:space="preserve">[of </w:t>
      </w:r>
      <w:r>
        <w:rPr>
          <w:rFonts w:ascii="Arial" w:cs="Arial" w:eastAsia="Arial" w:hAnsi="Arial"/>
          <w:sz w:val="30"/>
          <w:szCs w:val="30"/>
          <w:b w:val="1"/>
          <w:bCs w:val="1"/>
          <w:color w:val="auto"/>
          <w:vertAlign w:val="superscript"/>
        </w:rPr>
        <w:t>10</w:t>
      </w:r>
      <w:r>
        <w:rPr>
          <w:rFonts w:ascii="Arial" w:cs="Arial" w:eastAsia="Arial" w:hAnsi="Arial"/>
          <w:sz w:val="23"/>
          <w:szCs w:val="23"/>
          <w:b w:val="1"/>
          <w:bCs w:val="1"/>
          <w:color w:val="auto"/>
        </w:rPr>
        <w:t>[***] registration].</w:t>
      </w:r>
    </w:p>
    <w:p>
      <w:pPr>
        <w:ind w:left="360" w:right="280"/>
        <w:spacing w:after="0" w:line="207" w:lineRule="auto"/>
        <w:tabs>
          <w:tab w:leader="none" w:pos="692" w:val="left"/>
        </w:tabs>
        <w:numPr>
          <w:ilvl w:val="0"/>
          <w:numId w:val="18"/>
        </w:numPr>
        <w:rPr>
          <w:rFonts w:ascii="Arial" w:cs="Arial" w:eastAsia="Arial" w:hAnsi="Arial"/>
          <w:sz w:val="24"/>
          <w:szCs w:val="24"/>
          <w:b w:val="1"/>
          <w:bCs w:val="1"/>
          <w:color w:val="auto"/>
        </w:rPr>
      </w:pPr>
      <w:r>
        <w:rPr>
          <w:rFonts w:ascii="Arial" w:cs="Arial" w:eastAsia="Arial" w:hAnsi="Arial"/>
          <w:sz w:val="24"/>
          <w:szCs w:val="24"/>
          <w:color w:val="auto"/>
        </w:rPr>
        <w:t xml:space="preserve">(1) An application by scheduled bank for grant of a certificate </w:t>
      </w:r>
      <w:r>
        <w:rPr>
          <w:rFonts w:ascii="Arial" w:cs="Arial" w:eastAsia="Arial" w:hAnsi="Arial"/>
          <w:sz w:val="31"/>
          <w:szCs w:val="31"/>
          <w:color w:val="auto"/>
          <w:vertAlign w:val="superscript"/>
        </w:rPr>
        <w:t>11</w:t>
      </w:r>
      <w:r>
        <w:rPr>
          <w:rFonts w:ascii="Arial" w:cs="Arial" w:eastAsia="Arial" w:hAnsi="Arial"/>
          <w:sz w:val="24"/>
          <w:szCs w:val="24"/>
          <w:color w:val="auto"/>
        </w:rPr>
        <w:t xml:space="preserve">[of </w:t>
      </w:r>
      <w:r>
        <w:rPr>
          <w:rFonts w:ascii="Arial" w:cs="Arial" w:eastAsia="Arial" w:hAnsi="Arial"/>
          <w:sz w:val="31"/>
          <w:szCs w:val="31"/>
          <w:color w:val="auto"/>
          <w:vertAlign w:val="superscript"/>
        </w:rPr>
        <w:t>12</w:t>
      </w:r>
      <w:r>
        <w:rPr>
          <w:rFonts w:ascii="Arial" w:cs="Arial" w:eastAsia="Arial" w:hAnsi="Arial"/>
          <w:sz w:val="24"/>
          <w:szCs w:val="24"/>
          <w:color w:val="auto"/>
        </w:rPr>
        <w:t>[***] registration] as banker to an issue shall be made to the Board in Form A.</w:t>
      </w:r>
    </w:p>
    <w:p>
      <w:pPr>
        <w:spacing w:after="0" w:line="32" w:lineRule="exact"/>
        <w:rPr>
          <w:sz w:val="20"/>
          <w:szCs w:val="20"/>
          <w:color w:val="auto"/>
        </w:rPr>
      </w:pPr>
    </w:p>
    <w:p>
      <w:pPr>
        <w:ind w:left="360" w:right="280"/>
        <w:spacing w:after="0" w:line="213" w:lineRule="auto"/>
        <w:rPr>
          <w:sz w:val="20"/>
          <w:szCs w:val="20"/>
          <w:color w:val="auto"/>
        </w:rPr>
      </w:pPr>
      <w:r>
        <w:rPr>
          <w:rFonts w:ascii="Arial" w:cs="Arial" w:eastAsia="Arial" w:hAnsi="Arial"/>
          <w:sz w:val="31"/>
          <w:szCs w:val="31"/>
          <w:b w:val="1"/>
          <w:bCs w:val="1"/>
          <w:color w:val="auto"/>
          <w:vertAlign w:val="superscript"/>
        </w:rPr>
        <w:t>13</w:t>
      </w:r>
      <w:r>
        <w:rPr>
          <w:rFonts w:ascii="Arial" w:cs="Arial" w:eastAsia="Arial" w:hAnsi="Arial"/>
          <w:sz w:val="24"/>
          <w:szCs w:val="24"/>
          <w:b w:val="1"/>
          <w:bCs w:val="1"/>
          <w:color w:val="auto"/>
        </w:rPr>
        <w:t>[</w:t>
      </w:r>
      <w:r>
        <w:rPr>
          <w:rFonts w:ascii="Arial" w:cs="Arial" w:eastAsia="Arial" w:hAnsi="Arial"/>
          <w:sz w:val="24"/>
          <w:szCs w:val="24"/>
          <w:color w:val="auto"/>
        </w:rPr>
        <w:t>(1A) An application for registration made under sub-regulation (1) shall be</w:t>
      </w:r>
      <w:r>
        <w:rPr>
          <w:rFonts w:ascii="Arial" w:cs="Arial" w:eastAsia="Arial" w:hAnsi="Arial"/>
          <w:sz w:val="24"/>
          <w:szCs w:val="24"/>
          <w:b w:val="1"/>
          <w:bCs w:val="1"/>
          <w:color w:val="auto"/>
        </w:rPr>
        <w:t xml:space="preserve"> </w:t>
      </w:r>
      <w:r>
        <w:rPr>
          <w:rFonts w:ascii="Arial" w:cs="Arial" w:eastAsia="Arial" w:hAnsi="Arial"/>
          <w:sz w:val="24"/>
          <w:szCs w:val="24"/>
          <w:color w:val="auto"/>
        </w:rPr>
        <w:t>accompanied by a non-refundable application fee as specified in Schedule II.</w:t>
      </w:r>
      <w:r>
        <w:rPr>
          <w:rFonts w:ascii="Arial" w:cs="Arial" w:eastAsia="Arial" w:hAnsi="Arial"/>
          <w:sz w:val="24"/>
          <w:szCs w:val="24"/>
          <w:b w:val="1"/>
          <w:bCs w:val="1"/>
          <w:color w:val="auto"/>
        </w:rPr>
        <w:t>]</w:t>
      </w:r>
    </w:p>
    <w:p>
      <w:pPr>
        <w:spacing w:after="0" w:line="52" w:lineRule="exact"/>
        <w:rPr>
          <w:sz w:val="20"/>
          <w:szCs w:val="20"/>
          <w:color w:val="auto"/>
        </w:rPr>
      </w:pPr>
    </w:p>
    <w:p>
      <w:pPr>
        <w:jc w:val="both"/>
        <w:ind w:left="360" w:right="280"/>
        <w:spacing w:after="0" w:line="237" w:lineRule="auto"/>
        <w:tabs>
          <w:tab w:leader="none" w:pos="806" w:val="left"/>
        </w:tabs>
        <w:numPr>
          <w:ilvl w:val="0"/>
          <w:numId w:val="19"/>
        </w:numPr>
        <w:rPr>
          <w:rFonts w:ascii="Arial" w:cs="Arial" w:eastAsia="Arial" w:hAnsi="Arial"/>
          <w:sz w:val="24"/>
          <w:szCs w:val="24"/>
          <w:color w:val="auto"/>
        </w:rPr>
      </w:pPr>
      <w:r>
        <w:rPr>
          <w:rFonts w:ascii="Arial" w:cs="Arial" w:eastAsia="Arial" w:hAnsi="Arial"/>
          <w:sz w:val="24"/>
          <w:szCs w:val="24"/>
          <w:color w:val="auto"/>
        </w:rPr>
        <w:t>Notwithstanding anything contained in sub-regulation (1), any application made prior to coming into force of these regulations containing such particulars or as near thereto as mentioned in Form A shall be treated as an application made in pursuance of sub-regulation (1) and dealt with accordingly.</w:t>
      </w:r>
    </w:p>
    <w:p>
      <w:pPr>
        <w:spacing w:after="0" w:line="35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Application to conform to the requirements.</w:t>
      </w:r>
    </w:p>
    <w:p>
      <w:pPr>
        <w:spacing w:after="0" w:line="52" w:lineRule="exact"/>
        <w:rPr>
          <w:sz w:val="20"/>
          <w:szCs w:val="20"/>
          <w:color w:val="auto"/>
        </w:rPr>
      </w:pPr>
    </w:p>
    <w:p>
      <w:pPr>
        <w:jc w:val="both"/>
        <w:ind w:left="360" w:right="280"/>
        <w:spacing w:after="0" w:line="236" w:lineRule="auto"/>
        <w:tabs>
          <w:tab w:leader="none" w:pos="649" w:val="left"/>
        </w:tabs>
        <w:numPr>
          <w:ilvl w:val="0"/>
          <w:numId w:val="20"/>
        </w:numPr>
        <w:rPr>
          <w:rFonts w:ascii="Arial" w:cs="Arial" w:eastAsia="Arial" w:hAnsi="Arial"/>
          <w:sz w:val="24"/>
          <w:szCs w:val="24"/>
          <w:b w:val="1"/>
          <w:bCs w:val="1"/>
          <w:color w:val="auto"/>
        </w:rPr>
      </w:pPr>
      <w:r>
        <w:rPr>
          <w:rFonts w:ascii="Arial" w:cs="Arial" w:eastAsia="Arial" w:hAnsi="Arial"/>
          <w:sz w:val="24"/>
          <w:szCs w:val="24"/>
          <w:color w:val="auto"/>
        </w:rPr>
        <w:t>Subject to the provisions of sub-regulation (2) of regulation 3, any application, which is not complete in all respects and does not conform to the instructions specified in the form, shall be rejected:</w:t>
      </w:r>
    </w:p>
    <w:p>
      <w:pPr>
        <w:spacing w:after="0" w:line="55" w:lineRule="exact"/>
        <w:rPr>
          <w:sz w:val="20"/>
          <w:szCs w:val="20"/>
          <w:color w:val="auto"/>
        </w:rPr>
      </w:pPr>
    </w:p>
    <w:p>
      <w:pPr>
        <w:jc w:val="both"/>
        <w:ind w:left="360" w:right="260"/>
        <w:spacing w:after="0" w:line="236"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before rejecting any such application, the applicant shall be given</w:t>
      </w:r>
      <w:r>
        <w:rPr>
          <w:rFonts w:ascii="Arial" w:cs="Arial" w:eastAsia="Arial" w:hAnsi="Arial"/>
          <w:sz w:val="24"/>
          <w:szCs w:val="24"/>
          <w:b w:val="1"/>
          <w:bCs w:val="1"/>
          <w:color w:val="auto"/>
        </w:rPr>
        <w:t xml:space="preserve"> </w:t>
      </w:r>
      <w:r>
        <w:rPr>
          <w:rFonts w:ascii="Arial" w:cs="Arial" w:eastAsia="Arial" w:hAnsi="Arial"/>
          <w:sz w:val="24"/>
          <w:szCs w:val="24"/>
          <w:color w:val="auto"/>
        </w:rPr>
        <w:t>an opportunity to remove within the time specified such objections as may be indicated by the Board.</w:t>
      </w:r>
    </w:p>
    <w:p>
      <w:pPr>
        <w:spacing w:after="0" w:line="356"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Furnishing of information, clarification and personal representation.</w:t>
      </w:r>
    </w:p>
    <w:p>
      <w:pPr>
        <w:spacing w:after="0" w:line="52" w:lineRule="exact"/>
        <w:rPr>
          <w:sz w:val="20"/>
          <w:szCs w:val="20"/>
          <w:color w:val="auto"/>
        </w:rPr>
      </w:pPr>
    </w:p>
    <w:p>
      <w:pPr>
        <w:jc w:val="both"/>
        <w:ind w:left="360" w:right="260"/>
        <w:spacing w:after="0" w:line="237" w:lineRule="auto"/>
        <w:tabs>
          <w:tab w:leader="none" w:pos="701" w:val="left"/>
        </w:tabs>
        <w:numPr>
          <w:ilvl w:val="0"/>
          <w:numId w:val="21"/>
        </w:numPr>
        <w:rPr>
          <w:rFonts w:ascii="Arial" w:cs="Arial" w:eastAsia="Arial" w:hAnsi="Arial"/>
          <w:sz w:val="24"/>
          <w:szCs w:val="24"/>
          <w:b w:val="1"/>
          <w:bCs w:val="1"/>
          <w:color w:val="auto"/>
        </w:rPr>
      </w:pPr>
      <w:r>
        <w:rPr>
          <w:rFonts w:ascii="Arial" w:cs="Arial" w:eastAsia="Arial" w:hAnsi="Arial"/>
          <w:sz w:val="24"/>
          <w:szCs w:val="24"/>
          <w:color w:val="auto"/>
        </w:rPr>
        <w:t>(1) The Board may require the applicant to furnish further information or clarification regarding matters relevant to the activity of a banker to an issue for the purposes of disposal of the application.</w:t>
      </w:r>
    </w:p>
    <w:p>
      <w:pPr>
        <w:spacing w:after="0" w:line="52" w:lineRule="exact"/>
        <w:rPr>
          <w:sz w:val="20"/>
          <w:szCs w:val="20"/>
          <w:color w:val="auto"/>
        </w:rPr>
      </w:pPr>
    </w:p>
    <w:p>
      <w:pPr>
        <w:ind w:left="360" w:right="280"/>
        <w:spacing w:after="0" w:line="234" w:lineRule="auto"/>
        <w:tabs>
          <w:tab w:leader="none" w:pos="734" w:val="left"/>
        </w:tabs>
        <w:numPr>
          <w:ilvl w:val="0"/>
          <w:numId w:val="22"/>
        </w:numPr>
        <w:rPr>
          <w:rFonts w:ascii="Arial" w:cs="Arial" w:eastAsia="Arial" w:hAnsi="Arial"/>
          <w:sz w:val="24"/>
          <w:szCs w:val="24"/>
          <w:color w:val="auto"/>
        </w:rPr>
      </w:pPr>
      <w:r>
        <w:rPr>
          <w:rFonts w:ascii="Arial" w:cs="Arial" w:eastAsia="Arial" w:hAnsi="Arial"/>
          <w:sz w:val="24"/>
          <w:szCs w:val="24"/>
          <w:color w:val="auto"/>
        </w:rPr>
        <w:t>The applicant officer shall, if so required appear before the Board for personal representation through an officer duly authorised in this regard by the applicant.</w:t>
      </w:r>
    </w:p>
    <w:p>
      <w:pPr>
        <w:spacing w:after="0" w:line="358"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Consideration of application.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135890</wp:posOffset>
                </wp:positionV>
                <wp:extent cx="18294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0.7pt" to="162.05pt,10.7pt" o:allowincell="f" strokecolor="#000000" strokeweight="0.48pt"/>
            </w:pict>
          </mc:Fallback>
        </mc:AlternateContent>
      </w:r>
    </w:p>
    <w:p>
      <w:pPr>
        <w:spacing w:after="0" w:line="313" w:lineRule="exact"/>
        <w:rPr>
          <w:sz w:val="20"/>
          <w:szCs w:val="20"/>
          <w:color w:val="auto"/>
        </w:rPr>
      </w:pPr>
    </w:p>
    <w:p>
      <w:pPr>
        <w:ind w:left="360" w:right="260"/>
        <w:spacing w:after="0" w:line="204" w:lineRule="auto"/>
        <w:tabs>
          <w:tab w:leader="none" w:pos="490"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“and the rules” were omitted by the Securities and Exchange Board of India (Bankers to an Issue) (Amendment) Regulations, 2006, w.e.f, 7-9-2006.</w:t>
      </w:r>
    </w:p>
    <w:p>
      <w:pPr>
        <w:spacing w:after="0" w:line="11" w:lineRule="exact"/>
        <w:rPr>
          <w:rFonts w:ascii="Times New Roman" w:cs="Times New Roman" w:eastAsia="Times New Roman" w:hAnsi="Times New Roman"/>
          <w:sz w:val="26"/>
          <w:szCs w:val="26"/>
          <w:color w:val="auto"/>
          <w:vertAlign w:val="superscript"/>
        </w:rPr>
      </w:pPr>
    </w:p>
    <w:p>
      <w:pPr>
        <w:ind w:left="360" w:right="260"/>
        <w:spacing w:after="0" w:line="204" w:lineRule="auto"/>
        <w:tabs>
          <w:tab w:leader="none" w:pos="505"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“or the rules, as the case may be” were omitted by the Securities and Exchange Board of India (Bankers to an Issue) (Amendment) Regulations, 2006, w.e.f, 7-9-2006.</w:t>
      </w:r>
    </w:p>
    <w:p>
      <w:pPr>
        <w:spacing w:after="0" w:line="11" w:lineRule="exact"/>
        <w:rPr>
          <w:rFonts w:ascii="Times New Roman" w:cs="Times New Roman" w:eastAsia="Times New Roman" w:hAnsi="Times New Roman"/>
          <w:sz w:val="26"/>
          <w:szCs w:val="26"/>
          <w:color w:val="auto"/>
          <w:vertAlign w:val="superscript"/>
        </w:rPr>
      </w:pPr>
    </w:p>
    <w:p>
      <w:pPr>
        <w:ind w:left="360" w:right="280"/>
        <w:spacing w:after="0" w:line="205" w:lineRule="auto"/>
        <w:tabs>
          <w:tab w:leader="none" w:pos="495"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(Bankers to an Issue) (Amendment) Regulations, 2011, w.e.f.05-07-2011.</w:t>
      </w:r>
    </w:p>
    <w:p>
      <w:pPr>
        <w:spacing w:after="0" w:line="9" w:lineRule="exact"/>
        <w:rPr>
          <w:rFonts w:ascii="Times New Roman" w:cs="Times New Roman" w:eastAsia="Times New Roman" w:hAnsi="Times New Roman"/>
          <w:sz w:val="26"/>
          <w:szCs w:val="26"/>
          <w:color w:val="auto"/>
          <w:vertAlign w:val="superscript"/>
        </w:rPr>
      </w:pPr>
    </w:p>
    <w:p>
      <w:pPr>
        <w:ind w:left="360" w:right="260"/>
        <w:spacing w:after="0" w:line="204" w:lineRule="auto"/>
        <w:tabs>
          <w:tab w:leader="none" w:pos="557"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6" w:lineRule="exact"/>
        <w:rPr>
          <w:rFonts w:ascii="Times New Roman" w:cs="Times New Roman" w:eastAsia="Times New Roman" w:hAnsi="Times New Roman"/>
          <w:sz w:val="26"/>
          <w:szCs w:val="26"/>
          <w:color w:val="auto"/>
          <w:vertAlign w:val="superscript"/>
        </w:rPr>
      </w:pPr>
    </w:p>
    <w:p>
      <w:pPr>
        <w:ind w:left="360" w:right="260"/>
        <w:spacing w:after="0" w:line="204" w:lineRule="auto"/>
        <w:tabs>
          <w:tab w:leader="none" w:pos="557"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(Bankers to an Issue) (Amendment) Regulations, 2011, w.e.f. 05-07-2011.</w:t>
      </w:r>
    </w:p>
    <w:p>
      <w:pPr>
        <w:spacing w:after="0" w:line="11" w:lineRule="exact"/>
        <w:rPr>
          <w:rFonts w:ascii="Times New Roman" w:cs="Times New Roman" w:eastAsia="Times New Roman" w:hAnsi="Times New Roman"/>
          <w:sz w:val="26"/>
          <w:szCs w:val="26"/>
          <w:color w:val="auto"/>
          <w:vertAlign w:val="superscript"/>
        </w:rPr>
      </w:pPr>
    </w:p>
    <w:p>
      <w:pPr>
        <w:ind w:left="360" w:right="260"/>
        <w:spacing w:after="0" w:line="204" w:lineRule="auto"/>
        <w:tabs>
          <w:tab w:leader="none" w:pos="557"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360" w:right="280"/>
        <w:spacing w:after="0" w:line="205" w:lineRule="auto"/>
        <w:tabs>
          <w:tab w:leader="none" w:pos="557"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(Bankers to an Issue) (Amendment) Regulations, 2006, w.e.f, 7-9-2006.</w:t>
      </w:r>
    </w:p>
    <w:p>
      <w:pPr>
        <w:spacing w:after="0" w:line="217"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5</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5" w:name="page6"/>
    <w:bookmarkEnd w:id="5"/>
    <w:p>
      <w:pPr>
        <w:spacing w:after="0" w:line="11" w:lineRule="exact"/>
        <w:rPr>
          <w:sz w:val="20"/>
          <w:szCs w:val="20"/>
          <w:color w:val="auto"/>
        </w:rPr>
      </w:pPr>
    </w:p>
    <w:p>
      <w:pPr>
        <w:jc w:val="both"/>
        <w:ind w:left="360" w:right="280"/>
        <w:spacing w:after="0" w:line="236" w:lineRule="auto"/>
        <w:tabs>
          <w:tab w:leader="none" w:pos="653" w:val="left"/>
        </w:tabs>
        <w:numPr>
          <w:ilvl w:val="0"/>
          <w:numId w:val="24"/>
        </w:numPr>
        <w:rPr>
          <w:rFonts w:ascii="Arial" w:cs="Arial" w:eastAsia="Arial" w:hAnsi="Arial"/>
          <w:sz w:val="24"/>
          <w:szCs w:val="24"/>
          <w:b w:val="1"/>
          <w:bCs w:val="1"/>
          <w:color w:val="auto"/>
        </w:rPr>
      </w:pPr>
      <w:r>
        <w:rPr>
          <w:rFonts w:ascii="Arial" w:cs="Arial" w:eastAsia="Arial" w:hAnsi="Arial"/>
          <w:sz w:val="24"/>
          <w:szCs w:val="24"/>
          <w:color w:val="auto"/>
        </w:rPr>
        <w:t>The Board shall take into account for considering the grant of a certificate, all matters which are relevant to the activities relating to banker to an issue and in particular whether the applicant fulfils the following requirements, namely :—</w:t>
      </w:r>
    </w:p>
    <w:p>
      <w:pPr>
        <w:spacing w:after="0" w:line="55" w:lineRule="exact"/>
        <w:rPr>
          <w:rFonts w:ascii="Arial" w:cs="Arial" w:eastAsia="Arial" w:hAnsi="Arial"/>
          <w:sz w:val="24"/>
          <w:szCs w:val="24"/>
          <w:b w:val="1"/>
          <w:bCs w:val="1"/>
          <w:color w:val="auto"/>
        </w:rPr>
      </w:pPr>
    </w:p>
    <w:p>
      <w:pPr>
        <w:ind w:left="840" w:right="280" w:hanging="412"/>
        <w:spacing w:after="0" w:line="234" w:lineRule="auto"/>
        <w:tabs>
          <w:tab w:leader="none" w:pos="840" w:val="left"/>
        </w:tabs>
        <w:numPr>
          <w:ilvl w:val="1"/>
          <w:numId w:val="24"/>
        </w:numPr>
        <w:rPr>
          <w:rFonts w:ascii="Arial" w:cs="Arial" w:eastAsia="Arial" w:hAnsi="Arial"/>
          <w:sz w:val="24"/>
          <w:szCs w:val="24"/>
          <w:color w:val="auto"/>
        </w:rPr>
      </w:pPr>
      <w:r>
        <w:rPr>
          <w:rFonts w:ascii="Arial" w:cs="Arial" w:eastAsia="Arial" w:hAnsi="Arial"/>
          <w:sz w:val="24"/>
          <w:szCs w:val="24"/>
          <w:color w:val="auto"/>
        </w:rPr>
        <w:t>the applicant has the necessary infrastructure, communication and data processing facilities and manpower to effectively discharge its activities;</w:t>
      </w:r>
    </w:p>
    <w:p>
      <w:pPr>
        <w:spacing w:after="0" w:line="52" w:lineRule="exact"/>
        <w:rPr>
          <w:rFonts w:ascii="Arial" w:cs="Arial" w:eastAsia="Arial" w:hAnsi="Arial"/>
          <w:sz w:val="24"/>
          <w:szCs w:val="24"/>
          <w:color w:val="auto"/>
        </w:rPr>
      </w:pPr>
    </w:p>
    <w:p>
      <w:pPr>
        <w:jc w:val="both"/>
        <w:ind w:left="840" w:right="260" w:hanging="412"/>
        <w:spacing w:after="0" w:line="236" w:lineRule="auto"/>
        <w:tabs>
          <w:tab w:leader="none" w:pos="840" w:val="left"/>
        </w:tabs>
        <w:numPr>
          <w:ilvl w:val="1"/>
          <w:numId w:val="24"/>
        </w:numPr>
        <w:rPr>
          <w:rFonts w:ascii="Arial" w:cs="Arial" w:eastAsia="Arial" w:hAnsi="Arial"/>
          <w:sz w:val="24"/>
          <w:szCs w:val="24"/>
          <w:color w:val="auto"/>
        </w:rPr>
      </w:pPr>
      <w:r>
        <w:rPr>
          <w:rFonts w:ascii="Arial" w:cs="Arial" w:eastAsia="Arial" w:hAnsi="Arial"/>
          <w:sz w:val="24"/>
          <w:szCs w:val="24"/>
          <w:color w:val="auto"/>
        </w:rPr>
        <w:t>the applicant or any of its directors is not involved in any litigation connected with the securities market and which has an adverse bearing on the business of the applicant or has not been convicted of any economic offence;</w:t>
      </w:r>
    </w:p>
    <w:p>
      <w:pPr>
        <w:spacing w:after="0" w:line="43" w:lineRule="exact"/>
        <w:rPr>
          <w:rFonts w:ascii="Arial" w:cs="Arial" w:eastAsia="Arial" w:hAnsi="Arial"/>
          <w:sz w:val="24"/>
          <w:szCs w:val="24"/>
          <w:color w:val="auto"/>
        </w:rPr>
      </w:pPr>
    </w:p>
    <w:p>
      <w:pPr>
        <w:ind w:left="840" w:hanging="398"/>
        <w:spacing w:after="0"/>
        <w:tabs>
          <w:tab w:leader="none" w:pos="840" w:val="left"/>
        </w:tabs>
        <w:numPr>
          <w:ilvl w:val="1"/>
          <w:numId w:val="24"/>
        </w:numPr>
        <w:rPr>
          <w:rFonts w:ascii="Arial" w:cs="Arial" w:eastAsia="Arial" w:hAnsi="Arial"/>
          <w:sz w:val="24"/>
          <w:szCs w:val="24"/>
          <w:color w:val="auto"/>
        </w:rPr>
      </w:pPr>
      <w:r>
        <w:rPr>
          <w:rFonts w:ascii="Arial" w:cs="Arial" w:eastAsia="Arial" w:hAnsi="Arial"/>
          <w:sz w:val="24"/>
          <w:szCs w:val="24"/>
          <w:color w:val="auto"/>
        </w:rPr>
        <w:t>the applicant is a scheduled bank;</w:t>
      </w:r>
    </w:p>
    <w:p>
      <w:pPr>
        <w:spacing w:after="0" w:line="18" w:lineRule="exact"/>
        <w:rPr>
          <w:sz w:val="20"/>
          <w:szCs w:val="20"/>
          <w:color w:val="auto"/>
        </w:rPr>
      </w:pPr>
    </w:p>
    <w:p>
      <w:pPr>
        <w:ind w:left="360"/>
        <w:spacing w:after="0"/>
        <w:rPr>
          <w:sz w:val="20"/>
          <w:szCs w:val="20"/>
          <w:color w:val="auto"/>
        </w:rPr>
      </w:pPr>
      <w:r>
        <w:rPr>
          <w:rFonts w:ascii="Arial" w:cs="Arial" w:eastAsia="Arial" w:hAnsi="Arial"/>
          <w:sz w:val="31"/>
          <w:szCs w:val="31"/>
          <w:color w:val="auto"/>
          <w:vertAlign w:val="superscript"/>
        </w:rPr>
        <w:t>14</w:t>
      </w:r>
      <w:r>
        <w:rPr>
          <w:rFonts w:ascii="Arial" w:cs="Arial" w:eastAsia="Arial" w:hAnsi="Arial"/>
          <w:sz w:val="24"/>
          <w:szCs w:val="24"/>
          <w:b w:val="1"/>
          <w:bCs w:val="1"/>
          <w:color w:val="auto"/>
        </w:rPr>
        <w:t>[</w:t>
      </w:r>
      <w:r>
        <w:rPr>
          <w:rFonts w:ascii="Arial" w:cs="Arial" w:eastAsia="Arial" w:hAnsi="Arial"/>
          <w:sz w:val="24"/>
          <w:szCs w:val="24"/>
          <w:color w:val="auto"/>
        </w:rPr>
        <w:t>(cc) the applicant is a fit and proper person;</w:t>
      </w:r>
      <w:r>
        <w:rPr>
          <w:rFonts w:ascii="Arial" w:cs="Arial" w:eastAsia="Arial" w:hAnsi="Arial"/>
          <w:sz w:val="24"/>
          <w:szCs w:val="24"/>
          <w:b w:val="1"/>
          <w:bCs w:val="1"/>
          <w:color w:val="auto"/>
        </w:rPr>
        <w:t>]</w:t>
      </w:r>
    </w:p>
    <w:p>
      <w:pPr>
        <w:ind w:left="420"/>
        <w:spacing w:after="0" w:line="225" w:lineRule="auto"/>
        <w:rPr>
          <w:sz w:val="20"/>
          <w:szCs w:val="20"/>
          <w:color w:val="auto"/>
        </w:rPr>
      </w:pPr>
      <w:r>
        <w:rPr>
          <w:rFonts w:ascii="Arial" w:cs="Arial" w:eastAsia="Arial" w:hAnsi="Arial"/>
          <w:sz w:val="24"/>
          <w:szCs w:val="24"/>
          <w:color w:val="auto"/>
        </w:rPr>
        <w:t>(d) grant of certificate to the applicant is in the interest of investors.</w:t>
      </w:r>
    </w:p>
    <w:p>
      <w:pPr>
        <w:spacing w:after="0" w:line="249"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15</w:t>
      </w:r>
      <w:r>
        <w:rPr>
          <w:rFonts w:ascii="Arial" w:cs="Arial" w:eastAsia="Arial" w:hAnsi="Arial"/>
          <w:sz w:val="24"/>
          <w:szCs w:val="24"/>
          <w:b w:val="1"/>
          <w:bCs w:val="1"/>
          <w:color w:val="auto"/>
        </w:rPr>
        <w:t>[Criteria for fit and proper person</w:t>
      </w:r>
    </w:p>
    <w:p>
      <w:pPr>
        <w:jc w:val="both"/>
        <w:ind w:left="360" w:right="280"/>
        <w:spacing w:after="0" w:line="237" w:lineRule="auto"/>
        <w:rPr>
          <w:sz w:val="20"/>
          <w:szCs w:val="20"/>
          <w:color w:val="auto"/>
        </w:rPr>
      </w:pPr>
      <w:r>
        <w:rPr>
          <w:rFonts w:ascii="Arial" w:cs="Arial" w:eastAsia="Arial" w:hAnsi="Arial"/>
          <w:sz w:val="24"/>
          <w:szCs w:val="24"/>
          <w:b w:val="1"/>
          <w:bCs w:val="1"/>
          <w:color w:val="auto"/>
        </w:rPr>
        <w:t xml:space="preserve">6A. </w:t>
      </w:r>
      <w:r>
        <w:rPr>
          <w:rFonts w:ascii="Arial" w:cs="Arial" w:eastAsia="Arial" w:hAnsi="Arial"/>
          <w:sz w:val="24"/>
          <w:szCs w:val="24"/>
          <w:color w:val="auto"/>
        </w:rPr>
        <w:t>For the purpose of determining whether an applicant or the banker to an issue</w:t>
      </w:r>
      <w:r>
        <w:rPr>
          <w:rFonts w:ascii="Arial" w:cs="Arial" w:eastAsia="Arial" w:hAnsi="Arial"/>
          <w:sz w:val="24"/>
          <w:szCs w:val="24"/>
          <w:b w:val="1"/>
          <w:bCs w:val="1"/>
          <w:color w:val="auto"/>
        </w:rPr>
        <w:t xml:space="preserve"> </w:t>
      </w:r>
      <w:r>
        <w:rPr>
          <w:rFonts w:ascii="Arial" w:cs="Arial" w:eastAsia="Arial" w:hAnsi="Arial"/>
          <w:sz w:val="24"/>
          <w:szCs w:val="24"/>
          <w:color w:val="auto"/>
        </w:rPr>
        <w:t>is a fit and proper person, the Board may take into account the criteria specified in Schedule II of the Securities and Exchange Board of India (Intermediaries) Regulations, 2008</w:t>
      </w:r>
      <w:r>
        <w:rPr>
          <w:rFonts w:ascii="Arial" w:cs="Arial" w:eastAsia="Arial" w:hAnsi="Arial"/>
          <w:sz w:val="24"/>
          <w:szCs w:val="24"/>
          <w:b w:val="1"/>
          <w:bCs w:val="1"/>
          <w:color w:val="auto"/>
        </w:rPr>
        <w:t>]</w:t>
      </w:r>
    </w:p>
    <w:p>
      <w:pPr>
        <w:spacing w:after="0" w:line="253"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16</w:t>
      </w:r>
      <w:r>
        <w:rPr>
          <w:rFonts w:ascii="Arial" w:cs="Arial" w:eastAsia="Arial" w:hAnsi="Arial"/>
          <w:sz w:val="24"/>
          <w:szCs w:val="24"/>
          <w:b w:val="1"/>
          <w:bCs w:val="1"/>
          <w:color w:val="auto"/>
        </w:rPr>
        <w:t xml:space="preserve">[7. Grant of certificate of </w:t>
      </w:r>
      <w:r>
        <w:rPr>
          <w:rFonts w:ascii="Arial" w:cs="Arial" w:eastAsia="Arial" w:hAnsi="Arial"/>
          <w:sz w:val="31"/>
          <w:szCs w:val="31"/>
          <w:b w:val="1"/>
          <w:bCs w:val="1"/>
          <w:color w:val="auto"/>
          <w:vertAlign w:val="superscript"/>
        </w:rPr>
        <w:t>17</w:t>
      </w:r>
      <w:r>
        <w:rPr>
          <w:rFonts w:ascii="Arial" w:cs="Arial" w:eastAsia="Arial" w:hAnsi="Arial"/>
          <w:sz w:val="24"/>
          <w:szCs w:val="24"/>
          <w:b w:val="1"/>
          <w:bCs w:val="1"/>
          <w:color w:val="auto"/>
        </w:rPr>
        <w:t>[***] registration.</w:t>
      </w:r>
    </w:p>
    <w:p>
      <w:pPr>
        <w:jc w:val="both"/>
        <w:ind w:left="360" w:right="260"/>
        <w:spacing w:after="0" w:line="219" w:lineRule="auto"/>
        <w:tabs>
          <w:tab w:leader="none" w:pos="782" w:val="left"/>
        </w:tabs>
        <w:numPr>
          <w:ilvl w:val="0"/>
          <w:numId w:val="25"/>
        </w:numPr>
        <w:rPr>
          <w:rFonts w:ascii="Arial" w:cs="Arial" w:eastAsia="Arial" w:hAnsi="Arial"/>
          <w:sz w:val="24"/>
          <w:szCs w:val="24"/>
          <w:color w:val="auto"/>
        </w:rPr>
      </w:pPr>
      <w:r>
        <w:rPr>
          <w:rFonts w:ascii="Arial" w:cs="Arial" w:eastAsia="Arial" w:hAnsi="Arial"/>
          <w:sz w:val="24"/>
          <w:szCs w:val="24"/>
          <w:color w:val="auto"/>
        </w:rPr>
        <w:t xml:space="preserve">The Board, on being satisfied that the applicant is eligible, shall send an intimation to the applicant, within one month of such satisfaction, that it has been found eligible for grant of certificate of </w:t>
      </w:r>
      <w:r>
        <w:rPr>
          <w:rFonts w:ascii="Arial" w:cs="Arial" w:eastAsia="Arial" w:hAnsi="Arial"/>
          <w:sz w:val="31"/>
          <w:szCs w:val="31"/>
          <w:color w:val="auto"/>
          <w:vertAlign w:val="superscript"/>
        </w:rPr>
        <w:t>18</w:t>
      </w:r>
      <w:r>
        <w:rPr>
          <w:rFonts w:ascii="Arial" w:cs="Arial" w:eastAsia="Arial" w:hAnsi="Arial"/>
          <w:sz w:val="24"/>
          <w:szCs w:val="24"/>
          <w:color w:val="auto"/>
        </w:rPr>
        <w:t>[***] registration and grant a certificate in Form B.</w:t>
      </w:r>
    </w:p>
    <w:p>
      <w:pPr>
        <w:spacing w:after="0" w:line="9" w:lineRule="exact"/>
        <w:rPr>
          <w:rFonts w:ascii="Arial" w:cs="Arial" w:eastAsia="Arial" w:hAnsi="Arial"/>
          <w:sz w:val="24"/>
          <w:szCs w:val="24"/>
          <w:color w:val="auto"/>
        </w:rPr>
      </w:pPr>
    </w:p>
    <w:p>
      <w:pPr>
        <w:ind w:left="360" w:right="280"/>
        <w:spacing w:after="0" w:line="207" w:lineRule="auto"/>
        <w:rPr>
          <w:rFonts w:ascii="Arial" w:cs="Arial" w:eastAsia="Arial" w:hAnsi="Arial"/>
          <w:sz w:val="24"/>
          <w:szCs w:val="24"/>
          <w:color w:val="auto"/>
        </w:rPr>
      </w:pPr>
      <w:r>
        <w:rPr>
          <w:rFonts w:ascii="Arial" w:cs="Arial" w:eastAsia="Arial" w:hAnsi="Arial"/>
          <w:sz w:val="31"/>
          <w:szCs w:val="31"/>
          <w:color w:val="auto"/>
          <w:vertAlign w:val="superscript"/>
        </w:rPr>
        <w:t>19</w:t>
      </w:r>
      <w:r>
        <w:rPr>
          <w:rFonts w:ascii="Arial" w:cs="Arial" w:eastAsia="Arial" w:hAnsi="Arial"/>
          <w:sz w:val="24"/>
          <w:szCs w:val="24"/>
          <w:color w:val="auto"/>
        </w:rPr>
        <w:t>[(2) The certificate of registration granted under sub- regulation (1) shall be valid unless it is suspended or cancelled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191770</wp:posOffset>
                </wp:positionV>
                <wp:extent cx="18294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5.1pt" to="162.05pt,15.1pt" o:allowincell="f" strokecolor="#000000" strokeweight="0.4799pt"/>
            </w:pict>
          </mc:Fallback>
        </mc:AlternateContent>
      </w:r>
    </w:p>
    <w:p>
      <w:pPr>
        <w:spacing w:after="0" w:line="200" w:lineRule="exact"/>
        <w:rPr>
          <w:sz w:val="20"/>
          <w:szCs w:val="20"/>
          <w:color w:val="auto"/>
        </w:rPr>
      </w:pPr>
    </w:p>
    <w:p>
      <w:pPr>
        <w:spacing w:after="0" w:line="201" w:lineRule="exact"/>
        <w:rPr>
          <w:sz w:val="20"/>
          <w:szCs w:val="20"/>
          <w:color w:val="auto"/>
        </w:rPr>
      </w:pPr>
    </w:p>
    <w:p>
      <w:pPr>
        <w:ind w:left="360" w:right="280"/>
        <w:spacing w:after="0" w:line="204" w:lineRule="auto"/>
        <w:tabs>
          <w:tab w:leader="none" w:pos="557" w:val="left"/>
        </w:tabs>
        <w:numPr>
          <w:ilvl w:val="0"/>
          <w:numId w:val="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(Bankers to an Issue) (Amendment) Regulations, 1998, w.e.f. 05-01-1998.</w:t>
      </w:r>
    </w:p>
    <w:p>
      <w:pPr>
        <w:spacing w:after="0" w:line="1" w:lineRule="exact"/>
        <w:rPr>
          <w:rFonts w:ascii="Times New Roman" w:cs="Times New Roman" w:eastAsia="Times New Roman" w:hAnsi="Times New Roman"/>
          <w:sz w:val="26"/>
          <w:szCs w:val="26"/>
          <w:color w:val="auto"/>
          <w:vertAlign w:val="superscript"/>
        </w:rPr>
      </w:pPr>
    </w:p>
    <w:p>
      <w:pPr>
        <w:ind w:left="560" w:hanging="200"/>
        <w:spacing w:after="0" w:line="184" w:lineRule="auto"/>
        <w:tabs>
          <w:tab w:leader="none" w:pos="560" w:val="left"/>
        </w:tabs>
        <w:numPr>
          <w:ilvl w:val="0"/>
          <w:numId w:val="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(Intermediaries) Regulations, 2008, w.e.f. 26-</w:t>
      </w:r>
    </w:p>
    <w:p>
      <w:pPr>
        <w:spacing w:after="0" w:line="18" w:lineRule="exact"/>
        <w:rPr>
          <w:rFonts w:ascii="Times New Roman" w:cs="Times New Roman" w:eastAsia="Times New Roman" w:hAnsi="Times New Roman"/>
          <w:sz w:val="26"/>
          <w:szCs w:val="26"/>
          <w:color w:val="auto"/>
          <w:vertAlign w:val="superscript"/>
        </w:rPr>
      </w:pPr>
    </w:p>
    <w:p>
      <w:pPr>
        <w:ind w:left="360" w:right="280"/>
        <w:spacing w:after="0" w:line="23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05-2008. Prior to its substitution, the Regulation 6A as inserted by the Securities and Exchange Board of India (Criteria for Fit and Proper Person) Regulations, 2004, w.e.f. 20-03-2004, read as under:</w:t>
      </w:r>
    </w:p>
    <w:p>
      <w:pPr>
        <w:spacing w:after="0" w:line="10" w:lineRule="exact"/>
        <w:rPr>
          <w:rFonts w:ascii="Times New Roman" w:cs="Times New Roman" w:eastAsia="Times New Roman" w:hAnsi="Times New Roman"/>
          <w:sz w:val="26"/>
          <w:szCs w:val="26"/>
          <w:color w:val="auto"/>
          <w:vertAlign w:val="superscript"/>
        </w:rPr>
      </w:pPr>
    </w:p>
    <w:p>
      <w:pPr>
        <w:jc w:val="both"/>
        <w:ind w:left="360" w:right="26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“6A. Applicability of Securities and Exchange Board of India (Criteria for Fit and Proper Person) Regulations, 2004.- The Provisions of the Securities and Exchange Board of India (Criteria for Fit and Proper Person) Regulations, 2004 shall, as far as may be, apply to all applicants or underwriters under these regulations.”</w:t>
      </w:r>
    </w:p>
    <w:p>
      <w:pPr>
        <w:spacing w:after="0" w:line="5" w:lineRule="exact"/>
        <w:rPr>
          <w:rFonts w:ascii="Times New Roman" w:cs="Times New Roman" w:eastAsia="Times New Roman" w:hAnsi="Times New Roman"/>
          <w:sz w:val="26"/>
          <w:szCs w:val="26"/>
          <w:color w:val="auto"/>
          <w:vertAlign w:val="superscript"/>
        </w:rPr>
      </w:pPr>
    </w:p>
    <w:p>
      <w:pPr>
        <w:ind w:left="360" w:right="260"/>
        <w:spacing w:after="0" w:line="204" w:lineRule="auto"/>
        <w:tabs>
          <w:tab w:leader="none" w:pos="615" w:val="left"/>
        </w:tabs>
        <w:numPr>
          <w:ilvl w:val="0"/>
          <w:numId w:val="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(Bankers to an Issue) (Amendment) Regulations, 2011. Prior to the substitution, the Regulation read as under:</w:t>
      </w:r>
    </w:p>
    <w:p>
      <w:pPr>
        <w:spacing w:after="0" w:line="11" w:lineRule="exact"/>
        <w:rPr>
          <w:rFonts w:ascii="Times New Roman" w:cs="Times New Roman" w:eastAsia="Times New Roman" w:hAnsi="Times New Roman"/>
          <w:sz w:val="26"/>
          <w:szCs w:val="26"/>
          <w:color w:val="auto"/>
          <w:vertAlign w:val="superscript"/>
        </w:rPr>
      </w:pPr>
    </w:p>
    <w:p>
      <w:pPr>
        <w:ind w:left="360" w:right="28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“Procedure for registration. 7. (1) The Board on being satisfied that the applicant is eligible shall grant a certificate in Form B and send an intimation to the applicant.</w:t>
      </w:r>
    </w:p>
    <w:p>
      <w:pPr>
        <w:spacing w:after="0" w:line="44"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On the grant of a certificate, the applicant shall be liable to pay the fees in accordance with Schedule II.”</w:t>
      </w:r>
    </w:p>
    <w:p>
      <w:pPr>
        <w:spacing w:after="0" w:line="48" w:lineRule="exact"/>
        <w:rPr>
          <w:rFonts w:ascii="Times New Roman" w:cs="Times New Roman" w:eastAsia="Times New Roman" w:hAnsi="Times New Roman"/>
          <w:sz w:val="26"/>
          <w:szCs w:val="26"/>
          <w:color w:val="auto"/>
          <w:vertAlign w:val="superscript"/>
        </w:rPr>
      </w:pPr>
    </w:p>
    <w:p>
      <w:pPr>
        <w:ind w:left="360" w:right="260"/>
        <w:spacing w:after="0" w:line="204" w:lineRule="auto"/>
        <w:tabs>
          <w:tab w:leader="none" w:pos="557" w:val="left"/>
        </w:tabs>
        <w:numPr>
          <w:ilvl w:val="0"/>
          <w:numId w:val="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360" w:right="260"/>
        <w:spacing w:after="0" w:line="202" w:lineRule="auto"/>
        <w:tabs>
          <w:tab w:leader="none" w:pos="557" w:val="left"/>
        </w:tabs>
        <w:numPr>
          <w:ilvl w:val="0"/>
          <w:numId w:val="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0" w:lineRule="exact"/>
        <w:rPr>
          <w:rFonts w:ascii="Times New Roman" w:cs="Times New Roman" w:eastAsia="Times New Roman" w:hAnsi="Times New Roman"/>
          <w:sz w:val="26"/>
          <w:szCs w:val="26"/>
          <w:color w:val="auto"/>
          <w:vertAlign w:val="superscript"/>
        </w:rPr>
      </w:pPr>
    </w:p>
    <w:p>
      <w:pPr>
        <w:jc w:val="both"/>
        <w:ind w:left="360" w:right="260"/>
        <w:spacing w:after="0" w:line="215" w:lineRule="auto"/>
        <w:tabs>
          <w:tab w:leader="none" w:pos="577" w:val="left"/>
        </w:tabs>
        <w:numPr>
          <w:ilvl w:val="0"/>
          <w:numId w:val="2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it read as under:</w:t>
      </w:r>
    </w:p>
    <w:p>
      <w:pPr>
        <w:spacing w:after="0" w:line="11" w:lineRule="exact"/>
        <w:rPr>
          <w:rFonts w:ascii="Times New Roman" w:cs="Times New Roman" w:eastAsia="Times New Roman" w:hAnsi="Times New Roman"/>
          <w:sz w:val="26"/>
          <w:szCs w:val="26"/>
          <w:color w:val="auto"/>
          <w:vertAlign w:val="superscript"/>
        </w:rPr>
      </w:pPr>
    </w:p>
    <w:p>
      <w:pPr>
        <w:ind w:left="360" w:right="2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certificate of initial registration granted under sub-regulation (1) shall be valid for a period of five years from the date of its issue to the applicant.”</w:t>
      </w:r>
    </w:p>
    <w:p>
      <w:pPr>
        <w:spacing w:after="0" w:line="218"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6</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6" w:name="page7"/>
    <w:bookmarkEnd w:id="6"/>
    <w:p>
      <w:pPr>
        <w:spacing w:after="0" w:line="2" w:lineRule="exact"/>
        <w:rPr>
          <w:sz w:val="20"/>
          <w:szCs w:val="20"/>
          <w:color w:val="auto"/>
        </w:rPr>
      </w:pPr>
    </w:p>
    <w:p>
      <w:pPr>
        <w:jc w:val="both"/>
        <w:ind w:left="360" w:right="280"/>
        <w:spacing w:after="0" w:line="226" w:lineRule="auto"/>
        <w:rPr>
          <w:sz w:val="20"/>
          <w:szCs w:val="20"/>
          <w:color w:val="auto"/>
        </w:rPr>
      </w:pPr>
      <w:r>
        <w:rPr>
          <w:rFonts w:ascii="Arial" w:cs="Arial" w:eastAsia="Arial" w:hAnsi="Arial"/>
          <w:sz w:val="31"/>
          <w:szCs w:val="31"/>
          <w:color w:val="auto"/>
          <w:vertAlign w:val="superscript"/>
        </w:rPr>
        <w:t>20</w:t>
      </w:r>
      <w:r>
        <w:rPr>
          <w:rFonts w:ascii="Arial" w:cs="Arial" w:eastAsia="Arial" w:hAnsi="Arial"/>
          <w:sz w:val="24"/>
          <w:szCs w:val="24"/>
          <w:color w:val="auto"/>
        </w:rPr>
        <w:t>[(3) The bankers to an issue who has already been granted certificate of registration by the Board, prior to the commencement of the Securities and Exchange Board of India (Change in Conditions of Registration of Certain Intermediaries) (Amendment) Regulations, 2016 shall be deemed to have been granted a certificate of registration, in terms of sub-regulation (1).]</w:t>
      </w:r>
    </w:p>
    <w:p>
      <w:pPr>
        <w:spacing w:after="0" w:line="3" w:lineRule="exact"/>
        <w:rPr>
          <w:sz w:val="20"/>
          <w:szCs w:val="20"/>
          <w:color w:val="auto"/>
        </w:rPr>
      </w:pPr>
    </w:p>
    <w:p>
      <w:pPr>
        <w:ind w:left="360" w:right="280"/>
        <w:spacing w:after="0" w:line="209" w:lineRule="auto"/>
        <w:tabs>
          <w:tab w:leader="none" w:pos="748" w:val="left"/>
        </w:tabs>
        <w:numPr>
          <w:ilvl w:val="0"/>
          <w:numId w:val="27"/>
        </w:numPr>
        <w:rPr>
          <w:rFonts w:ascii="Arial" w:cs="Arial" w:eastAsia="Arial" w:hAnsi="Arial"/>
          <w:sz w:val="24"/>
          <w:szCs w:val="24"/>
          <w:color w:val="auto"/>
        </w:rPr>
      </w:pPr>
      <w:r>
        <w:rPr>
          <w:rFonts w:ascii="Arial" w:cs="Arial" w:eastAsia="Arial" w:hAnsi="Arial"/>
          <w:sz w:val="24"/>
          <w:szCs w:val="24"/>
          <w:color w:val="auto"/>
        </w:rPr>
        <w:t xml:space="preserve">The grant of a certificate of </w:t>
      </w:r>
      <w:r>
        <w:rPr>
          <w:rFonts w:ascii="Arial" w:cs="Arial" w:eastAsia="Arial" w:hAnsi="Arial"/>
          <w:sz w:val="31"/>
          <w:szCs w:val="31"/>
          <w:color w:val="auto"/>
          <w:vertAlign w:val="superscript"/>
        </w:rPr>
        <w:t>21</w:t>
      </w:r>
      <w:r>
        <w:rPr>
          <w:rFonts w:ascii="Arial" w:cs="Arial" w:eastAsia="Arial" w:hAnsi="Arial"/>
          <w:sz w:val="24"/>
          <w:szCs w:val="24"/>
          <w:color w:val="auto"/>
        </w:rPr>
        <w:t>[***] registration shall be subject to payment of the registration fee as specified in Schedule II of these regulations.</w:t>
      </w:r>
      <w:r>
        <w:rPr>
          <w:rFonts w:ascii="Arial" w:cs="Arial" w:eastAsia="Arial" w:hAnsi="Arial"/>
          <w:sz w:val="24"/>
          <w:szCs w:val="24"/>
          <w:b w:val="1"/>
          <w:bCs w:val="1"/>
          <w:color w:val="auto"/>
        </w:rPr>
        <w:t>]</w:t>
      </w:r>
    </w:p>
    <w:p>
      <w:pPr>
        <w:spacing w:after="0" w:line="35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7A </w:t>
      </w:r>
      <w:r>
        <w:rPr>
          <w:rFonts w:ascii="Arial" w:cs="Arial" w:eastAsia="Arial" w:hAnsi="Arial"/>
          <w:sz w:val="31"/>
          <w:szCs w:val="31"/>
          <w:b w:val="1"/>
          <w:bCs w:val="1"/>
          <w:color w:val="auto"/>
          <w:vertAlign w:val="superscript"/>
        </w:rPr>
        <w:t>22</w:t>
      </w:r>
      <w:r>
        <w:rPr>
          <w:rFonts w:ascii="Arial" w:cs="Arial" w:eastAsia="Arial" w:hAnsi="Arial"/>
          <w:sz w:val="24"/>
          <w:szCs w:val="24"/>
          <w:b w:val="1"/>
          <w:bCs w:val="1"/>
          <w:color w:val="auto"/>
        </w:rPr>
        <w:t>[***]</w:t>
      </w:r>
    </w:p>
    <w:p>
      <w:pPr>
        <w:spacing w:after="0" w:line="35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8. </w:t>
      </w:r>
      <w:r>
        <w:rPr>
          <w:rFonts w:ascii="Arial" w:cs="Arial" w:eastAsia="Arial" w:hAnsi="Arial"/>
          <w:sz w:val="31"/>
          <w:szCs w:val="31"/>
          <w:b w:val="1"/>
          <w:bCs w:val="1"/>
          <w:color w:val="auto"/>
          <w:vertAlign w:val="superscript"/>
        </w:rPr>
        <w:t>23</w:t>
      </w:r>
      <w:r>
        <w:rPr>
          <w:rFonts w:ascii="Arial" w:cs="Arial" w:eastAsia="Arial" w:hAnsi="Arial"/>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366395</wp:posOffset>
                </wp:positionV>
                <wp:extent cx="18294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8.85pt" to="162.05pt,28.8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left="360" w:right="260"/>
        <w:spacing w:after="0" w:line="221" w:lineRule="auto"/>
        <w:rPr>
          <w:sz w:val="20"/>
          <w:szCs w:val="20"/>
          <w:color w:val="auto"/>
        </w:rPr>
      </w:pPr>
      <w:r>
        <w:rPr>
          <w:rFonts w:ascii="Times New Roman" w:cs="Times New Roman" w:eastAsia="Times New Roman" w:hAnsi="Times New Roman"/>
          <w:sz w:val="25"/>
          <w:szCs w:val="25"/>
          <w:color w:val="auto"/>
          <w:vertAlign w:val="superscript"/>
        </w:rPr>
        <w:t>20</w:t>
      </w:r>
      <w:r>
        <w:rPr>
          <w:rFonts w:ascii="Times New Roman" w:cs="Times New Roman" w:eastAsia="Times New Roman" w:hAnsi="Times New Roman"/>
          <w:sz w:val="20"/>
          <w:szCs w:val="20"/>
          <w:color w:val="auto"/>
        </w:rPr>
        <w:t xml:space="preserve"> Substituted by the Securities and Exchange Board of India (Change In Conditions Of Registration Of Certain Intermediaries) (Amendment) Regulations, 2016 w.e.f. 08-12-2016. Prior to substitution it read as under:</w:t>
      </w:r>
    </w:p>
    <w:p>
      <w:pPr>
        <w:spacing w:after="0" w:line="6" w:lineRule="exact"/>
        <w:rPr>
          <w:sz w:val="20"/>
          <w:szCs w:val="20"/>
          <w:color w:val="auto"/>
        </w:rPr>
      </w:pPr>
    </w:p>
    <w:p>
      <w:pPr>
        <w:jc w:val="both"/>
        <w:ind w:left="360" w:right="280"/>
        <w:spacing w:after="0" w:line="238" w:lineRule="auto"/>
        <w:rPr>
          <w:sz w:val="20"/>
          <w:szCs w:val="20"/>
          <w:color w:val="auto"/>
        </w:rPr>
      </w:pPr>
      <w:r>
        <w:rPr>
          <w:rFonts w:ascii="Times New Roman" w:cs="Times New Roman" w:eastAsia="Times New Roman" w:hAnsi="Times New Roman"/>
          <w:sz w:val="20"/>
          <w:szCs w:val="20"/>
          <w:color w:val="auto"/>
        </w:rPr>
        <w:t>“(3) The banker to an issue who has already been granted certificate of registration by the Board, prior to the commencement of the Securities and Exchange Board of India (Bankers to an Issue) (Amendment) Regulations, 2011, and has not completed a period of three years, shall be deemed to have been granted a certificate of initial registration for a period of five years from the date of its certificate of registration, subject to payment of fee for the remaining period of two years, as specified in Schedule II of these regulations.”</w:t>
      </w:r>
    </w:p>
    <w:p>
      <w:pPr>
        <w:spacing w:after="0" w:line="14" w:lineRule="exact"/>
        <w:rPr>
          <w:sz w:val="20"/>
          <w:szCs w:val="20"/>
          <w:color w:val="auto"/>
        </w:rPr>
      </w:pPr>
    </w:p>
    <w:p>
      <w:pPr>
        <w:ind w:left="360" w:right="260"/>
        <w:spacing w:after="0" w:line="204" w:lineRule="auto"/>
        <w:tabs>
          <w:tab w:leader="none" w:pos="557"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jc w:val="both"/>
        <w:ind w:left="360" w:right="260"/>
        <w:spacing w:after="0" w:line="221" w:lineRule="auto"/>
        <w:tabs>
          <w:tab w:leader="none" w:pos="553" w:val="left"/>
        </w:tabs>
        <w:numPr>
          <w:ilvl w:val="0"/>
          <w:numId w:val="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Regulation 7A was inserted by the Securities and Exchange Board of India (Bankers to an Issue) (Amendment) Regulations, 2011, w.e.f 05-07-2011 and read as under:</w:t>
      </w:r>
    </w:p>
    <w:p>
      <w:pPr>
        <w:spacing w:after="0" w:line="2"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7A. Grant of certificate of permanent registration.</w:t>
      </w:r>
    </w:p>
    <w:p>
      <w:pPr>
        <w:spacing w:after="0" w:line="86" w:lineRule="exact"/>
        <w:rPr>
          <w:sz w:val="20"/>
          <w:szCs w:val="20"/>
          <w:color w:val="auto"/>
        </w:rPr>
      </w:pPr>
    </w:p>
    <w:p>
      <w:pPr>
        <w:jc w:val="both"/>
        <w:ind w:left="360" w:right="280"/>
        <w:spacing w:after="0" w:line="237" w:lineRule="auto"/>
        <w:tabs>
          <w:tab w:leader="none" w:pos="672"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banker to an issue who has been granted or deemed to have been granted a certificate of initial registration under regulation 7, may, three months before the expiry of the period of certificate of initial registration, make an application for grant of a certificate of permanent registration in Form A</w:t>
      </w:r>
      <w:r>
        <w:rPr>
          <w:rFonts w:ascii="Times New Roman" w:cs="Times New Roman" w:eastAsia="Times New Roman" w:hAnsi="Times New Roman"/>
          <w:sz w:val="20"/>
          <w:szCs w:val="20"/>
          <w:b w:val="1"/>
          <w:bCs w:val="1"/>
          <w:color w:val="auto"/>
        </w:rPr>
        <w:t>.</w:t>
      </w:r>
    </w:p>
    <w:p>
      <w:pPr>
        <w:spacing w:after="0" w:line="86" w:lineRule="exact"/>
        <w:rPr>
          <w:rFonts w:ascii="Times New Roman" w:cs="Times New Roman" w:eastAsia="Times New Roman" w:hAnsi="Times New Roman"/>
          <w:sz w:val="20"/>
          <w:szCs w:val="20"/>
          <w:color w:val="auto"/>
        </w:rPr>
      </w:pPr>
    </w:p>
    <w:p>
      <w:pPr>
        <w:jc w:val="both"/>
        <w:ind w:left="360" w:right="260"/>
        <w:spacing w:after="0" w:line="238" w:lineRule="auto"/>
        <w:tabs>
          <w:tab w:leader="none" w:pos="662"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banker to an issue who has already been granted a certificate of registration by the Board and has completed a period of five years</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on the date of commencement of the Securities and Exchange Board of India (Bankers to an Issue) (Amendment) Regulations 2011, may, three months before the expiry of validity of certificate of registration or before, make an application for grant of a certificate of permanent registration in Form A.</w:t>
      </w:r>
    </w:p>
    <w:p>
      <w:pPr>
        <w:spacing w:after="0" w:line="93" w:lineRule="exact"/>
        <w:rPr>
          <w:rFonts w:ascii="Times New Roman" w:cs="Times New Roman" w:eastAsia="Times New Roman" w:hAnsi="Times New Roman"/>
          <w:sz w:val="20"/>
          <w:szCs w:val="20"/>
          <w:color w:val="auto"/>
        </w:rPr>
      </w:pPr>
    </w:p>
    <w:p>
      <w:pPr>
        <w:ind w:left="360" w:right="260"/>
        <w:spacing w:after="0" w:line="235" w:lineRule="auto"/>
        <w:tabs>
          <w:tab w:leader="none" w:pos="667"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 application under sub-regulation (1) or sub-regulation (2) shall be accompanied by non-refundable application fee as specified in Schedule II of these regulations.</w:t>
      </w:r>
    </w:p>
    <w:p>
      <w:pPr>
        <w:spacing w:after="0" w:line="87" w:lineRule="exact"/>
        <w:rPr>
          <w:rFonts w:ascii="Times New Roman" w:cs="Times New Roman" w:eastAsia="Times New Roman" w:hAnsi="Times New Roman"/>
          <w:sz w:val="20"/>
          <w:szCs w:val="20"/>
          <w:color w:val="auto"/>
        </w:rPr>
      </w:pPr>
    </w:p>
    <w:p>
      <w:pPr>
        <w:jc w:val="both"/>
        <w:ind w:left="360" w:right="260"/>
        <w:spacing w:after="0" w:line="238" w:lineRule="auto"/>
        <w:tabs>
          <w:tab w:leader="none" w:pos="648"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grant of a certificate of permanent registration shall be accompanied by details of the changes that have taken place in the information that was submitted to the Board while seeking initial registration or renewal, as the case may be, and a declaration stating that no changes other than those as mentioned in such details have taken place.</w:t>
      </w:r>
    </w:p>
    <w:p>
      <w:pPr>
        <w:spacing w:after="0" w:line="86" w:lineRule="exact"/>
        <w:rPr>
          <w:rFonts w:ascii="Times New Roman" w:cs="Times New Roman" w:eastAsia="Times New Roman" w:hAnsi="Times New Roman"/>
          <w:sz w:val="20"/>
          <w:szCs w:val="20"/>
          <w:color w:val="auto"/>
        </w:rPr>
      </w:pPr>
    </w:p>
    <w:p>
      <w:pPr>
        <w:ind w:left="360" w:right="260"/>
        <w:spacing w:after="0" w:line="235" w:lineRule="auto"/>
        <w:tabs>
          <w:tab w:leader="none" w:pos="648"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permanent registration made under sub-regulation (1) or (2) shall be dealt with in the same manner as if it were a fresh application for grant of a certificate of initial registration.</w:t>
      </w:r>
    </w:p>
    <w:p>
      <w:pPr>
        <w:spacing w:after="0" w:line="92" w:lineRule="exact"/>
        <w:rPr>
          <w:rFonts w:ascii="Times New Roman" w:cs="Times New Roman" w:eastAsia="Times New Roman" w:hAnsi="Times New Roman"/>
          <w:sz w:val="20"/>
          <w:szCs w:val="20"/>
          <w:color w:val="auto"/>
        </w:rPr>
      </w:pPr>
    </w:p>
    <w:p>
      <w:pPr>
        <w:ind w:left="360" w:right="260"/>
        <w:spacing w:after="0" w:line="235" w:lineRule="auto"/>
        <w:tabs>
          <w:tab w:leader="none" w:pos="696"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Board, on being satisfied that the applicant is eligible, shall grant a certificate of permanent registration in Form B and shall send an intimation to the applicant.</w:t>
      </w:r>
    </w:p>
    <w:p>
      <w:pPr>
        <w:spacing w:after="0" w:line="87" w:lineRule="exact"/>
        <w:rPr>
          <w:rFonts w:ascii="Times New Roman" w:cs="Times New Roman" w:eastAsia="Times New Roman" w:hAnsi="Times New Roman"/>
          <w:sz w:val="20"/>
          <w:szCs w:val="20"/>
          <w:color w:val="auto"/>
        </w:rPr>
      </w:pPr>
    </w:p>
    <w:p>
      <w:pPr>
        <w:ind w:left="360" w:right="280"/>
        <w:spacing w:after="0" w:line="235" w:lineRule="auto"/>
        <w:tabs>
          <w:tab w:leader="none" w:pos="681" w:val="left"/>
        </w:tabs>
        <w:numPr>
          <w:ilvl w:val="0"/>
          <w:numId w:val="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grant of a certificate of permanent registration shall be subject to payment of fees specified in Schedule II of these regulations.”</w:t>
      </w:r>
    </w:p>
    <w:p>
      <w:pPr>
        <w:spacing w:after="0" w:line="300"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7</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7" w:name="page8"/>
    <w:bookmarkEnd w:id="7"/>
    <w:p>
      <w:pPr>
        <w:spacing w:after="0" w:line="283"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24</w:t>
      </w:r>
      <w:r>
        <w:rPr>
          <w:rFonts w:ascii="Arial" w:cs="Arial" w:eastAsia="Arial" w:hAnsi="Arial"/>
          <w:sz w:val="24"/>
          <w:szCs w:val="24"/>
          <w:b w:val="1"/>
          <w:bCs w:val="1"/>
          <w:color w:val="auto"/>
        </w:rPr>
        <w:t>[Conditions of registration.</w:t>
      </w:r>
    </w:p>
    <w:p>
      <w:pPr>
        <w:ind w:left="360" w:right="280"/>
        <w:spacing w:after="0" w:line="206" w:lineRule="auto"/>
        <w:rPr>
          <w:sz w:val="20"/>
          <w:szCs w:val="20"/>
          <w:color w:val="auto"/>
        </w:rPr>
      </w:pPr>
      <w:r>
        <w:rPr>
          <w:rFonts w:ascii="Arial" w:cs="Arial" w:eastAsia="Arial" w:hAnsi="Arial"/>
          <w:sz w:val="24"/>
          <w:szCs w:val="24"/>
          <w:b w:val="1"/>
          <w:bCs w:val="1"/>
          <w:color w:val="auto"/>
        </w:rPr>
        <w:t xml:space="preserve">8A. </w:t>
      </w:r>
      <w:r>
        <w:rPr>
          <w:rFonts w:ascii="Arial" w:cs="Arial" w:eastAsia="Arial" w:hAnsi="Arial"/>
          <w:sz w:val="31"/>
          <w:szCs w:val="31"/>
          <w:color w:val="auto"/>
          <w:vertAlign w:val="superscript"/>
        </w:rPr>
        <w:t>25</w:t>
      </w:r>
      <w:r>
        <w:rPr>
          <w:rFonts w:ascii="Arial" w:cs="Arial" w:eastAsia="Arial" w:hAnsi="Arial"/>
          <w:sz w:val="24"/>
          <w:szCs w:val="24"/>
          <w:color w:val="auto"/>
        </w:rPr>
        <w:t>[(1)Registration granted under regulation 7 shall be subject to the following</w:t>
      </w:r>
      <w:r>
        <w:rPr>
          <w:rFonts w:ascii="Arial" w:cs="Arial" w:eastAsia="Arial" w:hAnsi="Arial"/>
          <w:sz w:val="24"/>
          <w:szCs w:val="24"/>
          <w:b w:val="1"/>
          <w:bCs w:val="1"/>
          <w:color w:val="auto"/>
        </w:rPr>
        <w:t xml:space="preserve"> </w:t>
      </w:r>
      <w:r>
        <w:rPr>
          <w:rFonts w:ascii="Arial" w:cs="Arial" w:eastAsia="Arial" w:hAnsi="Arial"/>
          <w:sz w:val="24"/>
          <w:szCs w:val="24"/>
          <w:color w:val="auto"/>
        </w:rPr>
        <w:t>conditions, namely – ”]</w:t>
      </w:r>
    </w:p>
    <w:p>
      <w:pPr>
        <w:spacing w:after="0" w:line="44" w:lineRule="exact"/>
        <w:rPr>
          <w:sz w:val="20"/>
          <w:szCs w:val="20"/>
          <w:color w:val="auto"/>
        </w:rPr>
      </w:pPr>
    </w:p>
    <w:p>
      <w:pPr>
        <w:ind w:left="360" w:right="260" w:firstLine="721"/>
        <w:spacing w:after="0" w:line="207" w:lineRule="auto"/>
        <w:tabs>
          <w:tab w:leader="none" w:pos="1801" w:val="left"/>
        </w:tabs>
        <w:numPr>
          <w:ilvl w:val="1"/>
          <w:numId w:val="30"/>
        </w:numPr>
        <w:rPr>
          <w:rFonts w:ascii="Arial" w:cs="Arial" w:eastAsia="Arial" w:hAnsi="Arial"/>
          <w:sz w:val="24"/>
          <w:szCs w:val="24"/>
          <w:color w:val="auto"/>
        </w:rPr>
      </w:pPr>
      <w:r>
        <w:rPr>
          <w:rFonts w:ascii="Arial" w:cs="Arial" w:eastAsia="Arial" w:hAnsi="Arial"/>
          <w:sz w:val="24"/>
          <w:szCs w:val="24"/>
          <w:color w:val="auto"/>
        </w:rPr>
        <w:t xml:space="preserve">where the banker to an issue proposes </w:t>
      </w:r>
      <w:r>
        <w:rPr>
          <w:rFonts w:ascii="Arial" w:cs="Arial" w:eastAsia="Arial" w:hAnsi="Arial"/>
          <w:sz w:val="31"/>
          <w:szCs w:val="31"/>
          <w:color w:val="auto"/>
          <w:vertAlign w:val="superscript"/>
        </w:rPr>
        <w:t>26</w:t>
      </w:r>
      <w:r>
        <w:rPr>
          <w:rFonts w:ascii="Arial" w:cs="Arial" w:eastAsia="Arial" w:hAnsi="Arial"/>
          <w:sz w:val="24"/>
          <w:szCs w:val="24"/>
          <w:color w:val="auto"/>
        </w:rPr>
        <w:t>[change in control], it shall obtain prior approval of the Board for continuing to act as such after the change;</w:t>
      </w:r>
    </w:p>
    <w:p>
      <w:pPr>
        <w:spacing w:after="0" w:line="53" w:lineRule="exact"/>
        <w:rPr>
          <w:rFonts w:ascii="Arial" w:cs="Arial" w:eastAsia="Arial" w:hAnsi="Arial"/>
          <w:sz w:val="24"/>
          <w:szCs w:val="24"/>
          <w:color w:val="auto"/>
        </w:rPr>
      </w:pPr>
    </w:p>
    <w:p>
      <w:pPr>
        <w:jc w:val="both"/>
        <w:ind w:left="720" w:right="280" w:firstLine="1"/>
        <w:spacing w:after="0" w:line="238" w:lineRule="auto"/>
        <w:tabs>
          <w:tab w:leader="none" w:pos="1080" w:val="left"/>
        </w:tabs>
        <w:numPr>
          <w:ilvl w:val="0"/>
          <w:numId w:val="31"/>
        </w:numPr>
        <w:rPr>
          <w:rFonts w:ascii="Arial" w:cs="Arial" w:eastAsia="Arial" w:hAnsi="Arial"/>
          <w:sz w:val="24"/>
          <w:szCs w:val="24"/>
          <w:color w:val="auto"/>
        </w:rPr>
      </w:pPr>
      <w:r>
        <w:rPr>
          <w:rFonts w:ascii="Arial" w:cs="Arial" w:eastAsia="Arial" w:hAnsi="Arial"/>
          <w:sz w:val="24"/>
          <w:szCs w:val="24"/>
          <w:color w:val="auto"/>
        </w:rPr>
        <w:t>it shall enter into a legally binding agreement with the body corporate for or on whose behalf it is acting as banker to an issue stating therein the allocation of duties and responsibilities between itself and the body corporate for the issue for which it is acting as a banker to an issue;</w:t>
      </w:r>
    </w:p>
    <w:p>
      <w:pPr>
        <w:spacing w:after="0" w:line="44" w:lineRule="exact"/>
        <w:rPr>
          <w:sz w:val="20"/>
          <w:szCs w:val="20"/>
          <w:color w:val="auto"/>
        </w:rPr>
      </w:pPr>
    </w:p>
    <w:p>
      <w:pPr>
        <w:ind w:left="720" w:right="280"/>
        <w:spacing w:after="0" w:line="207" w:lineRule="auto"/>
        <w:rPr>
          <w:sz w:val="20"/>
          <w:szCs w:val="20"/>
          <w:color w:val="auto"/>
        </w:rPr>
      </w:pPr>
      <w:r>
        <w:rPr>
          <w:rFonts w:ascii="Arial" w:cs="Arial" w:eastAsia="Arial" w:hAnsi="Arial"/>
          <w:sz w:val="31"/>
          <w:szCs w:val="31"/>
          <w:color w:val="auto"/>
          <w:vertAlign w:val="superscript"/>
        </w:rPr>
        <w:t>27</w:t>
      </w:r>
      <w:r>
        <w:rPr>
          <w:rFonts w:ascii="Arial" w:cs="Arial" w:eastAsia="Arial" w:hAnsi="Arial"/>
          <w:sz w:val="24"/>
          <w:szCs w:val="24"/>
          <w:color w:val="auto"/>
        </w:rPr>
        <w:t>[(c) it shall pay the fees for registration, in the manner provided in these regulations.]</w:t>
      </w:r>
    </w:p>
    <w:p>
      <w:pPr>
        <w:spacing w:after="0" w:line="53" w:lineRule="exact"/>
        <w:rPr>
          <w:sz w:val="20"/>
          <w:szCs w:val="20"/>
          <w:color w:val="auto"/>
        </w:rPr>
      </w:pPr>
    </w:p>
    <w:p>
      <w:pPr>
        <w:jc w:val="both"/>
        <w:ind w:left="720" w:right="280" w:firstLine="1"/>
        <w:spacing w:after="0" w:line="234" w:lineRule="auto"/>
        <w:tabs>
          <w:tab w:leader="none" w:pos="1080" w:val="left"/>
        </w:tabs>
        <w:numPr>
          <w:ilvl w:val="0"/>
          <w:numId w:val="32"/>
        </w:numPr>
        <w:rPr>
          <w:rFonts w:ascii="Arial" w:cs="Arial" w:eastAsia="Arial" w:hAnsi="Arial"/>
          <w:sz w:val="24"/>
          <w:szCs w:val="24"/>
          <w:color w:val="auto"/>
        </w:rPr>
      </w:pPr>
      <w:r>
        <w:rPr>
          <w:rFonts w:ascii="Arial" w:cs="Arial" w:eastAsia="Arial" w:hAnsi="Arial"/>
          <w:sz w:val="24"/>
          <w:szCs w:val="24"/>
          <w:color w:val="auto"/>
        </w:rPr>
        <w:t>it shall take adequate steps for redressal of grievances of the investors within one month of the date of the receipt of the complaint and keep the</w:t>
      </w:r>
    </w:p>
    <w:p>
      <w:pPr>
        <w:spacing w:after="0" w:line="3" w:lineRule="exact"/>
        <w:rPr>
          <w:sz w:val="20"/>
          <w:szCs w:val="20"/>
          <w:color w:val="auto"/>
        </w:rPr>
      </w:pPr>
    </w:p>
    <w:p>
      <w:pPr>
        <w:ind w:left="720"/>
        <w:spacing w:after="0"/>
        <w:tabs>
          <w:tab w:leader="none" w:pos="1520" w:val="left"/>
          <w:tab w:leader="none" w:pos="2620" w:val="left"/>
          <w:tab w:leader="none" w:pos="3400" w:val="left"/>
          <w:tab w:leader="none" w:pos="3900" w:val="left"/>
          <w:tab w:leader="none" w:pos="4940" w:val="left"/>
          <w:tab w:leader="none" w:pos="5800" w:val="left"/>
          <w:tab w:leader="none" w:pos="6360" w:val="left"/>
          <w:tab w:leader="none" w:pos="7080" w:val="left"/>
          <w:tab w:leader="none" w:pos="8360" w:val="left"/>
          <w:tab w:leader="none" w:pos="8740" w:val="left"/>
        </w:tabs>
        <w:rPr>
          <w:sz w:val="20"/>
          <w:szCs w:val="20"/>
          <w:color w:val="auto"/>
        </w:rPr>
      </w:pPr>
      <w:r>
        <w:rPr>
          <w:rFonts w:ascii="Arial" w:cs="Arial" w:eastAsia="Arial" w:hAnsi="Arial"/>
          <w:sz w:val="24"/>
          <w:szCs w:val="24"/>
          <w:color w:val="auto"/>
        </w:rPr>
        <w:t>Board</w:t>
        <w:tab/>
        <w:t>informed</w:t>
        <w:tab/>
        <w:t>about</w:t>
        <w:tab/>
        <w:t>the</w:t>
        <w:tab/>
        <w:t>number,</w:t>
        <w:tab/>
        <w:t>nature</w:t>
        <w:tab/>
        <w:t>and</w:t>
        <w:tab/>
        <w:t>other</w:t>
        <w:tab/>
        <w:t>particulars</w:t>
        <w:tab/>
        <w:t>of</w:t>
      </w:r>
      <w:r>
        <w:rPr>
          <w:sz w:val="20"/>
          <w:szCs w:val="20"/>
          <w:color w:val="auto"/>
        </w:rPr>
        <w:tab/>
      </w:r>
      <w:r>
        <w:rPr>
          <w:rFonts w:ascii="Arial" w:cs="Arial" w:eastAsia="Arial" w:hAnsi="Arial"/>
          <w:sz w:val="23"/>
          <w:szCs w:val="23"/>
          <w:color w:val="auto"/>
        </w:rPr>
        <w:t>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196850</wp:posOffset>
                </wp:positionV>
                <wp:extent cx="554672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7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5.5pt" to="454.75pt,15.5pt" o:allowincell="f" strokecolor="#000000" strokeweight="0.48pt"/>
            </w:pict>
          </mc:Fallback>
        </mc:AlternateContent>
      </w:r>
    </w:p>
    <w:p>
      <w:pPr>
        <w:spacing w:after="0" w:line="331" w:lineRule="exact"/>
        <w:rPr>
          <w:sz w:val="20"/>
          <w:szCs w:val="20"/>
          <w:color w:val="auto"/>
        </w:rPr>
      </w:pPr>
    </w:p>
    <w:p>
      <w:pPr>
        <w:ind w:left="560" w:hanging="200"/>
        <w:spacing w:after="0"/>
        <w:tabs>
          <w:tab w:leader="none" w:pos="560" w:val="left"/>
        </w:tabs>
        <w:numPr>
          <w:ilvl w:val="0"/>
          <w:numId w:val="3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(Bankers to an Issue) (Amendment) Regulations,</w:t>
      </w:r>
    </w:p>
    <w:p>
      <w:pPr>
        <w:spacing w:after="0" w:line="17" w:lineRule="exact"/>
        <w:rPr>
          <w:rFonts w:ascii="Times New Roman" w:cs="Times New Roman" w:eastAsia="Times New Roman" w:hAnsi="Times New Roman"/>
          <w:sz w:val="26"/>
          <w:szCs w:val="26"/>
          <w:color w:val="auto"/>
          <w:vertAlign w:val="superscript"/>
        </w:rPr>
      </w:pPr>
    </w:p>
    <w:p>
      <w:pPr>
        <w:ind w:left="360" w:right="3320"/>
        <w:spacing w:after="0" w:line="23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2011 w.e.f. 05-07-2011. Prior to omission the regulation read as under: “Renewal of certificate.</w:t>
      </w:r>
    </w:p>
    <w:p>
      <w:pPr>
        <w:spacing w:after="0" w:line="48" w:lineRule="exact"/>
        <w:rPr>
          <w:sz w:val="20"/>
          <w:szCs w:val="20"/>
          <w:color w:val="auto"/>
        </w:rPr>
      </w:pPr>
    </w:p>
    <w:p>
      <w:pPr>
        <w:ind w:left="360" w:right="280"/>
        <w:spacing w:after="0" w:line="235" w:lineRule="auto"/>
        <w:tabs>
          <w:tab w:leader="none" w:pos="567" w:val="left"/>
        </w:tabs>
        <w:numPr>
          <w:ilvl w:val="0"/>
          <w:numId w:val="3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 Three months before the expiry of the period of certificate, the banker to an issue, may if he so desires, make an application for renewal in Form A.</w:t>
      </w:r>
    </w:p>
    <w:p>
      <w:pPr>
        <w:spacing w:after="0" w:line="33" w:lineRule="exact"/>
        <w:rPr>
          <w:sz w:val="20"/>
          <w:szCs w:val="20"/>
          <w:color w:val="auto"/>
        </w:rPr>
      </w:pPr>
    </w:p>
    <w:p>
      <w:pPr>
        <w:ind w:left="360" w:right="260"/>
        <w:spacing w:after="0" w:line="217" w:lineRule="auto"/>
        <w:rPr>
          <w:sz w:val="20"/>
          <w:szCs w:val="20"/>
          <w:color w:val="auto"/>
        </w:rPr>
      </w:pPr>
      <w:r>
        <w:rPr>
          <w:rFonts w:ascii="Times New Roman" w:cs="Times New Roman" w:eastAsia="Times New Roman" w:hAnsi="Times New Roman"/>
          <w:sz w:val="25"/>
          <w:szCs w:val="25"/>
          <w:b w:val="1"/>
          <w:bCs w:val="1"/>
          <w:color w:val="auto"/>
          <w:vertAlign w:val="superscript"/>
        </w:rPr>
        <w:t>23</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(1A) An application for renewal made under sub-regulation (1) shall be accompanied by a non-refundable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application fee as specified in Schedule II.</w:t>
      </w:r>
      <w:r>
        <w:rPr>
          <w:rFonts w:ascii="Times New Roman" w:cs="Times New Roman" w:eastAsia="Times New Roman" w:hAnsi="Times New Roman"/>
          <w:sz w:val="20"/>
          <w:szCs w:val="20"/>
          <w:b w:val="1"/>
          <w:bCs w:val="1"/>
          <w:color w:val="auto"/>
        </w:rPr>
        <w:t>]</w:t>
      </w:r>
    </w:p>
    <w:p>
      <w:pPr>
        <w:spacing w:after="0" w:line="48" w:lineRule="exact"/>
        <w:rPr>
          <w:sz w:val="20"/>
          <w:szCs w:val="20"/>
          <w:color w:val="auto"/>
        </w:rPr>
      </w:pPr>
    </w:p>
    <w:p>
      <w:pPr>
        <w:ind w:left="360" w:right="260"/>
        <w:spacing w:after="0" w:line="235" w:lineRule="auto"/>
        <w:tabs>
          <w:tab w:leader="none" w:pos="648" w:val="left"/>
        </w:tabs>
        <w:numPr>
          <w:ilvl w:val="0"/>
          <w:numId w:val="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application for renewal, under sub-regulation (1), shall be dealt with in the same manner as if it were an application made under sub-regulation (1) of regulation 3 for grant of a certificate.</w:t>
      </w:r>
    </w:p>
    <w:p>
      <w:pPr>
        <w:spacing w:after="0" w:line="53" w:lineRule="exact"/>
        <w:rPr>
          <w:rFonts w:ascii="Times New Roman" w:cs="Times New Roman" w:eastAsia="Times New Roman" w:hAnsi="Times New Roman"/>
          <w:sz w:val="20"/>
          <w:szCs w:val="20"/>
          <w:color w:val="auto"/>
        </w:rPr>
      </w:pPr>
    </w:p>
    <w:p>
      <w:pPr>
        <w:ind w:left="360" w:right="260"/>
        <w:spacing w:after="0" w:line="235" w:lineRule="auto"/>
        <w:tabs>
          <w:tab w:leader="none" w:pos="677" w:val="left"/>
        </w:tabs>
        <w:numPr>
          <w:ilvl w:val="0"/>
          <w:numId w:val="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Board on being satisfied that the applicant fulfils the requirements specified in regulation 6 for renewal of certificate shall grant a certificate in Form B and send an intimation to the applicant.</w:t>
      </w:r>
    </w:p>
    <w:p>
      <w:pPr>
        <w:spacing w:after="0" w:line="59" w:lineRule="exact"/>
        <w:rPr>
          <w:rFonts w:ascii="Times New Roman" w:cs="Times New Roman" w:eastAsia="Times New Roman" w:hAnsi="Times New Roman"/>
          <w:sz w:val="20"/>
          <w:szCs w:val="20"/>
          <w:color w:val="auto"/>
        </w:rPr>
      </w:pPr>
    </w:p>
    <w:p>
      <w:pPr>
        <w:ind w:left="640" w:hanging="280"/>
        <w:spacing w:after="0"/>
        <w:tabs>
          <w:tab w:leader="none" w:pos="640" w:val="left"/>
        </w:tabs>
        <w:numPr>
          <w:ilvl w:val="0"/>
          <w:numId w:val="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grant of a certificate, the applicant shall be liable to pay the fees in accordance with Schedule II.”</w:t>
      </w:r>
    </w:p>
    <w:p>
      <w:pPr>
        <w:spacing w:after="0" w:line="48" w:lineRule="exact"/>
        <w:rPr>
          <w:sz w:val="20"/>
          <w:szCs w:val="20"/>
          <w:color w:val="auto"/>
        </w:rPr>
      </w:pPr>
    </w:p>
    <w:p>
      <w:pPr>
        <w:ind w:left="360" w:right="260"/>
        <w:spacing w:after="0" w:line="204" w:lineRule="auto"/>
        <w:tabs>
          <w:tab w:leader="none" w:pos="557" w:val="left"/>
        </w:tabs>
        <w:numPr>
          <w:ilvl w:val="0"/>
          <w:numId w:val="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(Bankers to an Issue) (Amendment) Regulations, 2006, w.e.f. 07-09-2006.</w:t>
      </w:r>
    </w:p>
    <w:p>
      <w:pPr>
        <w:spacing w:after="0" w:line="11" w:lineRule="exact"/>
        <w:rPr>
          <w:rFonts w:ascii="Times New Roman" w:cs="Times New Roman" w:eastAsia="Times New Roman" w:hAnsi="Times New Roman"/>
          <w:sz w:val="26"/>
          <w:szCs w:val="26"/>
          <w:color w:val="auto"/>
          <w:vertAlign w:val="superscript"/>
        </w:rPr>
      </w:pPr>
    </w:p>
    <w:p>
      <w:pPr>
        <w:jc w:val="both"/>
        <w:ind w:left="360" w:right="260"/>
        <w:spacing w:after="0" w:line="215" w:lineRule="auto"/>
        <w:tabs>
          <w:tab w:leader="none" w:pos="577" w:val="left"/>
        </w:tabs>
        <w:numPr>
          <w:ilvl w:val="0"/>
          <w:numId w:val="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it read as under:</w:t>
      </w:r>
    </w:p>
    <w:p>
      <w:pPr>
        <w:spacing w:after="0" w:line="4" w:lineRule="exact"/>
        <w:rPr>
          <w:rFonts w:ascii="Times New Roman" w:cs="Times New Roman" w:eastAsia="Times New Roman" w:hAnsi="Times New Roman"/>
          <w:sz w:val="26"/>
          <w:szCs w:val="26"/>
          <w:color w:val="auto"/>
          <w:vertAlign w:val="superscript"/>
        </w:rPr>
      </w:pPr>
    </w:p>
    <w:p>
      <w:pPr>
        <w:ind w:left="360" w:right="260"/>
        <w:spacing w:after="0" w:line="21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“(1) Any </w:t>
      </w:r>
      <w:r>
        <w:rPr>
          <w:rFonts w:ascii="Times New Roman" w:cs="Times New Roman" w:eastAsia="Times New Roman" w:hAnsi="Times New Roman"/>
          <w:sz w:val="25"/>
          <w:szCs w:val="25"/>
          <w:color w:val="auto"/>
          <w:vertAlign w:val="superscript"/>
        </w:rPr>
        <w:t>25</w:t>
      </w:r>
      <w:r>
        <w:rPr>
          <w:rFonts w:ascii="Times New Roman" w:cs="Times New Roman" w:eastAsia="Times New Roman" w:hAnsi="Times New Roman"/>
          <w:sz w:val="20"/>
          <w:szCs w:val="20"/>
          <w:color w:val="auto"/>
        </w:rPr>
        <w:t>[initial registration granted under regulation 7 or permanent registration granted under regulation 7A] shall be subject to the following conditions, namely :—”</w:t>
      </w:r>
    </w:p>
    <w:p>
      <w:pPr>
        <w:spacing w:after="0" w:line="50" w:lineRule="exact"/>
        <w:rPr>
          <w:sz w:val="20"/>
          <w:szCs w:val="20"/>
          <w:color w:val="auto"/>
        </w:rPr>
      </w:pPr>
    </w:p>
    <w:p>
      <w:pPr>
        <w:jc w:val="both"/>
        <w:ind w:left="360" w:right="260"/>
        <w:spacing w:after="0" w:line="238" w:lineRule="auto"/>
        <w:rPr>
          <w:sz w:val="20"/>
          <w:szCs w:val="20"/>
          <w:color w:val="auto"/>
        </w:rPr>
      </w:pPr>
      <w:r>
        <w:rPr>
          <w:rFonts w:ascii="Times New Roman" w:cs="Times New Roman" w:eastAsia="Times New Roman" w:hAnsi="Times New Roman"/>
          <w:sz w:val="20"/>
          <w:szCs w:val="20"/>
          <w:color w:val="auto"/>
        </w:rPr>
        <w:t>Also, the words and figure “registration granted under regulation 7 or any renewal granted under regulation 8” were substituted with the words and figures “initial registration granted under regulation 7 or permanent registration granted under regulation 7A” by the Securities and Exchange Board of India (Bankers to an Issue) (Amendment) Regulations, 2011 w.e.f. 05-07-2011.</w:t>
      </w:r>
    </w:p>
    <w:p>
      <w:pPr>
        <w:spacing w:after="0" w:line="48" w:lineRule="exact"/>
        <w:rPr>
          <w:sz w:val="20"/>
          <w:szCs w:val="20"/>
          <w:color w:val="auto"/>
        </w:rPr>
      </w:pPr>
    </w:p>
    <w:p>
      <w:pPr>
        <w:jc w:val="both"/>
        <w:ind w:left="360" w:right="260"/>
        <w:spacing w:after="0" w:line="215" w:lineRule="auto"/>
        <w:tabs>
          <w:tab w:leader="none" w:pos="572" w:val="left"/>
        </w:tabs>
        <w:numPr>
          <w:ilvl w:val="0"/>
          <w:numId w:val="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the words “to change its status or constitution” with “change in control” by Securities and Exchange Board of India (Change in conditions of Registration of certain Intermediaries) (Amendment) Regulations, 2011, w.e.f. 19-04-2011.</w:t>
      </w:r>
    </w:p>
    <w:p>
      <w:pPr>
        <w:spacing w:after="0" w:line="11" w:lineRule="exact"/>
        <w:rPr>
          <w:rFonts w:ascii="Times New Roman" w:cs="Times New Roman" w:eastAsia="Times New Roman" w:hAnsi="Times New Roman"/>
          <w:sz w:val="26"/>
          <w:szCs w:val="26"/>
          <w:color w:val="auto"/>
          <w:vertAlign w:val="superscript"/>
        </w:rPr>
      </w:pPr>
    </w:p>
    <w:p>
      <w:pPr>
        <w:jc w:val="both"/>
        <w:ind w:left="360" w:right="260"/>
        <w:spacing w:after="0" w:line="214" w:lineRule="auto"/>
        <w:tabs>
          <w:tab w:leader="none" w:pos="577" w:val="left"/>
        </w:tabs>
        <w:numPr>
          <w:ilvl w:val="0"/>
          <w:numId w:val="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it read as under:</w:t>
      </w:r>
    </w:p>
    <w:p>
      <w:pPr>
        <w:spacing w:after="0" w:line="2" w:lineRule="exact"/>
        <w:rPr>
          <w:rFonts w:ascii="Times New Roman" w:cs="Times New Roman" w:eastAsia="Times New Roman" w:hAnsi="Times New Roman"/>
          <w:sz w:val="26"/>
          <w:szCs w:val="26"/>
          <w:color w:val="auto"/>
          <w:vertAlign w:val="superscript"/>
        </w:rPr>
      </w:pPr>
    </w:p>
    <w:p>
      <w:pPr>
        <w:ind w:left="360" w:right="260"/>
        <w:spacing w:after="0" w:line="21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“(c) it shall pay the fees for </w:t>
      </w:r>
      <w:r>
        <w:rPr>
          <w:rFonts w:ascii="Times New Roman" w:cs="Times New Roman" w:eastAsia="Times New Roman" w:hAnsi="Times New Roman"/>
          <w:sz w:val="25"/>
          <w:szCs w:val="25"/>
          <w:color w:val="auto"/>
          <w:vertAlign w:val="superscript"/>
        </w:rPr>
        <w:t>27</w:t>
      </w:r>
      <w:r>
        <w:rPr>
          <w:rFonts w:ascii="Times New Roman" w:cs="Times New Roman" w:eastAsia="Times New Roman" w:hAnsi="Times New Roman"/>
          <w:sz w:val="20"/>
          <w:szCs w:val="20"/>
          <w:color w:val="auto"/>
        </w:rPr>
        <w:t>[initial registration or permanent registration], as the case may be, in the manner provided in these regulations;”</w:t>
      </w:r>
    </w:p>
    <w:p>
      <w:pPr>
        <w:spacing w:after="0" w:line="10" w:lineRule="exact"/>
        <w:rPr>
          <w:rFonts w:ascii="Times New Roman" w:cs="Times New Roman" w:eastAsia="Times New Roman" w:hAnsi="Times New Roman"/>
          <w:sz w:val="26"/>
          <w:szCs w:val="26"/>
          <w:color w:val="auto"/>
          <w:vertAlign w:val="superscript"/>
        </w:rPr>
      </w:pPr>
    </w:p>
    <w:p>
      <w:pPr>
        <w:jc w:val="both"/>
        <w:ind w:left="360" w:right="28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Also, the words “registration or renewal” were substituted with the words “initial registration or permanent registration” were substituted by the Securities and Exchange Board of India (Bankers to an Issue) (Amendment) Regulations, 2011, w.e.f. 05-07-2011.</w:t>
      </w:r>
    </w:p>
    <w:p>
      <w:pPr>
        <w:spacing w:after="0" w:line="218"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8</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8" w:name="page9"/>
    <w:bookmarkEnd w:id="8"/>
    <w:p>
      <w:pPr>
        <w:spacing w:after="0" w:line="11" w:lineRule="exact"/>
        <w:rPr>
          <w:sz w:val="20"/>
          <w:szCs w:val="20"/>
          <w:color w:val="auto"/>
        </w:rPr>
      </w:pPr>
    </w:p>
    <w:p>
      <w:pPr>
        <w:ind w:left="720" w:right="280"/>
        <w:spacing w:after="0" w:line="234" w:lineRule="auto"/>
        <w:rPr>
          <w:sz w:val="20"/>
          <w:szCs w:val="20"/>
          <w:color w:val="auto"/>
        </w:rPr>
      </w:pPr>
      <w:r>
        <w:rPr>
          <w:rFonts w:ascii="Arial" w:cs="Arial" w:eastAsia="Arial" w:hAnsi="Arial"/>
          <w:sz w:val="24"/>
          <w:szCs w:val="24"/>
          <w:color w:val="auto"/>
        </w:rPr>
        <w:t>complaints received and the manner in which such complaints have been redressed;</w:t>
      </w:r>
    </w:p>
    <w:p>
      <w:pPr>
        <w:spacing w:after="0" w:line="52" w:lineRule="exact"/>
        <w:rPr>
          <w:sz w:val="20"/>
          <w:szCs w:val="20"/>
          <w:color w:val="auto"/>
        </w:rPr>
      </w:pPr>
    </w:p>
    <w:p>
      <w:pPr>
        <w:ind w:left="720" w:right="280" w:firstLine="1"/>
        <w:spacing w:after="0" w:line="236" w:lineRule="auto"/>
        <w:tabs>
          <w:tab w:leader="none" w:pos="1080" w:val="left"/>
        </w:tabs>
        <w:numPr>
          <w:ilvl w:val="0"/>
          <w:numId w:val="38"/>
        </w:numPr>
        <w:rPr>
          <w:rFonts w:ascii="Arial" w:cs="Arial" w:eastAsia="Arial" w:hAnsi="Arial"/>
          <w:sz w:val="24"/>
          <w:szCs w:val="24"/>
          <w:color w:val="auto"/>
        </w:rPr>
      </w:pPr>
      <w:r>
        <w:rPr>
          <w:rFonts w:ascii="Arial" w:cs="Arial" w:eastAsia="Arial" w:hAnsi="Arial"/>
          <w:sz w:val="24"/>
          <w:szCs w:val="24"/>
          <w:color w:val="auto"/>
        </w:rPr>
        <w:t>it shall abide by the regulations made under the Act in respect of the activities carried on by it as banker to an issue.</w:t>
      </w:r>
    </w:p>
    <w:p>
      <w:pPr>
        <w:spacing w:after="0" w:line="45" w:lineRule="exact"/>
        <w:rPr>
          <w:sz w:val="20"/>
          <w:szCs w:val="20"/>
          <w:color w:val="auto"/>
        </w:rPr>
      </w:pPr>
    </w:p>
    <w:p>
      <w:pPr>
        <w:ind w:left="720" w:right="280"/>
        <w:spacing w:after="0" w:line="207" w:lineRule="auto"/>
        <w:rPr>
          <w:sz w:val="20"/>
          <w:szCs w:val="20"/>
          <w:color w:val="auto"/>
        </w:rPr>
      </w:pPr>
      <w:r>
        <w:rPr>
          <w:rFonts w:ascii="Arial" w:cs="Arial" w:eastAsia="Arial" w:hAnsi="Arial"/>
          <w:sz w:val="31"/>
          <w:szCs w:val="31"/>
          <w:color w:val="auto"/>
          <w:vertAlign w:val="superscript"/>
        </w:rPr>
        <w:t>28</w:t>
      </w:r>
      <w:r>
        <w:rPr>
          <w:rFonts w:ascii="Arial" w:cs="Arial" w:eastAsia="Arial" w:hAnsi="Arial"/>
          <w:sz w:val="24"/>
          <w:szCs w:val="24"/>
          <w:color w:val="auto"/>
        </w:rPr>
        <w:t>[(f) it shall immediately intimate the Board, details of changes that have taken place in the information that was submitted, while seeking registration.]</w:t>
      </w:r>
    </w:p>
    <w:p>
      <w:pPr>
        <w:spacing w:after="0" w:line="53" w:lineRule="exact"/>
        <w:rPr>
          <w:sz w:val="20"/>
          <w:szCs w:val="20"/>
          <w:color w:val="auto"/>
        </w:rPr>
      </w:pPr>
    </w:p>
    <w:p>
      <w:pPr>
        <w:jc w:val="both"/>
        <w:ind w:left="360" w:right="280"/>
        <w:spacing w:after="0" w:line="236" w:lineRule="auto"/>
        <w:tabs>
          <w:tab w:leader="none" w:pos="734" w:val="left"/>
        </w:tabs>
        <w:numPr>
          <w:ilvl w:val="0"/>
          <w:numId w:val="39"/>
        </w:numPr>
        <w:rPr>
          <w:rFonts w:ascii="Arial" w:cs="Arial" w:eastAsia="Arial" w:hAnsi="Arial"/>
          <w:sz w:val="24"/>
          <w:szCs w:val="24"/>
          <w:color w:val="auto"/>
        </w:rPr>
      </w:pPr>
      <w:r>
        <w:rPr>
          <w:rFonts w:ascii="Arial" w:cs="Arial" w:eastAsia="Arial" w:hAnsi="Arial"/>
          <w:sz w:val="24"/>
          <w:szCs w:val="24"/>
          <w:color w:val="auto"/>
        </w:rPr>
        <w:t>Nothing contained in clause (a) of sub-regulation (1) shall affect the obligation to obtain a fresh registration under section 12 of the Act in cases where it is applicable.</w:t>
      </w:r>
    </w:p>
    <w:p>
      <w:pPr>
        <w:spacing w:after="0" w:line="354"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8B.</w:t>
      </w:r>
      <w:r>
        <w:rPr>
          <w:rFonts w:ascii="Arial" w:cs="Arial" w:eastAsia="Arial" w:hAnsi="Arial"/>
          <w:sz w:val="31"/>
          <w:szCs w:val="31"/>
          <w:b w:val="1"/>
          <w:bCs w:val="1"/>
          <w:color w:val="auto"/>
          <w:vertAlign w:val="superscript"/>
        </w:rPr>
        <w:t>29</w:t>
      </w:r>
      <w:r>
        <w:rPr>
          <w:rFonts w:ascii="Arial" w:cs="Arial" w:eastAsia="Arial" w:hAnsi="Arial"/>
          <w:sz w:val="24"/>
          <w:szCs w:val="24"/>
          <w:b w:val="1"/>
          <w:bCs w:val="1"/>
          <w:color w:val="auto"/>
        </w:rPr>
        <w:t xml:space="preserve"> [***]</w:t>
      </w:r>
    </w:p>
    <w:p>
      <w:pPr>
        <w:spacing w:after="0" w:line="28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Procedure where registration is not granted.</w:t>
      </w:r>
    </w:p>
    <w:p>
      <w:pPr>
        <w:spacing w:after="0" w:line="43" w:lineRule="exact"/>
        <w:rPr>
          <w:sz w:val="20"/>
          <w:szCs w:val="20"/>
          <w:color w:val="auto"/>
        </w:rPr>
      </w:pPr>
    </w:p>
    <w:p>
      <w:pPr>
        <w:jc w:val="both"/>
        <w:ind w:left="360" w:right="280"/>
        <w:spacing w:after="0" w:line="218" w:lineRule="auto"/>
        <w:rPr>
          <w:sz w:val="20"/>
          <w:szCs w:val="20"/>
          <w:color w:val="auto"/>
        </w:rPr>
      </w:pPr>
      <w:r>
        <w:rPr>
          <w:rFonts w:ascii="Arial" w:cs="Arial" w:eastAsia="Arial" w:hAnsi="Arial"/>
          <w:sz w:val="24"/>
          <w:szCs w:val="24"/>
          <w:b w:val="1"/>
          <w:bCs w:val="1"/>
          <w:color w:val="auto"/>
        </w:rPr>
        <w:t xml:space="preserve">9. </w:t>
      </w:r>
      <w:r>
        <w:rPr>
          <w:rFonts w:ascii="Arial" w:cs="Arial" w:eastAsia="Arial" w:hAnsi="Arial"/>
          <w:sz w:val="31"/>
          <w:szCs w:val="31"/>
          <w:color w:val="auto"/>
          <w:vertAlign w:val="superscript"/>
        </w:rPr>
        <w:t>30</w:t>
      </w:r>
      <w:r>
        <w:rPr>
          <w:rFonts w:ascii="Arial" w:cs="Arial" w:eastAsia="Arial" w:hAnsi="Arial"/>
          <w:sz w:val="24"/>
          <w:szCs w:val="24"/>
          <w:color w:val="auto"/>
        </w:rPr>
        <w:t>[(1) Where an application for grant of a certificate of registration under</w:t>
      </w:r>
      <w:r>
        <w:rPr>
          <w:rFonts w:ascii="Arial" w:cs="Arial" w:eastAsia="Arial" w:hAnsi="Arial"/>
          <w:sz w:val="24"/>
          <w:szCs w:val="24"/>
          <w:b w:val="1"/>
          <w:bCs w:val="1"/>
          <w:color w:val="auto"/>
        </w:rPr>
        <w:t xml:space="preserve"> </w:t>
      </w:r>
      <w:r>
        <w:rPr>
          <w:rFonts w:ascii="Arial" w:cs="Arial" w:eastAsia="Arial" w:hAnsi="Arial"/>
          <w:sz w:val="24"/>
          <w:szCs w:val="24"/>
          <w:color w:val="auto"/>
        </w:rPr>
        <w:t>regulation 3 does not satisfy the criteria set out in regulation 6, the Board shall reject the application after giving an opportunity of being heard.]</w:t>
      </w:r>
    </w:p>
    <w:p>
      <w:pPr>
        <w:spacing w:after="0" w:line="44" w:lineRule="exact"/>
        <w:rPr>
          <w:sz w:val="20"/>
          <w:szCs w:val="20"/>
          <w:color w:val="auto"/>
        </w:rPr>
      </w:pPr>
    </w:p>
    <w:p>
      <w:pPr>
        <w:jc w:val="both"/>
        <w:ind w:left="360" w:right="280"/>
        <w:spacing w:after="0" w:line="218" w:lineRule="auto"/>
        <w:rPr>
          <w:sz w:val="20"/>
          <w:szCs w:val="20"/>
          <w:color w:val="auto"/>
        </w:rPr>
      </w:pPr>
      <w:r>
        <w:rPr>
          <w:rFonts w:ascii="Arial" w:cs="Arial" w:eastAsia="Arial" w:hAnsi="Arial"/>
          <w:sz w:val="31"/>
          <w:szCs w:val="31"/>
          <w:color w:val="auto"/>
          <w:vertAlign w:val="superscript"/>
        </w:rPr>
        <w:t>31</w:t>
      </w:r>
      <w:r>
        <w:rPr>
          <w:rFonts w:ascii="Arial" w:cs="Arial" w:eastAsia="Arial" w:hAnsi="Arial"/>
          <w:sz w:val="24"/>
          <w:szCs w:val="24"/>
          <w:color w:val="auto"/>
        </w:rPr>
        <w:t>[(2) The refusal to grant registration, shall be communicated by the Board within thirty days of such refusal to the applicant stating therein the grounds on which the application has been rejected.]</w:t>
      </w:r>
    </w:p>
    <w:p>
      <w:pPr>
        <w:spacing w:after="0" w:line="52" w:lineRule="exact"/>
        <w:rPr>
          <w:sz w:val="20"/>
          <w:szCs w:val="20"/>
          <w:color w:val="auto"/>
        </w:rPr>
      </w:pPr>
    </w:p>
    <w:p>
      <w:pPr>
        <w:jc w:val="both"/>
        <w:ind w:left="360" w:right="260"/>
        <w:spacing w:after="0" w:line="237" w:lineRule="auto"/>
        <w:tabs>
          <w:tab w:leader="none" w:pos="743" w:val="left"/>
        </w:tabs>
        <w:numPr>
          <w:ilvl w:val="0"/>
          <w:numId w:val="40"/>
        </w:numPr>
        <w:rPr>
          <w:rFonts w:ascii="Arial" w:cs="Arial" w:eastAsia="Arial" w:hAnsi="Arial"/>
          <w:sz w:val="24"/>
          <w:szCs w:val="24"/>
          <w:color w:val="auto"/>
        </w:rPr>
      </w:pPr>
      <w:r>
        <w:rPr>
          <w:rFonts w:ascii="Arial" w:cs="Arial" w:eastAsia="Arial" w:hAnsi="Arial"/>
          <w:sz w:val="24"/>
          <w:szCs w:val="24"/>
          <w:color w:val="auto"/>
        </w:rPr>
        <w:t>Any applicant may, being aggrieved by the decision of the Board, under sub-regulation (1), apply within a period of thirty days from the date of receipt of such intimation to the Board for reconsideration of its decision.</w:t>
      </w:r>
    </w:p>
    <w:p>
      <w:pPr>
        <w:spacing w:after="0" w:line="51" w:lineRule="exact"/>
        <w:rPr>
          <w:rFonts w:ascii="Arial" w:cs="Arial" w:eastAsia="Arial" w:hAnsi="Arial"/>
          <w:sz w:val="24"/>
          <w:szCs w:val="24"/>
          <w:color w:val="auto"/>
        </w:rPr>
      </w:pPr>
    </w:p>
    <w:p>
      <w:pPr>
        <w:ind w:left="360" w:right="260"/>
        <w:spacing w:after="0" w:line="234" w:lineRule="auto"/>
        <w:tabs>
          <w:tab w:leader="none" w:pos="738" w:val="left"/>
        </w:tabs>
        <w:numPr>
          <w:ilvl w:val="0"/>
          <w:numId w:val="40"/>
        </w:numPr>
        <w:rPr>
          <w:rFonts w:ascii="Arial" w:cs="Arial" w:eastAsia="Arial" w:hAnsi="Arial"/>
          <w:sz w:val="24"/>
          <w:szCs w:val="24"/>
          <w:color w:val="auto"/>
        </w:rPr>
      </w:pPr>
      <w:r>
        <w:rPr>
          <w:rFonts w:ascii="Arial" w:cs="Arial" w:eastAsia="Arial" w:hAnsi="Arial"/>
          <w:sz w:val="24"/>
          <w:szCs w:val="24"/>
          <w:color w:val="auto"/>
        </w:rPr>
        <w:t>The Board shall reconsider an application made under sub-regulation (3) and communicate its decision as soon as possible in writing to the applicant.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264160</wp:posOffset>
                </wp:positionV>
                <wp:extent cx="18294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0.8pt" to="162.05pt,20.8pt" o:allowincell="f" strokecolor="#000000" strokeweight="0.4799pt"/>
            </w:pict>
          </mc:Fallback>
        </mc:AlternateContent>
      </w:r>
    </w:p>
    <w:p>
      <w:pPr>
        <w:spacing w:after="0" w:line="200" w:lineRule="exact"/>
        <w:rPr>
          <w:sz w:val="20"/>
          <w:szCs w:val="20"/>
          <w:color w:val="auto"/>
        </w:rPr>
      </w:pPr>
    </w:p>
    <w:p>
      <w:pPr>
        <w:spacing w:after="0" w:line="315" w:lineRule="exact"/>
        <w:rPr>
          <w:sz w:val="20"/>
          <w:szCs w:val="20"/>
          <w:color w:val="auto"/>
        </w:rPr>
      </w:pPr>
    </w:p>
    <w:p>
      <w:pPr>
        <w:ind w:left="360" w:right="260"/>
        <w:spacing w:after="0" w:line="204" w:lineRule="auto"/>
        <w:tabs>
          <w:tab w:leader="none" w:pos="553"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ind w:left="360" w:right="260"/>
        <w:spacing w:after="0" w:line="204" w:lineRule="auto"/>
        <w:tabs>
          <w:tab w:leader="none" w:pos="581"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Securities and Exchange Board of India (Bankers to an Issue) (Amendment) Regulations, 2011, w.e.f. 05-07-2011. Prior to the omission regulation 8B read as under:</w:t>
      </w:r>
    </w:p>
    <w:p>
      <w:pPr>
        <w:spacing w:after="0" w:line="2"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“Period of validity of certificate.</w:t>
      </w:r>
    </w:p>
    <w:p>
      <w:pPr>
        <w:spacing w:after="0" w:line="48" w:lineRule="exact"/>
        <w:rPr>
          <w:sz w:val="20"/>
          <w:szCs w:val="20"/>
          <w:color w:val="auto"/>
        </w:rPr>
      </w:pPr>
    </w:p>
    <w:p>
      <w:pPr>
        <w:jc w:val="both"/>
        <w:ind w:left="360" w:right="280"/>
        <w:spacing w:after="0" w:line="235" w:lineRule="auto"/>
        <w:rPr>
          <w:sz w:val="20"/>
          <w:szCs w:val="20"/>
          <w:color w:val="auto"/>
        </w:rPr>
      </w:pPr>
      <w:r>
        <w:rPr>
          <w:rFonts w:ascii="Times New Roman" w:cs="Times New Roman" w:eastAsia="Times New Roman" w:hAnsi="Times New Roman"/>
          <w:sz w:val="20"/>
          <w:szCs w:val="20"/>
          <w:color w:val="auto"/>
        </w:rPr>
        <w:t>8B. The certificate of registration granted under regulation 7 and its renewal granted under regulation 8, shall be valid for a period of three years from the date of its issue”.</w:t>
      </w:r>
    </w:p>
    <w:p>
      <w:pPr>
        <w:spacing w:after="0" w:line="43" w:lineRule="exact"/>
        <w:rPr>
          <w:sz w:val="20"/>
          <w:szCs w:val="20"/>
          <w:color w:val="auto"/>
        </w:rPr>
      </w:pPr>
    </w:p>
    <w:p>
      <w:pPr>
        <w:jc w:val="both"/>
        <w:ind w:left="360" w:right="260"/>
        <w:spacing w:after="0" w:line="221" w:lineRule="auto"/>
        <w:rPr>
          <w:sz w:val="20"/>
          <w:szCs w:val="20"/>
          <w:color w:val="auto"/>
        </w:rPr>
      </w:pPr>
      <w:r>
        <w:rPr>
          <w:rFonts w:ascii="Times New Roman" w:cs="Times New Roman" w:eastAsia="Times New Roman" w:hAnsi="Times New Roman"/>
          <w:sz w:val="25"/>
          <w:szCs w:val="25"/>
          <w:color w:val="auto"/>
          <w:vertAlign w:val="superscript"/>
        </w:rPr>
        <w:t>30</w:t>
      </w:r>
      <w:r>
        <w:rPr>
          <w:rFonts w:ascii="Times New Roman" w:cs="Times New Roman" w:eastAsia="Times New Roman" w:hAnsi="Times New Roman"/>
          <w:sz w:val="20"/>
          <w:szCs w:val="20"/>
          <w:color w:val="auto"/>
        </w:rPr>
        <w:t xml:space="preserve"> Substituted by the Securities and Exchange Board of India (Change In Conditions Of Registration Of Certain Intermediaries) (Amendment) Regulations, 2016 w.e.f. 08-12-2016. Prior to substitution it read as under:</w:t>
      </w:r>
    </w:p>
    <w:p>
      <w:pPr>
        <w:spacing w:after="0" w:line="3" w:lineRule="exact"/>
        <w:rPr>
          <w:sz w:val="20"/>
          <w:szCs w:val="20"/>
          <w:color w:val="auto"/>
        </w:rPr>
      </w:pPr>
    </w:p>
    <w:p>
      <w:pPr>
        <w:jc w:val="both"/>
        <w:ind w:left="360" w:right="260"/>
        <w:spacing w:after="0" w:line="221" w:lineRule="auto"/>
        <w:rPr>
          <w:sz w:val="20"/>
          <w:szCs w:val="20"/>
          <w:color w:val="auto"/>
        </w:rPr>
      </w:pPr>
      <w:r>
        <w:rPr>
          <w:rFonts w:ascii="Times New Roman" w:cs="Times New Roman" w:eastAsia="Times New Roman" w:hAnsi="Times New Roman"/>
          <w:sz w:val="20"/>
          <w:szCs w:val="20"/>
          <w:color w:val="auto"/>
        </w:rPr>
        <w:t xml:space="preserve">“(1) Where an application for grant of a certificate </w:t>
      </w:r>
      <w:r>
        <w:rPr>
          <w:rFonts w:ascii="Times New Roman" w:cs="Times New Roman" w:eastAsia="Times New Roman" w:hAnsi="Times New Roman"/>
          <w:sz w:val="25"/>
          <w:szCs w:val="25"/>
          <w:color w:val="auto"/>
          <w:vertAlign w:val="superscript"/>
        </w:rPr>
        <w:t>30</w:t>
      </w:r>
      <w:r>
        <w:rPr>
          <w:rFonts w:ascii="Times New Roman" w:cs="Times New Roman" w:eastAsia="Times New Roman" w:hAnsi="Times New Roman"/>
          <w:sz w:val="20"/>
          <w:szCs w:val="20"/>
          <w:color w:val="auto"/>
        </w:rPr>
        <w:t>[of initial registration under regulation 3 or of permanent registration under regulation 7A], does not satisfy the requirements set out in regulation 6, the Board may reject the application after giving an opportunity of being heard.”</w:t>
      </w:r>
    </w:p>
    <w:p>
      <w:pPr>
        <w:spacing w:after="0" w:line="3" w:lineRule="exact"/>
        <w:rPr>
          <w:sz w:val="20"/>
          <w:szCs w:val="20"/>
          <w:color w:val="auto"/>
        </w:rPr>
      </w:pPr>
    </w:p>
    <w:p>
      <w:pPr>
        <w:jc w:val="both"/>
        <w:ind w:left="360" w:right="260"/>
        <w:spacing w:after="0" w:line="221" w:lineRule="auto"/>
        <w:rPr>
          <w:sz w:val="20"/>
          <w:szCs w:val="20"/>
          <w:color w:val="auto"/>
        </w:rPr>
      </w:pPr>
      <w:r>
        <w:rPr>
          <w:rFonts w:ascii="Times New Roman" w:cs="Times New Roman" w:eastAsia="Times New Roman" w:hAnsi="Times New Roman"/>
          <w:sz w:val="25"/>
          <w:szCs w:val="25"/>
          <w:color w:val="auto"/>
          <w:vertAlign w:val="superscript"/>
        </w:rPr>
        <w:t>31</w:t>
      </w:r>
      <w:r>
        <w:rPr>
          <w:rFonts w:ascii="Times New Roman" w:cs="Times New Roman" w:eastAsia="Times New Roman" w:hAnsi="Times New Roman"/>
          <w:sz w:val="20"/>
          <w:szCs w:val="20"/>
          <w:color w:val="auto"/>
        </w:rPr>
        <w:t xml:space="preserve"> Substituted by the Securities and Exchange Board of India (Change In Conditions Of Registration Of Certain Intermediaries) (Amendment) Regulations, 2016 w.e.f. 08-12-2016. Prior to substitution it read as under:</w:t>
      </w:r>
    </w:p>
    <w:p>
      <w:pPr>
        <w:spacing w:after="0" w:line="3" w:lineRule="exact"/>
        <w:rPr>
          <w:sz w:val="20"/>
          <w:szCs w:val="20"/>
          <w:color w:val="auto"/>
        </w:rPr>
      </w:pPr>
    </w:p>
    <w:p>
      <w:pPr>
        <w:jc w:val="both"/>
        <w:ind w:left="360" w:right="260"/>
        <w:spacing w:after="0" w:line="219" w:lineRule="auto"/>
        <w:rPr>
          <w:sz w:val="20"/>
          <w:szCs w:val="20"/>
          <w:color w:val="auto"/>
        </w:rPr>
      </w:pPr>
      <w:r>
        <w:rPr>
          <w:rFonts w:ascii="Times New Roman" w:cs="Times New Roman" w:eastAsia="Times New Roman" w:hAnsi="Times New Roman"/>
          <w:sz w:val="20"/>
          <w:szCs w:val="20"/>
          <w:color w:val="auto"/>
        </w:rPr>
        <w:t xml:space="preserve">“(2) The </w:t>
      </w:r>
      <w:r>
        <w:rPr>
          <w:rFonts w:ascii="Times New Roman" w:cs="Times New Roman" w:eastAsia="Times New Roman" w:hAnsi="Times New Roman"/>
          <w:sz w:val="25"/>
          <w:szCs w:val="25"/>
          <w:color w:val="auto"/>
          <w:vertAlign w:val="superscript"/>
        </w:rPr>
        <w:t>31</w:t>
      </w:r>
      <w:r>
        <w:rPr>
          <w:rFonts w:ascii="Times New Roman" w:cs="Times New Roman" w:eastAsia="Times New Roman" w:hAnsi="Times New Roman"/>
          <w:sz w:val="20"/>
          <w:szCs w:val="20"/>
          <w:color w:val="auto"/>
        </w:rPr>
        <w:t>[refusal to grant initial or permanent registration, as the case may be] shall be communicated by the Board within thirty days of such refusal to the applicant stating therein the grounds on which the application has been rejected.”</w:t>
      </w:r>
    </w:p>
    <w:p>
      <w:pPr>
        <w:spacing w:after="0" w:line="11" w:lineRule="exact"/>
        <w:rPr>
          <w:sz w:val="20"/>
          <w:szCs w:val="20"/>
          <w:color w:val="auto"/>
        </w:rPr>
      </w:pPr>
    </w:p>
    <w:p>
      <w:pPr>
        <w:jc w:val="both"/>
        <w:ind w:left="360" w:right="280"/>
        <w:spacing w:after="0" w:line="237" w:lineRule="auto"/>
        <w:rPr>
          <w:sz w:val="20"/>
          <w:szCs w:val="20"/>
          <w:color w:val="auto"/>
        </w:rPr>
      </w:pPr>
      <w:r>
        <w:rPr>
          <w:rFonts w:ascii="Times New Roman" w:cs="Times New Roman" w:eastAsia="Times New Roman" w:hAnsi="Times New Roman"/>
          <w:sz w:val="20"/>
          <w:szCs w:val="20"/>
          <w:color w:val="auto"/>
        </w:rPr>
        <w:t>Also, the words “refusal to grant or renew registration” were substituted with words “refusal to grant initial or permanent registration, as the case may be” by the Securities and Exchange Board of India (Bankers to an Issue) (Amendment) Regulations, 2011, w.e.f. 05-07-2011.</w:t>
      </w:r>
    </w:p>
    <w:p>
      <w:pPr>
        <w:spacing w:after="0" w:line="200" w:lineRule="exact"/>
        <w:rPr>
          <w:sz w:val="20"/>
          <w:szCs w:val="20"/>
          <w:color w:val="auto"/>
        </w:rPr>
      </w:pPr>
    </w:p>
    <w:p>
      <w:pPr>
        <w:spacing w:after="0" w:line="248"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9</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9" w:name="page10"/>
    <w:bookmarkEnd w:id="9"/>
    <w:p>
      <w:pPr>
        <w:spacing w:after="0" w:line="266"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 xml:space="preserve">10. </w:t>
      </w:r>
      <w:r>
        <w:rPr>
          <w:rFonts w:ascii="Arial" w:cs="Arial" w:eastAsia="Arial" w:hAnsi="Arial"/>
          <w:sz w:val="31"/>
          <w:szCs w:val="31"/>
          <w:b w:val="1"/>
          <w:bCs w:val="1"/>
          <w:color w:val="auto"/>
          <w:vertAlign w:val="superscript"/>
        </w:rPr>
        <w:t>32</w:t>
      </w:r>
      <w:r>
        <w:rPr>
          <w:rFonts w:ascii="Arial" w:cs="Arial" w:eastAsia="Arial" w:hAnsi="Arial"/>
          <w:sz w:val="24"/>
          <w:szCs w:val="24"/>
          <w:b w:val="1"/>
          <w:bCs w:val="1"/>
          <w:color w:val="auto"/>
        </w:rPr>
        <w:t>[***]</w:t>
      </w:r>
    </w:p>
    <w:p>
      <w:pPr>
        <w:spacing w:after="0" w:line="24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Payment of fees and the consequences of failure to pay fees.</w:t>
      </w:r>
    </w:p>
    <w:p>
      <w:pPr>
        <w:spacing w:after="0" w:line="38" w:lineRule="exact"/>
        <w:rPr>
          <w:sz w:val="20"/>
          <w:szCs w:val="20"/>
          <w:color w:val="auto"/>
        </w:rPr>
      </w:pPr>
    </w:p>
    <w:p>
      <w:pPr>
        <w:ind w:left="360" w:right="280"/>
        <w:spacing w:after="0" w:line="209" w:lineRule="auto"/>
        <w:rPr>
          <w:sz w:val="20"/>
          <w:szCs w:val="20"/>
          <w:color w:val="auto"/>
        </w:rPr>
      </w:pPr>
      <w:r>
        <w:rPr>
          <w:rFonts w:ascii="Arial" w:cs="Arial" w:eastAsia="Arial" w:hAnsi="Arial"/>
          <w:sz w:val="24"/>
          <w:szCs w:val="24"/>
          <w:b w:val="1"/>
          <w:bCs w:val="1"/>
          <w:color w:val="auto"/>
        </w:rPr>
        <w:t xml:space="preserve">11. </w:t>
      </w:r>
      <w:r>
        <w:rPr>
          <w:rFonts w:ascii="Arial" w:cs="Arial" w:eastAsia="Arial" w:hAnsi="Arial"/>
          <w:sz w:val="31"/>
          <w:szCs w:val="31"/>
          <w:color w:val="auto"/>
          <w:vertAlign w:val="superscript"/>
        </w:rPr>
        <w:t>33</w:t>
      </w:r>
      <w:r>
        <w:rPr>
          <w:rFonts w:ascii="Arial" w:cs="Arial" w:eastAsia="Arial" w:hAnsi="Arial"/>
          <w:sz w:val="24"/>
          <w:szCs w:val="24"/>
          <w:color w:val="auto"/>
        </w:rPr>
        <w:t>[</w:t>
      </w:r>
      <w:r>
        <w:rPr>
          <w:rFonts w:ascii="Times New Roman" w:cs="Times New Roman" w:eastAsia="Times New Roman" w:hAnsi="Times New Roman"/>
          <w:sz w:val="24"/>
          <w:szCs w:val="24"/>
          <w:color w:val="auto"/>
        </w:rPr>
        <w:t>(1) Every applicant eligible for grant of registration, shall pay the fees in such</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manner and within the period specified in Schedule II.</w:t>
      </w:r>
      <w:r>
        <w:rPr>
          <w:rFonts w:ascii="Arial" w:cs="Arial" w:eastAsia="Arial" w:hAnsi="Arial"/>
          <w:sz w:val="24"/>
          <w:szCs w:val="24"/>
          <w:color w:val="auto"/>
        </w:rPr>
        <w:t>]</w:t>
      </w:r>
    </w:p>
    <w:p>
      <w:pPr>
        <w:spacing w:after="0" w:line="52" w:lineRule="exact"/>
        <w:rPr>
          <w:sz w:val="20"/>
          <w:szCs w:val="20"/>
          <w:color w:val="auto"/>
        </w:rPr>
      </w:pPr>
    </w:p>
    <w:p>
      <w:pPr>
        <w:jc w:val="both"/>
        <w:ind w:left="360" w:right="260" w:firstLine="68"/>
        <w:spacing w:after="0" w:line="238" w:lineRule="auto"/>
        <w:tabs>
          <w:tab w:leader="none" w:pos="830" w:val="left"/>
        </w:tabs>
        <w:numPr>
          <w:ilvl w:val="0"/>
          <w:numId w:val="42"/>
        </w:numPr>
        <w:rPr>
          <w:rFonts w:ascii="Arial" w:cs="Arial" w:eastAsia="Arial" w:hAnsi="Arial"/>
          <w:sz w:val="24"/>
          <w:szCs w:val="24"/>
          <w:color w:val="auto"/>
        </w:rPr>
      </w:pPr>
      <w:r>
        <w:rPr>
          <w:rFonts w:ascii="Arial" w:cs="Arial" w:eastAsia="Arial" w:hAnsi="Arial"/>
          <w:sz w:val="24"/>
          <w:szCs w:val="24"/>
          <w:color w:val="auto"/>
        </w:rPr>
        <w:t>Where the applicant fails to pay the fees as provided in sub-regulation (1) read with Schedule II, the Board may suspend the registration certificate, whereupon the applicant shall cease to carry on any activity as a banker to an issue for the period during which the suspension subsists.</w:t>
      </w:r>
    </w:p>
    <w:p>
      <w:pPr>
        <w:spacing w:after="0" w:line="181" w:lineRule="exact"/>
        <w:rPr>
          <w:sz w:val="20"/>
          <w:szCs w:val="20"/>
          <w:color w:val="auto"/>
        </w:rPr>
      </w:pPr>
    </w:p>
    <w:p>
      <w:pPr>
        <w:jc w:val="center"/>
        <w:ind w:right="-99"/>
        <w:spacing w:after="0"/>
        <w:rPr>
          <w:sz w:val="20"/>
          <w:szCs w:val="20"/>
          <w:color w:val="auto"/>
        </w:rPr>
      </w:pPr>
      <w:r>
        <w:rPr>
          <w:rFonts w:ascii="Arial" w:cs="Arial" w:eastAsia="Arial" w:hAnsi="Arial"/>
          <w:sz w:val="24"/>
          <w:szCs w:val="24"/>
          <w:b w:val="1"/>
          <w:bCs w:val="1"/>
          <w:color w:val="auto"/>
        </w:rPr>
        <w:t>CHAPTER III</w:t>
      </w:r>
    </w:p>
    <w:p>
      <w:pPr>
        <w:spacing w:after="0" w:line="109" w:lineRule="exact"/>
        <w:rPr>
          <w:sz w:val="20"/>
          <w:szCs w:val="20"/>
          <w:color w:val="auto"/>
        </w:rPr>
      </w:pPr>
    </w:p>
    <w:p>
      <w:pPr>
        <w:ind w:left="360" w:right="1740" w:firstLine="1470"/>
        <w:spacing w:after="0" w:line="311" w:lineRule="auto"/>
        <w:rPr>
          <w:sz w:val="20"/>
          <w:szCs w:val="20"/>
          <w:color w:val="auto"/>
        </w:rPr>
      </w:pPr>
      <w:r>
        <w:rPr>
          <w:rFonts w:ascii="Arial" w:cs="Arial" w:eastAsia="Arial" w:hAnsi="Arial"/>
          <w:sz w:val="24"/>
          <w:szCs w:val="24"/>
          <w:b w:val="1"/>
          <w:bCs w:val="1"/>
          <w:color w:val="auto"/>
        </w:rPr>
        <w:t>GENERAL OBLIGATIONS AND RESPONSIBILITIES Maintenance of books of account, records and the documents.</w:t>
      </w:r>
    </w:p>
    <w:p>
      <w:pPr>
        <w:ind w:left="780" w:hanging="420"/>
        <w:spacing w:after="0" w:line="231" w:lineRule="auto"/>
        <w:tabs>
          <w:tab w:leader="none" w:pos="780" w:val="left"/>
        </w:tabs>
        <w:numPr>
          <w:ilvl w:val="0"/>
          <w:numId w:val="43"/>
        </w:numPr>
        <w:rPr>
          <w:rFonts w:ascii="Arial" w:cs="Arial" w:eastAsia="Arial" w:hAnsi="Arial"/>
          <w:sz w:val="24"/>
          <w:szCs w:val="24"/>
          <w:b w:val="1"/>
          <w:bCs w:val="1"/>
          <w:color w:val="auto"/>
        </w:rPr>
      </w:pPr>
      <w:r>
        <w:rPr>
          <w:rFonts w:ascii="Arial" w:cs="Arial" w:eastAsia="Arial" w:hAnsi="Arial"/>
          <w:sz w:val="24"/>
          <w:szCs w:val="24"/>
          <w:color w:val="auto"/>
        </w:rPr>
        <w:t>(1) Every banker to an issue shall maintain the following records with respect</w:t>
      </w:r>
    </w:p>
    <w:p>
      <w:pPr>
        <w:ind w:left="360"/>
        <w:spacing w:after="0" w:line="237" w:lineRule="auto"/>
        <w:rPr>
          <w:rFonts w:ascii="Arial" w:cs="Arial" w:eastAsia="Arial" w:hAnsi="Arial"/>
          <w:sz w:val="24"/>
          <w:szCs w:val="24"/>
          <w:b w:val="1"/>
          <w:bCs w:val="1"/>
          <w:color w:val="auto"/>
        </w:rPr>
      </w:pPr>
      <w:r>
        <w:rPr>
          <w:rFonts w:ascii="Arial" w:cs="Arial" w:eastAsia="Arial" w:hAnsi="Arial"/>
          <w:sz w:val="24"/>
          <w:szCs w:val="24"/>
          <w:color w:val="auto"/>
        </w:rPr>
        <w:t>to :—</w:t>
      </w:r>
    </w:p>
    <w:p>
      <w:pPr>
        <w:spacing w:after="0" w:line="52" w:lineRule="exact"/>
        <w:rPr>
          <w:rFonts w:ascii="Arial" w:cs="Arial" w:eastAsia="Arial" w:hAnsi="Arial"/>
          <w:sz w:val="24"/>
          <w:szCs w:val="24"/>
          <w:b w:val="1"/>
          <w:bCs w:val="1"/>
          <w:color w:val="auto"/>
        </w:rPr>
      </w:pPr>
    </w:p>
    <w:p>
      <w:pPr>
        <w:jc w:val="both"/>
        <w:ind w:left="840" w:right="280" w:hanging="412"/>
        <w:spacing w:after="0" w:line="236" w:lineRule="auto"/>
        <w:tabs>
          <w:tab w:leader="none" w:pos="840" w:val="left"/>
        </w:tabs>
        <w:numPr>
          <w:ilvl w:val="1"/>
          <w:numId w:val="43"/>
        </w:numPr>
        <w:rPr>
          <w:rFonts w:ascii="Arial" w:cs="Arial" w:eastAsia="Arial" w:hAnsi="Arial"/>
          <w:sz w:val="24"/>
          <w:szCs w:val="24"/>
          <w:color w:val="auto"/>
        </w:rPr>
      </w:pPr>
      <w:r>
        <w:rPr>
          <w:rFonts w:ascii="Arial" w:cs="Arial" w:eastAsia="Arial" w:hAnsi="Arial"/>
          <w:sz w:val="24"/>
          <w:szCs w:val="24"/>
          <w:color w:val="auto"/>
        </w:rPr>
        <w:t>the number of applications received, the names of the investors, the dates on which the applications were received and the amount so received from the investors;</w:t>
      </w:r>
    </w:p>
    <w:p>
      <w:pPr>
        <w:spacing w:after="0" w:line="73" w:lineRule="exact"/>
        <w:rPr>
          <w:rFonts w:ascii="Arial" w:cs="Arial" w:eastAsia="Arial" w:hAnsi="Arial"/>
          <w:sz w:val="24"/>
          <w:szCs w:val="24"/>
          <w:color w:val="auto"/>
        </w:rPr>
      </w:pPr>
    </w:p>
    <w:p>
      <w:pPr>
        <w:ind w:left="840" w:right="280" w:hanging="412"/>
        <w:spacing w:after="0" w:line="234" w:lineRule="auto"/>
        <w:tabs>
          <w:tab w:leader="none" w:pos="840" w:val="left"/>
        </w:tabs>
        <w:numPr>
          <w:ilvl w:val="1"/>
          <w:numId w:val="43"/>
        </w:numPr>
        <w:rPr>
          <w:rFonts w:ascii="Arial" w:cs="Arial" w:eastAsia="Arial" w:hAnsi="Arial"/>
          <w:sz w:val="24"/>
          <w:szCs w:val="24"/>
          <w:color w:val="auto"/>
        </w:rPr>
      </w:pPr>
      <w:r>
        <w:rPr>
          <w:rFonts w:ascii="Arial" w:cs="Arial" w:eastAsia="Arial" w:hAnsi="Arial"/>
          <w:sz w:val="24"/>
          <w:szCs w:val="24"/>
          <w:color w:val="auto"/>
        </w:rPr>
        <w:t>the time within which the applications received from the investors were forwarded to the body corporate or registrar to an issue, as the case may be;</w:t>
      </w:r>
    </w:p>
    <w:p>
      <w:pPr>
        <w:spacing w:after="0" w:line="41" w:lineRule="exact"/>
        <w:rPr>
          <w:rFonts w:ascii="Arial" w:cs="Arial" w:eastAsia="Arial" w:hAnsi="Arial"/>
          <w:sz w:val="24"/>
          <w:szCs w:val="24"/>
          <w:color w:val="auto"/>
        </w:rPr>
      </w:pPr>
    </w:p>
    <w:p>
      <w:pPr>
        <w:ind w:left="840" w:hanging="398"/>
        <w:spacing w:after="0"/>
        <w:tabs>
          <w:tab w:leader="none" w:pos="840" w:val="left"/>
        </w:tabs>
        <w:numPr>
          <w:ilvl w:val="1"/>
          <w:numId w:val="43"/>
        </w:numPr>
        <w:rPr>
          <w:rFonts w:ascii="Arial" w:cs="Arial" w:eastAsia="Arial" w:hAnsi="Arial"/>
          <w:sz w:val="24"/>
          <w:szCs w:val="24"/>
          <w:color w:val="auto"/>
        </w:rPr>
      </w:pPr>
      <w:r>
        <w:rPr>
          <w:rFonts w:ascii="Arial" w:cs="Arial" w:eastAsia="Arial" w:hAnsi="Arial"/>
          <w:sz w:val="24"/>
          <w:szCs w:val="24"/>
          <w:color w:val="auto"/>
        </w:rPr>
        <w:t>dates and amount of refund monies paid to the investors;</w:t>
      </w:r>
    </w:p>
    <w:p>
      <w:pPr>
        <w:spacing w:after="0" w:line="40" w:lineRule="exact"/>
        <w:rPr>
          <w:rFonts w:ascii="Arial" w:cs="Arial" w:eastAsia="Arial" w:hAnsi="Arial"/>
          <w:sz w:val="24"/>
          <w:szCs w:val="24"/>
          <w:color w:val="auto"/>
        </w:rPr>
      </w:pPr>
    </w:p>
    <w:p>
      <w:pPr>
        <w:ind w:left="840" w:hanging="412"/>
        <w:spacing w:after="0"/>
        <w:tabs>
          <w:tab w:leader="none" w:pos="840" w:val="left"/>
        </w:tabs>
        <w:numPr>
          <w:ilvl w:val="1"/>
          <w:numId w:val="43"/>
        </w:numPr>
        <w:rPr>
          <w:rFonts w:ascii="Arial" w:cs="Arial" w:eastAsia="Arial" w:hAnsi="Arial"/>
          <w:sz w:val="24"/>
          <w:szCs w:val="24"/>
          <w:color w:val="auto"/>
        </w:rPr>
      </w:pPr>
      <w:r>
        <w:rPr>
          <w:rFonts w:ascii="Arial" w:cs="Arial" w:eastAsia="Arial" w:hAnsi="Arial"/>
          <w:sz w:val="24"/>
          <w:szCs w:val="24"/>
          <w:color w:val="auto"/>
        </w:rPr>
        <w:t>dates, names and amount of dividend/interest warrant paid to the investors.</w:t>
      </w:r>
    </w:p>
    <w:p>
      <w:pPr>
        <w:spacing w:after="0" w:line="52" w:lineRule="exact"/>
        <w:rPr>
          <w:sz w:val="20"/>
          <w:szCs w:val="20"/>
          <w:color w:val="auto"/>
        </w:rPr>
      </w:pPr>
    </w:p>
    <w:p>
      <w:pPr>
        <w:ind w:left="360" w:right="280"/>
        <w:spacing w:after="0" w:line="234" w:lineRule="auto"/>
        <w:tabs>
          <w:tab w:leader="none" w:pos="777" w:val="left"/>
        </w:tabs>
        <w:numPr>
          <w:ilvl w:val="0"/>
          <w:numId w:val="44"/>
        </w:numPr>
        <w:rPr>
          <w:rFonts w:ascii="Arial" w:cs="Arial" w:eastAsia="Arial" w:hAnsi="Arial"/>
          <w:sz w:val="24"/>
          <w:szCs w:val="24"/>
          <w:color w:val="auto"/>
        </w:rPr>
      </w:pPr>
      <w:r>
        <w:rPr>
          <w:rFonts w:ascii="Arial" w:cs="Arial" w:eastAsia="Arial" w:hAnsi="Arial"/>
          <w:sz w:val="24"/>
          <w:szCs w:val="24"/>
          <w:color w:val="auto"/>
        </w:rPr>
        <w:t>Every banker to an issue shall intimate to the Board the place where the records and documents mentioned in sub-regulation (1) are kept.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166370</wp:posOffset>
                </wp:positionV>
                <wp:extent cx="18294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3.1pt" to="162.05pt,13.1pt" o:allowincell="f" strokecolor="#000000" strokeweight="0.48pt"/>
            </w:pict>
          </mc:Fallback>
        </mc:AlternateContent>
      </w:r>
    </w:p>
    <w:p>
      <w:pPr>
        <w:spacing w:after="0" w:line="366" w:lineRule="exact"/>
        <w:rPr>
          <w:sz w:val="20"/>
          <w:szCs w:val="20"/>
          <w:color w:val="auto"/>
        </w:rPr>
      </w:pPr>
    </w:p>
    <w:p>
      <w:pPr>
        <w:ind w:left="360" w:right="260"/>
        <w:spacing w:after="0" w:line="204" w:lineRule="auto"/>
        <w:tabs>
          <w:tab w:leader="none" w:pos="553" w:val="left"/>
        </w:tabs>
        <w:numPr>
          <w:ilvl w:val="0"/>
          <w:numId w:val="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it read as under:</w:t>
      </w:r>
    </w:p>
    <w:p>
      <w:pPr>
        <w:spacing w:after="0" w:line="1" w:lineRule="exact"/>
        <w:rPr>
          <w:rFonts w:ascii="Times New Roman" w:cs="Times New Roman" w:eastAsia="Times New Roman" w:hAnsi="Times New Roman"/>
          <w:sz w:val="26"/>
          <w:szCs w:val="26"/>
          <w:color w:val="auto"/>
          <w:vertAlign w:val="superscript"/>
        </w:rPr>
      </w:pPr>
    </w:p>
    <w:p>
      <w:pPr>
        <w:ind w:left="360"/>
        <w:spacing w:after="0" w:line="20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5"/>
          <w:szCs w:val="25"/>
          <w:b w:val="1"/>
          <w:bCs w:val="1"/>
          <w:color w:val="auto"/>
          <w:vertAlign w:val="superscript"/>
        </w:rPr>
        <w:t>32</w:t>
      </w:r>
      <w:r>
        <w:rPr>
          <w:rFonts w:ascii="Times New Roman" w:cs="Times New Roman" w:eastAsia="Times New Roman" w:hAnsi="Times New Roman"/>
          <w:sz w:val="20"/>
          <w:szCs w:val="20"/>
          <w:b w:val="1"/>
          <w:bCs w:val="1"/>
          <w:color w:val="auto"/>
        </w:rPr>
        <w:t>[10. Effect of refusal to grant certificate of permanent registration.</w:t>
      </w:r>
    </w:p>
    <w:p>
      <w:pPr>
        <w:jc w:val="both"/>
        <w:ind w:left="360" w:right="260"/>
        <w:spacing w:after="0" w:line="23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 banker to an issue whose application for grant of certificate of permanent registration has been refused by the Board, on and from the date of the receipt of the communication, shall cease to carry on any activity as banker to an issue:</w:t>
      </w:r>
    </w:p>
    <w:p>
      <w:pPr>
        <w:spacing w:after="0" w:line="11" w:lineRule="exact"/>
        <w:rPr>
          <w:rFonts w:ascii="Times New Roman" w:cs="Times New Roman" w:eastAsia="Times New Roman" w:hAnsi="Times New Roman"/>
          <w:sz w:val="26"/>
          <w:szCs w:val="26"/>
          <w:color w:val="auto"/>
          <w:vertAlign w:val="superscript"/>
        </w:rPr>
      </w:pPr>
    </w:p>
    <w:p>
      <w:pPr>
        <w:jc w:val="both"/>
        <w:ind w:left="360" w:right="2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 xml:space="preserve">Provided </w:t>
      </w:r>
      <w:r>
        <w:rPr>
          <w:rFonts w:ascii="Times New Roman" w:cs="Times New Roman" w:eastAsia="Times New Roman" w:hAnsi="Times New Roman"/>
          <w:sz w:val="20"/>
          <w:szCs w:val="20"/>
          <w:color w:val="auto"/>
        </w:rPr>
        <w:t>that the Board may, in the interest of the investors of the securities market, permit to carry on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activities undertaken prior to the receipt of the intimation of refusal subject to such condition as the Board may specify.”</w:t>
      </w:r>
    </w:p>
    <w:p>
      <w:pPr>
        <w:spacing w:after="0" w:line="49" w:lineRule="exact"/>
        <w:rPr>
          <w:sz w:val="20"/>
          <w:szCs w:val="20"/>
          <w:color w:val="auto"/>
        </w:rPr>
      </w:pPr>
    </w:p>
    <w:p>
      <w:pPr>
        <w:ind w:left="360" w:right="260"/>
        <w:spacing w:after="0" w:line="237" w:lineRule="auto"/>
        <w:rPr>
          <w:sz w:val="20"/>
          <w:szCs w:val="20"/>
          <w:color w:val="auto"/>
        </w:rPr>
      </w:pPr>
      <w:r>
        <w:rPr>
          <w:rFonts w:ascii="Times New Roman" w:cs="Times New Roman" w:eastAsia="Times New Roman" w:hAnsi="Times New Roman"/>
          <w:sz w:val="20"/>
          <w:szCs w:val="20"/>
          <w:color w:val="auto"/>
        </w:rPr>
        <w:t>Also, regulation 10 was substituted by the Securities and Exchange Board of India (Bankers to an Issue) (Amendment) Regulations, 2011, w.e.f. 05-07-2011. Prior to the substitution the regulation read as under: “Effect of refusal to grant certificate.</w:t>
      </w:r>
    </w:p>
    <w:p>
      <w:pPr>
        <w:spacing w:after="0" w:line="48" w:lineRule="exact"/>
        <w:rPr>
          <w:sz w:val="20"/>
          <w:szCs w:val="20"/>
          <w:color w:val="auto"/>
        </w:rPr>
      </w:pPr>
    </w:p>
    <w:p>
      <w:pPr>
        <w:jc w:val="both"/>
        <w:ind w:left="360" w:right="260"/>
        <w:spacing w:after="0" w:line="237" w:lineRule="auto"/>
        <w:tabs>
          <w:tab w:leader="none" w:pos="673" w:val="left"/>
        </w:tabs>
        <w:numPr>
          <w:ilvl w:val="0"/>
          <w:numId w:val="4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Any scheduled bank whose application for a certificate has been refused by the Board shall on and from the date of the receipt of the communication under sub-regulation (2) of regulation 9 cease to carry on any activity as banker to an issue.”</w:t>
      </w:r>
    </w:p>
    <w:p>
      <w:pPr>
        <w:spacing w:after="0" w:line="47" w:lineRule="exact"/>
        <w:rPr>
          <w:sz w:val="20"/>
          <w:szCs w:val="20"/>
          <w:color w:val="auto"/>
        </w:rPr>
      </w:pPr>
    </w:p>
    <w:p>
      <w:pPr>
        <w:jc w:val="both"/>
        <w:ind w:left="360" w:right="260"/>
        <w:spacing w:after="0" w:line="219" w:lineRule="auto"/>
        <w:rPr>
          <w:sz w:val="20"/>
          <w:szCs w:val="20"/>
          <w:color w:val="auto"/>
        </w:rPr>
      </w:pPr>
      <w:r>
        <w:rPr>
          <w:rFonts w:ascii="Times New Roman" w:cs="Times New Roman" w:eastAsia="Times New Roman" w:hAnsi="Times New Roman"/>
          <w:sz w:val="25"/>
          <w:szCs w:val="25"/>
          <w:color w:val="auto"/>
          <w:vertAlign w:val="superscript"/>
        </w:rPr>
        <w:t>33</w:t>
      </w:r>
      <w:r>
        <w:rPr>
          <w:rFonts w:ascii="Times New Roman" w:cs="Times New Roman" w:eastAsia="Times New Roman" w:hAnsi="Times New Roman"/>
          <w:sz w:val="20"/>
          <w:szCs w:val="20"/>
          <w:color w:val="auto"/>
        </w:rPr>
        <w:t xml:space="preserve"> Substituted by the Securities and Exchange Board of India (Change In Conditions Of Registration Of Certain Intermediaries) (Amendment) Regulations, 2016 w.e.f. 08-12-2016. Prior to substitution it read as under:</w:t>
      </w:r>
    </w:p>
    <w:p>
      <w:pPr>
        <w:spacing w:after="0" w:line="4" w:lineRule="exact"/>
        <w:rPr>
          <w:sz w:val="20"/>
          <w:szCs w:val="20"/>
          <w:color w:val="auto"/>
        </w:rPr>
      </w:pPr>
    </w:p>
    <w:p>
      <w:pPr>
        <w:jc w:val="both"/>
        <w:ind w:left="360" w:right="260"/>
        <w:spacing w:after="0" w:line="212" w:lineRule="auto"/>
        <w:rPr>
          <w:sz w:val="20"/>
          <w:szCs w:val="20"/>
          <w:color w:val="auto"/>
        </w:rPr>
      </w:pPr>
      <w:r>
        <w:rPr>
          <w:rFonts w:ascii="Times New Roman" w:cs="Times New Roman" w:eastAsia="Times New Roman" w:hAnsi="Times New Roman"/>
          <w:sz w:val="20"/>
          <w:szCs w:val="20"/>
          <w:color w:val="auto"/>
        </w:rPr>
        <w:t xml:space="preserve">“(1) Every applicant eligible for grant of a certificate </w:t>
      </w:r>
      <w:r>
        <w:rPr>
          <w:rFonts w:ascii="Times New Roman" w:cs="Times New Roman" w:eastAsia="Times New Roman" w:hAnsi="Times New Roman"/>
          <w:sz w:val="25"/>
          <w:szCs w:val="25"/>
          <w:color w:val="auto"/>
          <w:vertAlign w:val="superscript"/>
        </w:rPr>
        <w:t>33</w:t>
      </w:r>
      <w:r>
        <w:rPr>
          <w:rFonts w:ascii="Times New Roman" w:cs="Times New Roman" w:eastAsia="Times New Roman" w:hAnsi="Times New Roman"/>
          <w:sz w:val="20"/>
          <w:szCs w:val="20"/>
          <w:color w:val="auto"/>
        </w:rPr>
        <w:t>[of initial or permanent registration, as the case may be] shall pay such fees in such a manner and within the period specified in Schedule II.”</w:t>
      </w:r>
    </w:p>
    <w:p>
      <w:pPr>
        <w:spacing w:after="0" w:line="11" w:lineRule="exact"/>
        <w:rPr>
          <w:sz w:val="20"/>
          <w:szCs w:val="20"/>
          <w:color w:val="auto"/>
        </w:rPr>
      </w:pPr>
    </w:p>
    <w:p>
      <w:pPr>
        <w:jc w:val="both"/>
        <w:ind w:left="360" w:right="280"/>
        <w:spacing w:after="0" w:line="235" w:lineRule="auto"/>
        <w:rPr>
          <w:sz w:val="20"/>
          <w:szCs w:val="20"/>
          <w:color w:val="auto"/>
        </w:rPr>
      </w:pPr>
      <w:r>
        <w:rPr>
          <w:rFonts w:ascii="Times New Roman" w:cs="Times New Roman" w:eastAsia="Times New Roman" w:hAnsi="Times New Roman"/>
          <w:sz w:val="20"/>
          <w:szCs w:val="20"/>
          <w:color w:val="auto"/>
        </w:rPr>
        <w:t>Also, the words “of initial or permanent registration, as the case may be” were inserted by the Securities and Exchange Board of India (Bankers to an Issue) (Amendment) Regulations, 2011, w.e.f. 05-07-2011.</w:t>
      </w:r>
    </w:p>
    <w:p>
      <w:pPr>
        <w:spacing w:after="0" w:line="218"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10</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10" w:name="page11"/>
    <w:bookmarkEnd w:id="10"/>
    <w:p>
      <w:pPr>
        <w:spacing w:after="0" w:line="11" w:lineRule="exact"/>
        <w:rPr>
          <w:sz w:val="20"/>
          <w:szCs w:val="20"/>
          <w:color w:val="auto"/>
        </w:rPr>
      </w:pPr>
    </w:p>
    <w:p>
      <w:pPr>
        <w:ind w:left="360" w:right="280"/>
        <w:spacing w:after="0" w:line="249" w:lineRule="auto"/>
        <w:tabs>
          <w:tab w:leader="none" w:pos="734" w:val="left"/>
        </w:tabs>
        <w:numPr>
          <w:ilvl w:val="0"/>
          <w:numId w:val="47"/>
        </w:numPr>
        <w:rPr>
          <w:rFonts w:ascii="Arial" w:cs="Arial" w:eastAsia="Arial" w:hAnsi="Arial"/>
          <w:sz w:val="24"/>
          <w:szCs w:val="24"/>
          <w:color w:val="auto"/>
        </w:rPr>
      </w:pPr>
      <w:r>
        <w:rPr>
          <w:rFonts w:ascii="Arial" w:cs="Arial" w:eastAsia="Arial" w:hAnsi="Arial"/>
          <w:sz w:val="24"/>
          <w:szCs w:val="24"/>
          <w:color w:val="auto"/>
        </w:rPr>
        <w:t xml:space="preserve">The banker to an issue shall preserve the records and documents specified in sub-regulation (1) for a minimum period of </w:t>
      </w:r>
      <w:r>
        <w:rPr>
          <w:rFonts w:ascii="Arial" w:cs="Arial" w:eastAsia="Arial" w:hAnsi="Arial"/>
          <w:sz w:val="31"/>
          <w:szCs w:val="31"/>
          <w:color w:val="auto"/>
          <w:vertAlign w:val="superscript"/>
        </w:rPr>
        <w:t>34</w:t>
      </w:r>
      <w:r>
        <w:rPr>
          <w:rFonts w:ascii="Arial" w:cs="Arial" w:eastAsia="Arial" w:hAnsi="Arial"/>
          <w:sz w:val="24"/>
          <w:szCs w:val="24"/>
          <w:color w:val="auto"/>
        </w:rPr>
        <w:t>[eight] years.</w:t>
      </w:r>
    </w:p>
    <w:p>
      <w:pPr>
        <w:spacing w:after="0" w:line="24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Furnishing of information to the Board.</w:t>
      </w:r>
    </w:p>
    <w:p>
      <w:pPr>
        <w:spacing w:after="0" w:line="52" w:lineRule="exact"/>
        <w:rPr>
          <w:sz w:val="20"/>
          <w:szCs w:val="20"/>
          <w:color w:val="auto"/>
        </w:rPr>
      </w:pPr>
    </w:p>
    <w:p>
      <w:pPr>
        <w:ind w:left="360" w:right="280"/>
        <w:spacing w:after="0" w:line="234" w:lineRule="auto"/>
        <w:tabs>
          <w:tab w:leader="none" w:pos="841" w:val="left"/>
        </w:tabs>
        <w:numPr>
          <w:ilvl w:val="0"/>
          <w:numId w:val="48"/>
        </w:numPr>
        <w:rPr>
          <w:rFonts w:ascii="Arial" w:cs="Arial" w:eastAsia="Arial" w:hAnsi="Arial"/>
          <w:sz w:val="24"/>
          <w:szCs w:val="24"/>
          <w:b w:val="1"/>
          <w:bCs w:val="1"/>
          <w:color w:val="auto"/>
        </w:rPr>
      </w:pPr>
      <w:r>
        <w:rPr>
          <w:rFonts w:ascii="Arial" w:cs="Arial" w:eastAsia="Arial" w:hAnsi="Arial"/>
          <w:sz w:val="24"/>
          <w:szCs w:val="24"/>
          <w:color w:val="auto"/>
        </w:rPr>
        <w:t>Every banker to an issue shall furnish to the Board when required the following information, namely :—</w:t>
      </w:r>
    </w:p>
    <w:p>
      <w:pPr>
        <w:spacing w:after="0" w:line="41" w:lineRule="exact"/>
        <w:rPr>
          <w:rFonts w:ascii="Arial" w:cs="Arial" w:eastAsia="Arial" w:hAnsi="Arial"/>
          <w:sz w:val="24"/>
          <w:szCs w:val="24"/>
          <w:b w:val="1"/>
          <w:bCs w:val="1"/>
          <w:color w:val="auto"/>
        </w:rPr>
      </w:pPr>
    </w:p>
    <w:p>
      <w:pPr>
        <w:ind w:left="840" w:hanging="412"/>
        <w:spacing w:after="0"/>
        <w:tabs>
          <w:tab w:leader="none" w:pos="840" w:val="left"/>
        </w:tabs>
        <w:numPr>
          <w:ilvl w:val="1"/>
          <w:numId w:val="48"/>
        </w:numPr>
        <w:rPr>
          <w:rFonts w:ascii="Arial" w:cs="Arial" w:eastAsia="Arial" w:hAnsi="Arial"/>
          <w:sz w:val="24"/>
          <w:szCs w:val="24"/>
          <w:color w:val="auto"/>
        </w:rPr>
      </w:pPr>
      <w:r>
        <w:rPr>
          <w:rFonts w:ascii="Arial" w:cs="Arial" w:eastAsia="Arial" w:hAnsi="Arial"/>
          <w:sz w:val="24"/>
          <w:szCs w:val="24"/>
          <w:color w:val="auto"/>
        </w:rPr>
        <w:t>the number of issues for which he was engaged as a banker to an issue;</w:t>
      </w:r>
    </w:p>
    <w:p>
      <w:pPr>
        <w:spacing w:after="0" w:line="51" w:lineRule="exact"/>
        <w:rPr>
          <w:rFonts w:ascii="Arial" w:cs="Arial" w:eastAsia="Arial" w:hAnsi="Arial"/>
          <w:sz w:val="24"/>
          <w:szCs w:val="24"/>
          <w:color w:val="auto"/>
        </w:rPr>
      </w:pPr>
    </w:p>
    <w:p>
      <w:pPr>
        <w:ind w:left="840" w:right="280" w:hanging="412"/>
        <w:spacing w:after="0" w:line="236" w:lineRule="auto"/>
        <w:tabs>
          <w:tab w:leader="none" w:pos="840" w:val="left"/>
        </w:tabs>
        <w:numPr>
          <w:ilvl w:val="1"/>
          <w:numId w:val="48"/>
        </w:numPr>
        <w:rPr>
          <w:rFonts w:ascii="Arial" w:cs="Arial" w:eastAsia="Arial" w:hAnsi="Arial"/>
          <w:sz w:val="24"/>
          <w:szCs w:val="24"/>
          <w:color w:val="auto"/>
        </w:rPr>
      </w:pPr>
      <w:r>
        <w:rPr>
          <w:rFonts w:ascii="Arial" w:cs="Arial" w:eastAsia="Arial" w:hAnsi="Arial"/>
          <w:sz w:val="24"/>
          <w:szCs w:val="24"/>
          <w:color w:val="auto"/>
        </w:rPr>
        <w:t>the number of applications and details of the application monies received by the banker to an issue;</w:t>
      </w:r>
    </w:p>
    <w:p>
      <w:pPr>
        <w:spacing w:after="0" w:line="48" w:lineRule="exact"/>
        <w:rPr>
          <w:rFonts w:ascii="Arial" w:cs="Arial" w:eastAsia="Arial" w:hAnsi="Arial"/>
          <w:sz w:val="24"/>
          <w:szCs w:val="24"/>
          <w:color w:val="auto"/>
        </w:rPr>
      </w:pPr>
    </w:p>
    <w:p>
      <w:pPr>
        <w:ind w:left="840" w:right="280" w:hanging="398"/>
        <w:spacing w:after="0" w:line="236" w:lineRule="auto"/>
        <w:tabs>
          <w:tab w:leader="none" w:pos="840" w:val="left"/>
        </w:tabs>
        <w:numPr>
          <w:ilvl w:val="1"/>
          <w:numId w:val="48"/>
        </w:numPr>
        <w:rPr>
          <w:rFonts w:ascii="Arial" w:cs="Arial" w:eastAsia="Arial" w:hAnsi="Arial"/>
          <w:sz w:val="24"/>
          <w:szCs w:val="24"/>
          <w:color w:val="auto"/>
        </w:rPr>
      </w:pPr>
      <w:r>
        <w:rPr>
          <w:rFonts w:ascii="Arial" w:cs="Arial" w:eastAsia="Arial" w:hAnsi="Arial"/>
          <w:sz w:val="24"/>
          <w:szCs w:val="24"/>
          <w:color w:val="auto"/>
        </w:rPr>
        <w:t>the dates on which the applications received from the investors were forwarded to the body corporate or registrar to an issue;</w:t>
      </w:r>
    </w:p>
    <w:p>
      <w:pPr>
        <w:spacing w:after="0" w:line="41" w:lineRule="exact"/>
        <w:rPr>
          <w:rFonts w:ascii="Arial" w:cs="Arial" w:eastAsia="Arial" w:hAnsi="Arial"/>
          <w:sz w:val="24"/>
          <w:szCs w:val="24"/>
          <w:color w:val="auto"/>
        </w:rPr>
      </w:pPr>
    </w:p>
    <w:p>
      <w:pPr>
        <w:ind w:left="840" w:hanging="412"/>
        <w:spacing w:after="0"/>
        <w:tabs>
          <w:tab w:leader="none" w:pos="840" w:val="left"/>
        </w:tabs>
        <w:numPr>
          <w:ilvl w:val="1"/>
          <w:numId w:val="48"/>
        </w:numPr>
        <w:rPr>
          <w:rFonts w:ascii="Arial" w:cs="Arial" w:eastAsia="Arial" w:hAnsi="Arial"/>
          <w:sz w:val="24"/>
          <w:szCs w:val="24"/>
          <w:color w:val="auto"/>
        </w:rPr>
      </w:pPr>
      <w:r>
        <w:rPr>
          <w:rFonts w:ascii="Arial" w:cs="Arial" w:eastAsia="Arial" w:hAnsi="Arial"/>
          <w:sz w:val="24"/>
          <w:szCs w:val="24"/>
          <w:color w:val="auto"/>
        </w:rPr>
        <w:t>the dates on which and the amount refunded to the investors;</w:t>
      </w:r>
    </w:p>
    <w:p>
      <w:pPr>
        <w:spacing w:after="0" w:line="40" w:lineRule="exact"/>
        <w:rPr>
          <w:rFonts w:ascii="Arial" w:cs="Arial" w:eastAsia="Arial" w:hAnsi="Arial"/>
          <w:sz w:val="24"/>
          <w:szCs w:val="24"/>
          <w:color w:val="auto"/>
        </w:rPr>
      </w:pPr>
    </w:p>
    <w:p>
      <w:pPr>
        <w:ind w:left="840" w:hanging="412"/>
        <w:spacing w:after="0"/>
        <w:tabs>
          <w:tab w:leader="none" w:pos="840" w:val="left"/>
        </w:tabs>
        <w:numPr>
          <w:ilvl w:val="1"/>
          <w:numId w:val="48"/>
        </w:numPr>
        <w:rPr>
          <w:rFonts w:ascii="Arial" w:cs="Arial" w:eastAsia="Arial" w:hAnsi="Arial"/>
          <w:sz w:val="24"/>
          <w:szCs w:val="24"/>
          <w:color w:val="auto"/>
        </w:rPr>
      </w:pPr>
      <w:r>
        <w:rPr>
          <w:rFonts w:ascii="Arial" w:cs="Arial" w:eastAsia="Arial" w:hAnsi="Arial"/>
          <w:sz w:val="24"/>
          <w:szCs w:val="24"/>
          <w:color w:val="auto"/>
        </w:rPr>
        <w:t>the payment or dividend/or interest warrants to the investors.</w:t>
      </w:r>
    </w:p>
    <w:p>
      <w:pPr>
        <w:spacing w:after="0" w:line="353"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Agreement with bodies corporate.</w:t>
      </w:r>
    </w:p>
    <w:p>
      <w:pPr>
        <w:spacing w:after="0" w:line="52" w:lineRule="exact"/>
        <w:rPr>
          <w:sz w:val="20"/>
          <w:szCs w:val="20"/>
          <w:color w:val="auto"/>
        </w:rPr>
      </w:pPr>
    </w:p>
    <w:p>
      <w:pPr>
        <w:ind w:left="360" w:right="280"/>
        <w:spacing w:after="0" w:line="236" w:lineRule="auto"/>
        <w:tabs>
          <w:tab w:leader="none" w:pos="812" w:val="left"/>
        </w:tabs>
        <w:numPr>
          <w:ilvl w:val="0"/>
          <w:numId w:val="49"/>
        </w:numPr>
        <w:rPr>
          <w:rFonts w:ascii="Arial" w:cs="Arial" w:eastAsia="Arial" w:hAnsi="Arial"/>
          <w:sz w:val="24"/>
          <w:szCs w:val="24"/>
          <w:b w:val="1"/>
          <w:bCs w:val="1"/>
          <w:color w:val="auto"/>
        </w:rPr>
      </w:pPr>
      <w:r>
        <w:rPr>
          <w:rFonts w:ascii="Arial" w:cs="Arial" w:eastAsia="Arial" w:hAnsi="Arial"/>
          <w:sz w:val="24"/>
          <w:szCs w:val="24"/>
          <w:color w:val="auto"/>
        </w:rPr>
        <w:t>(1) Every banker to an issue shall enter into an agreement with the body corporate for whom it is acting as banker to an issue.</w:t>
      </w:r>
    </w:p>
    <w:p>
      <w:pPr>
        <w:spacing w:after="0" w:line="48" w:lineRule="exact"/>
        <w:rPr>
          <w:sz w:val="20"/>
          <w:szCs w:val="20"/>
          <w:color w:val="auto"/>
        </w:rPr>
      </w:pPr>
    </w:p>
    <w:p>
      <w:pPr>
        <w:ind w:left="360" w:right="260"/>
        <w:spacing w:after="0" w:line="236" w:lineRule="auto"/>
        <w:tabs>
          <w:tab w:leader="none" w:pos="772" w:val="left"/>
        </w:tabs>
        <w:numPr>
          <w:ilvl w:val="0"/>
          <w:numId w:val="50"/>
        </w:numPr>
        <w:rPr>
          <w:rFonts w:ascii="Arial" w:cs="Arial" w:eastAsia="Arial" w:hAnsi="Arial"/>
          <w:sz w:val="24"/>
          <w:szCs w:val="24"/>
          <w:color w:val="auto"/>
        </w:rPr>
      </w:pPr>
      <w:r>
        <w:rPr>
          <w:rFonts w:ascii="Arial" w:cs="Arial" w:eastAsia="Arial" w:hAnsi="Arial"/>
          <w:sz w:val="24"/>
          <w:szCs w:val="24"/>
          <w:color w:val="auto"/>
        </w:rPr>
        <w:t>The agreement referred to in sub-regulation (1) shall contain the following clauses, namely :—</w:t>
      </w:r>
    </w:p>
    <w:p>
      <w:pPr>
        <w:spacing w:after="0" w:line="52" w:lineRule="exact"/>
        <w:rPr>
          <w:rFonts w:ascii="Arial" w:cs="Arial" w:eastAsia="Arial" w:hAnsi="Arial"/>
          <w:sz w:val="24"/>
          <w:szCs w:val="24"/>
          <w:color w:val="auto"/>
        </w:rPr>
      </w:pPr>
    </w:p>
    <w:p>
      <w:pPr>
        <w:ind w:left="840" w:right="280" w:hanging="412"/>
        <w:spacing w:after="0" w:line="234" w:lineRule="auto"/>
        <w:tabs>
          <w:tab w:leader="none" w:pos="840" w:val="left"/>
        </w:tabs>
        <w:numPr>
          <w:ilvl w:val="1"/>
          <w:numId w:val="50"/>
        </w:numPr>
        <w:rPr>
          <w:rFonts w:ascii="Arial" w:cs="Arial" w:eastAsia="Arial" w:hAnsi="Arial"/>
          <w:sz w:val="24"/>
          <w:szCs w:val="24"/>
          <w:color w:val="auto"/>
        </w:rPr>
      </w:pPr>
      <w:r>
        <w:rPr>
          <w:rFonts w:ascii="Arial" w:cs="Arial" w:eastAsia="Arial" w:hAnsi="Arial"/>
          <w:sz w:val="24"/>
          <w:szCs w:val="24"/>
          <w:color w:val="auto"/>
        </w:rPr>
        <w:t>the number of centres at which the applications and application monies of an issue of a body corporate will be collected from the investors;</w:t>
      </w:r>
    </w:p>
    <w:p>
      <w:pPr>
        <w:spacing w:after="0" w:line="52" w:lineRule="exact"/>
        <w:rPr>
          <w:rFonts w:ascii="Arial" w:cs="Arial" w:eastAsia="Arial" w:hAnsi="Arial"/>
          <w:sz w:val="24"/>
          <w:szCs w:val="24"/>
          <w:color w:val="auto"/>
        </w:rPr>
      </w:pPr>
    </w:p>
    <w:p>
      <w:pPr>
        <w:jc w:val="both"/>
        <w:ind w:left="840" w:right="280" w:hanging="412"/>
        <w:spacing w:after="0" w:line="238" w:lineRule="auto"/>
        <w:tabs>
          <w:tab w:leader="none" w:pos="840" w:val="left"/>
        </w:tabs>
        <w:numPr>
          <w:ilvl w:val="1"/>
          <w:numId w:val="50"/>
        </w:numPr>
        <w:rPr>
          <w:rFonts w:ascii="Arial" w:cs="Arial" w:eastAsia="Arial" w:hAnsi="Arial"/>
          <w:sz w:val="24"/>
          <w:szCs w:val="24"/>
          <w:color w:val="auto"/>
        </w:rPr>
      </w:pPr>
      <w:r>
        <w:rPr>
          <w:rFonts w:ascii="Arial" w:cs="Arial" w:eastAsia="Arial" w:hAnsi="Arial"/>
          <w:sz w:val="24"/>
          <w:szCs w:val="24"/>
          <w:color w:val="auto"/>
        </w:rPr>
        <w:t>the time within which the statement regarding the applications and application monies received from the investors investing in an issue of a body corporate will be forwarded to the registrar to an issue or the body corporate, as the case may be;</w:t>
      </w:r>
    </w:p>
    <w:p>
      <w:pPr>
        <w:spacing w:after="0" w:line="48" w:lineRule="exact"/>
        <w:rPr>
          <w:rFonts w:ascii="Arial" w:cs="Arial" w:eastAsia="Arial" w:hAnsi="Arial"/>
          <w:sz w:val="24"/>
          <w:szCs w:val="24"/>
          <w:color w:val="auto"/>
        </w:rPr>
      </w:pPr>
    </w:p>
    <w:p>
      <w:pPr>
        <w:jc w:val="both"/>
        <w:ind w:left="840" w:right="280" w:hanging="398"/>
        <w:spacing w:after="0" w:line="238" w:lineRule="auto"/>
        <w:tabs>
          <w:tab w:leader="none" w:pos="840" w:val="left"/>
        </w:tabs>
        <w:numPr>
          <w:ilvl w:val="1"/>
          <w:numId w:val="50"/>
        </w:numPr>
        <w:rPr>
          <w:rFonts w:ascii="Arial" w:cs="Arial" w:eastAsia="Arial" w:hAnsi="Arial"/>
          <w:sz w:val="24"/>
          <w:szCs w:val="24"/>
          <w:color w:val="auto"/>
        </w:rPr>
      </w:pPr>
      <w:r>
        <w:rPr>
          <w:rFonts w:ascii="Arial" w:cs="Arial" w:eastAsia="Arial" w:hAnsi="Arial"/>
          <w:sz w:val="24"/>
          <w:szCs w:val="24"/>
          <w:color w:val="auto"/>
        </w:rPr>
        <w:t>that a daily statement will be sent by the designated controlling branch of the bankers to the issue to the registrar to an issue indicating the number of applications received on that date from the investors investing in the issue of a body corporate, and the amount of application money received.</w:t>
      </w:r>
    </w:p>
    <w:p>
      <w:pPr>
        <w:spacing w:after="0" w:line="35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Board to be informed of any disciplinary action taken by the Reserve Bank.</w:t>
      </w:r>
    </w:p>
    <w:p>
      <w:pPr>
        <w:spacing w:after="0" w:line="47" w:lineRule="exact"/>
        <w:rPr>
          <w:sz w:val="20"/>
          <w:szCs w:val="20"/>
          <w:color w:val="auto"/>
        </w:rPr>
      </w:pPr>
    </w:p>
    <w:p>
      <w:pPr>
        <w:jc w:val="both"/>
        <w:ind w:left="360" w:right="260"/>
        <w:spacing w:after="0" w:line="236" w:lineRule="auto"/>
        <w:tabs>
          <w:tab w:leader="none" w:pos="797" w:val="left"/>
        </w:tabs>
        <w:numPr>
          <w:ilvl w:val="0"/>
          <w:numId w:val="51"/>
        </w:numPr>
        <w:rPr>
          <w:rFonts w:ascii="Arial" w:cs="Arial" w:eastAsia="Arial" w:hAnsi="Arial"/>
          <w:sz w:val="24"/>
          <w:szCs w:val="24"/>
          <w:b w:val="1"/>
          <w:bCs w:val="1"/>
          <w:color w:val="auto"/>
        </w:rPr>
      </w:pPr>
      <w:r>
        <w:rPr>
          <w:rFonts w:ascii="Arial" w:cs="Arial" w:eastAsia="Arial" w:hAnsi="Arial"/>
          <w:sz w:val="24"/>
          <w:szCs w:val="24"/>
          <w:color w:val="auto"/>
        </w:rPr>
        <w:t>Every banker to an issue shall inform the Board forthwith if any disciplinary action is taken by the Reserve Bank against the banker to an issue only in relation to issue payment work :</w:t>
      </w:r>
    </w:p>
    <w:p>
      <w:pPr>
        <w:spacing w:after="0" w:line="55" w:lineRule="exact"/>
        <w:rPr>
          <w:sz w:val="20"/>
          <w:szCs w:val="20"/>
          <w:color w:val="auto"/>
        </w:rPr>
      </w:pPr>
    </w:p>
    <w:p>
      <w:pPr>
        <w:jc w:val="both"/>
        <w:ind w:left="360" w:right="280"/>
        <w:spacing w:after="0" w:line="236"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if as a result of any such action, the banker to an issue is prohibited</w:t>
      </w:r>
      <w:r>
        <w:rPr>
          <w:rFonts w:ascii="Arial" w:cs="Arial" w:eastAsia="Arial" w:hAnsi="Arial"/>
          <w:sz w:val="24"/>
          <w:szCs w:val="24"/>
          <w:b w:val="1"/>
          <w:bCs w:val="1"/>
          <w:color w:val="auto"/>
        </w:rPr>
        <w:t xml:space="preserve"> </w:t>
      </w:r>
      <w:r>
        <w:rPr>
          <w:rFonts w:ascii="Arial" w:cs="Arial" w:eastAsia="Arial" w:hAnsi="Arial"/>
          <w:sz w:val="24"/>
          <w:szCs w:val="24"/>
          <w:color w:val="auto"/>
        </w:rPr>
        <w:t>from carrying on the activities, the certificate shall be deemed to have been suspended or cancelled as the case may be.</w:t>
      </w:r>
    </w:p>
    <w:p>
      <w:pPr>
        <w:spacing w:after="0" w:line="36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Code of conduct.</w:t>
      </w:r>
    </w:p>
    <w:p>
      <w:pPr>
        <w:spacing w:after="0" w:line="52" w:lineRule="exact"/>
        <w:rPr>
          <w:sz w:val="20"/>
          <w:szCs w:val="20"/>
          <w:color w:val="auto"/>
        </w:rPr>
      </w:pPr>
    </w:p>
    <w:p>
      <w:pPr>
        <w:ind w:left="360" w:right="280"/>
        <w:spacing w:after="0" w:line="234" w:lineRule="auto"/>
        <w:tabs>
          <w:tab w:leader="none" w:pos="793" w:val="left"/>
        </w:tabs>
        <w:numPr>
          <w:ilvl w:val="0"/>
          <w:numId w:val="52"/>
        </w:numPr>
        <w:rPr>
          <w:rFonts w:ascii="Arial" w:cs="Arial" w:eastAsia="Arial" w:hAnsi="Arial"/>
          <w:sz w:val="24"/>
          <w:szCs w:val="24"/>
          <w:b w:val="1"/>
          <w:bCs w:val="1"/>
          <w:color w:val="auto"/>
        </w:rPr>
      </w:pPr>
      <w:r>
        <w:rPr>
          <w:rFonts w:ascii="Arial" w:cs="Arial" w:eastAsia="Arial" w:hAnsi="Arial"/>
          <w:sz w:val="24"/>
          <w:szCs w:val="24"/>
          <w:color w:val="auto"/>
        </w:rPr>
        <w:t>Every banker to an issue shall abide by the code of conduct as specified in Schedule III.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123825</wp:posOffset>
                </wp:positionV>
                <wp:extent cx="1829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9.75pt" to="162.05pt,9.75pt" o:allowincell="f" strokecolor="#000000" strokeweight="0.4799pt"/>
            </w:pict>
          </mc:Fallback>
        </mc:AlternateContent>
      </w:r>
    </w:p>
    <w:p>
      <w:pPr>
        <w:spacing w:after="0" w:line="294" w:lineRule="exact"/>
        <w:rPr>
          <w:sz w:val="20"/>
          <w:szCs w:val="20"/>
          <w:color w:val="auto"/>
        </w:rPr>
      </w:pPr>
    </w:p>
    <w:p>
      <w:pPr>
        <w:ind w:left="360" w:right="1220"/>
        <w:spacing w:after="0" w:line="205" w:lineRule="auto"/>
        <w:tabs>
          <w:tab w:leader="none" w:pos="548" w:val="left"/>
        </w:tabs>
        <w:numPr>
          <w:ilvl w:val="0"/>
          <w:numId w:val="5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(Bankers to an Issue) (Amendment) Regulations, 2018, w.e.f. 30-05-2018. Prior to substitution it read as “three”.</w:t>
      </w:r>
    </w:p>
    <w:p>
      <w:pPr>
        <w:spacing w:after="0" w:line="217"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11</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11" w:name="page12"/>
    <w:bookmarkEnd w:id="11"/>
    <w:p>
      <w:pPr>
        <w:spacing w:after="0" w:line="294" w:lineRule="exact"/>
        <w:rPr>
          <w:sz w:val="20"/>
          <w:szCs w:val="20"/>
          <w:color w:val="auto"/>
        </w:rPr>
      </w:pPr>
    </w:p>
    <w:p>
      <w:pPr>
        <w:ind w:left="360"/>
        <w:spacing w:after="0"/>
        <w:rPr>
          <w:sz w:val="20"/>
          <w:szCs w:val="20"/>
          <w:color w:val="auto"/>
        </w:rPr>
      </w:pPr>
      <w:r>
        <w:rPr>
          <w:rFonts w:ascii="Arial" w:cs="Arial" w:eastAsia="Arial" w:hAnsi="Arial"/>
          <w:sz w:val="31"/>
          <w:szCs w:val="31"/>
          <w:color w:val="auto"/>
          <w:vertAlign w:val="superscript"/>
        </w:rPr>
        <w:t>35</w:t>
      </w:r>
      <w:r>
        <w:rPr>
          <w:rFonts w:ascii="Arial" w:cs="Arial" w:eastAsia="Arial" w:hAnsi="Arial"/>
          <w:sz w:val="24"/>
          <w:szCs w:val="24"/>
          <w:color w:val="auto"/>
        </w:rPr>
        <w:t>[</w:t>
      </w:r>
      <w:r>
        <w:rPr>
          <w:rFonts w:ascii="Arial" w:cs="Arial" w:eastAsia="Arial" w:hAnsi="Arial"/>
          <w:sz w:val="24"/>
          <w:szCs w:val="24"/>
          <w:b w:val="1"/>
          <w:bCs w:val="1"/>
          <w:color w:val="auto"/>
        </w:rPr>
        <w:t>Appointment of compliance officer.</w:t>
      </w:r>
    </w:p>
    <w:p>
      <w:pPr>
        <w:jc w:val="both"/>
        <w:ind w:left="360" w:right="280"/>
        <w:spacing w:after="0" w:line="235" w:lineRule="auto"/>
        <w:rPr>
          <w:sz w:val="20"/>
          <w:szCs w:val="20"/>
          <w:color w:val="auto"/>
        </w:rPr>
      </w:pPr>
      <w:r>
        <w:rPr>
          <w:rFonts w:ascii="Arial" w:cs="Arial" w:eastAsia="Arial" w:hAnsi="Arial"/>
          <w:sz w:val="24"/>
          <w:szCs w:val="24"/>
          <w:b w:val="1"/>
          <w:bCs w:val="1"/>
          <w:color w:val="auto"/>
        </w:rPr>
        <w:t xml:space="preserve">16A. </w:t>
      </w:r>
      <w:r>
        <w:rPr>
          <w:rFonts w:ascii="Arial" w:cs="Arial" w:eastAsia="Arial" w:hAnsi="Arial"/>
          <w:sz w:val="24"/>
          <w:szCs w:val="24"/>
          <w:color w:val="auto"/>
        </w:rPr>
        <w:t>(1) Every banker to an issue shall appoint a compliance officer who shall be</w:t>
      </w:r>
      <w:r>
        <w:rPr>
          <w:rFonts w:ascii="Arial" w:cs="Arial" w:eastAsia="Arial" w:hAnsi="Arial"/>
          <w:sz w:val="24"/>
          <w:szCs w:val="24"/>
          <w:b w:val="1"/>
          <w:bCs w:val="1"/>
          <w:color w:val="auto"/>
        </w:rPr>
        <w:t xml:space="preserve"> </w:t>
      </w:r>
      <w:r>
        <w:rPr>
          <w:rFonts w:ascii="Arial" w:cs="Arial" w:eastAsia="Arial" w:hAnsi="Arial"/>
          <w:sz w:val="24"/>
          <w:szCs w:val="24"/>
          <w:color w:val="auto"/>
        </w:rPr>
        <w:t>responsible for monitoring the compliance of the Act, rules and regulations, notifications, guidelines, instructions, etc., issued by the Board or the Central Government and for redressal of investors’ grievances.</w:t>
      </w:r>
    </w:p>
    <w:p>
      <w:pPr>
        <w:spacing w:after="0" w:line="75" w:lineRule="exact"/>
        <w:rPr>
          <w:sz w:val="20"/>
          <w:szCs w:val="20"/>
          <w:color w:val="auto"/>
        </w:rPr>
      </w:pPr>
    </w:p>
    <w:p>
      <w:pPr>
        <w:ind w:left="360" w:right="280"/>
        <w:spacing w:after="0" w:line="236" w:lineRule="auto"/>
        <w:tabs>
          <w:tab w:leader="none" w:pos="786" w:val="left"/>
        </w:tabs>
        <w:numPr>
          <w:ilvl w:val="0"/>
          <w:numId w:val="54"/>
        </w:numPr>
        <w:rPr>
          <w:rFonts w:ascii="Arial" w:cs="Arial" w:eastAsia="Arial" w:hAnsi="Arial"/>
          <w:sz w:val="24"/>
          <w:szCs w:val="24"/>
          <w:color w:val="auto"/>
        </w:rPr>
      </w:pPr>
      <w:r>
        <w:rPr>
          <w:rFonts w:ascii="Arial" w:cs="Arial" w:eastAsia="Arial" w:hAnsi="Arial"/>
          <w:sz w:val="24"/>
          <w:szCs w:val="24"/>
          <w:color w:val="auto"/>
        </w:rPr>
        <w:t>The compliance officer shall immediately and independently report to the Board any non-compliance observed by him.]</w:t>
      </w:r>
    </w:p>
    <w:p>
      <w:pPr>
        <w:spacing w:after="0" w:line="200" w:lineRule="exact"/>
        <w:rPr>
          <w:sz w:val="20"/>
          <w:szCs w:val="20"/>
          <w:color w:val="auto"/>
        </w:rPr>
      </w:pPr>
    </w:p>
    <w:p>
      <w:pPr>
        <w:spacing w:after="0" w:line="260" w:lineRule="exact"/>
        <w:rPr>
          <w:sz w:val="20"/>
          <w:szCs w:val="20"/>
          <w:color w:val="auto"/>
        </w:rPr>
      </w:pPr>
    </w:p>
    <w:p>
      <w:pPr>
        <w:jc w:val="center"/>
        <w:ind w:right="-99"/>
        <w:spacing w:after="0"/>
        <w:rPr>
          <w:sz w:val="20"/>
          <w:szCs w:val="20"/>
          <w:color w:val="auto"/>
        </w:rPr>
      </w:pPr>
      <w:r>
        <w:rPr>
          <w:rFonts w:ascii="Arial" w:cs="Arial" w:eastAsia="Arial" w:hAnsi="Arial"/>
          <w:sz w:val="24"/>
          <w:szCs w:val="24"/>
          <w:b w:val="1"/>
          <w:bCs w:val="1"/>
          <w:color w:val="auto"/>
        </w:rPr>
        <w:t>CHAPTER IV</w:t>
      </w:r>
    </w:p>
    <w:p>
      <w:pPr>
        <w:spacing w:after="0" w:line="94" w:lineRule="exact"/>
        <w:rPr>
          <w:sz w:val="20"/>
          <w:szCs w:val="20"/>
          <w:color w:val="auto"/>
        </w:rPr>
      </w:pPr>
    </w:p>
    <w:p>
      <w:pPr>
        <w:jc w:val="center"/>
        <w:ind w:right="-79"/>
        <w:spacing w:after="0"/>
        <w:rPr>
          <w:sz w:val="20"/>
          <w:szCs w:val="20"/>
          <w:color w:val="auto"/>
        </w:rPr>
      </w:pPr>
      <w:r>
        <w:rPr>
          <w:rFonts w:ascii="Arial" w:cs="Arial" w:eastAsia="Arial" w:hAnsi="Arial"/>
          <w:sz w:val="24"/>
          <w:szCs w:val="24"/>
          <w:b w:val="1"/>
          <w:bCs w:val="1"/>
          <w:color w:val="auto"/>
        </w:rPr>
        <w:t>PROCEDURE FOR INSPECTION</w:t>
      </w:r>
    </w:p>
    <w:p>
      <w:pPr>
        <w:spacing w:after="0" w:line="12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Inspection of Banker to an Issue.</w:t>
      </w:r>
    </w:p>
    <w:p>
      <w:pPr>
        <w:spacing w:after="0" w:line="52" w:lineRule="exact"/>
        <w:rPr>
          <w:sz w:val="20"/>
          <w:szCs w:val="20"/>
          <w:color w:val="auto"/>
        </w:rPr>
      </w:pPr>
    </w:p>
    <w:p>
      <w:pPr>
        <w:jc w:val="both"/>
        <w:ind w:left="360" w:right="260"/>
        <w:spacing w:after="0" w:line="237" w:lineRule="auto"/>
        <w:tabs>
          <w:tab w:leader="none" w:pos="778" w:val="left"/>
        </w:tabs>
        <w:numPr>
          <w:ilvl w:val="0"/>
          <w:numId w:val="55"/>
        </w:numPr>
        <w:rPr>
          <w:rFonts w:ascii="Arial" w:cs="Arial" w:eastAsia="Arial" w:hAnsi="Arial"/>
          <w:sz w:val="24"/>
          <w:szCs w:val="24"/>
          <w:b w:val="1"/>
          <w:bCs w:val="1"/>
          <w:color w:val="auto"/>
        </w:rPr>
      </w:pPr>
      <w:r>
        <w:rPr>
          <w:rFonts w:ascii="Arial" w:cs="Arial" w:eastAsia="Arial" w:hAnsi="Arial"/>
          <w:sz w:val="24"/>
          <w:szCs w:val="24"/>
          <w:color w:val="auto"/>
        </w:rPr>
        <w:t>The Board may request the Reserve Bank of India to undertake inspection of the books of account, records and documents of the banker to an issue for any of the purposes specified in regulation 18.</w:t>
      </w:r>
    </w:p>
    <w:p>
      <w:pPr>
        <w:spacing w:after="0" w:line="353"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Purpose of inspection.</w:t>
      </w:r>
    </w:p>
    <w:p>
      <w:pPr>
        <w:spacing w:after="0" w:line="41" w:lineRule="exact"/>
        <w:rPr>
          <w:sz w:val="20"/>
          <w:szCs w:val="20"/>
          <w:color w:val="auto"/>
        </w:rPr>
      </w:pPr>
    </w:p>
    <w:p>
      <w:pPr>
        <w:ind w:left="760" w:hanging="400"/>
        <w:spacing w:after="0"/>
        <w:tabs>
          <w:tab w:leader="none" w:pos="760" w:val="left"/>
        </w:tabs>
        <w:numPr>
          <w:ilvl w:val="0"/>
          <w:numId w:val="56"/>
        </w:numPr>
        <w:rPr>
          <w:rFonts w:ascii="Arial" w:cs="Arial" w:eastAsia="Arial" w:hAnsi="Arial"/>
          <w:sz w:val="24"/>
          <w:szCs w:val="24"/>
          <w:b w:val="1"/>
          <w:bCs w:val="1"/>
          <w:color w:val="auto"/>
        </w:rPr>
      </w:pPr>
      <w:r>
        <w:rPr>
          <w:rFonts w:ascii="Arial" w:cs="Arial" w:eastAsia="Arial" w:hAnsi="Arial"/>
          <w:sz w:val="24"/>
          <w:szCs w:val="24"/>
          <w:color w:val="auto"/>
        </w:rPr>
        <w:t>The purposes referred to in regulation 17 may be as follows, namely:—</w:t>
      </w:r>
    </w:p>
    <w:p>
      <w:pPr>
        <w:spacing w:after="0" w:line="51" w:lineRule="exact"/>
        <w:rPr>
          <w:rFonts w:ascii="Arial" w:cs="Arial" w:eastAsia="Arial" w:hAnsi="Arial"/>
          <w:sz w:val="24"/>
          <w:szCs w:val="24"/>
          <w:b w:val="1"/>
          <w:bCs w:val="1"/>
          <w:color w:val="auto"/>
        </w:rPr>
      </w:pPr>
    </w:p>
    <w:p>
      <w:pPr>
        <w:ind w:left="840" w:right="280" w:hanging="412"/>
        <w:spacing w:after="0" w:line="236" w:lineRule="auto"/>
        <w:tabs>
          <w:tab w:leader="none" w:pos="840" w:val="left"/>
        </w:tabs>
        <w:numPr>
          <w:ilvl w:val="1"/>
          <w:numId w:val="56"/>
        </w:numPr>
        <w:rPr>
          <w:rFonts w:ascii="Arial" w:cs="Arial" w:eastAsia="Arial" w:hAnsi="Arial"/>
          <w:sz w:val="24"/>
          <w:szCs w:val="24"/>
          <w:color w:val="auto"/>
        </w:rPr>
      </w:pPr>
      <w:r>
        <w:rPr>
          <w:rFonts w:ascii="Arial" w:cs="Arial" w:eastAsia="Arial" w:hAnsi="Arial"/>
          <w:sz w:val="24"/>
          <w:szCs w:val="24"/>
          <w:color w:val="auto"/>
        </w:rPr>
        <w:t>to ensure that the books of account are being maintained in the manner required;</w:t>
      </w:r>
    </w:p>
    <w:p>
      <w:pPr>
        <w:spacing w:after="0" w:line="37" w:lineRule="exact"/>
        <w:rPr>
          <w:rFonts w:ascii="Arial" w:cs="Arial" w:eastAsia="Arial" w:hAnsi="Arial"/>
          <w:sz w:val="24"/>
          <w:szCs w:val="24"/>
          <w:color w:val="auto"/>
        </w:rPr>
      </w:pPr>
    </w:p>
    <w:p>
      <w:pPr>
        <w:ind w:left="840" w:hanging="412"/>
        <w:spacing w:after="0"/>
        <w:tabs>
          <w:tab w:leader="none" w:pos="840" w:val="left"/>
        </w:tabs>
        <w:numPr>
          <w:ilvl w:val="1"/>
          <w:numId w:val="56"/>
        </w:numPr>
        <w:rPr>
          <w:rFonts w:ascii="Arial" w:cs="Arial" w:eastAsia="Arial" w:hAnsi="Arial"/>
          <w:sz w:val="24"/>
          <w:szCs w:val="24"/>
          <w:color w:val="auto"/>
        </w:rPr>
      </w:pPr>
      <w:r>
        <w:rPr>
          <w:rFonts w:ascii="Arial" w:cs="Arial" w:eastAsia="Arial" w:hAnsi="Arial"/>
          <w:sz w:val="24"/>
          <w:szCs w:val="24"/>
          <w:color w:val="auto"/>
        </w:rPr>
        <w:t>that the provisions of the Act, rules, regulations are being complied with;</w:t>
      </w:r>
    </w:p>
    <w:p>
      <w:pPr>
        <w:spacing w:after="0" w:line="51" w:lineRule="exact"/>
        <w:rPr>
          <w:rFonts w:ascii="Arial" w:cs="Arial" w:eastAsia="Arial" w:hAnsi="Arial"/>
          <w:sz w:val="24"/>
          <w:szCs w:val="24"/>
          <w:color w:val="auto"/>
        </w:rPr>
      </w:pPr>
    </w:p>
    <w:p>
      <w:pPr>
        <w:jc w:val="both"/>
        <w:ind w:left="840" w:right="280" w:hanging="398"/>
        <w:spacing w:after="0" w:line="236" w:lineRule="auto"/>
        <w:tabs>
          <w:tab w:leader="none" w:pos="840" w:val="left"/>
        </w:tabs>
        <w:numPr>
          <w:ilvl w:val="1"/>
          <w:numId w:val="56"/>
        </w:numPr>
        <w:rPr>
          <w:rFonts w:ascii="Arial" w:cs="Arial" w:eastAsia="Arial" w:hAnsi="Arial"/>
          <w:sz w:val="24"/>
          <w:szCs w:val="24"/>
          <w:color w:val="auto"/>
        </w:rPr>
      </w:pPr>
      <w:r>
        <w:rPr>
          <w:rFonts w:ascii="Arial" w:cs="Arial" w:eastAsia="Arial" w:hAnsi="Arial"/>
          <w:sz w:val="24"/>
          <w:szCs w:val="24"/>
          <w:color w:val="auto"/>
        </w:rPr>
        <w:t>to investigate into the complaints received from investors, body corporate or any other person on any matter having a bearing on the activities of the banker to an issue; and</w:t>
      </w:r>
    </w:p>
    <w:p>
      <w:pPr>
        <w:spacing w:after="0" w:line="43" w:lineRule="exact"/>
        <w:rPr>
          <w:rFonts w:ascii="Arial" w:cs="Arial" w:eastAsia="Arial" w:hAnsi="Arial"/>
          <w:sz w:val="24"/>
          <w:szCs w:val="24"/>
          <w:color w:val="auto"/>
        </w:rPr>
      </w:pPr>
    </w:p>
    <w:p>
      <w:pPr>
        <w:ind w:left="840" w:hanging="412"/>
        <w:spacing w:after="0"/>
        <w:tabs>
          <w:tab w:leader="none" w:pos="840" w:val="left"/>
        </w:tabs>
        <w:numPr>
          <w:ilvl w:val="1"/>
          <w:numId w:val="56"/>
        </w:numPr>
        <w:rPr>
          <w:rFonts w:ascii="Arial" w:cs="Arial" w:eastAsia="Arial" w:hAnsi="Arial"/>
          <w:sz w:val="24"/>
          <w:szCs w:val="24"/>
          <w:color w:val="auto"/>
        </w:rPr>
      </w:pPr>
      <w:r>
        <w:rPr>
          <w:rFonts w:ascii="Arial" w:cs="Arial" w:eastAsia="Arial" w:hAnsi="Arial"/>
          <w:sz w:val="24"/>
          <w:szCs w:val="24"/>
          <w:color w:val="auto"/>
        </w:rPr>
        <w:t>to investigate into such matters as may be required by the Board.</w:t>
      </w:r>
    </w:p>
    <w:p>
      <w:pPr>
        <w:spacing w:after="0" w:line="358"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Procedure for inspection.</w:t>
      </w:r>
    </w:p>
    <w:p>
      <w:pPr>
        <w:spacing w:after="0" w:line="52" w:lineRule="exact"/>
        <w:rPr>
          <w:sz w:val="20"/>
          <w:szCs w:val="20"/>
          <w:color w:val="auto"/>
        </w:rPr>
      </w:pPr>
    </w:p>
    <w:p>
      <w:pPr>
        <w:jc w:val="both"/>
        <w:ind w:left="360" w:right="280"/>
        <w:spacing w:after="0" w:line="236" w:lineRule="auto"/>
        <w:tabs>
          <w:tab w:leader="none" w:pos="778" w:val="left"/>
        </w:tabs>
        <w:numPr>
          <w:ilvl w:val="0"/>
          <w:numId w:val="57"/>
        </w:numPr>
        <w:rPr>
          <w:rFonts w:ascii="Arial" w:cs="Arial" w:eastAsia="Arial" w:hAnsi="Arial"/>
          <w:sz w:val="24"/>
          <w:szCs w:val="24"/>
          <w:b w:val="1"/>
          <w:bCs w:val="1"/>
          <w:color w:val="auto"/>
        </w:rPr>
      </w:pPr>
      <w:r>
        <w:rPr>
          <w:rFonts w:ascii="Arial" w:cs="Arial" w:eastAsia="Arial" w:hAnsi="Arial"/>
          <w:sz w:val="24"/>
          <w:szCs w:val="24"/>
          <w:color w:val="auto"/>
        </w:rPr>
        <w:t>The Reserve Bank shall on a receipt of a request from the Board as soon as possible take steps to undertake inspection of the banker to an issue for such purposes as may be required by the Board in such manner as it may deem fit.</w:t>
      </w:r>
    </w:p>
    <w:p>
      <w:pPr>
        <w:spacing w:after="0" w:line="357"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Obligations of banker to an issue on inspection.</w:t>
      </w:r>
    </w:p>
    <w:p>
      <w:pPr>
        <w:spacing w:after="0" w:line="52" w:lineRule="exact"/>
        <w:rPr>
          <w:sz w:val="20"/>
          <w:szCs w:val="20"/>
          <w:color w:val="auto"/>
        </w:rPr>
      </w:pPr>
    </w:p>
    <w:p>
      <w:pPr>
        <w:jc w:val="both"/>
        <w:ind w:left="360" w:right="260"/>
        <w:spacing w:after="0" w:line="238" w:lineRule="auto"/>
        <w:tabs>
          <w:tab w:leader="none" w:pos="836" w:val="left"/>
        </w:tabs>
        <w:numPr>
          <w:ilvl w:val="0"/>
          <w:numId w:val="58"/>
        </w:numPr>
        <w:rPr>
          <w:rFonts w:ascii="Arial" w:cs="Arial" w:eastAsia="Arial" w:hAnsi="Arial"/>
          <w:sz w:val="24"/>
          <w:szCs w:val="24"/>
          <w:b w:val="1"/>
          <w:bCs w:val="1"/>
          <w:color w:val="auto"/>
        </w:rPr>
      </w:pPr>
      <w:r>
        <w:rPr>
          <w:rFonts w:ascii="Arial" w:cs="Arial" w:eastAsia="Arial" w:hAnsi="Arial"/>
          <w:sz w:val="24"/>
          <w:szCs w:val="24"/>
          <w:color w:val="auto"/>
        </w:rPr>
        <w:t>(1) It shall be the duty of every director, proprietor, partner, officer and employee of the banker to an issue, who is being inspected, to produce to the inspecting authority such books, accounts and other documents in his custody or control and furnish him with the statements and information relating to his activities as a banker to an issue within such time as the Reserve Bank may require.</w:t>
      </w:r>
    </w:p>
    <w:p>
      <w:pPr>
        <w:spacing w:after="0" w:line="53" w:lineRule="exact"/>
        <w:rPr>
          <w:sz w:val="20"/>
          <w:szCs w:val="20"/>
          <w:color w:val="auto"/>
        </w:rPr>
      </w:pPr>
    </w:p>
    <w:p>
      <w:pPr>
        <w:jc w:val="both"/>
        <w:ind w:left="360" w:right="280"/>
        <w:spacing w:after="0" w:line="236" w:lineRule="auto"/>
        <w:tabs>
          <w:tab w:leader="none" w:pos="729" w:val="left"/>
        </w:tabs>
        <w:numPr>
          <w:ilvl w:val="0"/>
          <w:numId w:val="59"/>
        </w:numPr>
        <w:rPr>
          <w:rFonts w:ascii="Arial" w:cs="Arial" w:eastAsia="Arial" w:hAnsi="Arial"/>
          <w:sz w:val="24"/>
          <w:szCs w:val="24"/>
          <w:color w:val="auto"/>
        </w:rPr>
      </w:pPr>
      <w:r>
        <w:rPr>
          <w:rFonts w:ascii="Arial" w:cs="Arial" w:eastAsia="Arial" w:hAnsi="Arial"/>
          <w:sz w:val="24"/>
          <w:szCs w:val="24"/>
          <w:color w:val="auto"/>
        </w:rPr>
        <w:t>The banker to an issue shall allow the inspecting authority to have reasonable access to the premises occupied by such banker to an issue or by any other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133350</wp:posOffset>
                </wp:positionV>
                <wp:extent cx="18294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0.5pt" to="162.05pt,10.5pt" o:allowincell="f" strokecolor="#000000" strokeweight="0.4799pt"/>
            </w:pict>
          </mc:Fallback>
        </mc:AlternateContent>
      </w:r>
    </w:p>
    <w:p>
      <w:pPr>
        <w:spacing w:after="0" w:line="309" w:lineRule="exact"/>
        <w:rPr>
          <w:sz w:val="20"/>
          <w:szCs w:val="20"/>
          <w:color w:val="auto"/>
        </w:rPr>
      </w:pPr>
    </w:p>
    <w:p>
      <w:pPr>
        <w:ind w:left="360" w:right="280"/>
        <w:spacing w:after="0" w:line="235" w:lineRule="auto"/>
        <w:rPr>
          <w:sz w:val="20"/>
          <w:szCs w:val="20"/>
          <w:color w:val="auto"/>
        </w:rPr>
      </w:pPr>
      <w:r>
        <w:rPr>
          <w:rFonts w:ascii="Times New Roman" w:cs="Times New Roman" w:eastAsia="Times New Roman" w:hAnsi="Times New Roman"/>
          <w:sz w:val="20"/>
          <w:szCs w:val="20"/>
          <w:color w:val="auto"/>
        </w:rPr>
        <w:t>35 Inserted by the Securities and Exchange Board of India (Investment Advise by Intermediaries) (Amendment) Regulations, 2001, w.e.f. 29-05-2001.</w:t>
      </w:r>
    </w:p>
    <w:p>
      <w:pPr>
        <w:spacing w:after="0" w:line="218"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12</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12" w:name="page13"/>
    <w:bookmarkEnd w:id="12"/>
    <w:p>
      <w:pPr>
        <w:spacing w:after="0" w:line="11" w:lineRule="exact"/>
        <w:rPr>
          <w:sz w:val="20"/>
          <w:szCs w:val="20"/>
          <w:color w:val="auto"/>
        </w:rPr>
      </w:pPr>
    </w:p>
    <w:p>
      <w:pPr>
        <w:jc w:val="both"/>
        <w:ind w:left="360" w:right="280"/>
        <w:spacing w:after="0" w:line="238" w:lineRule="auto"/>
        <w:rPr>
          <w:sz w:val="20"/>
          <w:szCs w:val="20"/>
          <w:color w:val="auto"/>
        </w:rPr>
      </w:pPr>
      <w:r>
        <w:rPr>
          <w:rFonts w:ascii="Arial" w:cs="Arial" w:eastAsia="Arial" w:hAnsi="Arial"/>
          <w:sz w:val="24"/>
          <w:szCs w:val="24"/>
          <w:color w:val="auto"/>
        </w:rPr>
        <w:t>person on his behalf and also extend reasonable facility for examining any books, records, documents and computer data in the possession of the banker to an issue or any such other person and also provide copies of documents or other materials which, in the opinion of the Reserve Bank of India are relevant for the purposes of the inspection.</w:t>
      </w:r>
    </w:p>
    <w:p>
      <w:pPr>
        <w:spacing w:after="0" w:line="53" w:lineRule="exact"/>
        <w:rPr>
          <w:sz w:val="20"/>
          <w:szCs w:val="20"/>
          <w:color w:val="auto"/>
        </w:rPr>
      </w:pPr>
    </w:p>
    <w:p>
      <w:pPr>
        <w:jc w:val="both"/>
        <w:ind w:left="360" w:right="280"/>
        <w:spacing w:after="0" w:line="236" w:lineRule="auto"/>
        <w:tabs>
          <w:tab w:leader="none" w:pos="791" w:val="left"/>
        </w:tabs>
        <w:numPr>
          <w:ilvl w:val="0"/>
          <w:numId w:val="60"/>
        </w:numPr>
        <w:rPr>
          <w:rFonts w:ascii="Arial" w:cs="Arial" w:eastAsia="Arial" w:hAnsi="Arial"/>
          <w:sz w:val="24"/>
          <w:szCs w:val="24"/>
          <w:color w:val="auto"/>
        </w:rPr>
      </w:pPr>
      <w:r>
        <w:rPr>
          <w:rFonts w:ascii="Arial" w:cs="Arial" w:eastAsia="Arial" w:hAnsi="Arial"/>
          <w:sz w:val="24"/>
          <w:szCs w:val="24"/>
          <w:color w:val="auto"/>
        </w:rPr>
        <w:t>The inspecting authority, in the course of inspection, shall be entitled to examine or record statements of any principal officer, member, director, partner, proprietor and employee of the banker to an issue.</w:t>
      </w:r>
    </w:p>
    <w:p>
      <w:pPr>
        <w:spacing w:after="0" w:line="54" w:lineRule="exact"/>
        <w:rPr>
          <w:rFonts w:ascii="Arial" w:cs="Arial" w:eastAsia="Arial" w:hAnsi="Arial"/>
          <w:sz w:val="24"/>
          <w:szCs w:val="24"/>
          <w:color w:val="auto"/>
        </w:rPr>
      </w:pPr>
    </w:p>
    <w:p>
      <w:pPr>
        <w:jc w:val="both"/>
        <w:ind w:left="360" w:right="280"/>
        <w:spacing w:after="0" w:line="237" w:lineRule="auto"/>
        <w:tabs>
          <w:tab w:leader="none" w:pos="734" w:val="left"/>
        </w:tabs>
        <w:numPr>
          <w:ilvl w:val="0"/>
          <w:numId w:val="60"/>
        </w:numPr>
        <w:rPr>
          <w:rFonts w:ascii="Arial" w:cs="Arial" w:eastAsia="Arial" w:hAnsi="Arial"/>
          <w:sz w:val="24"/>
          <w:szCs w:val="24"/>
          <w:color w:val="auto"/>
        </w:rPr>
      </w:pPr>
      <w:r>
        <w:rPr>
          <w:rFonts w:ascii="Arial" w:cs="Arial" w:eastAsia="Arial" w:hAnsi="Arial"/>
          <w:sz w:val="24"/>
          <w:szCs w:val="24"/>
          <w:color w:val="auto"/>
        </w:rPr>
        <w:t>It shall be the duty of every director, proprietor, partner, officer or employee of the banker to an issue to give to the inspecting authority all assistance in connection with the inspection which the banker to an issue may reasonably be expected to give.</w:t>
      </w:r>
    </w:p>
    <w:p>
      <w:pPr>
        <w:spacing w:after="0" w:line="35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Submission of report to the Board.</w:t>
      </w:r>
    </w:p>
    <w:p>
      <w:pPr>
        <w:spacing w:after="0" w:line="52" w:lineRule="exact"/>
        <w:rPr>
          <w:sz w:val="20"/>
          <w:szCs w:val="20"/>
          <w:color w:val="auto"/>
        </w:rPr>
      </w:pPr>
    </w:p>
    <w:p>
      <w:pPr>
        <w:jc w:val="both"/>
        <w:ind w:left="360" w:right="280"/>
        <w:spacing w:after="0" w:line="237" w:lineRule="auto"/>
        <w:tabs>
          <w:tab w:leader="none" w:pos="788" w:val="left"/>
        </w:tabs>
        <w:numPr>
          <w:ilvl w:val="0"/>
          <w:numId w:val="61"/>
        </w:numPr>
        <w:rPr>
          <w:rFonts w:ascii="Arial" w:cs="Arial" w:eastAsia="Arial" w:hAnsi="Arial"/>
          <w:sz w:val="24"/>
          <w:szCs w:val="24"/>
          <w:b w:val="1"/>
          <w:bCs w:val="1"/>
          <w:color w:val="auto"/>
        </w:rPr>
      </w:pPr>
      <w:r>
        <w:rPr>
          <w:rFonts w:ascii="Arial" w:cs="Arial" w:eastAsia="Arial" w:hAnsi="Arial"/>
          <w:sz w:val="24"/>
          <w:szCs w:val="24"/>
          <w:color w:val="auto"/>
        </w:rPr>
        <w:t>The Reserve Bank of India shall, as soon as may be possible furnish to the Board a copy of the inspection report together with the copies of relevant documents in support of the observations made by the inspecting authority.</w:t>
      </w:r>
    </w:p>
    <w:p>
      <w:pPr>
        <w:spacing w:after="0" w:line="330" w:lineRule="exact"/>
        <w:rPr>
          <w:sz w:val="20"/>
          <w:szCs w:val="20"/>
          <w:color w:val="auto"/>
        </w:rPr>
      </w:pPr>
    </w:p>
    <w:p>
      <w:pPr>
        <w:ind w:left="360"/>
        <w:spacing w:after="0"/>
        <w:rPr>
          <w:sz w:val="20"/>
          <w:szCs w:val="20"/>
          <w:color w:val="auto"/>
        </w:rPr>
      </w:pPr>
      <w:r>
        <w:rPr>
          <w:rFonts w:ascii="Arial" w:cs="Arial" w:eastAsia="Arial" w:hAnsi="Arial"/>
          <w:sz w:val="31"/>
          <w:szCs w:val="31"/>
          <w:b w:val="1"/>
          <w:bCs w:val="1"/>
          <w:color w:val="auto"/>
          <w:vertAlign w:val="superscript"/>
        </w:rPr>
        <w:t>36</w:t>
      </w:r>
      <w:r>
        <w:rPr>
          <w:rFonts w:ascii="Arial" w:cs="Arial" w:eastAsia="Arial" w:hAnsi="Arial"/>
          <w:sz w:val="24"/>
          <w:szCs w:val="24"/>
          <w:b w:val="1"/>
          <w:bCs w:val="1"/>
          <w:color w:val="auto"/>
        </w:rPr>
        <w:t>[Action on inspection or investigation report.</w:t>
      </w:r>
    </w:p>
    <w:p>
      <w:pPr>
        <w:ind w:left="360" w:right="460"/>
        <w:spacing w:after="0" w:line="220" w:lineRule="auto"/>
        <w:tabs>
          <w:tab w:leader="none" w:pos="764" w:val="left"/>
        </w:tabs>
        <w:numPr>
          <w:ilvl w:val="0"/>
          <w:numId w:val="62"/>
        </w:numPr>
        <w:rPr>
          <w:rFonts w:ascii="Arial" w:cs="Arial" w:eastAsia="Arial" w:hAnsi="Arial"/>
          <w:sz w:val="24"/>
          <w:szCs w:val="24"/>
          <w:b w:val="1"/>
          <w:bCs w:val="1"/>
          <w:color w:val="auto"/>
        </w:rPr>
      </w:pPr>
      <w:r>
        <w:rPr>
          <w:rFonts w:ascii="Arial" w:cs="Arial" w:eastAsia="Arial" w:hAnsi="Arial"/>
          <w:sz w:val="24"/>
          <w:szCs w:val="24"/>
          <w:color w:val="auto"/>
        </w:rPr>
        <w:t xml:space="preserve">The Board or the Chairman shall after consideration of inspection or investigation report take such action as the Board or Chairman may deem fit and appropriate including action under </w:t>
      </w:r>
      <w:r>
        <w:rPr>
          <w:rFonts w:ascii="Arial" w:cs="Arial" w:eastAsia="Arial" w:hAnsi="Arial"/>
          <w:sz w:val="31"/>
          <w:szCs w:val="31"/>
          <w:color w:val="auto"/>
          <w:vertAlign w:val="superscript"/>
        </w:rPr>
        <w:t>37</w:t>
      </w:r>
      <w:r>
        <w:rPr>
          <w:rFonts w:ascii="Arial" w:cs="Arial" w:eastAsia="Arial" w:hAnsi="Arial"/>
          <w:sz w:val="24"/>
          <w:szCs w:val="24"/>
          <w:b w:val="1"/>
          <w:bCs w:val="1"/>
          <w:color w:val="auto"/>
        </w:rPr>
        <w:t>[</w:t>
      </w:r>
      <w:r>
        <w:rPr>
          <w:rFonts w:ascii="Arial" w:cs="Arial" w:eastAsia="Arial" w:hAnsi="Arial"/>
          <w:sz w:val="24"/>
          <w:szCs w:val="24"/>
          <w:color w:val="auto"/>
        </w:rPr>
        <w:t>Chapter V of the Securities and Exchange Board of</w:t>
      </w:r>
    </w:p>
    <w:p>
      <w:pPr>
        <w:spacing w:after="0" w:line="4" w:lineRule="exact"/>
        <w:rPr>
          <w:rFonts w:ascii="Arial" w:cs="Arial" w:eastAsia="Arial" w:hAnsi="Arial"/>
          <w:sz w:val="24"/>
          <w:szCs w:val="24"/>
          <w:b w:val="1"/>
          <w:bCs w:val="1"/>
          <w:color w:val="auto"/>
        </w:rPr>
      </w:pPr>
    </w:p>
    <w:p>
      <w:pPr>
        <w:ind w:left="360"/>
        <w:spacing w:after="0" w:line="237" w:lineRule="auto"/>
        <w:rPr>
          <w:rFonts w:ascii="Arial" w:cs="Arial" w:eastAsia="Arial" w:hAnsi="Arial"/>
          <w:sz w:val="24"/>
          <w:szCs w:val="24"/>
          <w:b w:val="1"/>
          <w:bCs w:val="1"/>
          <w:color w:val="auto"/>
        </w:rPr>
      </w:pPr>
      <w:r>
        <w:rPr>
          <w:rFonts w:ascii="Arial" w:cs="Arial" w:eastAsia="Arial" w:hAnsi="Arial"/>
          <w:sz w:val="24"/>
          <w:szCs w:val="24"/>
          <w:color w:val="auto"/>
        </w:rPr>
        <w:t>India (Intermediaries) Regulations, 2008.</w:t>
      </w:r>
      <w:r>
        <w:rPr>
          <w:rFonts w:ascii="Arial" w:cs="Arial" w:eastAsia="Arial" w:hAnsi="Arial"/>
          <w:sz w:val="24"/>
          <w:szCs w:val="24"/>
          <w:b w:val="1"/>
          <w:bCs w:val="1"/>
          <w:color w:val="auto"/>
        </w:rPr>
        <w:t>]]</w:t>
      </w:r>
    </w:p>
    <w:p>
      <w:pPr>
        <w:spacing w:after="0" w:line="339" w:lineRule="exact"/>
        <w:rPr>
          <w:sz w:val="20"/>
          <w:szCs w:val="20"/>
          <w:color w:val="auto"/>
        </w:rPr>
      </w:pPr>
    </w:p>
    <w:p>
      <w:pPr>
        <w:jc w:val="center"/>
        <w:ind w:right="-99"/>
        <w:spacing w:after="0"/>
        <w:rPr>
          <w:sz w:val="20"/>
          <w:szCs w:val="20"/>
          <w:color w:val="auto"/>
        </w:rPr>
      </w:pPr>
      <w:r>
        <w:rPr>
          <w:rFonts w:ascii="Arial" w:cs="Arial" w:eastAsia="Arial" w:hAnsi="Arial"/>
          <w:sz w:val="24"/>
          <w:szCs w:val="24"/>
          <w:b w:val="1"/>
          <w:bCs w:val="1"/>
          <w:color w:val="auto"/>
        </w:rPr>
        <w:t>CHAPTER V</w:t>
      </w:r>
    </w:p>
    <w:p>
      <w:pPr>
        <w:spacing w:after="0" w:line="287" w:lineRule="exact"/>
        <w:rPr>
          <w:sz w:val="20"/>
          <w:szCs w:val="20"/>
          <w:color w:val="auto"/>
        </w:rPr>
      </w:pPr>
    </w:p>
    <w:p>
      <w:pPr>
        <w:ind w:left="360" w:right="1780" w:firstLine="1508"/>
        <w:spacing w:after="0" w:line="323" w:lineRule="auto"/>
        <w:rPr>
          <w:sz w:val="20"/>
          <w:szCs w:val="20"/>
          <w:color w:val="auto"/>
        </w:rPr>
      </w:pPr>
      <w:r>
        <w:rPr>
          <w:rFonts w:ascii="Arial" w:cs="Arial" w:eastAsia="Arial" w:hAnsi="Arial"/>
          <w:sz w:val="24"/>
          <w:szCs w:val="24"/>
          <w:b w:val="1"/>
          <w:bCs w:val="1"/>
          <w:color w:val="auto"/>
        </w:rPr>
        <w:t xml:space="preserve">PROCEDURE FOR ACTION IN CASE OF DEFAULT </w:t>
      </w:r>
      <w:r>
        <w:rPr>
          <w:rFonts w:ascii="Arial" w:cs="Arial" w:eastAsia="Arial" w:hAnsi="Arial"/>
          <w:sz w:val="31"/>
          <w:szCs w:val="31"/>
          <w:b w:val="1"/>
          <w:bCs w:val="1"/>
          <w:color w:val="auto"/>
          <w:vertAlign w:val="superscript"/>
        </w:rPr>
        <w:t>38</w:t>
      </w:r>
      <w:r>
        <w:rPr>
          <w:rFonts w:ascii="Arial" w:cs="Arial" w:eastAsia="Arial" w:hAnsi="Arial"/>
          <w:sz w:val="24"/>
          <w:szCs w:val="24"/>
          <w:b w:val="1"/>
          <w:bCs w:val="1"/>
          <w:color w:val="auto"/>
        </w:rPr>
        <w:t>[Liability for action in case of default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7620</wp:posOffset>
                </wp:positionV>
                <wp:extent cx="18294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0.6pt" to="162.05pt,0.6pt" o:allowincell="f" strokecolor="#000000" strokeweight="0.48pt"/>
            </w:pict>
          </mc:Fallback>
        </mc:AlternateContent>
      </w:r>
    </w:p>
    <w:p>
      <w:pPr>
        <w:spacing w:after="0" w:line="111" w:lineRule="exact"/>
        <w:rPr>
          <w:sz w:val="20"/>
          <w:szCs w:val="20"/>
          <w:color w:val="auto"/>
        </w:rPr>
      </w:pPr>
    </w:p>
    <w:p>
      <w:pPr>
        <w:ind w:left="360" w:right="260"/>
        <w:spacing w:after="0" w:line="204" w:lineRule="auto"/>
        <w:tabs>
          <w:tab w:leader="none" w:pos="553" w:val="left"/>
        </w:tabs>
        <w:numPr>
          <w:ilvl w:val="0"/>
          <w:numId w:val="63"/>
        </w:numPr>
        <w:rPr>
          <w:rFonts w:ascii="Times New Roman" w:cs="Times New Roman" w:eastAsia="Times New Roman" w:hAnsi="Times New Roman"/>
          <w:sz w:val="26"/>
          <w:szCs w:val="26"/>
          <w:b w:val="1"/>
          <w:bCs w:val="1"/>
          <w:color w:val="auto"/>
          <w:vertAlign w:val="superscript"/>
        </w:rPr>
      </w:pPr>
      <w:r>
        <w:rPr>
          <w:rFonts w:ascii="Times New Roman" w:cs="Times New Roman" w:eastAsia="Times New Roman" w:hAnsi="Times New Roman"/>
          <w:sz w:val="20"/>
          <w:szCs w:val="20"/>
          <w:color w:val="auto"/>
        </w:rPr>
        <w:t>Substituted by the Securities and Exchange Board of India (Procedure for Holding Enquiry by Enquiry Officer and Imposing Penalty) Regulations, 2002, w.e.f., 27-09-2002.</w:t>
      </w:r>
    </w:p>
    <w:p>
      <w:pPr>
        <w:spacing w:after="0" w:line="1" w:lineRule="exact"/>
        <w:rPr>
          <w:rFonts w:ascii="Times New Roman" w:cs="Times New Roman" w:eastAsia="Times New Roman" w:hAnsi="Times New Roman"/>
          <w:sz w:val="26"/>
          <w:szCs w:val="26"/>
          <w:b w:val="1"/>
          <w:bCs w:val="1"/>
          <w:color w:val="auto"/>
          <w:vertAlign w:val="superscript"/>
        </w:rPr>
      </w:pPr>
    </w:p>
    <w:p>
      <w:pPr>
        <w:ind w:left="560" w:hanging="200"/>
        <w:spacing w:after="0" w:line="185" w:lineRule="auto"/>
        <w:tabs>
          <w:tab w:leader="none" w:pos="560" w:val="left"/>
        </w:tabs>
        <w:numPr>
          <w:ilvl w:val="0"/>
          <w:numId w:val="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“the Securities and Exchange Board of India (Procedure for Holding Enquiry by</w:t>
      </w:r>
    </w:p>
    <w:p>
      <w:pPr>
        <w:spacing w:after="0" w:line="17" w:lineRule="exact"/>
        <w:rPr>
          <w:rFonts w:ascii="Times New Roman" w:cs="Times New Roman" w:eastAsia="Times New Roman" w:hAnsi="Times New Roman"/>
          <w:sz w:val="26"/>
          <w:szCs w:val="26"/>
          <w:color w:val="auto"/>
          <w:vertAlign w:val="superscript"/>
        </w:rPr>
      </w:pPr>
    </w:p>
    <w:p>
      <w:pPr>
        <w:ind w:left="360" w:right="260"/>
        <w:spacing w:after="0" w:line="23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Enquiry Officer and Imposing Penalty) Regulations, 2002” by the Securities and Exchange Board of India (intermediaries) Regulations, 2008, w.e.f. 26-05-2008</w:t>
      </w:r>
    </w:p>
    <w:p>
      <w:pPr>
        <w:spacing w:after="0" w:line="1" w:lineRule="exact"/>
        <w:rPr>
          <w:rFonts w:ascii="Times New Roman" w:cs="Times New Roman" w:eastAsia="Times New Roman" w:hAnsi="Times New Roman"/>
          <w:sz w:val="26"/>
          <w:szCs w:val="26"/>
          <w:color w:val="auto"/>
          <w:vertAlign w:val="superscript"/>
        </w:rPr>
      </w:pPr>
    </w:p>
    <w:p>
      <w:pPr>
        <w:ind w:left="620" w:hanging="260"/>
        <w:spacing w:after="0"/>
        <w:tabs>
          <w:tab w:leader="none" w:pos="620" w:val="left"/>
        </w:tabs>
        <w:numPr>
          <w:ilvl w:val="0"/>
          <w:numId w:val="6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Securities and Exchange Board of India (Intermediaries) Regulations, 2008, w.e.f. 26-</w:t>
      </w:r>
    </w:p>
    <w:p>
      <w:pPr>
        <w:spacing w:after="0" w:line="9" w:lineRule="exact"/>
        <w:rPr>
          <w:rFonts w:ascii="Times New Roman" w:cs="Times New Roman" w:eastAsia="Times New Roman" w:hAnsi="Times New Roman"/>
          <w:sz w:val="20"/>
          <w:szCs w:val="20"/>
          <w:color w:val="auto"/>
        </w:rPr>
      </w:pPr>
    </w:p>
    <w:p>
      <w:pPr>
        <w:ind w:left="360" w:right="39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05-2008. Prior to the substitution, the regulation read as under: “23. A banker to an issue who-</w:t>
      </w:r>
    </w:p>
    <w:p>
      <w:pPr>
        <w:spacing w:after="0" w:line="1"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fails to comply with any conditions subject to which certificate has been granted;</w:t>
      </w:r>
    </w:p>
    <w:p>
      <w:pPr>
        <w:spacing w:after="0" w:line="9" w:lineRule="exact"/>
        <w:rPr>
          <w:rFonts w:ascii="Times New Roman" w:cs="Times New Roman" w:eastAsia="Times New Roman" w:hAnsi="Times New Roman"/>
          <w:sz w:val="20"/>
          <w:szCs w:val="20"/>
          <w:color w:val="auto"/>
        </w:rPr>
      </w:pPr>
    </w:p>
    <w:p>
      <w:pPr>
        <w:jc w:val="both"/>
        <w:ind w:left="360" w:right="26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 contravenes any of the provisions of the Act, rules or regulations, shall be dealt with in the manner provided under the Securities and Exchange Board of India (Procedure for Holding Enquiry by Enquiry</w:t>
      </w:r>
    </w:p>
    <w:p>
      <w:pPr>
        <w:spacing w:after="0" w:line="1"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Officer and Imposing Penalty) Regulations, 2002.”</w:t>
      </w:r>
    </w:p>
    <w:p>
      <w:pPr>
        <w:ind w:left="36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Prior to the above substitution, the regulation read as under:</w:t>
      </w: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“23. A banker to an issue who:-</w:t>
      </w: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fails to comply with any conditions subject to which certificate has been granted;</w:t>
      </w:r>
    </w:p>
    <w:p>
      <w:pPr>
        <w:spacing w:after="0" w:line="9" w:lineRule="exact"/>
        <w:rPr>
          <w:rFonts w:ascii="Times New Roman" w:cs="Times New Roman" w:eastAsia="Times New Roman" w:hAnsi="Times New Roman"/>
          <w:sz w:val="20"/>
          <w:szCs w:val="20"/>
          <w:color w:val="auto"/>
        </w:rPr>
      </w:pPr>
    </w:p>
    <w:p>
      <w:pPr>
        <w:ind w:left="620" w:right="260" w:hanging="269"/>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 contravenes any of the provisions of the Act, rules or regulations; shall be liable to any of the penalties specified in sub regulation .</w:t>
      </w:r>
    </w:p>
    <w:p>
      <w:pPr>
        <w:spacing w:after="0" w:line="2"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 The penalties referred to in sub- regulation (1) may be either:-</w:t>
      </w:r>
    </w:p>
    <w:p>
      <w:pPr>
        <w:spacing w:after="0" w:line="216"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13</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13" w:name="page14"/>
    <w:bookmarkEnd w:id="13"/>
    <w:p>
      <w:pPr>
        <w:spacing w:after="0" w:line="11" w:lineRule="exact"/>
        <w:rPr>
          <w:sz w:val="20"/>
          <w:szCs w:val="20"/>
          <w:color w:val="auto"/>
        </w:rPr>
      </w:pPr>
    </w:p>
    <w:p>
      <w:pPr>
        <w:jc w:val="both"/>
        <w:ind w:left="360" w:right="260"/>
        <w:spacing w:after="0" w:line="237" w:lineRule="auto"/>
        <w:tabs>
          <w:tab w:leader="none" w:pos="778" w:val="left"/>
        </w:tabs>
        <w:numPr>
          <w:ilvl w:val="0"/>
          <w:numId w:val="64"/>
        </w:numPr>
        <w:rPr>
          <w:rFonts w:ascii="Arial" w:cs="Arial" w:eastAsia="Arial" w:hAnsi="Arial"/>
          <w:sz w:val="24"/>
          <w:szCs w:val="24"/>
          <w:b w:val="1"/>
          <w:bCs w:val="1"/>
          <w:color w:val="auto"/>
        </w:rPr>
      </w:pPr>
      <w:r>
        <w:rPr>
          <w:rFonts w:ascii="Arial" w:cs="Arial" w:eastAsia="Arial" w:hAnsi="Arial"/>
          <w:sz w:val="24"/>
          <w:szCs w:val="24"/>
          <w:color w:val="auto"/>
        </w:rPr>
        <w:t>A banker to issue who contravenes any of the provisions of the Act, Rules or Regulations framed thereunder shall be liable for one or more actions specified therein including the action under Chapter V of the Securities and Exchange Board of India (Intermediaries) Regulations, 2008.</w:t>
      </w:r>
      <w:r>
        <w:rPr>
          <w:rFonts w:ascii="Arial" w:cs="Arial" w:eastAsia="Arial" w:hAnsi="Arial"/>
          <w:sz w:val="24"/>
          <w:szCs w:val="24"/>
          <w:b w:val="1"/>
          <w:bCs w:val="1"/>
          <w:color w:val="auto"/>
        </w:rPr>
        <w:t>]</w:t>
      </w:r>
    </w:p>
    <w:p>
      <w:pPr>
        <w:spacing w:after="0" w:line="270" w:lineRule="exact"/>
        <w:rPr>
          <w:rFonts w:ascii="Arial" w:cs="Arial" w:eastAsia="Arial" w:hAnsi="Arial"/>
          <w:sz w:val="24"/>
          <w:szCs w:val="24"/>
          <w:b w:val="1"/>
          <w:bCs w:val="1"/>
          <w:color w:val="auto"/>
        </w:rPr>
      </w:pPr>
    </w:p>
    <w:p>
      <w:pPr>
        <w:ind w:left="760" w:hanging="400"/>
        <w:spacing w:after="0"/>
        <w:tabs>
          <w:tab w:leader="none" w:pos="760" w:val="left"/>
        </w:tabs>
        <w:numPr>
          <w:ilvl w:val="0"/>
          <w:numId w:val="64"/>
        </w:numPr>
        <w:rPr>
          <w:rFonts w:ascii="Arial" w:cs="Arial" w:eastAsia="Arial" w:hAnsi="Arial"/>
          <w:sz w:val="24"/>
          <w:szCs w:val="24"/>
          <w:b w:val="1"/>
          <w:bCs w:val="1"/>
          <w:color w:val="auto"/>
        </w:rPr>
      </w:pPr>
      <w:r>
        <w:rPr>
          <w:rFonts w:ascii="Arial" w:cs="Arial" w:eastAsia="Arial" w:hAnsi="Arial"/>
          <w:sz w:val="24"/>
          <w:szCs w:val="24"/>
          <w:color w:val="auto"/>
        </w:rPr>
        <w:t xml:space="preserve">to </w:t>
      </w:r>
      <w:r>
        <w:rPr>
          <w:rFonts w:ascii="Arial" w:cs="Arial" w:eastAsia="Arial" w:hAnsi="Arial"/>
          <w:sz w:val="24"/>
          <w:szCs w:val="24"/>
          <w:b w:val="1"/>
          <w:bCs w:val="1"/>
          <w:color w:val="auto"/>
        </w:rPr>
        <w:t>31.</w:t>
      </w:r>
      <w:r>
        <w:rPr>
          <w:rFonts w:ascii="Arial" w:cs="Arial" w:eastAsia="Arial" w:hAnsi="Arial"/>
          <w:sz w:val="24"/>
          <w:szCs w:val="24"/>
          <w:color w:val="auto"/>
        </w:rPr>
        <w:t xml:space="preserve"> </w:t>
      </w:r>
      <w:r>
        <w:rPr>
          <w:rFonts w:ascii="Arial" w:cs="Arial" w:eastAsia="Arial" w:hAnsi="Arial"/>
          <w:sz w:val="31"/>
          <w:szCs w:val="31"/>
          <w:b w:val="1"/>
          <w:bCs w:val="1"/>
          <w:color w:val="auto"/>
          <w:vertAlign w:val="superscript"/>
        </w:rPr>
        <w:t>39</w:t>
      </w:r>
      <w:r>
        <w:rPr>
          <w:rFonts w:ascii="Arial" w:cs="Arial" w:eastAsia="Arial" w:hAnsi="Arial"/>
          <w:sz w:val="24"/>
          <w:szCs w:val="24"/>
          <w:color w:val="auto"/>
        </w:rPr>
        <w:t>[***]</w:t>
      </w:r>
    </w:p>
    <w:p>
      <w:pPr>
        <w:spacing w:after="0" w:line="242" w:lineRule="exact"/>
        <w:rPr>
          <w:sz w:val="20"/>
          <w:szCs w:val="20"/>
          <w:color w:val="auto"/>
        </w:rPr>
      </w:pPr>
    </w:p>
    <w:p>
      <w:pPr>
        <w:jc w:val="center"/>
        <w:ind w:right="-519"/>
        <w:spacing w:after="0"/>
        <w:rPr>
          <w:sz w:val="20"/>
          <w:szCs w:val="20"/>
          <w:color w:val="auto"/>
        </w:rPr>
      </w:pPr>
      <w:r>
        <w:rPr>
          <w:rFonts w:ascii="Arial" w:cs="Arial" w:eastAsia="Arial" w:hAnsi="Arial"/>
          <w:sz w:val="31"/>
          <w:szCs w:val="31"/>
          <w:b w:val="1"/>
          <w:bCs w:val="1"/>
          <w:color w:val="auto"/>
          <w:vertAlign w:val="superscript"/>
        </w:rPr>
        <w:t>40</w:t>
      </w:r>
      <w:r>
        <w:rPr>
          <w:rFonts w:ascii="Arial" w:cs="Arial" w:eastAsia="Arial" w:hAnsi="Arial"/>
          <w:sz w:val="24"/>
          <w:szCs w:val="24"/>
          <w:b w:val="1"/>
          <w:bCs w:val="1"/>
          <w:color w:val="auto"/>
        </w:rPr>
        <w:t>[CHAPTER VI</w:t>
      </w:r>
    </w:p>
    <w:p>
      <w:pPr>
        <w:jc w:val="center"/>
        <w:ind w:right="-519"/>
        <w:spacing w:after="0" w:line="225" w:lineRule="auto"/>
        <w:rPr>
          <w:sz w:val="20"/>
          <w:szCs w:val="20"/>
          <w:color w:val="auto"/>
        </w:rPr>
      </w:pPr>
      <w:r>
        <w:rPr>
          <w:rFonts w:ascii="Arial" w:cs="Arial" w:eastAsia="Arial" w:hAnsi="Arial"/>
          <w:sz w:val="24"/>
          <w:szCs w:val="24"/>
          <w:b w:val="1"/>
          <w:bCs w:val="1"/>
          <w:color w:val="auto"/>
        </w:rPr>
        <w:t>POWER TO RELAX STRICT ENFORCEMENT OF THE REGULATIONS</w:t>
      </w:r>
    </w:p>
    <w:p>
      <w:pPr>
        <w:spacing w:after="0" w:line="32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Exemption from enforcement of the regulations in special cases.</w:t>
      </w:r>
    </w:p>
    <w:p>
      <w:pPr>
        <w:spacing w:after="0" w:line="8" w:lineRule="exact"/>
        <w:rPr>
          <w:sz w:val="20"/>
          <w:szCs w:val="20"/>
          <w:color w:val="auto"/>
        </w:rPr>
      </w:pPr>
    </w:p>
    <w:p>
      <w:pPr>
        <w:jc w:val="both"/>
        <w:ind w:left="360" w:right="260"/>
        <w:spacing w:after="0" w:line="238" w:lineRule="auto"/>
        <w:tabs>
          <w:tab w:leader="none" w:pos="769" w:val="left"/>
        </w:tabs>
        <w:numPr>
          <w:ilvl w:val="0"/>
          <w:numId w:val="65"/>
        </w:numPr>
        <w:rPr>
          <w:rFonts w:ascii="Arial" w:cs="Arial" w:eastAsia="Arial" w:hAnsi="Arial"/>
          <w:sz w:val="24"/>
          <w:szCs w:val="24"/>
          <w:b w:val="1"/>
          <w:bCs w:val="1"/>
          <w:color w:val="auto"/>
        </w:rPr>
      </w:pPr>
      <w:r>
        <w:rPr>
          <w:rFonts w:ascii="Arial" w:cs="Arial" w:eastAsia="Arial" w:hAnsi="Arial"/>
          <w:sz w:val="24"/>
          <w:szCs w:val="24"/>
          <w:color w:val="auto"/>
        </w:rPr>
        <w:t>(1)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88" w:lineRule="exact"/>
        <w:rPr>
          <w:sz w:val="20"/>
          <w:szCs w:val="20"/>
          <w:color w:val="auto"/>
        </w:rPr>
      </w:pPr>
    </w:p>
    <w:p>
      <w:pPr>
        <w:jc w:val="both"/>
        <w:ind w:left="360" w:right="260"/>
        <w:spacing w:after="0" w:line="236" w:lineRule="auto"/>
        <w:tabs>
          <w:tab w:leader="none" w:pos="735" w:val="left"/>
        </w:tabs>
        <w:numPr>
          <w:ilvl w:val="0"/>
          <w:numId w:val="66"/>
        </w:numPr>
        <w:rPr>
          <w:rFonts w:ascii="Arial" w:cs="Arial" w:eastAsia="Arial" w:hAnsi="Arial"/>
          <w:sz w:val="24"/>
          <w:szCs w:val="24"/>
          <w:color w:val="auto"/>
        </w:rPr>
      </w:pPr>
      <w:r>
        <w:rPr>
          <w:rFonts w:ascii="Arial" w:cs="Arial" w:eastAsia="Arial" w:hAnsi="Arial"/>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90" w:lineRule="exact"/>
        <w:rPr>
          <w:sz w:val="20"/>
          <w:szCs w:val="20"/>
          <w:color w:val="auto"/>
        </w:rPr>
      </w:pPr>
    </w:p>
    <w:p>
      <w:pPr>
        <w:jc w:val="both"/>
        <w:ind w:left="360" w:right="260"/>
        <w:spacing w:after="0" w:line="238" w:lineRule="auto"/>
        <w:rPr>
          <w:sz w:val="20"/>
          <w:szCs w:val="20"/>
          <w:color w:val="auto"/>
        </w:rPr>
      </w:pPr>
      <w:r>
        <w:rPr>
          <w:rFonts w:ascii="Arial" w:cs="Arial" w:eastAsia="Arial" w:hAnsi="Arial"/>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2782570</wp:posOffset>
                </wp:positionV>
                <wp:extent cx="554672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7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19.1pt" to="454.75pt,219.1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640" w:hanging="280"/>
        <w:spacing w:after="0"/>
        <w:tabs>
          <w:tab w:leader="none" w:pos="640" w:val="left"/>
        </w:tabs>
        <w:numPr>
          <w:ilvl w:val="0"/>
          <w:numId w:val="6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suspension of registration; or</w:t>
      </w:r>
    </w:p>
    <w:p>
      <w:pPr>
        <w:ind w:left="640" w:hanging="280"/>
        <w:spacing w:after="0"/>
        <w:tabs>
          <w:tab w:leader="none" w:pos="640" w:val="left"/>
        </w:tabs>
        <w:numPr>
          <w:ilvl w:val="0"/>
          <w:numId w:val="6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cancellation of registration.</w:t>
      </w:r>
    </w:p>
    <w:p>
      <w:pPr>
        <w:spacing w:after="0" w:line="9" w:lineRule="exact"/>
        <w:rPr>
          <w:sz w:val="20"/>
          <w:szCs w:val="20"/>
          <w:color w:val="auto"/>
        </w:rPr>
      </w:pPr>
    </w:p>
    <w:p>
      <w:pPr>
        <w:ind w:left="360" w:right="260"/>
        <w:spacing w:after="0" w:line="235" w:lineRule="auto"/>
        <w:rPr>
          <w:sz w:val="20"/>
          <w:szCs w:val="20"/>
          <w:color w:val="auto"/>
        </w:rPr>
      </w:pPr>
      <w:r>
        <w:rPr>
          <w:rFonts w:ascii="Times New Roman" w:cs="Times New Roman" w:eastAsia="Times New Roman" w:hAnsi="Times New Roman"/>
          <w:sz w:val="20"/>
          <w:szCs w:val="20"/>
          <w:color w:val="auto"/>
        </w:rPr>
        <w:t>39 Regulations 24 to 31 omitted by the Securities and Exchange Board of India (Procedure for Holding Enquiry by Enquiry Officer and Imposing Penalty) Regulations, 2002, w.e.f. 27-09-2002.</w:t>
      </w:r>
    </w:p>
    <w:p>
      <w:pPr>
        <w:spacing w:after="0" w:line="11" w:lineRule="exact"/>
        <w:rPr>
          <w:sz w:val="20"/>
          <w:szCs w:val="20"/>
          <w:color w:val="auto"/>
        </w:rPr>
      </w:pPr>
    </w:p>
    <w:p>
      <w:pPr>
        <w:ind w:left="4180" w:right="1640" w:hanging="3820"/>
        <w:spacing w:after="0" w:line="384" w:lineRule="auto"/>
        <w:tabs>
          <w:tab w:leader="none" w:pos="555" w:val="left"/>
        </w:tabs>
        <w:numPr>
          <w:ilvl w:val="0"/>
          <w:numId w:val="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Inserted by the SEBI (Regulatory Sandbox) (Amendment) Regulation, w.e.f. 17-04-2020. Page </w:t>
      </w:r>
      <w:r>
        <w:rPr>
          <w:rFonts w:ascii="Times New Roman" w:cs="Times New Roman" w:eastAsia="Times New Roman" w:hAnsi="Times New Roman"/>
          <w:sz w:val="20"/>
          <w:szCs w:val="20"/>
          <w:b w:val="1"/>
          <w:bCs w:val="1"/>
          <w:color w:val="auto"/>
        </w:rPr>
        <w:t>14</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247" w:gutter="0" w:footer="0" w:header="0"/>
        </w:sectPr>
      </w:pPr>
    </w:p>
    <w:bookmarkStart w:id="14" w:name="page15"/>
    <w:bookmarkEnd w:id="14"/>
    <w:p>
      <w:pPr>
        <w:ind w:left="4000"/>
        <w:spacing w:after="0"/>
        <w:rPr>
          <w:sz w:val="20"/>
          <w:szCs w:val="20"/>
          <w:color w:val="auto"/>
        </w:rPr>
      </w:pPr>
      <w:r>
        <w:rPr>
          <w:rFonts w:ascii="Arial" w:cs="Arial" w:eastAsia="Arial" w:hAnsi="Arial"/>
          <w:sz w:val="24"/>
          <w:szCs w:val="24"/>
          <w:b w:val="1"/>
          <w:bCs w:val="1"/>
          <w:color w:val="auto"/>
        </w:rPr>
        <w:t>SCHEDULE I</w:t>
      </w:r>
    </w:p>
    <w:p>
      <w:pPr>
        <w:spacing w:after="0" w:line="60" w:lineRule="exact"/>
        <w:rPr>
          <w:sz w:val="20"/>
          <w:szCs w:val="20"/>
          <w:color w:val="auto"/>
        </w:rPr>
      </w:pPr>
    </w:p>
    <w:p>
      <w:pPr>
        <w:ind w:left="4300"/>
        <w:spacing w:after="0"/>
        <w:rPr>
          <w:sz w:val="20"/>
          <w:szCs w:val="20"/>
          <w:color w:val="auto"/>
        </w:rPr>
      </w:pPr>
      <w:r>
        <w:rPr>
          <w:rFonts w:ascii="Arial" w:cs="Arial" w:eastAsia="Arial" w:hAnsi="Arial"/>
          <w:sz w:val="24"/>
          <w:szCs w:val="24"/>
          <w:b w:val="1"/>
          <w:bCs w:val="1"/>
          <w:color w:val="auto"/>
        </w:rPr>
        <w:t>FORMS</w:t>
      </w:r>
    </w:p>
    <w:p>
      <w:pPr>
        <w:spacing w:after="0" w:line="60" w:lineRule="exact"/>
        <w:rPr>
          <w:sz w:val="20"/>
          <w:szCs w:val="20"/>
          <w:color w:val="auto"/>
        </w:rPr>
      </w:pPr>
    </w:p>
    <w:p>
      <w:pPr>
        <w:ind w:left="4260"/>
        <w:spacing w:after="0"/>
        <w:rPr>
          <w:sz w:val="20"/>
          <w:szCs w:val="20"/>
          <w:color w:val="auto"/>
        </w:rPr>
      </w:pPr>
      <w:r>
        <w:rPr>
          <w:rFonts w:ascii="Arial" w:cs="Arial" w:eastAsia="Arial" w:hAnsi="Arial"/>
          <w:sz w:val="24"/>
          <w:szCs w:val="24"/>
          <w:b w:val="1"/>
          <w:bCs w:val="1"/>
          <w:color w:val="auto"/>
        </w:rPr>
        <w:t>FORM A</w:t>
      </w:r>
    </w:p>
    <w:p>
      <w:pPr>
        <w:spacing w:after="0" w:line="57" w:lineRule="exact"/>
        <w:rPr>
          <w:sz w:val="20"/>
          <w:szCs w:val="20"/>
          <w:color w:val="auto"/>
        </w:rPr>
      </w:pPr>
    </w:p>
    <w:p>
      <w:pPr>
        <w:ind w:left="3840"/>
        <w:spacing w:after="0"/>
        <w:rPr>
          <w:sz w:val="20"/>
          <w:szCs w:val="20"/>
          <w:color w:val="auto"/>
        </w:rPr>
      </w:pPr>
      <w:r>
        <w:rPr>
          <w:rFonts w:ascii="Arial" w:cs="Arial" w:eastAsia="Arial" w:hAnsi="Arial"/>
          <w:sz w:val="24"/>
          <w:szCs w:val="24"/>
          <w:color w:val="auto"/>
        </w:rPr>
        <w:t>[</w:t>
      </w:r>
      <w:r>
        <w:rPr>
          <w:rFonts w:ascii="Arial" w:cs="Arial" w:eastAsia="Arial" w:hAnsi="Arial"/>
          <w:sz w:val="31"/>
          <w:szCs w:val="31"/>
          <w:color w:val="auto"/>
          <w:vertAlign w:val="superscript"/>
        </w:rPr>
        <w:t>41</w:t>
      </w:r>
      <w:r>
        <w:rPr>
          <w:rFonts w:ascii="Arial" w:cs="Arial" w:eastAsia="Arial" w:hAnsi="Arial"/>
          <w:sz w:val="24"/>
          <w:szCs w:val="24"/>
          <w:color w:val="auto"/>
        </w:rPr>
        <w:t>[Regulation 3]]</w:t>
      </w:r>
    </w:p>
    <w:p>
      <w:pPr>
        <w:ind w:left="440"/>
        <w:spacing w:after="0" w:line="225" w:lineRule="auto"/>
        <w:rPr>
          <w:sz w:val="20"/>
          <w:szCs w:val="20"/>
          <w:color w:val="auto"/>
        </w:rPr>
      </w:pPr>
      <w:r>
        <w:rPr>
          <w:rFonts w:ascii="Arial" w:cs="Arial" w:eastAsia="Arial" w:hAnsi="Arial"/>
          <w:sz w:val="24"/>
          <w:szCs w:val="24"/>
          <w:color w:val="auto"/>
        </w:rPr>
        <w:t>Securities and Exchange Board of India (Bankers to an Issue) Regulations, 1994</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30"/>
          <w:szCs w:val="30"/>
          <w:b w:val="1"/>
          <w:bCs w:val="1"/>
          <w:color w:val="auto"/>
          <w:vertAlign w:val="superscript"/>
        </w:rPr>
        <w:t>42</w:t>
      </w:r>
      <w:r>
        <w:rPr>
          <w:rFonts w:ascii="Arial" w:cs="Arial" w:eastAsia="Arial" w:hAnsi="Arial"/>
          <w:sz w:val="23"/>
          <w:szCs w:val="23"/>
          <w:b w:val="1"/>
          <w:bCs w:val="1"/>
          <w:color w:val="auto"/>
        </w:rPr>
        <w:t xml:space="preserve">[Application for Grant of Certificate of </w:t>
      </w:r>
      <w:r>
        <w:rPr>
          <w:rFonts w:ascii="Arial" w:cs="Arial" w:eastAsia="Arial" w:hAnsi="Arial"/>
          <w:sz w:val="30"/>
          <w:szCs w:val="30"/>
          <w:b w:val="1"/>
          <w:bCs w:val="1"/>
          <w:color w:val="auto"/>
          <w:vertAlign w:val="superscript"/>
        </w:rPr>
        <w:t>43</w:t>
      </w:r>
      <w:r>
        <w:rPr>
          <w:rFonts w:ascii="Arial" w:cs="Arial" w:eastAsia="Arial" w:hAnsi="Arial"/>
          <w:sz w:val="23"/>
          <w:szCs w:val="23"/>
          <w:b w:val="1"/>
          <w:bCs w:val="1"/>
          <w:color w:val="auto"/>
        </w:rPr>
        <w:t>[***] Registration as Banker to the</w:t>
      </w:r>
    </w:p>
    <w:p>
      <w:pPr>
        <w:jc w:val="center"/>
        <w:ind w:right="-99"/>
        <w:spacing w:after="0" w:line="225" w:lineRule="auto"/>
        <w:rPr>
          <w:sz w:val="20"/>
          <w:szCs w:val="20"/>
          <w:color w:val="auto"/>
        </w:rPr>
      </w:pPr>
      <w:r>
        <w:rPr>
          <w:rFonts w:ascii="Arial" w:cs="Arial" w:eastAsia="Arial" w:hAnsi="Arial"/>
          <w:sz w:val="24"/>
          <w:szCs w:val="24"/>
          <w:b w:val="1"/>
          <w:bCs w:val="1"/>
          <w:color w:val="auto"/>
        </w:rPr>
        <w:t>Issue]</w:t>
      </w:r>
    </w:p>
    <w:p>
      <w:pPr>
        <w:spacing w:after="0" w:line="61" w:lineRule="exact"/>
        <w:rPr>
          <w:sz w:val="20"/>
          <w:szCs w:val="20"/>
          <w:color w:val="auto"/>
        </w:rPr>
      </w:pPr>
    </w:p>
    <w:p>
      <w:pPr>
        <w:ind w:left="360"/>
        <w:spacing w:after="0"/>
        <w:rPr>
          <w:sz w:val="20"/>
          <w:szCs w:val="20"/>
          <w:color w:val="auto"/>
        </w:rPr>
      </w:pPr>
      <w:r>
        <w:rPr>
          <w:rFonts w:ascii="Arial" w:cs="Arial" w:eastAsia="Arial" w:hAnsi="Arial"/>
          <w:sz w:val="24"/>
          <w:szCs w:val="24"/>
          <w:color w:val="auto"/>
        </w:rPr>
        <w:t>Name:</w:t>
      </w:r>
    </w:p>
    <w:p>
      <w:pPr>
        <w:spacing w:after="0" w:line="3" w:lineRule="exact"/>
        <w:rPr>
          <w:sz w:val="20"/>
          <w:szCs w:val="20"/>
          <w:color w:val="auto"/>
        </w:rPr>
      </w:pPr>
    </w:p>
    <w:p>
      <w:pPr>
        <w:ind w:left="360"/>
        <w:spacing w:after="0"/>
        <w:rPr>
          <w:sz w:val="20"/>
          <w:szCs w:val="20"/>
          <w:color w:val="auto"/>
        </w:rPr>
      </w:pPr>
      <w:r>
        <w:rPr>
          <w:rFonts w:ascii="Arial" w:cs="Arial" w:eastAsia="Arial" w:hAnsi="Arial"/>
          <w:sz w:val="24"/>
          <w:szCs w:val="24"/>
          <w:color w:val="auto"/>
        </w:rPr>
        <w:t>..................................................................................................................................</w:t>
      </w:r>
    </w:p>
    <w:p>
      <w:pPr>
        <w:ind w:left="360"/>
        <w:spacing w:after="0" w:line="237" w:lineRule="auto"/>
        <w:rPr>
          <w:sz w:val="20"/>
          <w:szCs w:val="20"/>
          <w:color w:val="auto"/>
        </w:rPr>
      </w:pPr>
      <w:r>
        <w:rPr>
          <w:rFonts w:ascii="Arial" w:cs="Arial" w:eastAsia="Arial" w:hAnsi="Arial"/>
          <w:sz w:val="24"/>
          <w:szCs w:val="24"/>
          <w:color w:val="auto"/>
        </w:rPr>
        <w:t>..........................................</w:t>
      </w:r>
    </w:p>
    <w:p>
      <w:pPr>
        <w:spacing w:after="0" w:line="51" w:lineRule="exact"/>
        <w:rPr>
          <w:sz w:val="20"/>
          <w:szCs w:val="20"/>
          <w:color w:val="auto"/>
        </w:rPr>
      </w:pPr>
    </w:p>
    <w:p>
      <w:pPr>
        <w:ind w:left="360"/>
        <w:spacing w:after="0"/>
        <w:rPr>
          <w:sz w:val="20"/>
          <w:szCs w:val="20"/>
          <w:color w:val="auto"/>
        </w:rPr>
      </w:pPr>
      <w:r>
        <w:rPr>
          <w:rFonts w:ascii="Arial" w:cs="Arial" w:eastAsia="Arial" w:hAnsi="Arial"/>
          <w:sz w:val="24"/>
          <w:szCs w:val="24"/>
          <w:color w:val="auto"/>
        </w:rPr>
        <w:t>Name of person to contact:</w:t>
      </w:r>
    </w:p>
    <w:p>
      <w:pPr>
        <w:spacing w:after="0" w:line="2" w:lineRule="exact"/>
        <w:rPr>
          <w:sz w:val="20"/>
          <w:szCs w:val="20"/>
          <w:color w:val="auto"/>
        </w:rPr>
      </w:pPr>
    </w:p>
    <w:p>
      <w:pPr>
        <w:ind w:left="360"/>
        <w:spacing w:after="0"/>
        <w:rPr>
          <w:sz w:val="20"/>
          <w:szCs w:val="20"/>
          <w:color w:val="auto"/>
        </w:rPr>
      </w:pPr>
      <w:r>
        <w:rPr>
          <w:rFonts w:ascii="Arial" w:cs="Arial" w:eastAsia="Arial" w:hAnsi="Arial"/>
          <w:sz w:val="24"/>
          <w:szCs w:val="24"/>
          <w:color w:val="auto"/>
        </w:rPr>
        <w:t>..................................................................................................................................</w:t>
      </w:r>
    </w:p>
    <w:p>
      <w:pPr>
        <w:ind w:left="360"/>
        <w:spacing w:after="0" w:line="237" w:lineRule="auto"/>
        <w:rPr>
          <w:sz w:val="20"/>
          <w:szCs w:val="20"/>
          <w:color w:val="auto"/>
        </w:rPr>
      </w:pPr>
      <w:r>
        <w:rPr>
          <w:rFonts w:ascii="Arial" w:cs="Arial" w:eastAsia="Arial" w:hAnsi="Arial"/>
          <w:sz w:val="24"/>
          <w:szCs w:val="24"/>
          <w:color w:val="auto"/>
        </w:rPr>
        <w:t>...</w:t>
      </w:r>
    </w:p>
    <w:p>
      <w:pPr>
        <w:spacing w:after="0" w:line="51" w:lineRule="exact"/>
        <w:rPr>
          <w:sz w:val="20"/>
          <w:szCs w:val="20"/>
          <w:color w:val="auto"/>
        </w:rPr>
      </w:pPr>
    </w:p>
    <w:p>
      <w:pPr>
        <w:ind w:left="360"/>
        <w:spacing w:after="0"/>
        <w:rPr>
          <w:sz w:val="20"/>
          <w:szCs w:val="20"/>
          <w:color w:val="auto"/>
        </w:rPr>
      </w:pPr>
      <w:r>
        <w:rPr>
          <w:rFonts w:ascii="Arial" w:cs="Arial" w:eastAsia="Arial" w:hAnsi="Arial"/>
          <w:sz w:val="24"/>
          <w:szCs w:val="24"/>
          <w:color w:val="auto"/>
        </w:rPr>
        <w:t>Designation:</w:t>
      </w:r>
    </w:p>
    <w:p>
      <w:pPr>
        <w:spacing w:after="0" w:line="3" w:lineRule="exact"/>
        <w:rPr>
          <w:sz w:val="20"/>
          <w:szCs w:val="20"/>
          <w:color w:val="auto"/>
        </w:rPr>
      </w:pPr>
    </w:p>
    <w:p>
      <w:pPr>
        <w:ind w:left="360"/>
        <w:spacing w:after="0"/>
        <w:rPr>
          <w:sz w:val="20"/>
          <w:szCs w:val="20"/>
          <w:color w:val="auto"/>
        </w:rPr>
      </w:pPr>
      <w:r>
        <w:rPr>
          <w:rFonts w:ascii="Arial" w:cs="Arial" w:eastAsia="Arial" w:hAnsi="Arial"/>
          <w:sz w:val="24"/>
          <w:szCs w:val="24"/>
          <w:color w:val="auto"/>
        </w:rPr>
        <w:t>..................................................................................................................................</w:t>
      </w:r>
    </w:p>
    <w:p>
      <w:pPr>
        <w:ind w:left="360"/>
        <w:spacing w:after="0" w:line="237" w:lineRule="auto"/>
        <w:rPr>
          <w:sz w:val="20"/>
          <w:szCs w:val="20"/>
          <w:color w:val="auto"/>
        </w:rPr>
      </w:pPr>
      <w:r>
        <w:rPr>
          <w:rFonts w:ascii="Arial" w:cs="Arial" w:eastAsia="Arial" w:hAnsi="Arial"/>
          <w:sz w:val="24"/>
          <w:szCs w:val="24"/>
          <w:color w:val="auto"/>
        </w:rPr>
        <w:t>..................................</w:t>
      </w:r>
    </w:p>
    <w:p>
      <w:pPr>
        <w:spacing w:after="0" w:line="51" w:lineRule="exact"/>
        <w:rPr>
          <w:sz w:val="20"/>
          <w:szCs w:val="20"/>
          <w:color w:val="auto"/>
        </w:rPr>
      </w:pPr>
    </w:p>
    <w:p>
      <w:pPr>
        <w:ind w:left="360"/>
        <w:spacing w:after="0"/>
        <w:rPr>
          <w:sz w:val="20"/>
          <w:szCs w:val="20"/>
          <w:color w:val="auto"/>
        </w:rPr>
      </w:pPr>
      <w:r>
        <w:rPr>
          <w:rFonts w:ascii="Arial" w:cs="Arial" w:eastAsia="Arial" w:hAnsi="Arial"/>
          <w:sz w:val="24"/>
          <w:szCs w:val="24"/>
          <w:color w:val="auto"/>
        </w:rPr>
        <w:t>Telephone No.:</w:t>
      </w:r>
    </w:p>
    <w:p>
      <w:pPr>
        <w:spacing w:after="0" w:line="2" w:lineRule="exact"/>
        <w:rPr>
          <w:sz w:val="20"/>
          <w:szCs w:val="20"/>
          <w:color w:val="auto"/>
        </w:rPr>
      </w:pPr>
    </w:p>
    <w:p>
      <w:pPr>
        <w:ind w:left="360"/>
        <w:spacing w:after="0"/>
        <w:rPr>
          <w:sz w:val="20"/>
          <w:szCs w:val="20"/>
          <w:color w:val="auto"/>
        </w:rPr>
      </w:pPr>
      <w:r>
        <w:rPr>
          <w:rFonts w:ascii="Arial" w:cs="Arial" w:eastAsia="Arial" w:hAnsi="Arial"/>
          <w:sz w:val="24"/>
          <w:szCs w:val="24"/>
          <w:color w:val="auto"/>
        </w:rPr>
        <w:t>..................................................................................................................................</w:t>
      </w:r>
    </w:p>
    <w:p>
      <w:pPr>
        <w:ind w:left="360"/>
        <w:spacing w:after="0" w:line="237" w:lineRule="auto"/>
        <w:rPr>
          <w:sz w:val="20"/>
          <w:szCs w:val="20"/>
          <w:color w:val="auto"/>
        </w:rPr>
      </w:pPr>
      <w:r>
        <w:rPr>
          <w:rFonts w:ascii="Arial" w:cs="Arial" w:eastAsia="Arial" w:hAnsi="Arial"/>
          <w:sz w:val="24"/>
          <w:szCs w:val="24"/>
          <w:color w:val="auto"/>
        </w:rPr>
        <w:t>.........................</w:t>
      </w:r>
    </w:p>
    <w:p>
      <w:pPr>
        <w:spacing w:after="0" w:line="53" w:lineRule="exact"/>
        <w:rPr>
          <w:sz w:val="20"/>
          <w:szCs w:val="20"/>
          <w:color w:val="auto"/>
        </w:rPr>
      </w:pPr>
    </w:p>
    <w:p>
      <w:pPr>
        <w:jc w:val="both"/>
        <w:ind w:left="840" w:right="280" w:hanging="321"/>
        <w:spacing w:after="0" w:line="237" w:lineRule="auto"/>
        <w:tabs>
          <w:tab w:leader="none" w:pos="840" w:val="left"/>
        </w:tabs>
        <w:numPr>
          <w:ilvl w:val="0"/>
          <w:numId w:val="69"/>
        </w:numPr>
        <w:rPr>
          <w:rFonts w:ascii="Arial" w:cs="Arial" w:eastAsia="Arial" w:hAnsi="Arial"/>
          <w:sz w:val="24"/>
          <w:szCs w:val="24"/>
          <w:color w:val="auto"/>
        </w:rPr>
      </w:pPr>
      <w:r>
        <w:rPr>
          <w:rFonts w:ascii="Arial" w:cs="Arial" w:eastAsia="Arial" w:hAnsi="Arial"/>
          <w:sz w:val="24"/>
          <w:szCs w:val="24"/>
          <w:color w:val="auto"/>
        </w:rPr>
        <w:t>Applicants must submit a completed application form together with appropriate supporting documents to the Securities and Exchange Board of India.</w:t>
      </w:r>
    </w:p>
    <w:p>
      <w:pPr>
        <w:spacing w:after="0" w:line="51" w:lineRule="exact"/>
        <w:rPr>
          <w:rFonts w:ascii="Arial" w:cs="Arial" w:eastAsia="Arial" w:hAnsi="Arial"/>
          <w:sz w:val="24"/>
          <w:szCs w:val="24"/>
          <w:color w:val="auto"/>
        </w:rPr>
      </w:pPr>
    </w:p>
    <w:p>
      <w:pPr>
        <w:ind w:left="840" w:right="260" w:hanging="321"/>
        <w:spacing w:after="0" w:line="234" w:lineRule="auto"/>
        <w:tabs>
          <w:tab w:leader="none" w:pos="840" w:val="left"/>
        </w:tabs>
        <w:numPr>
          <w:ilvl w:val="0"/>
          <w:numId w:val="69"/>
        </w:numPr>
        <w:rPr>
          <w:rFonts w:ascii="Arial" w:cs="Arial" w:eastAsia="Arial" w:hAnsi="Arial"/>
          <w:sz w:val="24"/>
          <w:szCs w:val="24"/>
          <w:color w:val="auto"/>
        </w:rPr>
      </w:pPr>
      <w:r>
        <w:rPr>
          <w:rFonts w:ascii="Arial" w:cs="Arial" w:eastAsia="Arial" w:hAnsi="Arial"/>
          <w:sz w:val="24"/>
          <w:szCs w:val="24"/>
          <w:color w:val="auto"/>
        </w:rPr>
        <w:t>It is important that this application form should be read in conjunction with rules and regulations and the code of conduct for the banker to an issue.</w:t>
      </w:r>
    </w:p>
    <w:p>
      <w:pPr>
        <w:spacing w:after="0" w:line="52" w:lineRule="exact"/>
        <w:rPr>
          <w:rFonts w:ascii="Arial" w:cs="Arial" w:eastAsia="Arial" w:hAnsi="Arial"/>
          <w:sz w:val="24"/>
          <w:szCs w:val="24"/>
          <w:color w:val="auto"/>
        </w:rPr>
      </w:pPr>
    </w:p>
    <w:p>
      <w:pPr>
        <w:ind w:left="840" w:right="280" w:hanging="321"/>
        <w:spacing w:after="0" w:line="236" w:lineRule="auto"/>
        <w:tabs>
          <w:tab w:leader="none" w:pos="840" w:val="left"/>
        </w:tabs>
        <w:numPr>
          <w:ilvl w:val="0"/>
          <w:numId w:val="69"/>
        </w:numPr>
        <w:rPr>
          <w:rFonts w:ascii="Arial" w:cs="Arial" w:eastAsia="Arial" w:hAnsi="Arial"/>
          <w:sz w:val="24"/>
          <w:szCs w:val="24"/>
          <w:color w:val="auto"/>
        </w:rPr>
      </w:pPr>
      <w:r>
        <w:rPr>
          <w:rFonts w:ascii="Arial" w:cs="Arial" w:eastAsia="Arial" w:hAnsi="Arial"/>
          <w:sz w:val="24"/>
          <w:szCs w:val="24"/>
          <w:color w:val="auto"/>
        </w:rPr>
        <w:t>Applications for registration will only be considered provided all questions are answered.</w:t>
      </w:r>
    </w:p>
    <w:p>
      <w:pPr>
        <w:spacing w:after="0" w:line="37" w:lineRule="exact"/>
        <w:rPr>
          <w:rFonts w:ascii="Arial" w:cs="Arial" w:eastAsia="Arial" w:hAnsi="Arial"/>
          <w:sz w:val="24"/>
          <w:szCs w:val="24"/>
          <w:color w:val="auto"/>
        </w:rPr>
      </w:pPr>
    </w:p>
    <w:p>
      <w:pPr>
        <w:ind w:left="840" w:hanging="321"/>
        <w:spacing w:after="0"/>
        <w:tabs>
          <w:tab w:leader="none" w:pos="840" w:val="left"/>
        </w:tabs>
        <w:numPr>
          <w:ilvl w:val="0"/>
          <w:numId w:val="69"/>
        </w:numPr>
        <w:rPr>
          <w:rFonts w:ascii="Arial" w:cs="Arial" w:eastAsia="Arial" w:hAnsi="Arial"/>
          <w:sz w:val="24"/>
          <w:szCs w:val="24"/>
          <w:color w:val="auto"/>
        </w:rPr>
      </w:pPr>
      <w:r>
        <w:rPr>
          <w:rFonts w:ascii="Arial" w:cs="Arial" w:eastAsia="Arial" w:hAnsi="Arial"/>
          <w:sz w:val="24"/>
          <w:szCs w:val="24"/>
          <w:color w:val="auto"/>
        </w:rPr>
        <w:t>Answers must be typed/printed.</w:t>
      </w:r>
    </w:p>
    <w:p>
      <w:pPr>
        <w:spacing w:after="0" w:line="51" w:lineRule="exact"/>
        <w:rPr>
          <w:rFonts w:ascii="Arial" w:cs="Arial" w:eastAsia="Arial" w:hAnsi="Arial"/>
          <w:sz w:val="24"/>
          <w:szCs w:val="24"/>
          <w:color w:val="auto"/>
        </w:rPr>
      </w:pPr>
    </w:p>
    <w:p>
      <w:pPr>
        <w:ind w:left="840" w:right="280" w:hanging="321"/>
        <w:spacing w:after="0" w:line="236" w:lineRule="auto"/>
        <w:tabs>
          <w:tab w:leader="none" w:pos="840" w:val="left"/>
        </w:tabs>
        <w:numPr>
          <w:ilvl w:val="0"/>
          <w:numId w:val="69"/>
        </w:numPr>
        <w:rPr>
          <w:rFonts w:ascii="Arial" w:cs="Arial" w:eastAsia="Arial" w:hAnsi="Arial"/>
          <w:sz w:val="24"/>
          <w:szCs w:val="24"/>
          <w:color w:val="auto"/>
        </w:rPr>
      </w:pPr>
      <w:r>
        <w:rPr>
          <w:rFonts w:ascii="Arial" w:cs="Arial" w:eastAsia="Arial" w:hAnsi="Arial"/>
          <w:sz w:val="24"/>
          <w:szCs w:val="24"/>
          <w:color w:val="auto"/>
        </w:rPr>
        <w:t>Information which needs to be supplied in more details may be written on separate sheets which should be attached to the application form.</w:t>
      </w:r>
    </w:p>
    <w:p>
      <w:pPr>
        <w:spacing w:after="0" w:line="41" w:lineRule="exact"/>
        <w:rPr>
          <w:rFonts w:ascii="Arial" w:cs="Arial" w:eastAsia="Arial" w:hAnsi="Arial"/>
          <w:sz w:val="24"/>
          <w:szCs w:val="24"/>
          <w:color w:val="auto"/>
        </w:rPr>
      </w:pPr>
    </w:p>
    <w:p>
      <w:pPr>
        <w:ind w:left="840" w:hanging="321"/>
        <w:spacing w:after="0"/>
        <w:tabs>
          <w:tab w:leader="none" w:pos="840" w:val="left"/>
        </w:tabs>
        <w:numPr>
          <w:ilvl w:val="0"/>
          <w:numId w:val="69"/>
        </w:numPr>
        <w:rPr>
          <w:rFonts w:ascii="Arial" w:cs="Arial" w:eastAsia="Arial" w:hAnsi="Arial"/>
          <w:sz w:val="24"/>
          <w:szCs w:val="24"/>
          <w:color w:val="auto"/>
        </w:rPr>
      </w:pPr>
      <w:r>
        <w:rPr>
          <w:rFonts w:ascii="Arial" w:cs="Arial" w:eastAsia="Arial" w:hAnsi="Arial"/>
          <w:sz w:val="24"/>
          <w:szCs w:val="24"/>
          <w:color w:val="auto"/>
        </w:rPr>
        <w:t>All signatures must be original.</w:t>
      </w:r>
    </w:p>
    <w:p>
      <w:pPr>
        <w:spacing w:after="0" w:line="55" w:lineRule="exact"/>
        <w:rPr>
          <w:sz w:val="20"/>
          <w:szCs w:val="20"/>
          <w:color w:val="auto"/>
        </w:rPr>
      </w:pPr>
    </w:p>
    <w:p>
      <w:pPr>
        <w:jc w:val="center"/>
        <w:ind w:right="-79"/>
        <w:spacing w:after="0"/>
        <w:rPr>
          <w:sz w:val="20"/>
          <w:szCs w:val="20"/>
          <w:color w:val="auto"/>
        </w:rPr>
      </w:pPr>
      <w:r>
        <w:rPr>
          <w:rFonts w:ascii="Arial" w:cs="Arial" w:eastAsia="Arial" w:hAnsi="Arial"/>
          <w:sz w:val="24"/>
          <w:szCs w:val="24"/>
          <w:b w:val="1"/>
          <w:bCs w:val="1"/>
          <w:color w:val="auto"/>
        </w:rPr>
        <w:t>PART I</w:t>
      </w:r>
    </w:p>
    <w:p>
      <w:pPr>
        <w:spacing w:after="0" w:line="104" w:lineRule="exact"/>
        <w:rPr>
          <w:sz w:val="20"/>
          <w:szCs w:val="20"/>
          <w:color w:val="auto"/>
        </w:rPr>
      </w:pPr>
    </w:p>
    <w:p>
      <w:pPr>
        <w:jc w:val="center"/>
        <w:ind w:right="-99"/>
        <w:spacing w:after="0"/>
        <w:rPr>
          <w:sz w:val="20"/>
          <w:szCs w:val="20"/>
          <w:color w:val="auto"/>
        </w:rPr>
      </w:pPr>
      <w:r>
        <w:rPr>
          <w:rFonts w:ascii="Arial" w:cs="Arial" w:eastAsia="Arial" w:hAnsi="Arial"/>
          <w:sz w:val="24"/>
          <w:szCs w:val="24"/>
          <w:b w:val="1"/>
          <w:bCs w:val="1"/>
          <w:color w:val="auto"/>
        </w:rPr>
        <w:t>GENERAL INFORMATION</w:t>
      </w:r>
    </w:p>
    <w:p>
      <w:pPr>
        <w:spacing w:after="0" w:line="118" w:lineRule="exact"/>
        <w:rPr>
          <w:sz w:val="20"/>
          <w:szCs w:val="20"/>
          <w:color w:val="auto"/>
        </w:rPr>
      </w:pPr>
    </w:p>
    <w:p>
      <w:pPr>
        <w:ind w:left="520"/>
        <w:spacing w:after="0"/>
        <w:rPr>
          <w:sz w:val="20"/>
          <w:szCs w:val="20"/>
          <w:color w:val="auto"/>
        </w:rPr>
      </w:pPr>
      <w:r>
        <w:rPr>
          <w:rFonts w:ascii="Arial" w:cs="Arial" w:eastAsia="Arial" w:hAnsi="Arial"/>
          <w:sz w:val="24"/>
          <w:szCs w:val="24"/>
          <w:color w:val="auto"/>
        </w:rPr>
        <w:t>1. Applicants Details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260350</wp:posOffset>
                </wp:positionV>
                <wp:extent cx="1829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0.5pt" to="162.05pt,20.5pt" o:allowincell="f" strokecolor="#000000" strokeweight="0.4799pt"/>
            </w:pict>
          </mc:Fallback>
        </mc:AlternateContent>
      </w:r>
    </w:p>
    <w:p>
      <w:pPr>
        <w:spacing w:after="0" w:line="200" w:lineRule="exact"/>
        <w:rPr>
          <w:sz w:val="20"/>
          <w:szCs w:val="20"/>
          <w:color w:val="auto"/>
        </w:rPr>
      </w:pPr>
    </w:p>
    <w:p>
      <w:pPr>
        <w:spacing w:after="0" w:line="314" w:lineRule="exact"/>
        <w:rPr>
          <w:sz w:val="20"/>
          <w:szCs w:val="20"/>
          <w:color w:val="auto"/>
        </w:rPr>
      </w:pPr>
    </w:p>
    <w:p>
      <w:pPr>
        <w:ind w:left="360" w:right="260"/>
        <w:spacing w:after="0" w:line="205" w:lineRule="auto"/>
        <w:tabs>
          <w:tab w:leader="none" w:pos="572" w:val="left"/>
        </w:tabs>
        <w:numPr>
          <w:ilvl w:val="0"/>
          <w:numId w:val="7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“/Regulation 7A” were omitted by the Securities and Exchange Board of India (Change In Conditions Of Registration Of Certain Intermediaries) (Amendment) Regulations, 2016 w.e.f. 08-12-2016.</w:t>
      </w:r>
    </w:p>
    <w:p>
      <w:pPr>
        <w:spacing w:after="0" w:line="9" w:lineRule="exact"/>
        <w:rPr>
          <w:rFonts w:ascii="Times New Roman" w:cs="Times New Roman" w:eastAsia="Times New Roman" w:hAnsi="Times New Roman"/>
          <w:sz w:val="26"/>
          <w:szCs w:val="26"/>
          <w:color w:val="auto"/>
          <w:vertAlign w:val="superscript"/>
        </w:rPr>
      </w:pPr>
    </w:p>
    <w:p>
      <w:pPr>
        <w:jc w:val="both"/>
        <w:ind w:left="360" w:right="2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and figure “Regulation 3” were substituted for the words “Regulation 3/ Regulation 7A ” by the Securities and Exchange Board of India (Bankers to an Issue) (Amendment) Regulations, 2011, w.e.f. 05-07-2011.</w:t>
      </w:r>
    </w:p>
    <w:p>
      <w:pPr>
        <w:spacing w:after="0" w:line="10" w:lineRule="exact"/>
        <w:rPr>
          <w:rFonts w:ascii="Times New Roman" w:cs="Times New Roman" w:eastAsia="Times New Roman" w:hAnsi="Times New Roman"/>
          <w:sz w:val="26"/>
          <w:szCs w:val="26"/>
          <w:color w:val="auto"/>
          <w:vertAlign w:val="superscript"/>
        </w:rPr>
      </w:pPr>
    </w:p>
    <w:p>
      <w:pPr>
        <w:jc w:val="both"/>
        <w:ind w:left="360" w:right="260"/>
        <w:spacing w:after="0" w:line="204" w:lineRule="auto"/>
        <w:tabs>
          <w:tab w:leader="none" w:pos="557" w:val="left"/>
        </w:tabs>
        <w:numPr>
          <w:ilvl w:val="0"/>
          <w:numId w:val="7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the words and sign “Application for grant / renewal of certificate of registration as bankers to issue” by the Securities and Exchange Board of India (Bankers to an Issue) (Amendment) Regulations,</w:t>
      </w:r>
    </w:p>
    <w:p>
      <w:pPr>
        <w:spacing w:after="0" w:line="2"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2011, w.e.f. 05-07-2011.</w:t>
      </w:r>
    </w:p>
    <w:p>
      <w:pPr>
        <w:spacing w:after="0" w:line="9" w:lineRule="exact"/>
        <w:rPr>
          <w:rFonts w:ascii="Times New Roman" w:cs="Times New Roman" w:eastAsia="Times New Roman" w:hAnsi="Times New Roman"/>
          <w:sz w:val="26"/>
          <w:szCs w:val="26"/>
          <w:color w:val="auto"/>
          <w:vertAlign w:val="superscript"/>
        </w:rPr>
      </w:pPr>
    </w:p>
    <w:p>
      <w:pPr>
        <w:ind w:left="360" w:right="260"/>
        <w:spacing w:after="0" w:line="205" w:lineRule="auto"/>
        <w:tabs>
          <w:tab w:leader="none" w:pos="567" w:val="left"/>
        </w:tabs>
        <w:numPr>
          <w:ilvl w:val="0"/>
          <w:numId w:val="7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words “initial/permanent” were omitted by the Securities and Exchange Board of India (Change In Conditions Of Registration Of Certain Intermediaries) (Amendment) Regulations, 2016 w.e.f. 08-12-2016.</w:t>
      </w:r>
    </w:p>
    <w:p>
      <w:pPr>
        <w:spacing w:after="0" w:line="217"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15</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15" w:name="page16"/>
    <w:bookmarkEnd w:id="15"/>
    <w:tbl>
      <w:tblPr>
        <w:tblLayout w:type="fixed"/>
        <w:tblInd w:w="360" w:type="dxa"/>
        <w:tblCellMar>
          <w:top w:w="0" w:type="dxa"/>
          <w:left w:w="0" w:type="dxa"/>
          <w:bottom w:w="0" w:type="dxa"/>
          <w:right w:w="0" w:type="dxa"/>
        </w:tblCellMar>
      </w:tblPr>
      <w:tr>
        <w:trPr>
          <w:trHeight w:val="276"/>
        </w:trPr>
        <w:tc>
          <w:tcPr>
            <w:tcW w:w="420" w:type="dxa"/>
            <w:vAlign w:val="bottom"/>
          </w:tcPr>
          <w:p>
            <w:pPr>
              <w:jc w:val="right"/>
              <w:spacing w:after="0"/>
              <w:rPr>
                <w:sz w:val="20"/>
                <w:szCs w:val="20"/>
                <w:color w:val="auto"/>
              </w:rPr>
            </w:pPr>
            <w:r>
              <w:rPr>
                <w:rFonts w:ascii="Arial" w:cs="Arial" w:eastAsia="Arial" w:hAnsi="Arial"/>
                <w:sz w:val="24"/>
                <w:szCs w:val="24"/>
                <w:color w:val="auto"/>
              </w:rPr>
              <w:t>1.1</w:t>
            </w:r>
          </w:p>
        </w:tc>
        <w:tc>
          <w:tcPr>
            <w:tcW w:w="1740" w:type="dxa"/>
            <w:vAlign w:val="bottom"/>
          </w:tcPr>
          <w:p>
            <w:pPr>
              <w:ind w:left="60"/>
              <w:spacing w:after="0"/>
              <w:rPr>
                <w:sz w:val="20"/>
                <w:szCs w:val="20"/>
                <w:color w:val="auto"/>
              </w:rPr>
            </w:pPr>
            <w:r>
              <w:rPr>
                <w:rFonts w:ascii="Arial" w:cs="Arial" w:eastAsia="Arial" w:hAnsi="Arial"/>
                <w:sz w:val="24"/>
                <w:szCs w:val="24"/>
                <w:color w:val="auto"/>
              </w:rPr>
              <w:t>Name</w:t>
            </w:r>
          </w:p>
        </w:tc>
        <w:tc>
          <w:tcPr>
            <w:tcW w:w="1220" w:type="dxa"/>
            <w:vAlign w:val="bottom"/>
          </w:tcPr>
          <w:p>
            <w:pPr>
              <w:spacing w:after="0"/>
              <w:rPr>
                <w:sz w:val="23"/>
                <w:szCs w:val="23"/>
                <w:color w:val="auto"/>
              </w:rPr>
            </w:pPr>
          </w:p>
        </w:tc>
        <w:tc>
          <w:tcPr>
            <w:tcW w:w="88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940" w:type="dxa"/>
            <w:vAlign w:val="bottom"/>
          </w:tcPr>
          <w:p>
            <w:pPr>
              <w:spacing w:after="0"/>
              <w:rPr>
                <w:sz w:val="23"/>
                <w:szCs w:val="23"/>
                <w:color w:val="auto"/>
              </w:rPr>
            </w:pPr>
          </w:p>
        </w:tc>
        <w:tc>
          <w:tcPr>
            <w:tcW w:w="380" w:type="dxa"/>
            <w:vAlign w:val="bottom"/>
          </w:tcPr>
          <w:p>
            <w:pPr>
              <w:spacing w:after="0"/>
              <w:rPr>
                <w:sz w:val="23"/>
                <w:szCs w:val="23"/>
                <w:color w:val="auto"/>
              </w:rPr>
            </w:pPr>
          </w:p>
        </w:tc>
      </w:tr>
      <w:tr>
        <w:trPr>
          <w:trHeight w:val="307"/>
        </w:trPr>
        <w:tc>
          <w:tcPr>
            <w:tcW w:w="420" w:type="dxa"/>
            <w:vAlign w:val="bottom"/>
          </w:tcPr>
          <w:p>
            <w:pPr>
              <w:jc w:val="right"/>
              <w:spacing w:after="0"/>
              <w:rPr>
                <w:sz w:val="20"/>
                <w:szCs w:val="20"/>
                <w:color w:val="auto"/>
              </w:rPr>
            </w:pPr>
            <w:r>
              <w:rPr>
                <w:rFonts w:ascii="Arial" w:cs="Arial" w:eastAsia="Arial" w:hAnsi="Arial"/>
                <w:sz w:val="24"/>
                <w:szCs w:val="24"/>
                <w:color w:val="auto"/>
              </w:rPr>
              <w:t>1.2</w:t>
            </w:r>
          </w:p>
        </w:tc>
        <w:tc>
          <w:tcPr>
            <w:tcW w:w="6000" w:type="dxa"/>
            <w:vAlign w:val="bottom"/>
            <w:gridSpan w:val="4"/>
          </w:tcPr>
          <w:p>
            <w:pPr>
              <w:ind w:left="60"/>
              <w:spacing w:after="0"/>
              <w:rPr>
                <w:sz w:val="20"/>
                <w:szCs w:val="20"/>
                <w:color w:val="auto"/>
              </w:rPr>
            </w:pPr>
            <w:r>
              <w:rPr>
                <w:rFonts w:ascii="Arial" w:cs="Arial" w:eastAsia="Arial" w:hAnsi="Arial"/>
                <w:sz w:val="24"/>
                <w:szCs w:val="24"/>
                <w:color w:val="auto"/>
              </w:rPr>
              <w:t>Address of registered office of the Bank :</w:t>
            </w:r>
          </w:p>
        </w:tc>
        <w:tc>
          <w:tcPr>
            <w:tcW w:w="194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302"/>
        </w:trPr>
        <w:tc>
          <w:tcPr>
            <w:tcW w:w="3380" w:type="dxa"/>
            <w:vAlign w:val="bottom"/>
            <w:gridSpan w:val="3"/>
          </w:tcPr>
          <w:p>
            <w:pPr>
              <w:spacing w:after="0"/>
              <w:rPr>
                <w:sz w:val="20"/>
                <w:szCs w:val="20"/>
                <w:color w:val="auto"/>
              </w:rPr>
            </w:pPr>
            <w:r>
              <w:rPr>
                <w:rFonts w:ascii="Arial" w:cs="Arial" w:eastAsia="Arial" w:hAnsi="Arial"/>
                <w:sz w:val="24"/>
                <w:szCs w:val="24"/>
                <w:color w:val="auto"/>
                <w:w w:val="88"/>
              </w:rPr>
              <w:t>Pin code: .........................................</w:t>
            </w:r>
          </w:p>
        </w:tc>
        <w:tc>
          <w:tcPr>
            <w:tcW w:w="880" w:type="dxa"/>
            <w:vAlign w:val="bottom"/>
          </w:tcPr>
          <w:p>
            <w:pPr>
              <w:spacing w:after="0"/>
              <w:rPr>
                <w:sz w:val="24"/>
                <w:szCs w:val="24"/>
                <w:color w:val="auto"/>
              </w:rPr>
            </w:pPr>
          </w:p>
        </w:tc>
        <w:tc>
          <w:tcPr>
            <w:tcW w:w="2160" w:type="dxa"/>
            <w:vAlign w:val="bottom"/>
          </w:tcPr>
          <w:p>
            <w:pPr>
              <w:ind w:left="160"/>
              <w:spacing w:after="0"/>
              <w:rPr>
                <w:sz w:val="20"/>
                <w:szCs w:val="20"/>
                <w:color w:val="auto"/>
              </w:rPr>
            </w:pPr>
            <w:r>
              <w:rPr>
                <w:rFonts w:ascii="Arial" w:cs="Arial" w:eastAsia="Arial" w:hAnsi="Arial"/>
                <w:sz w:val="24"/>
                <w:szCs w:val="24"/>
                <w:color w:val="auto"/>
              </w:rPr>
              <w:t>Telephone</w:t>
            </w:r>
          </w:p>
        </w:tc>
        <w:tc>
          <w:tcPr>
            <w:tcW w:w="1940" w:type="dxa"/>
            <w:vAlign w:val="bottom"/>
          </w:tcPr>
          <w:p>
            <w:pPr>
              <w:ind w:left="520"/>
              <w:spacing w:after="0"/>
              <w:rPr>
                <w:sz w:val="20"/>
                <w:szCs w:val="20"/>
                <w:color w:val="auto"/>
              </w:rPr>
            </w:pPr>
            <w:r>
              <w:rPr>
                <w:rFonts w:ascii="Arial" w:cs="Arial" w:eastAsia="Arial" w:hAnsi="Arial"/>
                <w:sz w:val="24"/>
                <w:szCs w:val="24"/>
                <w:color w:val="auto"/>
              </w:rPr>
              <w:t>No.</w:t>
            </w:r>
          </w:p>
        </w:tc>
        <w:tc>
          <w:tcPr>
            <w:tcW w:w="380" w:type="dxa"/>
            <w:vAlign w:val="bottom"/>
          </w:tcPr>
          <w:p>
            <w:pPr>
              <w:jc w:val="right"/>
              <w:spacing w:after="0"/>
              <w:rPr>
                <w:sz w:val="20"/>
                <w:szCs w:val="20"/>
                <w:color w:val="auto"/>
              </w:rPr>
            </w:pPr>
            <w:r>
              <w:rPr>
                <w:rFonts w:ascii="Arial" w:cs="Arial" w:eastAsia="Arial" w:hAnsi="Arial"/>
                <w:sz w:val="24"/>
                <w:szCs w:val="24"/>
                <w:color w:val="auto"/>
              </w:rPr>
              <w:t>:</w:t>
            </w:r>
          </w:p>
        </w:tc>
      </w:tr>
      <w:tr>
        <w:trPr>
          <w:trHeight w:val="279"/>
        </w:trPr>
        <w:tc>
          <w:tcPr>
            <w:tcW w:w="42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4100" w:type="dxa"/>
            <w:vAlign w:val="bottom"/>
            <w:gridSpan w:val="2"/>
          </w:tcPr>
          <w:p>
            <w:pPr>
              <w:ind w:left="160"/>
              <w:spacing w:after="0"/>
              <w:rPr>
                <w:sz w:val="20"/>
                <w:szCs w:val="20"/>
                <w:color w:val="auto"/>
              </w:rPr>
            </w:pPr>
            <w:r>
              <w:rPr>
                <w:rFonts w:ascii="Arial" w:cs="Arial" w:eastAsia="Arial" w:hAnsi="Arial"/>
                <w:sz w:val="24"/>
                <w:szCs w:val="24"/>
                <w:color w:val="auto"/>
              </w:rPr>
              <w:t>........................................</w:t>
            </w:r>
          </w:p>
        </w:tc>
        <w:tc>
          <w:tcPr>
            <w:tcW w:w="380" w:type="dxa"/>
            <w:vAlign w:val="bottom"/>
          </w:tcPr>
          <w:p>
            <w:pPr>
              <w:spacing w:after="0"/>
              <w:rPr>
                <w:sz w:val="24"/>
                <w:szCs w:val="24"/>
                <w:color w:val="auto"/>
              </w:rPr>
            </w:pPr>
          </w:p>
        </w:tc>
      </w:tr>
      <w:tr>
        <w:trPr>
          <w:trHeight w:val="317"/>
        </w:trPr>
        <w:tc>
          <w:tcPr>
            <w:tcW w:w="3380" w:type="dxa"/>
            <w:vAlign w:val="bottom"/>
            <w:gridSpan w:val="3"/>
          </w:tcPr>
          <w:p>
            <w:pPr>
              <w:spacing w:after="0"/>
              <w:rPr>
                <w:sz w:val="20"/>
                <w:szCs w:val="20"/>
                <w:color w:val="auto"/>
              </w:rPr>
            </w:pPr>
            <w:r>
              <w:rPr>
                <w:rFonts w:ascii="Arial" w:cs="Arial" w:eastAsia="Arial" w:hAnsi="Arial"/>
                <w:sz w:val="24"/>
                <w:szCs w:val="24"/>
                <w:color w:val="auto"/>
                <w:w w:val="89"/>
              </w:rPr>
              <w:t>Telex No.: .......................................</w:t>
            </w:r>
          </w:p>
        </w:tc>
        <w:tc>
          <w:tcPr>
            <w:tcW w:w="880" w:type="dxa"/>
            <w:vAlign w:val="bottom"/>
          </w:tcPr>
          <w:p>
            <w:pPr>
              <w:spacing w:after="0"/>
              <w:rPr>
                <w:sz w:val="24"/>
                <w:szCs w:val="24"/>
                <w:color w:val="auto"/>
              </w:rPr>
            </w:pPr>
          </w:p>
        </w:tc>
        <w:tc>
          <w:tcPr>
            <w:tcW w:w="2160" w:type="dxa"/>
            <w:vAlign w:val="bottom"/>
          </w:tcPr>
          <w:p>
            <w:pPr>
              <w:ind w:left="160"/>
              <w:spacing w:after="0"/>
              <w:rPr>
                <w:sz w:val="20"/>
                <w:szCs w:val="20"/>
                <w:color w:val="auto"/>
              </w:rPr>
            </w:pPr>
            <w:r>
              <w:rPr>
                <w:rFonts w:ascii="Arial" w:cs="Arial" w:eastAsia="Arial" w:hAnsi="Arial"/>
                <w:sz w:val="24"/>
                <w:szCs w:val="24"/>
                <w:color w:val="auto"/>
              </w:rPr>
              <w:t>Fax</w:t>
            </w:r>
          </w:p>
        </w:tc>
        <w:tc>
          <w:tcPr>
            <w:tcW w:w="1940" w:type="dxa"/>
            <w:vAlign w:val="bottom"/>
          </w:tcPr>
          <w:p>
            <w:pPr>
              <w:ind w:left="140"/>
              <w:spacing w:after="0"/>
              <w:rPr>
                <w:sz w:val="20"/>
                <w:szCs w:val="20"/>
                <w:color w:val="auto"/>
              </w:rPr>
            </w:pPr>
            <w:r>
              <w:rPr>
                <w:rFonts w:ascii="Arial" w:cs="Arial" w:eastAsia="Arial" w:hAnsi="Arial"/>
                <w:sz w:val="24"/>
                <w:szCs w:val="24"/>
                <w:color w:val="auto"/>
              </w:rPr>
              <w:t>No.</w:t>
            </w:r>
          </w:p>
        </w:tc>
        <w:tc>
          <w:tcPr>
            <w:tcW w:w="380" w:type="dxa"/>
            <w:vAlign w:val="bottom"/>
          </w:tcPr>
          <w:p>
            <w:pPr>
              <w:jc w:val="right"/>
              <w:spacing w:after="0"/>
              <w:rPr>
                <w:sz w:val="20"/>
                <w:szCs w:val="20"/>
                <w:color w:val="auto"/>
              </w:rPr>
            </w:pPr>
            <w:r>
              <w:rPr>
                <w:rFonts w:ascii="Arial" w:cs="Arial" w:eastAsia="Arial" w:hAnsi="Arial"/>
                <w:sz w:val="24"/>
                <w:szCs w:val="24"/>
                <w:color w:val="auto"/>
              </w:rPr>
              <w:t>:</w:t>
            </w:r>
          </w:p>
        </w:tc>
      </w:tr>
      <w:tr>
        <w:trPr>
          <w:trHeight w:val="274"/>
        </w:trPr>
        <w:tc>
          <w:tcPr>
            <w:tcW w:w="420" w:type="dxa"/>
            <w:vAlign w:val="bottom"/>
          </w:tcPr>
          <w:p>
            <w:pPr>
              <w:spacing w:after="0"/>
              <w:rPr>
                <w:sz w:val="23"/>
                <w:szCs w:val="23"/>
                <w:color w:val="auto"/>
              </w:rPr>
            </w:pPr>
          </w:p>
        </w:tc>
        <w:tc>
          <w:tcPr>
            <w:tcW w:w="1740" w:type="dxa"/>
            <w:vAlign w:val="bottom"/>
          </w:tcPr>
          <w:p>
            <w:pPr>
              <w:spacing w:after="0"/>
              <w:rPr>
                <w:sz w:val="23"/>
                <w:szCs w:val="23"/>
                <w:color w:val="auto"/>
              </w:rPr>
            </w:pPr>
          </w:p>
        </w:tc>
        <w:tc>
          <w:tcPr>
            <w:tcW w:w="1220" w:type="dxa"/>
            <w:vAlign w:val="bottom"/>
          </w:tcPr>
          <w:p>
            <w:pPr>
              <w:spacing w:after="0"/>
              <w:rPr>
                <w:sz w:val="23"/>
                <w:szCs w:val="23"/>
                <w:color w:val="auto"/>
              </w:rPr>
            </w:pPr>
          </w:p>
        </w:tc>
        <w:tc>
          <w:tcPr>
            <w:tcW w:w="880" w:type="dxa"/>
            <w:vAlign w:val="bottom"/>
          </w:tcPr>
          <w:p>
            <w:pPr>
              <w:spacing w:after="0"/>
              <w:rPr>
                <w:sz w:val="23"/>
                <w:szCs w:val="23"/>
                <w:color w:val="auto"/>
              </w:rPr>
            </w:pPr>
          </w:p>
        </w:tc>
        <w:tc>
          <w:tcPr>
            <w:tcW w:w="4100" w:type="dxa"/>
            <w:vAlign w:val="bottom"/>
            <w:gridSpan w:val="2"/>
          </w:tcPr>
          <w:p>
            <w:pPr>
              <w:ind w:left="160"/>
              <w:spacing w:after="0" w:line="273" w:lineRule="exact"/>
              <w:rPr>
                <w:sz w:val="20"/>
                <w:szCs w:val="20"/>
                <w:color w:val="auto"/>
              </w:rPr>
            </w:pPr>
            <w:r>
              <w:rPr>
                <w:rFonts w:ascii="Arial" w:cs="Arial" w:eastAsia="Arial" w:hAnsi="Arial"/>
                <w:sz w:val="24"/>
                <w:szCs w:val="24"/>
                <w:color w:val="auto"/>
              </w:rPr>
              <w:t>......................................................</w:t>
            </w:r>
          </w:p>
        </w:tc>
        <w:tc>
          <w:tcPr>
            <w:tcW w:w="380" w:type="dxa"/>
            <w:vAlign w:val="bottom"/>
          </w:tcPr>
          <w:p>
            <w:pPr>
              <w:spacing w:after="0"/>
              <w:rPr>
                <w:sz w:val="23"/>
                <w:szCs w:val="23"/>
                <w:color w:val="auto"/>
              </w:rPr>
            </w:pPr>
          </w:p>
        </w:tc>
      </w:tr>
      <w:tr>
        <w:trPr>
          <w:trHeight w:val="317"/>
        </w:trPr>
        <w:tc>
          <w:tcPr>
            <w:tcW w:w="3380" w:type="dxa"/>
            <w:vAlign w:val="bottom"/>
            <w:gridSpan w:val="3"/>
          </w:tcPr>
          <w:p>
            <w:pPr>
              <w:spacing w:after="0"/>
              <w:rPr>
                <w:sz w:val="20"/>
                <w:szCs w:val="20"/>
                <w:color w:val="auto"/>
              </w:rPr>
            </w:pPr>
            <w:r>
              <w:rPr>
                <w:rFonts w:ascii="Arial" w:cs="Arial" w:eastAsia="Arial" w:hAnsi="Arial"/>
                <w:sz w:val="24"/>
                <w:szCs w:val="24"/>
                <w:color w:val="auto"/>
              </w:rPr>
              <w:t>Address for correspondence :</w:t>
            </w:r>
          </w:p>
        </w:tc>
        <w:tc>
          <w:tcPr>
            <w:tcW w:w="8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317"/>
        </w:trPr>
        <w:tc>
          <w:tcPr>
            <w:tcW w:w="3380" w:type="dxa"/>
            <w:vAlign w:val="bottom"/>
            <w:gridSpan w:val="3"/>
          </w:tcPr>
          <w:p>
            <w:pPr>
              <w:spacing w:after="0"/>
              <w:rPr>
                <w:sz w:val="20"/>
                <w:szCs w:val="20"/>
                <w:color w:val="auto"/>
              </w:rPr>
            </w:pPr>
            <w:r>
              <w:rPr>
                <w:rFonts w:ascii="Arial" w:cs="Arial" w:eastAsia="Arial" w:hAnsi="Arial"/>
                <w:sz w:val="24"/>
                <w:szCs w:val="24"/>
                <w:color w:val="auto"/>
                <w:w w:val="86"/>
              </w:rPr>
              <w:t>Pin code : .........................................</w:t>
            </w:r>
          </w:p>
        </w:tc>
        <w:tc>
          <w:tcPr>
            <w:tcW w:w="880" w:type="dxa"/>
            <w:vAlign w:val="bottom"/>
          </w:tcPr>
          <w:p>
            <w:pPr>
              <w:spacing w:after="0"/>
              <w:rPr>
                <w:sz w:val="24"/>
                <w:szCs w:val="24"/>
                <w:color w:val="auto"/>
              </w:rPr>
            </w:pPr>
          </w:p>
        </w:tc>
        <w:tc>
          <w:tcPr>
            <w:tcW w:w="2160" w:type="dxa"/>
            <w:vAlign w:val="bottom"/>
          </w:tcPr>
          <w:p>
            <w:pPr>
              <w:ind w:left="160"/>
              <w:spacing w:after="0"/>
              <w:rPr>
                <w:sz w:val="20"/>
                <w:szCs w:val="20"/>
                <w:color w:val="auto"/>
              </w:rPr>
            </w:pPr>
            <w:r>
              <w:rPr>
                <w:rFonts w:ascii="Arial" w:cs="Arial" w:eastAsia="Arial" w:hAnsi="Arial"/>
                <w:sz w:val="24"/>
                <w:szCs w:val="24"/>
                <w:color w:val="auto"/>
              </w:rPr>
              <w:t>Telephone</w:t>
            </w:r>
          </w:p>
        </w:tc>
        <w:tc>
          <w:tcPr>
            <w:tcW w:w="1940" w:type="dxa"/>
            <w:vAlign w:val="bottom"/>
          </w:tcPr>
          <w:p>
            <w:pPr>
              <w:ind w:left="520"/>
              <w:spacing w:after="0"/>
              <w:rPr>
                <w:sz w:val="20"/>
                <w:szCs w:val="20"/>
                <w:color w:val="auto"/>
              </w:rPr>
            </w:pPr>
            <w:r>
              <w:rPr>
                <w:rFonts w:ascii="Arial" w:cs="Arial" w:eastAsia="Arial" w:hAnsi="Arial"/>
                <w:sz w:val="24"/>
                <w:szCs w:val="24"/>
                <w:color w:val="auto"/>
              </w:rPr>
              <w:t>No.</w:t>
            </w:r>
          </w:p>
        </w:tc>
        <w:tc>
          <w:tcPr>
            <w:tcW w:w="380" w:type="dxa"/>
            <w:vAlign w:val="bottom"/>
          </w:tcPr>
          <w:p>
            <w:pPr>
              <w:jc w:val="right"/>
              <w:spacing w:after="0"/>
              <w:rPr>
                <w:sz w:val="20"/>
                <w:szCs w:val="20"/>
                <w:color w:val="auto"/>
              </w:rPr>
            </w:pPr>
            <w:r>
              <w:rPr>
                <w:rFonts w:ascii="Arial" w:cs="Arial" w:eastAsia="Arial" w:hAnsi="Arial"/>
                <w:sz w:val="24"/>
                <w:szCs w:val="24"/>
                <w:color w:val="auto"/>
              </w:rPr>
              <w:t>:</w:t>
            </w:r>
          </w:p>
        </w:tc>
      </w:tr>
      <w:tr>
        <w:trPr>
          <w:trHeight w:val="274"/>
        </w:trPr>
        <w:tc>
          <w:tcPr>
            <w:tcW w:w="420" w:type="dxa"/>
            <w:vAlign w:val="bottom"/>
          </w:tcPr>
          <w:p>
            <w:pPr>
              <w:spacing w:after="0"/>
              <w:rPr>
                <w:sz w:val="23"/>
                <w:szCs w:val="23"/>
                <w:color w:val="auto"/>
              </w:rPr>
            </w:pPr>
          </w:p>
        </w:tc>
        <w:tc>
          <w:tcPr>
            <w:tcW w:w="1740" w:type="dxa"/>
            <w:vAlign w:val="bottom"/>
          </w:tcPr>
          <w:p>
            <w:pPr>
              <w:spacing w:after="0"/>
              <w:rPr>
                <w:sz w:val="23"/>
                <w:szCs w:val="23"/>
                <w:color w:val="auto"/>
              </w:rPr>
            </w:pPr>
          </w:p>
        </w:tc>
        <w:tc>
          <w:tcPr>
            <w:tcW w:w="1220" w:type="dxa"/>
            <w:vAlign w:val="bottom"/>
          </w:tcPr>
          <w:p>
            <w:pPr>
              <w:spacing w:after="0"/>
              <w:rPr>
                <w:sz w:val="23"/>
                <w:szCs w:val="23"/>
                <w:color w:val="auto"/>
              </w:rPr>
            </w:pPr>
          </w:p>
        </w:tc>
        <w:tc>
          <w:tcPr>
            <w:tcW w:w="880" w:type="dxa"/>
            <w:vAlign w:val="bottom"/>
          </w:tcPr>
          <w:p>
            <w:pPr>
              <w:spacing w:after="0"/>
              <w:rPr>
                <w:sz w:val="23"/>
                <w:szCs w:val="23"/>
                <w:color w:val="auto"/>
              </w:rPr>
            </w:pPr>
          </w:p>
        </w:tc>
        <w:tc>
          <w:tcPr>
            <w:tcW w:w="4100" w:type="dxa"/>
            <w:vAlign w:val="bottom"/>
            <w:gridSpan w:val="2"/>
          </w:tcPr>
          <w:p>
            <w:pPr>
              <w:ind w:left="160"/>
              <w:spacing w:after="0" w:line="273" w:lineRule="exact"/>
              <w:rPr>
                <w:sz w:val="20"/>
                <w:szCs w:val="20"/>
                <w:color w:val="auto"/>
              </w:rPr>
            </w:pPr>
            <w:r>
              <w:rPr>
                <w:rFonts w:ascii="Arial" w:cs="Arial" w:eastAsia="Arial" w:hAnsi="Arial"/>
                <w:sz w:val="24"/>
                <w:szCs w:val="24"/>
                <w:color w:val="auto"/>
              </w:rPr>
              <w:t>........................................</w:t>
            </w:r>
          </w:p>
        </w:tc>
        <w:tc>
          <w:tcPr>
            <w:tcW w:w="380" w:type="dxa"/>
            <w:vAlign w:val="bottom"/>
          </w:tcPr>
          <w:p>
            <w:pPr>
              <w:spacing w:after="0"/>
              <w:rPr>
                <w:sz w:val="23"/>
                <w:szCs w:val="23"/>
                <w:color w:val="auto"/>
              </w:rPr>
            </w:pPr>
          </w:p>
        </w:tc>
      </w:tr>
      <w:tr>
        <w:trPr>
          <w:trHeight w:val="317"/>
        </w:trPr>
        <w:tc>
          <w:tcPr>
            <w:tcW w:w="3380" w:type="dxa"/>
            <w:vAlign w:val="bottom"/>
            <w:gridSpan w:val="3"/>
          </w:tcPr>
          <w:p>
            <w:pPr>
              <w:spacing w:after="0"/>
              <w:rPr>
                <w:sz w:val="20"/>
                <w:szCs w:val="20"/>
                <w:color w:val="auto"/>
              </w:rPr>
            </w:pPr>
            <w:r>
              <w:rPr>
                <w:rFonts w:ascii="Arial" w:cs="Arial" w:eastAsia="Arial" w:hAnsi="Arial"/>
                <w:sz w:val="24"/>
                <w:szCs w:val="24"/>
                <w:color w:val="auto"/>
                <w:w w:val="87"/>
              </w:rPr>
              <w:t>Telex No. : .......................................</w:t>
            </w:r>
          </w:p>
        </w:tc>
        <w:tc>
          <w:tcPr>
            <w:tcW w:w="880" w:type="dxa"/>
            <w:vAlign w:val="bottom"/>
          </w:tcPr>
          <w:p>
            <w:pPr>
              <w:spacing w:after="0"/>
              <w:rPr>
                <w:sz w:val="24"/>
                <w:szCs w:val="24"/>
                <w:color w:val="auto"/>
              </w:rPr>
            </w:pPr>
          </w:p>
        </w:tc>
        <w:tc>
          <w:tcPr>
            <w:tcW w:w="2160" w:type="dxa"/>
            <w:vAlign w:val="bottom"/>
          </w:tcPr>
          <w:p>
            <w:pPr>
              <w:ind w:left="160"/>
              <w:spacing w:after="0"/>
              <w:rPr>
                <w:sz w:val="20"/>
                <w:szCs w:val="20"/>
                <w:color w:val="auto"/>
              </w:rPr>
            </w:pPr>
            <w:r>
              <w:rPr>
                <w:rFonts w:ascii="Arial" w:cs="Arial" w:eastAsia="Arial" w:hAnsi="Arial"/>
                <w:sz w:val="24"/>
                <w:szCs w:val="24"/>
                <w:color w:val="auto"/>
              </w:rPr>
              <w:t>Fax</w:t>
            </w:r>
          </w:p>
        </w:tc>
        <w:tc>
          <w:tcPr>
            <w:tcW w:w="1940" w:type="dxa"/>
            <w:vAlign w:val="bottom"/>
          </w:tcPr>
          <w:p>
            <w:pPr>
              <w:ind w:left="140"/>
              <w:spacing w:after="0"/>
              <w:rPr>
                <w:sz w:val="20"/>
                <w:szCs w:val="20"/>
                <w:color w:val="auto"/>
              </w:rPr>
            </w:pPr>
            <w:r>
              <w:rPr>
                <w:rFonts w:ascii="Arial" w:cs="Arial" w:eastAsia="Arial" w:hAnsi="Arial"/>
                <w:sz w:val="24"/>
                <w:szCs w:val="24"/>
                <w:color w:val="auto"/>
              </w:rPr>
              <w:t>No.</w:t>
            </w:r>
          </w:p>
        </w:tc>
        <w:tc>
          <w:tcPr>
            <w:tcW w:w="380" w:type="dxa"/>
            <w:vAlign w:val="bottom"/>
          </w:tcPr>
          <w:p>
            <w:pPr>
              <w:jc w:val="right"/>
              <w:spacing w:after="0"/>
              <w:rPr>
                <w:sz w:val="20"/>
                <w:szCs w:val="20"/>
                <w:color w:val="auto"/>
              </w:rPr>
            </w:pPr>
            <w:r>
              <w:rPr>
                <w:rFonts w:ascii="Arial" w:cs="Arial" w:eastAsia="Arial" w:hAnsi="Arial"/>
                <w:sz w:val="24"/>
                <w:szCs w:val="24"/>
                <w:color w:val="auto"/>
              </w:rPr>
              <w:t>:</w:t>
            </w:r>
          </w:p>
        </w:tc>
      </w:tr>
      <w:tr>
        <w:trPr>
          <w:trHeight w:val="278"/>
        </w:trPr>
        <w:tc>
          <w:tcPr>
            <w:tcW w:w="42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4100" w:type="dxa"/>
            <w:vAlign w:val="bottom"/>
            <w:gridSpan w:val="2"/>
          </w:tcPr>
          <w:p>
            <w:pPr>
              <w:ind w:left="160"/>
              <w:spacing w:after="0"/>
              <w:rPr>
                <w:sz w:val="20"/>
                <w:szCs w:val="20"/>
                <w:color w:val="auto"/>
              </w:rPr>
            </w:pPr>
            <w:r>
              <w:rPr>
                <w:rFonts w:ascii="Arial" w:cs="Arial" w:eastAsia="Arial" w:hAnsi="Arial"/>
                <w:sz w:val="24"/>
                <w:szCs w:val="24"/>
                <w:color w:val="auto"/>
              </w:rPr>
              <w:t>......................................................</w:t>
            </w:r>
          </w:p>
        </w:tc>
        <w:tc>
          <w:tcPr>
            <w:tcW w:w="380" w:type="dxa"/>
            <w:vAlign w:val="bottom"/>
          </w:tcPr>
          <w:p>
            <w:pPr>
              <w:spacing w:after="0"/>
              <w:rPr>
                <w:sz w:val="24"/>
                <w:szCs w:val="24"/>
                <w:color w:val="auto"/>
              </w:rPr>
            </w:pPr>
          </w:p>
        </w:tc>
      </w:tr>
      <w:tr>
        <w:trPr>
          <w:trHeight w:val="317"/>
        </w:trPr>
        <w:tc>
          <w:tcPr>
            <w:tcW w:w="420" w:type="dxa"/>
            <w:vAlign w:val="bottom"/>
          </w:tcPr>
          <w:p>
            <w:pPr>
              <w:jc w:val="right"/>
              <w:spacing w:after="0"/>
              <w:rPr>
                <w:sz w:val="20"/>
                <w:szCs w:val="20"/>
                <w:color w:val="auto"/>
              </w:rPr>
            </w:pPr>
            <w:r>
              <w:rPr>
                <w:rFonts w:ascii="Arial" w:cs="Arial" w:eastAsia="Arial" w:hAnsi="Arial"/>
                <w:sz w:val="24"/>
                <w:szCs w:val="24"/>
                <w:color w:val="auto"/>
              </w:rPr>
              <w:t>1.3</w:t>
            </w:r>
          </w:p>
        </w:tc>
        <w:tc>
          <w:tcPr>
            <w:tcW w:w="8320" w:type="dxa"/>
            <w:vAlign w:val="bottom"/>
            <w:gridSpan w:val="6"/>
          </w:tcPr>
          <w:p>
            <w:pPr>
              <w:ind w:left="60"/>
              <w:spacing w:after="0"/>
              <w:rPr>
                <w:sz w:val="20"/>
                <w:szCs w:val="20"/>
                <w:color w:val="auto"/>
              </w:rPr>
            </w:pPr>
            <w:r>
              <w:rPr>
                <w:rFonts w:ascii="Arial" w:cs="Arial" w:eastAsia="Arial" w:hAnsi="Arial"/>
                <w:sz w:val="24"/>
                <w:szCs w:val="24"/>
                <w:color w:val="auto"/>
              </w:rPr>
              <w:t>Application to Securities and Exchange Board of India for other intermediary</w:t>
            </w:r>
          </w:p>
        </w:tc>
      </w:tr>
      <w:tr>
        <w:trPr>
          <w:trHeight w:val="274"/>
        </w:trPr>
        <w:tc>
          <w:tcPr>
            <w:tcW w:w="420" w:type="dxa"/>
            <w:vAlign w:val="bottom"/>
          </w:tcPr>
          <w:p>
            <w:pPr>
              <w:spacing w:after="0"/>
              <w:rPr>
                <w:sz w:val="23"/>
                <w:szCs w:val="23"/>
                <w:color w:val="auto"/>
              </w:rPr>
            </w:pPr>
          </w:p>
        </w:tc>
        <w:tc>
          <w:tcPr>
            <w:tcW w:w="2960" w:type="dxa"/>
            <w:vAlign w:val="bottom"/>
            <w:gridSpan w:val="2"/>
          </w:tcPr>
          <w:p>
            <w:pPr>
              <w:ind w:left="60"/>
              <w:spacing w:after="0"/>
              <w:rPr>
                <w:sz w:val="20"/>
                <w:szCs w:val="20"/>
                <w:color w:val="auto"/>
              </w:rPr>
            </w:pPr>
            <w:r>
              <w:rPr>
                <w:rFonts w:ascii="Arial" w:cs="Arial" w:eastAsia="Arial" w:hAnsi="Arial"/>
                <w:sz w:val="22"/>
                <w:szCs w:val="22"/>
                <w:color w:val="auto"/>
                <w:w w:val="71"/>
              </w:rPr>
              <w:t>activity: .....................................................</w:t>
            </w:r>
          </w:p>
        </w:tc>
        <w:tc>
          <w:tcPr>
            <w:tcW w:w="88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940" w:type="dxa"/>
            <w:vAlign w:val="bottom"/>
          </w:tcPr>
          <w:p>
            <w:pPr>
              <w:spacing w:after="0"/>
              <w:rPr>
                <w:sz w:val="23"/>
                <w:szCs w:val="23"/>
                <w:color w:val="auto"/>
              </w:rPr>
            </w:pPr>
          </w:p>
        </w:tc>
        <w:tc>
          <w:tcPr>
            <w:tcW w:w="380" w:type="dxa"/>
            <w:vAlign w:val="bottom"/>
          </w:tcPr>
          <w:p>
            <w:pPr>
              <w:spacing w:after="0"/>
              <w:rPr>
                <w:sz w:val="23"/>
                <w:szCs w:val="23"/>
                <w:color w:val="auto"/>
              </w:rPr>
            </w:pPr>
          </w:p>
        </w:tc>
      </w:tr>
      <w:tr>
        <w:trPr>
          <w:trHeight w:val="317"/>
        </w:trPr>
        <w:tc>
          <w:tcPr>
            <w:tcW w:w="420" w:type="dxa"/>
            <w:vAlign w:val="bottom"/>
          </w:tcPr>
          <w:p>
            <w:pPr>
              <w:jc w:val="right"/>
              <w:spacing w:after="0"/>
              <w:rPr>
                <w:sz w:val="20"/>
                <w:szCs w:val="20"/>
                <w:color w:val="auto"/>
              </w:rPr>
            </w:pPr>
            <w:r>
              <w:rPr>
                <w:rFonts w:ascii="Arial" w:cs="Arial" w:eastAsia="Arial" w:hAnsi="Arial"/>
                <w:sz w:val="24"/>
                <w:szCs w:val="24"/>
                <w:color w:val="auto"/>
              </w:rPr>
              <w:t>2.</w:t>
            </w:r>
          </w:p>
        </w:tc>
        <w:tc>
          <w:tcPr>
            <w:tcW w:w="2960" w:type="dxa"/>
            <w:vAlign w:val="bottom"/>
            <w:gridSpan w:val="2"/>
          </w:tcPr>
          <w:p>
            <w:pPr>
              <w:ind w:left="60"/>
              <w:spacing w:after="0"/>
              <w:rPr>
                <w:sz w:val="20"/>
                <w:szCs w:val="20"/>
                <w:color w:val="auto"/>
              </w:rPr>
            </w:pPr>
            <w:r>
              <w:rPr>
                <w:rFonts w:ascii="Arial" w:cs="Arial" w:eastAsia="Arial" w:hAnsi="Arial"/>
                <w:sz w:val="24"/>
                <w:szCs w:val="24"/>
                <w:color w:val="auto"/>
              </w:rPr>
              <w:t>Organisation Structure:</w:t>
            </w:r>
          </w:p>
        </w:tc>
        <w:tc>
          <w:tcPr>
            <w:tcW w:w="8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317"/>
        </w:trPr>
        <w:tc>
          <w:tcPr>
            <w:tcW w:w="420" w:type="dxa"/>
            <w:vAlign w:val="bottom"/>
          </w:tcPr>
          <w:p>
            <w:pPr>
              <w:jc w:val="right"/>
              <w:spacing w:after="0"/>
              <w:rPr>
                <w:sz w:val="20"/>
                <w:szCs w:val="20"/>
                <w:color w:val="auto"/>
              </w:rPr>
            </w:pPr>
            <w:r>
              <w:rPr>
                <w:rFonts w:ascii="Arial" w:cs="Arial" w:eastAsia="Arial" w:hAnsi="Arial"/>
                <w:sz w:val="24"/>
                <w:szCs w:val="24"/>
                <w:color w:val="auto"/>
              </w:rPr>
              <w:t>2.1</w:t>
            </w:r>
          </w:p>
        </w:tc>
        <w:tc>
          <w:tcPr>
            <w:tcW w:w="3840" w:type="dxa"/>
            <w:vAlign w:val="bottom"/>
            <w:gridSpan w:val="3"/>
          </w:tcPr>
          <w:p>
            <w:pPr>
              <w:ind w:left="60"/>
              <w:spacing w:after="0"/>
              <w:rPr>
                <w:sz w:val="20"/>
                <w:szCs w:val="20"/>
                <w:color w:val="auto"/>
              </w:rPr>
            </w:pPr>
            <w:r>
              <w:rPr>
                <w:rFonts w:ascii="Arial" w:cs="Arial" w:eastAsia="Arial" w:hAnsi="Arial"/>
                <w:sz w:val="24"/>
                <w:szCs w:val="24"/>
                <w:color w:val="auto"/>
              </w:rPr>
              <w:t>Date and Place of Incorporation</w:t>
            </w:r>
          </w:p>
        </w:tc>
        <w:tc>
          <w:tcPr>
            <w:tcW w:w="216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317"/>
        </w:trPr>
        <w:tc>
          <w:tcPr>
            <w:tcW w:w="420" w:type="dxa"/>
            <w:vAlign w:val="bottom"/>
          </w:tcPr>
          <w:p>
            <w:pPr>
              <w:spacing w:after="0"/>
              <w:rPr>
                <w:sz w:val="24"/>
                <w:szCs w:val="24"/>
                <w:color w:val="auto"/>
              </w:rPr>
            </w:pPr>
          </w:p>
        </w:tc>
        <w:tc>
          <w:tcPr>
            <w:tcW w:w="1740" w:type="dxa"/>
            <w:vAlign w:val="bottom"/>
          </w:tcPr>
          <w:p>
            <w:pPr>
              <w:ind w:left="60"/>
              <w:spacing w:after="0"/>
              <w:rPr>
                <w:sz w:val="20"/>
                <w:szCs w:val="20"/>
                <w:color w:val="auto"/>
              </w:rPr>
            </w:pPr>
            <w:r>
              <w:rPr>
                <w:rFonts w:ascii="Arial" w:cs="Arial" w:eastAsia="Arial" w:hAnsi="Arial"/>
                <w:sz w:val="24"/>
                <w:szCs w:val="24"/>
                <w:color w:val="auto"/>
              </w:rPr>
              <w:t>Day</w:t>
            </w:r>
          </w:p>
        </w:tc>
        <w:tc>
          <w:tcPr>
            <w:tcW w:w="1220" w:type="dxa"/>
            <w:vAlign w:val="bottom"/>
          </w:tcPr>
          <w:p>
            <w:pPr>
              <w:spacing w:after="0"/>
              <w:rPr>
                <w:sz w:val="20"/>
                <w:szCs w:val="20"/>
                <w:color w:val="auto"/>
              </w:rPr>
            </w:pPr>
            <w:r>
              <w:rPr>
                <w:rFonts w:ascii="Arial" w:cs="Arial" w:eastAsia="Arial" w:hAnsi="Arial"/>
                <w:sz w:val="24"/>
                <w:szCs w:val="24"/>
                <w:color w:val="auto"/>
              </w:rPr>
              <w:t>Month</w:t>
            </w:r>
          </w:p>
        </w:tc>
        <w:tc>
          <w:tcPr>
            <w:tcW w:w="880" w:type="dxa"/>
            <w:vAlign w:val="bottom"/>
          </w:tcPr>
          <w:p>
            <w:pPr>
              <w:ind w:left="220"/>
              <w:spacing w:after="0"/>
              <w:rPr>
                <w:sz w:val="20"/>
                <w:szCs w:val="20"/>
                <w:color w:val="auto"/>
              </w:rPr>
            </w:pPr>
            <w:r>
              <w:rPr>
                <w:rFonts w:ascii="Arial" w:cs="Arial" w:eastAsia="Arial" w:hAnsi="Arial"/>
                <w:sz w:val="24"/>
                <w:szCs w:val="24"/>
                <w:color w:val="auto"/>
              </w:rPr>
              <w:t>Year</w:t>
            </w:r>
          </w:p>
        </w:tc>
        <w:tc>
          <w:tcPr>
            <w:tcW w:w="2160" w:type="dxa"/>
            <w:vAlign w:val="bottom"/>
          </w:tcPr>
          <w:p>
            <w:pPr>
              <w:ind w:left="780"/>
              <w:spacing w:after="0"/>
              <w:rPr>
                <w:sz w:val="20"/>
                <w:szCs w:val="20"/>
                <w:color w:val="auto"/>
              </w:rPr>
            </w:pPr>
            <w:r>
              <w:rPr>
                <w:rFonts w:ascii="Arial" w:cs="Arial" w:eastAsia="Arial" w:hAnsi="Arial"/>
                <w:sz w:val="24"/>
                <w:szCs w:val="24"/>
                <w:color w:val="auto"/>
              </w:rPr>
              <w:t>Place</w:t>
            </w:r>
          </w:p>
        </w:tc>
        <w:tc>
          <w:tcPr>
            <w:tcW w:w="194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355"/>
        </w:trPr>
        <w:tc>
          <w:tcPr>
            <w:tcW w:w="420" w:type="dxa"/>
            <w:vAlign w:val="bottom"/>
          </w:tcPr>
          <w:p>
            <w:pPr>
              <w:jc w:val="right"/>
              <w:spacing w:after="0"/>
              <w:rPr>
                <w:sz w:val="20"/>
                <w:szCs w:val="20"/>
                <w:color w:val="auto"/>
              </w:rPr>
            </w:pPr>
            <w:r>
              <w:rPr>
                <w:rFonts w:ascii="Arial" w:cs="Arial" w:eastAsia="Arial" w:hAnsi="Arial"/>
                <w:sz w:val="24"/>
                <w:szCs w:val="24"/>
                <w:color w:val="auto"/>
              </w:rPr>
              <w:t>2.2</w:t>
            </w:r>
          </w:p>
        </w:tc>
        <w:tc>
          <w:tcPr>
            <w:tcW w:w="8320" w:type="dxa"/>
            <w:vAlign w:val="bottom"/>
            <w:gridSpan w:val="6"/>
          </w:tcPr>
          <w:p>
            <w:pPr>
              <w:ind w:left="60"/>
              <w:spacing w:after="0"/>
              <w:rPr>
                <w:sz w:val="20"/>
                <w:szCs w:val="20"/>
                <w:color w:val="auto"/>
              </w:rPr>
            </w:pPr>
            <w:r>
              <w:rPr>
                <w:rFonts w:ascii="Arial" w:cs="Arial" w:eastAsia="Arial" w:hAnsi="Arial"/>
                <w:sz w:val="24"/>
                <w:szCs w:val="24"/>
                <w:color w:val="auto"/>
              </w:rPr>
              <w:t>Organisation Chart : General Organisation and specific activity (i.e., applied</w:t>
            </w:r>
          </w:p>
        </w:tc>
      </w:tr>
      <w:tr>
        <w:trPr>
          <w:trHeight w:val="274"/>
        </w:trPr>
        <w:tc>
          <w:tcPr>
            <w:tcW w:w="420" w:type="dxa"/>
            <w:vAlign w:val="bottom"/>
          </w:tcPr>
          <w:p>
            <w:pPr>
              <w:spacing w:after="0"/>
              <w:rPr>
                <w:sz w:val="23"/>
                <w:szCs w:val="23"/>
                <w:color w:val="auto"/>
              </w:rPr>
            </w:pPr>
          </w:p>
        </w:tc>
        <w:tc>
          <w:tcPr>
            <w:tcW w:w="6000" w:type="dxa"/>
            <w:vAlign w:val="bottom"/>
            <w:gridSpan w:val="4"/>
          </w:tcPr>
          <w:p>
            <w:pPr>
              <w:ind w:left="60"/>
              <w:spacing w:after="0" w:line="273" w:lineRule="exact"/>
              <w:rPr>
                <w:sz w:val="20"/>
                <w:szCs w:val="20"/>
                <w:color w:val="auto"/>
              </w:rPr>
            </w:pPr>
            <w:r>
              <w:rPr>
                <w:rFonts w:ascii="Arial" w:cs="Arial" w:eastAsia="Arial" w:hAnsi="Arial"/>
                <w:sz w:val="24"/>
                <w:szCs w:val="24"/>
                <w:color w:val="auto"/>
              </w:rPr>
              <w:t>for registration). Also state the functional responsibility.</w:t>
            </w:r>
          </w:p>
        </w:tc>
        <w:tc>
          <w:tcPr>
            <w:tcW w:w="1940" w:type="dxa"/>
            <w:vAlign w:val="bottom"/>
          </w:tcPr>
          <w:p>
            <w:pPr>
              <w:spacing w:after="0"/>
              <w:rPr>
                <w:sz w:val="23"/>
                <w:szCs w:val="23"/>
                <w:color w:val="auto"/>
              </w:rPr>
            </w:pPr>
          </w:p>
        </w:tc>
        <w:tc>
          <w:tcPr>
            <w:tcW w:w="380" w:type="dxa"/>
            <w:vAlign w:val="bottom"/>
          </w:tcPr>
          <w:p>
            <w:pPr>
              <w:spacing w:after="0"/>
              <w:rPr>
                <w:sz w:val="23"/>
                <w:szCs w:val="23"/>
                <w:color w:val="auto"/>
              </w:rPr>
            </w:pPr>
          </w:p>
        </w:tc>
      </w:tr>
      <w:tr>
        <w:trPr>
          <w:trHeight w:val="298"/>
        </w:trPr>
        <w:tc>
          <w:tcPr>
            <w:tcW w:w="420" w:type="dxa"/>
            <w:vAlign w:val="bottom"/>
          </w:tcPr>
          <w:p>
            <w:pPr>
              <w:jc w:val="right"/>
              <w:spacing w:after="0"/>
              <w:rPr>
                <w:sz w:val="20"/>
                <w:szCs w:val="20"/>
                <w:color w:val="auto"/>
              </w:rPr>
            </w:pPr>
            <w:r>
              <w:rPr>
                <w:rFonts w:ascii="Arial" w:cs="Arial" w:eastAsia="Arial" w:hAnsi="Arial"/>
                <w:sz w:val="24"/>
                <w:szCs w:val="24"/>
                <w:color w:val="auto"/>
              </w:rPr>
              <w:t>2.3</w:t>
            </w:r>
          </w:p>
        </w:tc>
        <w:tc>
          <w:tcPr>
            <w:tcW w:w="8320" w:type="dxa"/>
            <w:vAlign w:val="bottom"/>
            <w:gridSpan w:val="6"/>
          </w:tcPr>
          <w:p>
            <w:pPr>
              <w:ind w:left="60"/>
              <w:spacing w:after="0"/>
              <w:rPr>
                <w:sz w:val="20"/>
                <w:szCs w:val="20"/>
                <w:color w:val="auto"/>
              </w:rPr>
            </w:pPr>
            <w:r>
              <w:rPr>
                <w:rFonts w:ascii="Arial" w:cs="Arial" w:eastAsia="Arial" w:hAnsi="Arial"/>
                <w:sz w:val="24"/>
                <w:szCs w:val="24"/>
                <w:color w:val="auto"/>
              </w:rPr>
              <w:t>Particulars of all Directors and key management personnel:—[for other than</w:t>
            </w:r>
          </w:p>
        </w:tc>
      </w:tr>
      <w:tr>
        <w:trPr>
          <w:trHeight w:val="274"/>
        </w:trPr>
        <w:tc>
          <w:tcPr>
            <w:tcW w:w="420" w:type="dxa"/>
            <w:vAlign w:val="bottom"/>
          </w:tcPr>
          <w:p>
            <w:pPr>
              <w:spacing w:after="0"/>
              <w:rPr>
                <w:sz w:val="23"/>
                <w:szCs w:val="23"/>
                <w:color w:val="auto"/>
              </w:rPr>
            </w:pPr>
          </w:p>
        </w:tc>
        <w:tc>
          <w:tcPr>
            <w:tcW w:w="2960" w:type="dxa"/>
            <w:vAlign w:val="bottom"/>
            <w:gridSpan w:val="2"/>
          </w:tcPr>
          <w:p>
            <w:pPr>
              <w:ind w:left="60"/>
              <w:spacing w:after="0" w:line="273" w:lineRule="exact"/>
              <w:rPr>
                <w:sz w:val="20"/>
                <w:szCs w:val="20"/>
                <w:color w:val="auto"/>
              </w:rPr>
            </w:pPr>
            <w:r>
              <w:rPr>
                <w:rFonts w:ascii="Arial" w:cs="Arial" w:eastAsia="Arial" w:hAnsi="Arial"/>
                <w:sz w:val="24"/>
                <w:szCs w:val="24"/>
                <w:color w:val="auto"/>
              </w:rPr>
              <w:t>public sector banks only</w:t>
            </w:r>
          </w:p>
        </w:tc>
        <w:tc>
          <w:tcPr>
            <w:tcW w:w="880" w:type="dxa"/>
            <w:vAlign w:val="bottom"/>
          </w:tcPr>
          <w:p>
            <w:pPr>
              <w:spacing w:after="0"/>
              <w:rPr>
                <w:sz w:val="23"/>
                <w:szCs w:val="23"/>
                <w:color w:val="auto"/>
              </w:rPr>
            </w:pPr>
          </w:p>
        </w:tc>
        <w:tc>
          <w:tcPr>
            <w:tcW w:w="2160" w:type="dxa"/>
            <w:vAlign w:val="bottom"/>
          </w:tcPr>
          <w:p>
            <w:pPr>
              <w:spacing w:after="0"/>
              <w:rPr>
                <w:sz w:val="23"/>
                <w:szCs w:val="23"/>
                <w:color w:val="auto"/>
              </w:rPr>
            </w:pPr>
          </w:p>
        </w:tc>
        <w:tc>
          <w:tcPr>
            <w:tcW w:w="1940" w:type="dxa"/>
            <w:vAlign w:val="bottom"/>
          </w:tcPr>
          <w:p>
            <w:pPr>
              <w:spacing w:after="0"/>
              <w:rPr>
                <w:sz w:val="23"/>
                <w:szCs w:val="23"/>
                <w:color w:val="auto"/>
              </w:rPr>
            </w:pPr>
          </w:p>
        </w:tc>
        <w:tc>
          <w:tcPr>
            <w:tcW w:w="380" w:type="dxa"/>
            <w:vAlign w:val="bottom"/>
          </w:tcPr>
          <w:p>
            <w:pPr>
              <w:spacing w:after="0"/>
              <w:rPr>
                <w:sz w:val="23"/>
                <w:szCs w:val="23"/>
                <w:color w:val="auto"/>
              </w:rPr>
            </w:pPr>
          </w:p>
        </w:tc>
      </w:tr>
      <w:tr>
        <w:trPr>
          <w:trHeight w:val="298"/>
        </w:trPr>
        <w:tc>
          <w:tcPr>
            <w:tcW w:w="420" w:type="dxa"/>
            <w:vAlign w:val="bottom"/>
          </w:tcPr>
          <w:p>
            <w:pPr>
              <w:spacing w:after="0"/>
              <w:rPr>
                <w:sz w:val="24"/>
                <w:szCs w:val="24"/>
                <w:color w:val="auto"/>
              </w:rPr>
            </w:pPr>
          </w:p>
        </w:tc>
        <w:tc>
          <w:tcPr>
            <w:tcW w:w="3840" w:type="dxa"/>
            <w:vAlign w:val="bottom"/>
            <w:gridSpan w:val="3"/>
          </w:tcPr>
          <w:p>
            <w:pPr>
              <w:ind w:left="60"/>
              <w:spacing w:after="0"/>
              <w:rPr>
                <w:sz w:val="20"/>
                <w:szCs w:val="20"/>
                <w:color w:val="auto"/>
              </w:rPr>
            </w:pPr>
            <w:r>
              <w:rPr>
                <w:rFonts w:ascii="Arial" w:cs="Arial" w:eastAsia="Arial" w:hAnsi="Arial"/>
                <w:sz w:val="24"/>
                <w:szCs w:val="24"/>
                <w:color w:val="auto"/>
              </w:rPr>
              <w:t>Name; Qualification; Experience</w:t>
            </w:r>
          </w:p>
        </w:tc>
        <w:tc>
          <w:tcPr>
            <w:tcW w:w="216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298"/>
        </w:trPr>
        <w:tc>
          <w:tcPr>
            <w:tcW w:w="420" w:type="dxa"/>
            <w:vAlign w:val="bottom"/>
          </w:tcPr>
          <w:p>
            <w:pPr>
              <w:spacing w:after="0"/>
              <w:rPr>
                <w:sz w:val="24"/>
                <w:szCs w:val="24"/>
                <w:color w:val="auto"/>
              </w:rPr>
            </w:pPr>
          </w:p>
        </w:tc>
        <w:tc>
          <w:tcPr>
            <w:tcW w:w="8320" w:type="dxa"/>
            <w:vAlign w:val="bottom"/>
            <w:gridSpan w:val="6"/>
          </w:tcPr>
          <w:p>
            <w:pPr>
              <w:ind w:left="60"/>
              <w:spacing w:after="0"/>
              <w:rPr>
                <w:sz w:val="20"/>
                <w:szCs w:val="20"/>
                <w:color w:val="auto"/>
              </w:rPr>
            </w:pPr>
            <w:r>
              <w:rPr>
                <w:rFonts w:ascii="Arial" w:cs="Arial" w:eastAsia="Arial" w:hAnsi="Arial"/>
                <w:sz w:val="24"/>
                <w:szCs w:val="24"/>
                <w:color w:val="auto"/>
              </w:rPr>
              <w:t>Ownership details; (date of appointment) other directorship; (Name &amp; date of</w:t>
            </w:r>
          </w:p>
        </w:tc>
      </w:tr>
      <w:tr>
        <w:trPr>
          <w:trHeight w:val="274"/>
        </w:trPr>
        <w:tc>
          <w:tcPr>
            <w:tcW w:w="420" w:type="dxa"/>
            <w:vAlign w:val="bottom"/>
          </w:tcPr>
          <w:p>
            <w:pPr>
              <w:spacing w:after="0"/>
              <w:rPr>
                <w:sz w:val="23"/>
                <w:szCs w:val="23"/>
                <w:color w:val="auto"/>
              </w:rPr>
            </w:pPr>
          </w:p>
        </w:tc>
        <w:tc>
          <w:tcPr>
            <w:tcW w:w="6000" w:type="dxa"/>
            <w:vAlign w:val="bottom"/>
            <w:gridSpan w:val="4"/>
          </w:tcPr>
          <w:p>
            <w:pPr>
              <w:ind w:left="60"/>
              <w:spacing w:after="0" w:line="273" w:lineRule="exact"/>
              <w:rPr>
                <w:sz w:val="20"/>
                <w:szCs w:val="20"/>
                <w:color w:val="auto"/>
              </w:rPr>
            </w:pPr>
            <w:r>
              <w:rPr>
                <w:rFonts w:ascii="Arial" w:cs="Arial" w:eastAsia="Arial" w:hAnsi="Arial"/>
                <w:sz w:val="24"/>
                <w:szCs w:val="24"/>
                <w:color w:val="auto"/>
              </w:rPr>
              <w:t>appointment); previous positions held.]</w:t>
            </w:r>
          </w:p>
        </w:tc>
        <w:tc>
          <w:tcPr>
            <w:tcW w:w="1940" w:type="dxa"/>
            <w:vAlign w:val="bottom"/>
          </w:tcPr>
          <w:p>
            <w:pPr>
              <w:spacing w:after="0"/>
              <w:rPr>
                <w:sz w:val="23"/>
                <w:szCs w:val="23"/>
                <w:color w:val="auto"/>
              </w:rPr>
            </w:pPr>
          </w:p>
        </w:tc>
        <w:tc>
          <w:tcPr>
            <w:tcW w:w="380" w:type="dxa"/>
            <w:vAlign w:val="bottom"/>
          </w:tcPr>
          <w:p>
            <w:pPr>
              <w:spacing w:after="0"/>
              <w:rPr>
                <w:sz w:val="23"/>
                <w:szCs w:val="23"/>
                <w:color w:val="auto"/>
              </w:rPr>
            </w:pPr>
          </w:p>
        </w:tc>
      </w:tr>
      <w:tr>
        <w:trPr>
          <w:trHeight w:val="317"/>
        </w:trPr>
        <w:tc>
          <w:tcPr>
            <w:tcW w:w="420" w:type="dxa"/>
            <w:vAlign w:val="bottom"/>
          </w:tcPr>
          <w:p>
            <w:pPr>
              <w:jc w:val="right"/>
              <w:spacing w:after="0"/>
              <w:rPr>
                <w:sz w:val="20"/>
                <w:szCs w:val="20"/>
                <w:color w:val="auto"/>
              </w:rPr>
            </w:pPr>
            <w:r>
              <w:rPr>
                <w:rFonts w:ascii="Arial" w:cs="Arial" w:eastAsia="Arial" w:hAnsi="Arial"/>
                <w:sz w:val="24"/>
                <w:szCs w:val="24"/>
                <w:color w:val="auto"/>
              </w:rPr>
              <w:t>2.4</w:t>
            </w:r>
          </w:p>
        </w:tc>
        <w:tc>
          <w:tcPr>
            <w:tcW w:w="2960" w:type="dxa"/>
            <w:vAlign w:val="bottom"/>
            <w:gridSpan w:val="2"/>
          </w:tcPr>
          <w:p>
            <w:pPr>
              <w:ind w:left="60"/>
              <w:spacing w:after="0"/>
              <w:rPr>
                <w:sz w:val="20"/>
                <w:szCs w:val="20"/>
                <w:color w:val="auto"/>
              </w:rPr>
            </w:pPr>
            <w:r>
              <w:rPr>
                <w:rFonts w:ascii="Arial" w:cs="Arial" w:eastAsia="Arial" w:hAnsi="Arial"/>
                <w:sz w:val="24"/>
                <w:szCs w:val="24"/>
                <w:color w:val="auto"/>
              </w:rPr>
              <w:t>Number of employees</w:t>
            </w:r>
          </w:p>
        </w:tc>
        <w:tc>
          <w:tcPr>
            <w:tcW w:w="8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317"/>
        </w:trPr>
        <w:tc>
          <w:tcPr>
            <w:tcW w:w="420" w:type="dxa"/>
            <w:vAlign w:val="bottom"/>
          </w:tcPr>
          <w:p>
            <w:pPr>
              <w:jc w:val="right"/>
              <w:spacing w:after="0"/>
              <w:rPr>
                <w:sz w:val="20"/>
                <w:szCs w:val="20"/>
                <w:color w:val="auto"/>
              </w:rPr>
            </w:pPr>
            <w:r>
              <w:rPr>
                <w:rFonts w:ascii="Arial" w:cs="Arial" w:eastAsia="Arial" w:hAnsi="Arial"/>
                <w:sz w:val="24"/>
                <w:szCs w:val="24"/>
                <w:color w:val="auto"/>
              </w:rPr>
              <w:t>2.5</w:t>
            </w:r>
          </w:p>
        </w:tc>
        <w:tc>
          <w:tcPr>
            <w:tcW w:w="8320" w:type="dxa"/>
            <w:vAlign w:val="bottom"/>
            <w:gridSpan w:val="6"/>
          </w:tcPr>
          <w:p>
            <w:pPr>
              <w:ind w:left="60"/>
              <w:spacing w:after="0"/>
              <w:rPr>
                <w:sz w:val="20"/>
                <w:szCs w:val="20"/>
                <w:color w:val="auto"/>
              </w:rPr>
            </w:pPr>
            <w:r>
              <w:rPr>
                <w:rFonts w:ascii="Arial" w:cs="Arial" w:eastAsia="Arial" w:hAnsi="Arial"/>
                <w:sz w:val="24"/>
                <w:szCs w:val="24"/>
                <w:color w:val="auto"/>
              </w:rPr>
              <w:t>List  of  major  shareholders  (holding  5%  or  more  voting  shares)  Name,</w:t>
            </w:r>
          </w:p>
        </w:tc>
      </w:tr>
      <w:tr>
        <w:trPr>
          <w:trHeight w:val="274"/>
        </w:trPr>
        <w:tc>
          <w:tcPr>
            <w:tcW w:w="420" w:type="dxa"/>
            <w:vAlign w:val="bottom"/>
          </w:tcPr>
          <w:p>
            <w:pPr>
              <w:spacing w:after="0"/>
              <w:rPr>
                <w:sz w:val="23"/>
                <w:szCs w:val="23"/>
                <w:color w:val="auto"/>
              </w:rPr>
            </w:pPr>
          </w:p>
        </w:tc>
        <w:tc>
          <w:tcPr>
            <w:tcW w:w="7940" w:type="dxa"/>
            <w:vAlign w:val="bottom"/>
            <w:gridSpan w:val="5"/>
          </w:tcPr>
          <w:p>
            <w:pPr>
              <w:ind w:left="60"/>
              <w:spacing w:after="0" w:line="274" w:lineRule="exact"/>
              <w:rPr>
                <w:sz w:val="20"/>
                <w:szCs w:val="20"/>
                <w:color w:val="auto"/>
              </w:rPr>
            </w:pPr>
            <w:r>
              <w:rPr>
                <w:rFonts w:ascii="Arial" w:cs="Arial" w:eastAsia="Arial" w:hAnsi="Arial"/>
                <w:sz w:val="24"/>
                <w:szCs w:val="24"/>
                <w:color w:val="auto"/>
              </w:rPr>
              <w:t>Shareholding pattern i.e. No. of shares and its % to total capital)</w:t>
            </w:r>
          </w:p>
        </w:tc>
        <w:tc>
          <w:tcPr>
            <w:tcW w:w="380" w:type="dxa"/>
            <w:vAlign w:val="bottom"/>
          </w:tcPr>
          <w:p>
            <w:pPr>
              <w:spacing w:after="0"/>
              <w:rPr>
                <w:sz w:val="23"/>
                <w:szCs w:val="23"/>
                <w:color w:val="auto"/>
              </w:rPr>
            </w:pPr>
          </w:p>
        </w:tc>
      </w:tr>
      <w:tr>
        <w:trPr>
          <w:trHeight w:val="317"/>
        </w:trPr>
        <w:tc>
          <w:tcPr>
            <w:tcW w:w="420" w:type="dxa"/>
            <w:vAlign w:val="bottom"/>
          </w:tcPr>
          <w:p>
            <w:pPr>
              <w:jc w:val="right"/>
              <w:spacing w:after="0"/>
              <w:rPr>
                <w:sz w:val="20"/>
                <w:szCs w:val="20"/>
                <w:color w:val="auto"/>
              </w:rPr>
            </w:pPr>
            <w:r>
              <w:rPr>
                <w:rFonts w:ascii="Arial" w:cs="Arial" w:eastAsia="Arial" w:hAnsi="Arial"/>
                <w:sz w:val="24"/>
                <w:szCs w:val="24"/>
                <w:color w:val="auto"/>
              </w:rPr>
              <w:t>3.0</w:t>
            </w:r>
          </w:p>
        </w:tc>
        <w:tc>
          <w:tcPr>
            <w:tcW w:w="7940" w:type="dxa"/>
            <w:vAlign w:val="bottom"/>
            <w:gridSpan w:val="5"/>
          </w:tcPr>
          <w:p>
            <w:pPr>
              <w:ind w:left="60"/>
              <w:spacing w:after="0"/>
              <w:rPr>
                <w:sz w:val="20"/>
                <w:szCs w:val="20"/>
                <w:color w:val="auto"/>
              </w:rPr>
            </w:pPr>
            <w:r>
              <w:rPr>
                <w:rFonts w:ascii="Arial" w:cs="Arial" w:eastAsia="Arial" w:hAnsi="Arial"/>
                <w:sz w:val="24"/>
                <w:szCs w:val="24"/>
                <w:color w:val="auto"/>
              </w:rPr>
              <w:t>Details of infrastructural facilities (To be used for specific activity)</w:t>
            </w:r>
          </w:p>
        </w:tc>
        <w:tc>
          <w:tcPr>
            <w:tcW w:w="380" w:type="dxa"/>
            <w:vAlign w:val="bottom"/>
          </w:tcPr>
          <w:p>
            <w:pPr>
              <w:spacing w:after="0"/>
              <w:rPr>
                <w:sz w:val="24"/>
                <w:szCs w:val="24"/>
                <w:color w:val="auto"/>
              </w:rPr>
            </w:pPr>
          </w:p>
        </w:tc>
      </w:tr>
      <w:tr>
        <w:trPr>
          <w:trHeight w:val="317"/>
        </w:trPr>
        <w:tc>
          <w:tcPr>
            <w:tcW w:w="420" w:type="dxa"/>
            <w:vAlign w:val="bottom"/>
          </w:tcPr>
          <w:p>
            <w:pPr>
              <w:jc w:val="right"/>
              <w:spacing w:after="0"/>
              <w:rPr>
                <w:sz w:val="20"/>
                <w:szCs w:val="20"/>
                <w:color w:val="auto"/>
              </w:rPr>
            </w:pPr>
            <w:r>
              <w:rPr>
                <w:rFonts w:ascii="Arial" w:cs="Arial" w:eastAsia="Arial" w:hAnsi="Arial"/>
                <w:sz w:val="24"/>
                <w:szCs w:val="24"/>
                <w:color w:val="auto"/>
              </w:rPr>
              <w:t>3.1</w:t>
            </w:r>
          </w:p>
        </w:tc>
        <w:tc>
          <w:tcPr>
            <w:tcW w:w="2960" w:type="dxa"/>
            <w:vAlign w:val="bottom"/>
            <w:gridSpan w:val="2"/>
          </w:tcPr>
          <w:p>
            <w:pPr>
              <w:ind w:left="60"/>
              <w:spacing w:after="0"/>
              <w:rPr>
                <w:sz w:val="20"/>
                <w:szCs w:val="20"/>
                <w:color w:val="auto"/>
              </w:rPr>
            </w:pPr>
            <w:r>
              <w:rPr>
                <w:rFonts w:ascii="Arial" w:cs="Arial" w:eastAsia="Arial" w:hAnsi="Arial"/>
                <w:sz w:val="24"/>
                <w:szCs w:val="24"/>
                <w:color w:val="auto"/>
              </w:rPr>
              <w:t>Data processing capacity</w:t>
            </w:r>
          </w:p>
        </w:tc>
        <w:tc>
          <w:tcPr>
            <w:tcW w:w="8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1940" w:type="dxa"/>
            <w:vAlign w:val="bottom"/>
          </w:tcPr>
          <w:p>
            <w:pPr>
              <w:spacing w:after="0"/>
              <w:rPr>
                <w:sz w:val="24"/>
                <w:szCs w:val="24"/>
                <w:color w:val="auto"/>
              </w:rPr>
            </w:pPr>
          </w:p>
        </w:tc>
        <w:tc>
          <w:tcPr>
            <w:tcW w:w="380" w:type="dxa"/>
            <w:vAlign w:val="bottom"/>
          </w:tcPr>
          <w:p>
            <w:pPr>
              <w:spacing w:after="0"/>
              <w:rPr>
                <w:sz w:val="24"/>
                <w:szCs w:val="24"/>
                <w:color w:val="auto"/>
              </w:rPr>
            </w:pPr>
          </w:p>
        </w:tc>
      </w:tr>
    </w:tbl>
    <w:p>
      <w:pPr>
        <w:spacing w:after="0" w:line="41" w:lineRule="exact"/>
        <w:rPr>
          <w:sz w:val="20"/>
          <w:szCs w:val="20"/>
          <w:color w:val="auto"/>
        </w:rPr>
      </w:pPr>
    </w:p>
    <w:p>
      <w:pPr>
        <w:ind w:left="1320" w:hanging="412"/>
        <w:spacing w:after="0"/>
        <w:tabs>
          <w:tab w:leader="none" w:pos="1320" w:val="left"/>
        </w:tabs>
        <w:numPr>
          <w:ilvl w:val="0"/>
          <w:numId w:val="71"/>
        </w:numPr>
        <w:rPr>
          <w:rFonts w:ascii="Arial" w:cs="Arial" w:eastAsia="Arial" w:hAnsi="Arial"/>
          <w:sz w:val="24"/>
          <w:szCs w:val="24"/>
          <w:color w:val="auto"/>
        </w:rPr>
      </w:pPr>
      <w:r>
        <w:rPr>
          <w:rFonts w:ascii="Arial" w:cs="Arial" w:eastAsia="Arial" w:hAnsi="Arial"/>
          <w:sz w:val="24"/>
          <w:szCs w:val="24"/>
          <w:color w:val="auto"/>
        </w:rPr>
        <w:t>Inhouse:</w:t>
      </w:r>
    </w:p>
    <w:p>
      <w:pPr>
        <w:spacing w:after="0" w:line="40" w:lineRule="exact"/>
        <w:rPr>
          <w:rFonts w:ascii="Arial" w:cs="Arial" w:eastAsia="Arial" w:hAnsi="Arial"/>
          <w:sz w:val="24"/>
          <w:szCs w:val="24"/>
          <w:color w:val="auto"/>
        </w:rPr>
      </w:pPr>
    </w:p>
    <w:p>
      <w:pPr>
        <w:ind w:left="1320" w:hanging="412"/>
        <w:spacing w:after="0"/>
        <w:tabs>
          <w:tab w:leader="none" w:pos="1320" w:val="left"/>
        </w:tabs>
        <w:numPr>
          <w:ilvl w:val="0"/>
          <w:numId w:val="71"/>
        </w:numPr>
        <w:rPr>
          <w:rFonts w:ascii="Arial" w:cs="Arial" w:eastAsia="Arial" w:hAnsi="Arial"/>
          <w:sz w:val="24"/>
          <w:szCs w:val="24"/>
          <w:color w:val="auto"/>
        </w:rPr>
      </w:pPr>
      <w:r>
        <w:rPr>
          <w:rFonts w:ascii="Arial" w:cs="Arial" w:eastAsia="Arial" w:hAnsi="Arial"/>
          <w:sz w:val="24"/>
          <w:szCs w:val="24"/>
          <w:color w:val="auto"/>
        </w:rPr>
        <w:t>Others :</w:t>
      </w:r>
    </w:p>
    <w:p>
      <w:pPr>
        <w:spacing w:after="0" w:line="41" w:lineRule="exact"/>
        <w:rPr>
          <w:sz w:val="20"/>
          <w:szCs w:val="20"/>
          <w:color w:val="auto"/>
        </w:rPr>
      </w:pPr>
    </w:p>
    <w:p>
      <w:pPr>
        <w:ind w:left="380"/>
        <w:spacing w:after="0"/>
        <w:rPr>
          <w:sz w:val="20"/>
          <w:szCs w:val="20"/>
          <w:color w:val="auto"/>
        </w:rPr>
      </w:pPr>
      <w:r>
        <w:rPr>
          <w:rFonts w:ascii="Arial" w:cs="Arial" w:eastAsia="Arial" w:hAnsi="Arial"/>
          <w:sz w:val="24"/>
          <w:szCs w:val="24"/>
          <w:color w:val="auto"/>
        </w:rPr>
        <w:t>3.2 Computer facility :</w:t>
      </w:r>
    </w:p>
    <w:p>
      <w:pPr>
        <w:spacing w:after="0" w:line="37" w:lineRule="exact"/>
        <w:rPr>
          <w:sz w:val="20"/>
          <w:szCs w:val="20"/>
          <w:color w:val="auto"/>
        </w:rPr>
      </w:pPr>
    </w:p>
    <w:p>
      <w:pPr>
        <w:ind w:left="1320" w:hanging="412"/>
        <w:spacing w:after="0"/>
        <w:tabs>
          <w:tab w:leader="none" w:pos="1320" w:val="left"/>
        </w:tabs>
        <w:numPr>
          <w:ilvl w:val="0"/>
          <w:numId w:val="72"/>
        </w:numPr>
        <w:rPr>
          <w:rFonts w:ascii="Arial" w:cs="Arial" w:eastAsia="Arial" w:hAnsi="Arial"/>
          <w:sz w:val="24"/>
          <w:szCs w:val="24"/>
          <w:color w:val="auto"/>
        </w:rPr>
      </w:pPr>
      <w:r>
        <w:rPr>
          <w:rFonts w:ascii="Arial" w:cs="Arial" w:eastAsia="Arial" w:hAnsi="Arial"/>
          <w:sz w:val="24"/>
          <w:szCs w:val="24"/>
          <w:color w:val="auto"/>
        </w:rPr>
        <w:t>Hardware configuration</w:t>
      </w:r>
    </w:p>
    <w:p>
      <w:pPr>
        <w:spacing w:after="0" w:line="40" w:lineRule="exact"/>
        <w:rPr>
          <w:rFonts w:ascii="Arial" w:cs="Arial" w:eastAsia="Arial" w:hAnsi="Arial"/>
          <w:sz w:val="24"/>
          <w:szCs w:val="24"/>
          <w:color w:val="auto"/>
        </w:rPr>
      </w:pPr>
    </w:p>
    <w:p>
      <w:pPr>
        <w:ind w:left="1320" w:hanging="412"/>
        <w:spacing w:after="0"/>
        <w:tabs>
          <w:tab w:leader="none" w:pos="1320" w:val="left"/>
        </w:tabs>
        <w:numPr>
          <w:ilvl w:val="0"/>
          <w:numId w:val="72"/>
        </w:numPr>
        <w:rPr>
          <w:rFonts w:ascii="Arial" w:cs="Arial" w:eastAsia="Arial" w:hAnsi="Arial"/>
          <w:sz w:val="24"/>
          <w:szCs w:val="24"/>
          <w:color w:val="auto"/>
        </w:rPr>
      </w:pPr>
      <w:r>
        <w:rPr>
          <w:rFonts w:ascii="Arial" w:cs="Arial" w:eastAsia="Arial" w:hAnsi="Arial"/>
          <w:sz w:val="24"/>
          <w:szCs w:val="24"/>
          <w:color w:val="auto"/>
        </w:rPr>
        <w:t>Software used</w:t>
      </w:r>
    </w:p>
    <w:p>
      <w:pPr>
        <w:spacing w:after="0" w:line="52" w:lineRule="exact"/>
        <w:rPr>
          <w:sz w:val="20"/>
          <w:szCs w:val="20"/>
          <w:color w:val="auto"/>
        </w:rPr>
      </w:pPr>
    </w:p>
    <w:p>
      <w:pPr>
        <w:ind w:left="840" w:right="280" w:hanging="451"/>
        <w:spacing w:after="0" w:line="236" w:lineRule="auto"/>
        <w:rPr>
          <w:sz w:val="20"/>
          <w:szCs w:val="20"/>
          <w:color w:val="auto"/>
        </w:rPr>
      </w:pPr>
      <w:r>
        <w:rPr>
          <w:rFonts w:ascii="Arial" w:cs="Arial" w:eastAsia="Arial" w:hAnsi="Arial"/>
          <w:sz w:val="24"/>
          <w:szCs w:val="24"/>
          <w:color w:val="auto"/>
        </w:rPr>
        <w:t>3.3 Communication and manpower facilities available at controlling branch/head office and at various branches</w:t>
      </w:r>
    </w:p>
    <w:p>
      <w:pPr>
        <w:spacing w:after="0" w:line="37" w:lineRule="exact"/>
        <w:rPr>
          <w:sz w:val="20"/>
          <w:szCs w:val="20"/>
          <w:color w:val="auto"/>
        </w:rPr>
      </w:pPr>
    </w:p>
    <w:p>
      <w:pPr>
        <w:ind w:left="380"/>
        <w:spacing w:after="0"/>
        <w:rPr>
          <w:sz w:val="20"/>
          <w:szCs w:val="20"/>
          <w:color w:val="auto"/>
        </w:rPr>
      </w:pPr>
      <w:r>
        <w:rPr>
          <w:rFonts w:ascii="Arial" w:cs="Arial" w:eastAsia="Arial" w:hAnsi="Arial"/>
          <w:sz w:val="24"/>
          <w:szCs w:val="24"/>
          <w:color w:val="auto"/>
        </w:rPr>
        <w:t>4.0 Financial Information</w:t>
      </w:r>
    </w:p>
    <w:p>
      <w:pPr>
        <w:spacing w:after="0" w:line="41" w:lineRule="exact"/>
        <w:rPr>
          <w:sz w:val="20"/>
          <w:szCs w:val="20"/>
          <w:color w:val="auto"/>
        </w:rPr>
      </w:pPr>
    </w:p>
    <w:p>
      <w:pPr>
        <w:ind w:left="380"/>
        <w:spacing w:after="0"/>
        <w:rPr>
          <w:sz w:val="20"/>
          <w:szCs w:val="20"/>
          <w:color w:val="auto"/>
        </w:rPr>
      </w:pPr>
      <w:r>
        <w:rPr>
          <w:rFonts w:ascii="Arial" w:cs="Arial" w:eastAsia="Arial" w:hAnsi="Arial"/>
          <w:sz w:val="24"/>
          <w:szCs w:val="24"/>
          <w:color w:val="auto"/>
        </w:rPr>
        <w:t>4.1 Capital Structure</w:t>
      </w:r>
    </w:p>
    <w:p>
      <w:pPr>
        <w:spacing w:after="0" w:line="41" w:lineRule="exact"/>
        <w:rPr>
          <w:sz w:val="20"/>
          <w:szCs w:val="20"/>
          <w:color w:val="auto"/>
        </w:rPr>
      </w:pPr>
    </w:p>
    <w:p>
      <w:pPr>
        <w:ind w:left="6440"/>
        <w:spacing w:after="0"/>
        <w:rPr>
          <w:sz w:val="20"/>
          <w:szCs w:val="20"/>
          <w:color w:val="auto"/>
        </w:rPr>
      </w:pPr>
      <w:r>
        <w:rPr>
          <w:rFonts w:ascii="Arial" w:cs="Arial" w:eastAsia="Arial" w:hAnsi="Arial"/>
          <w:sz w:val="24"/>
          <w:szCs w:val="24"/>
          <w:color w:val="auto"/>
        </w:rPr>
        <w:t>(Rs. in lakhs)</w:t>
      </w:r>
    </w:p>
    <w:p>
      <w:pPr>
        <w:spacing w:after="0" w:line="21" w:lineRule="exact"/>
        <w:rPr>
          <w:sz w:val="20"/>
          <w:szCs w:val="20"/>
          <w:color w:val="auto"/>
        </w:rPr>
      </w:pPr>
    </w:p>
    <w:tbl>
      <w:tblPr>
        <w:tblLayout w:type="fixed"/>
        <w:tblInd w:w="5140" w:type="dxa"/>
        <w:tblCellMar>
          <w:top w:w="0" w:type="dxa"/>
          <w:left w:w="0" w:type="dxa"/>
          <w:bottom w:w="0" w:type="dxa"/>
          <w:right w:w="0" w:type="dxa"/>
        </w:tblCellMar>
      </w:tblPr>
      <w:tr>
        <w:trPr>
          <w:trHeight w:val="285"/>
        </w:trPr>
        <w:tc>
          <w:tcPr>
            <w:tcW w:w="1640" w:type="dxa"/>
            <w:vAlign w:val="bottom"/>
            <w:tcBorders>
              <w:top w:val="single" w:sz="8" w:color="auto"/>
            </w:tcBorders>
          </w:tcPr>
          <w:p>
            <w:pPr>
              <w:jc w:val="center"/>
              <w:spacing w:after="0"/>
              <w:rPr>
                <w:sz w:val="20"/>
                <w:szCs w:val="20"/>
                <w:color w:val="auto"/>
              </w:rPr>
            </w:pPr>
            <w:r>
              <w:rPr>
                <w:rFonts w:ascii="Arial" w:cs="Arial" w:eastAsia="Arial" w:hAnsi="Arial"/>
                <w:sz w:val="24"/>
                <w:szCs w:val="24"/>
                <w:color w:val="auto"/>
                <w:w w:val="99"/>
              </w:rPr>
              <w:t>Year prior to</w:t>
            </w:r>
          </w:p>
        </w:tc>
        <w:tc>
          <w:tcPr>
            <w:tcW w:w="1340" w:type="dxa"/>
            <w:vAlign w:val="bottom"/>
            <w:tcBorders>
              <w:top w:val="single" w:sz="8" w:color="auto"/>
            </w:tcBorders>
          </w:tcPr>
          <w:p>
            <w:pPr>
              <w:jc w:val="center"/>
              <w:spacing w:after="0"/>
              <w:rPr>
                <w:sz w:val="20"/>
                <w:szCs w:val="20"/>
                <w:color w:val="auto"/>
              </w:rPr>
            </w:pPr>
            <w:r>
              <w:rPr>
                <w:rFonts w:ascii="Arial" w:cs="Arial" w:eastAsia="Arial" w:hAnsi="Arial"/>
                <w:sz w:val="24"/>
                <w:szCs w:val="24"/>
                <w:color w:val="auto"/>
                <w:w w:val="99"/>
              </w:rPr>
              <w:t>Preceding</w:t>
            </w:r>
          </w:p>
        </w:tc>
        <w:tc>
          <w:tcPr>
            <w:tcW w:w="1020" w:type="dxa"/>
            <w:vAlign w:val="bottom"/>
            <w:tcBorders>
              <w:top w:val="single" w:sz="8" w:color="auto"/>
            </w:tcBorders>
          </w:tcPr>
          <w:p>
            <w:pPr>
              <w:jc w:val="center"/>
              <w:spacing w:after="0"/>
              <w:rPr>
                <w:sz w:val="20"/>
                <w:szCs w:val="20"/>
                <w:color w:val="auto"/>
              </w:rPr>
            </w:pPr>
            <w:r>
              <w:rPr>
                <w:rFonts w:ascii="Arial" w:cs="Arial" w:eastAsia="Arial" w:hAnsi="Arial"/>
                <w:sz w:val="24"/>
                <w:szCs w:val="24"/>
                <w:color w:val="auto"/>
              </w:rPr>
              <w:t>Current</w:t>
            </w:r>
          </w:p>
        </w:tc>
      </w:tr>
      <w:tr>
        <w:trPr>
          <w:trHeight w:val="274"/>
        </w:trPr>
        <w:tc>
          <w:tcPr>
            <w:tcW w:w="1640" w:type="dxa"/>
            <w:vAlign w:val="bottom"/>
          </w:tcPr>
          <w:p>
            <w:pPr>
              <w:jc w:val="center"/>
              <w:spacing w:after="0" w:line="273" w:lineRule="exact"/>
              <w:rPr>
                <w:sz w:val="20"/>
                <w:szCs w:val="20"/>
                <w:color w:val="auto"/>
              </w:rPr>
            </w:pPr>
            <w:r>
              <w:rPr>
                <w:rFonts w:ascii="Arial" w:cs="Arial" w:eastAsia="Arial" w:hAnsi="Arial"/>
                <w:sz w:val="24"/>
                <w:szCs w:val="24"/>
                <w:color w:val="auto"/>
              </w:rPr>
              <w:t>the</w:t>
            </w:r>
          </w:p>
        </w:tc>
        <w:tc>
          <w:tcPr>
            <w:tcW w:w="1340" w:type="dxa"/>
            <w:vAlign w:val="bottom"/>
          </w:tcPr>
          <w:p>
            <w:pPr>
              <w:spacing w:after="0"/>
              <w:rPr>
                <w:sz w:val="23"/>
                <w:szCs w:val="23"/>
                <w:color w:val="auto"/>
              </w:rPr>
            </w:pPr>
          </w:p>
        </w:tc>
        <w:tc>
          <w:tcPr>
            <w:tcW w:w="1020" w:type="dxa"/>
            <w:vAlign w:val="bottom"/>
          </w:tcPr>
          <w:p>
            <w:pPr>
              <w:spacing w:after="0"/>
              <w:rPr>
                <w:sz w:val="23"/>
                <w:szCs w:val="23"/>
                <w:color w:val="auto"/>
              </w:rPr>
            </w:pPr>
          </w:p>
        </w:tc>
      </w:tr>
      <w:tr>
        <w:trPr>
          <w:trHeight w:val="317"/>
        </w:trPr>
        <w:tc>
          <w:tcPr>
            <w:tcW w:w="1640" w:type="dxa"/>
            <w:vAlign w:val="bottom"/>
          </w:tcPr>
          <w:p>
            <w:pPr>
              <w:jc w:val="center"/>
              <w:spacing w:after="0"/>
              <w:rPr>
                <w:sz w:val="20"/>
                <w:szCs w:val="20"/>
                <w:color w:val="auto"/>
              </w:rPr>
            </w:pPr>
            <w:r>
              <w:rPr>
                <w:rFonts w:ascii="Arial" w:cs="Arial" w:eastAsia="Arial" w:hAnsi="Arial"/>
                <w:sz w:val="24"/>
                <w:szCs w:val="24"/>
                <w:color w:val="auto"/>
                <w:w w:val="98"/>
              </w:rPr>
              <w:t>preceding</w:t>
            </w:r>
          </w:p>
        </w:tc>
        <w:tc>
          <w:tcPr>
            <w:tcW w:w="1340" w:type="dxa"/>
            <w:vAlign w:val="bottom"/>
          </w:tcPr>
          <w:p>
            <w:pPr>
              <w:jc w:val="center"/>
              <w:spacing w:after="0"/>
              <w:rPr>
                <w:sz w:val="20"/>
                <w:szCs w:val="20"/>
                <w:color w:val="auto"/>
              </w:rPr>
            </w:pPr>
            <w:r>
              <w:rPr>
                <w:rFonts w:ascii="Arial" w:cs="Arial" w:eastAsia="Arial" w:hAnsi="Arial"/>
                <w:sz w:val="24"/>
                <w:szCs w:val="24"/>
                <w:color w:val="auto"/>
              </w:rPr>
              <w:t>year</w:t>
            </w:r>
          </w:p>
        </w:tc>
        <w:tc>
          <w:tcPr>
            <w:tcW w:w="1020" w:type="dxa"/>
            <w:vAlign w:val="bottom"/>
          </w:tcPr>
          <w:p>
            <w:pPr>
              <w:jc w:val="center"/>
              <w:spacing w:after="0"/>
              <w:rPr>
                <w:sz w:val="20"/>
                <w:szCs w:val="20"/>
                <w:color w:val="auto"/>
              </w:rPr>
            </w:pPr>
            <w:r>
              <w:rPr>
                <w:rFonts w:ascii="Arial" w:cs="Arial" w:eastAsia="Arial" w:hAnsi="Arial"/>
                <w:sz w:val="24"/>
                <w:szCs w:val="24"/>
                <w:color w:val="auto"/>
                <w:w w:val="98"/>
              </w:rPr>
              <w:t>year</w:t>
            </w:r>
          </w:p>
        </w:tc>
      </w:tr>
      <w:tr>
        <w:trPr>
          <w:trHeight w:val="278"/>
        </w:trPr>
        <w:tc>
          <w:tcPr>
            <w:tcW w:w="1640" w:type="dxa"/>
            <w:vAlign w:val="bottom"/>
          </w:tcPr>
          <w:p>
            <w:pPr>
              <w:jc w:val="center"/>
              <w:spacing w:after="0"/>
              <w:rPr>
                <w:sz w:val="20"/>
                <w:szCs w:val="20"/>
                <w:color w:val="auto"/>
              </w:rPr>
            </w:pPr>
            <w:r>
              <w:rPr>
                <w:rFonts w:ascii="Arial" w:cs="Arial" w:eastAsia="Arial" w:hAnsi="Arial"/>
                <w:sz w:val="24"/>
                <w:szCs w:val="24"/>
                <w:color w:val="auto"/>
              </w:rPr>
              <w:t>year of</w:t>
            </w:r>
          </w:p>
        </w:tc>
        <w:tc>
          <w:tcPr>
            <w:tcW w:w="1340" w:type="dxa"/>
            <w:vAlign w:val="bottom"/>
          </w:tcPr>
          <w:p>
            <w:pPr>
              <w:spacing w:after="0"/>
              <w:rPr>
                <w:sz w:val="24"/>
                <w:szCs w:val="24"/>
                <w:color w:val="auto"/>
              </w:rPr>
            </w:pPr>
          </w:p>
        </w:tc>
        <w:tc>
          <w:tcPr>
            <w:tcW w:w="1020" w:type="dxa"/>
            <w:vAlign w:val="bottom"/>
          </w:tcPr>
          <w:p>
            <w:pPr>
              <w:spacing w:after="0"/>
              <w:rPr>
                <w:sz w:val="24"/>
                <w:szCs w:val="24"/>
                <w:color w:val="auto"/>
              </w:rPr>
            </w:pPr>
          </w:p>
        </w:tc>
      </w:tr>
    </w:tbl>
    <w:p>
      <w:pPr>
        <w:spacing w:after="0" w:line="200" w:lineRule="exact"/>
        <w:rPr>
          <w:sz w:val="20"/>
          <w:szCs w:val="20"/>
          <w:color w:val="auto"/>
        </w:rPr>
      </w:pPr>
    </w:p>
    <w:p>
      <w:pPr>
        <w:spacing w:after="0" w:line="254"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16</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16" w:name="page17"/>
    <w:bookmarkEnd w:id="16"/>
    <w:tbl>
      <w:tblPr>
        <w:tblLayout w:type="fixed"/>
        <w:tblInd w:w="900" w:type="dxa"/>
        <w:tblCellMar>
          <w:top w:w="0" w:type="dxa"/>
          <w:left w:w="0" w:type="dxa"/>
          <w:bottom w:w="0" w:type="dxa"/>
          <w:right w:w="0" w:type="dxa"/>
        </w:tblCellMar>
      </w:tblPr>
      <w:tr>
        <w:trPr>
          <w:trHeight w:val="276"/>
        </w:trPr>
        <w:tc>
          <w:tcPr>
            <w:tcW w:w="36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4000" w:type="dxa"/>
            <w:vAlign w:val="bottom"/>
          </w:tcPr>
          <w:p>
            <w:pPr>
              <w:ind w:left="200"/>
              <w:spacing w:after="0"/>
              <w:rPr>
                <w:sz w:val="20"/>
                <w:szCs w:val="20"/>
                <w:color w:val="auto"/>
              </w:rPr>
            </w:pPr>
            <w:r>
              <w:rPr>
                <w:rFonts w:ascii="Arial" w:cs="Arial" w:eastAsia="Arial" w:hAnsi="Arial"/>
                <w:sz w:val="24"/>
                <w:szCs w:val="24"/>
                <w:color w:val="auto"/>
              </w:rPr>
              <w:t>current year</w:t>
            </w:r>
          </w:p>
        </w:tc>
        <w:tc>
          <w:tcPr>
            <w:tcW w:w="0" w:type="dxa"/>
            <w:vAlign w:val="bottom"/>
          </w:tcPr>
          <w:p>
            <w:pPr>
              <w:spacing w:after="0"/>
              <w:rPr>
                <w:sz w:val="1"/>
                <w:szCs w:val="1"/>
                <w:color w:val="auto"/>
              </w:rPr>
            </w:pPr>
          </w:p>
        </w:tc>
      </w:tr>
      <w:tr>
        <w:trPr>
          <w:trHeight w:val="41"/>
        </w:trPr>
        <w:tc>
          <w:tcPr>
            <w:tcW w:w="360" w:type="dxa"/>
            <w:vAlign w:val="bottom"/>
            <w:vMerge w:val="restart"/>
          </w:tcPr>
          <w:p>
            <w:pPr>
              <w:jc w:val="right"/>
              <w:spacing w:after="0"/>
              <w:rPr>
                <w:sz w:val="20"/>
                <w:szCs w:val="20"/>
                <w:color w:val="auto"/>
              </w:rPr>
            </w:pPr>
            <w:r>
              <w:rPr>
                <w:rFonts w:ascii="Arial" w:cs="Arial" w:eastAsia="Arial" w:hAnsi="Arial"/>
                <w:sz w:val="24"/>
                <w:szCs w:val="24"/>
                <w:color w:val="auto"/>
                <w:w w:val="95"/>
              </w:rPr>
              <w:t>(a)</w:t>
            </w:r>
          </w:p>
        </w:tc>
        <w:tc>
          <w:tcPr>
            <w:tcW w:w="2520" w:type="dxa"/>
            <w:vAlign w:val="bottom"/>
            <w:gridSpan w:val="2"/>
            <w:vMerge w:val="restart"/>
          </w:tcPr>
          <w:p>
            <w:pPr>
              <w:ind w:left="60"/>
              <w:spacing w:after="0"/>
              <w:rPr>
                <w:sz w:val="20"/>
                <w:szCs w:val="20"/>
                <w:color w:val="auto"/>
              </w:rPr>
            </w:pPr>
            <w:r>
              <w:rPr>
                <w:rFonts w:ascii="Arial" w:cs="Arial" w:eastAsia="Arial" w:hAnsi="Arial"/>
                <w:sz w:val="24"/>
                <w:szCs w:val="24"/>
                <w:color w:val="auto"/>
              </w:rPr>
              <w:t>Paid-up Capital</w:t>
            </w:r>
          </w:p>
        </w:tc>
        <w:tc>
          <w:tcPr>
            <w:tcW w:w="1360" w:type="dxa"/>
            <w:vAlign w:val="bottom"/>
          </w:tcPr>
          <w:p>
            <w:pPr>
              <w:spacing w:after="0"/>
              <w:rPr>
                <w:sz w:val="3"/>
                <w:szCs w:val="3"/>
                <w:color w:val="auto"/>
              </w:rPr>
            </w:pPr>
          </w:p>
        </w:tc>
        <w:tc>
          <w:tcPr>
            <w:tcW w:w="400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65"/>
        </w:trPr>
        <w:tc>
          <w:tcPr>
            <w:tcW w:w="360" w:type="dxa"/>
            <w:vAlign w:val="bottom"/>
            <w:vMerge w:val="continue"/>
          </w:tcPr>
          <w:p>
            <w:pPr>
              <w:spacing w:after="0"/>
              <w:rPr>
                <w:sz w:val="23"/>
                <w:szCs w:val="23"/>
                <w:color w:val="auto"/>
              </w:rPr>
            </w:pPr>
          </w:p>
        </w:tc>
        <w:tc>
          <w:tcPr>
            <w:tcW w:w="2520" w:type="dxa"/>
            <w:vAlign w:val="bottom"/>
            <w:gridSpan w:val="2"/>
            <w:vMerge w:val="continue"/>
          </w:tcPr>
          <w:p>
            <w:pPr>
              <w:spacing w:after="0"/>
              <w:rPr>
                <w:sz w:val="23"/>
                <w:szCs w:val="23"/>
                <w:color w:val="auto"/>
              </w:rPr>
            </w:pPr>
          </w:p>
        </w:tc>
        <w:tc>
          <w:tcPr>
            <w:tcW w:w="1360" w:type="dxa"/>
            <w:vAlign w:val="bottom"/>
          </w:tcPr>
          <w:p>
            <w:pPr>
              <w:spacing w:after="0"/>
              <w:rPr>
                <w:sz w:val="23"/>
                <w:szCs w:val="23"/>
                <w:color w:val="auto"/>
              </w:rPr>
            </w:pPr>
          </w:p>
        </w:tc>
        <w:tc>
          <w:tcPr>
            <w:tcW w:w="4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55"/>
        </w:trPr>
        <w:tc>
          <w:tcPr>
            <w:tcW w:w="360" w:type="dxa"/>
            <w:vAlign w:val="bottom"/>
          </w:tcPr>
          <w:p>
            <w:pPr>
              <w:jc w:val="right"/>
              <w:spacing w:after="0"/>
              <w:rPr>
                <w:sz w:val="20"/>
                <w:szCs w:val="20"/>
                <w:color w:val="auto"/>
              </w:rPr>
            </w:pPr>
            <w:r>
              <w:rPr>
                <w:rFonts w:ascii="Arial" w:cs="Arial" w:eastAsia="Arial" w:hAnsi="Arial"/>
                <w:sz w:val="24"/>
                <w:szCs w:val="24"/>
                <w:color w:val="auto"/>
                <w:w w:val="95"/>
              </w:rPr>
              <w:t>(b)</w:t>
            </w:r>
          </w:p>
        </w:tc>
        <w:tc>
          <w:tcPr>
            <w:tcW w:w="1100" w:type="dxa"/>
            <w:vAlign w:val="bottom"/>
          </w:tcPr>
          <w:p>
            <w:pPr>
              <w:ind w:left="60"/>
              <w:spacing w:after="0"/>
              <w:rPr>
                <w:sz w:val="20"/>
                <w:szCs w:val="20"/>
                <w:color w:val="auto"/>
              </w:rPr>
            </w:pPr>
            <w:r>
              <w:rPr>
                <w:rFonts w:ascii="Arial" w:cs="Arial" w:eastAsia="Arial" w:hAnsi="Arial"/>
                <w:sz w:val="24"/>
                <w:szCs w:val="24"/>
                <w:color w:val="auto"/>
              </w:rPr>
              <w:t>Free</w:t>
            </w:r>
          </w:p>
        </w:tc>
        <w:tc>
          <w:tcPr>
            <w:tcW w:w="1420" w:type="dxa"/>
            <w:vAlign w:val="bottom"/>
          </w:tcPr>
          <w:p>
            <w:pPr>
              <w:ind w:left="100"/>
              <w:spacing w:after="0"/>
              <w:rPr>
                <w:sz w:val="20"/>
                <w:szCs w:val="20"/>
                <w:color w:val="auto"/>
              </w:rPr>
            </w:pPr>
            <w:r>
              <w:rPr>
                <w:rFonts w:ascii="Arial" w:cs="Arial" w:eastAsia="Arial" w:hAnsi="Arial"/>
                <w:sz w:val="24"/>
                <w:szCs w:val="24"/>
                <w:color w:val="auto"/>
              </w:rPr>
              <w:t>reserves</w:t>
            </w:r>
          </w:p>
        </w:tc>
        <w:tc>
          <w:tcPr>
            <w:tcW w:w="5360" w:type="dxa"/>
            <w:vAlign w:val="bottom"/>
            <w:gridSpan w:val="2"/>
          </w:tcPr>
          <w:p>
            <w:pPr>
              <w:ind w:left="240"/>
              <w:spacing w:after="0"/>
              <w:rPr>
                <w:sz w:val="20"/>
                <w:szCs w:val="20"/>
                <w:color w:val="auto"/>
              </w:rPr>
            </w:pPr>
            <w:r>
              <w:rPr>
                <w:rFonts w:ascii="Arial" w:cs="Arial" w:eastAsia="Arial" w:hAnsi="Arial"/>
                <w:sz w:val="24"/>
                <w:szCs w:val="24"/>
                <w:color w:val="auto"/>
              </w:rPr>
              <w:t>(excluding</w:t>
            </w:r>
          </w:p>
        </w:tc>
        <w:tc>
          <w:tcPr>
            <w:tcW w:w="0" w:type="dxa"/>
            <w:vAlign w:val="bottom"/>
          </w:tcPr>
          <w:p>
            <w:pPr>
              <w:spacing w:after="0"/>
              <w:rPr>
                <w:sz w:val="1"/>
                <w:szCs w:val="1"/>
                <w:color w:val="auto"/>
              </w:rPr>
            </w:pPr>
          </w:p>
        </w:tc>
      </w:tr>
      <w:tr>
        <w:trPr>
          <w:trHeight w:val="279"/>
        </w:trPr>
        <w:tc>
          <w:tcPr>
            <w:tcW w:w="360" w:type="dxa"/>
            <w:vAlign w:val="bottom"/>
          </w:tcPr>
          <w:p>
            <w:pPr>
              <w:spacing w:after="0"/>
              <w:rPr>
                <w:sz w:val="24"/>
                <w:szCs w:val="24"/>
                <w:color w:val="auto"/>
              </w:rPr>
            </w:pPr>
          </w:p>
        </w:tc>
        <w:tc>
          <w:tcPr>
            <w:tcW w:w="2520" w:type="dxa"/>
            <w:vAlign w:val="bottom"/>
            <w:gridSpan w:val="2"/>
          </w:tcPr>
          <w:p>
            <w:pPr>
              <w:ind w:left="60"/>
              <w:spacing w:after="0"/>
              <w:rPr>
                <w:sz w:val="20"/>
                <w:szCs w:val="20"/>
                <w:color w:val="auto"/>
              </w:rPr>
            </w:pPr>
            <w:r>
              <w:rPr>
                <w:rFonts w:ascii="Arial" w:cs="Arial" w:eastAsia="Arial" w:hAnsi="Arial"/>
                <w:sz w:val="24"/>
                <w:szCs w:val="24"/>
                <w:color w:val="auto"/>
              </w:rPr>
              <w:t>revaluation reserves)</w:t>
            </w:r>
          </w:p>
        </w:tc>
        <w:tc>
          <w:tcPr>
            <w:tcW w:w="1360" w:type="dxa"/>
            <w:vAlign w:val="bottom"/>
          </w:tcPr>
          <w:p>
            <w:pPr>
              <w:spacing w:after="0"/>
              <w:rPr>
                <w:sz w:val="24"/>
                <w:szCs w:val="24"/>
                <w:color w:val="auto"/>
              </w:rPr>
            </w:pPr>
          </w:p>
        </w:tc>
        <w:tc>
          <w:tcPr>
            <w:tcW w:w="4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5"/>
        </w:trPr>
        <w:tc>
          <w:tcPr>
            <w:tcW w:w="360" w:type="dxa"/>
            <w:vAlign w:val="bottom"/>
          </w:tcPr>
          <w:p>
            <w:pPr>
              <w:jc w:val="right"/>
              <w:spacing w:after="0"/>
              <w:rPr>
                <w:sz w:val="20"/>
                <w:szCs w:val="20"/>
                <w:color w:val="auto"/>
              </w:rPr>
            </w:pPr>
            <w:r>
              <w:rPr>
                <w:rFonts w:ascii="Arial" w:cs="Arial" w:eastAsia="Arial" w:hAnsi="Arial"/>
                <w:sz w:val="24"/>
                <w:szCs w:val="24"/>
                <w:color w:val="auto"/>
                <w:w w:val="99"/>
              </w:rPr>
              <w:t>(c)</w:t>
            </w:r>
          </w:p>
        </w:tc>
        <w:tc>
          <w:tcPr>
            <w:tcW w:w="2520" w:type="dxa"/>
            <w:vAlign w:val="bottom"/>
            <w:gridSpan w:val="2"/>
          </w:tcPr>
          <w:p>
            <w:pPr>
              <w:ind w:left="60"/>
              <w:spacing w:after="0"/>
              <w:rPr>
                <w:sz w:val="20"/>
                <w:szCs w:val="20"/>
                <w:color w:val="auto"/>
              </w:rPr>
            </w:pPr>
            <w:r>
              <w:rPr>
                <w:rFonts w:ascii="Arial" w:cs="Arial" w:eastAsia="Arial" w:hAnsi="Arial"/>
                <w:sz w:val="24"/>
                <w:szCs w:val="24"/>
                <w:color w:val="auto"/>
              </w:rPr>
              <w:t>Total (a) + (b)</w:t>
            </w:r>
          </w:p>
        </w:tc>
        <w:tc>
          <w:tcPr>
            <w:tcW w:w="1360" w:type="dxa"/>
            <w:vAlign w:val="bottom"/>
          </w:tcPr>
          <w:p>
            <w:pPr>
              <w:spacing w:after="0"/>
              <w:rPr>
                <w:sz w:val="24"/>
                <w:szCs w:val="24"/>
                <w:color w:val="auto"/>
              </w:rPr>
            </w:pPr>
          </w:p>
        </w:tc>
        <w:tc>
          <w:tcPr>
            <w:tcW w:w="4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5"/>
        </w:trPr>
        <w:tc>
          <w:tcPr>
            <w:tcW w:w="360" w:type="dxa"/>
            <w:vAlign w:val="bottom"/>
          </w:tcPr>
          <w:p>
            <w:pPr>
              <w:jc w:val="right"/>
              <w:spacing w:after="0"/>
              <w:rPr>
                <w:sz w:val="20"/>
                <w:szCs w:val="20"/>
                <w:color w:val="auto"/>
              </w:rPr>
            </w:pPr>
            <w:r>
              <w:rPr>
                <w:rFonts w:ascii="Arial" w:cs="Arial" w:eastAsia="Arial" w:hAnsi="Arial"/>
                <w:sz w:val="24"/>
                <w:szCs w:val="24"/>
                <w:color w:val="auto"/>
                <w:w w:val="95"/>
              </w:rPr>
              <w:t>(d)</w:t>
            </w:r>
          </w:p>
        </w:tc>
        <w:tc>
          <w:tcPr>
            <w:tcW w:w="1100" w:type="dxa"/>
            <w:vAlign w:val="bottom"/>
          </w:tcPr>
          <w:p>
            <w:pPr>
              <w:ind w:left="60"/>
              <w:spacing w:after="0"/>
              <w:rPr>
                <w:sz w:val="20"/>
                <w:szCs w:val="20"/>
                <w:color w:val="auto"/>
              </w:rPr>
            </w:pPr>
            <w:r>
              <w:rPr>
                <w:rFonts w:ascii="Arial" w:cs="Arial" w:eastAsia="Arial" w:hAnsi="Arial"/>
                <w:sz w:val="24"/>
                <w:szCs w:val="24"/>
                <w:color w:val="auto"/>
              </w:rPr>
              <w:t>Deposits</w:t>
            </w:r>
          </w:p>
        </w:tc>
        <w:tc>
          <w:tcPr>
            <w:tcW w:w="14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4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5"/>
        </w:trPr>
        <w:tc>
          <w:tcPr>
            <w:tcW w:w="360" w:type="dxa"/>
            <w:vAlign w:val="bottom"/>
          </w:tcPr>
          <w:p>
            <w:pPr>
              <w:jc w:val="right"/>
              <w:spacing w:after="0"/>
              <w:rPr>
                <w:sz w:val="20"/>
                <w:szCs w:val="20"/>
                <w:color w:val="auto"/>
              </w:rPr>
            </w:pPr>
            <w:r>
              <w:rPr>
                <w:rFonts w:ascii="Arial" w:cs="Arial" w:eastAsia="Arial" w:hAnsi="Arial"/>
                <w:sz w:val="24"/>
                <w:szCs w:val="24"/>
                <w:color w:val="auto"/>
                <w:w w:val="95"/>
              </w:rPr>
              <w:t>(e)</w:t>
            </w:r>
          </w:p>
        </w:tc>
        <w:tc>
          <w:tcPr>
            <w:tcW w:w="2520" w:type="dxa"/>
            <w:vAlign w:val="bottom"/>
            <w:gridSpan w:val="2"/>
          </w:tcPr>
          <w:p>
            <w:pPr>
              <w:ind w:left="60"/>
              <w:spacing w:after="0"/>
              <w:rPr>
                <w:sz w:val="20"/>
                <w:szCs w:val="20"/>
                <w:color w:val="auto"/>
              </w:rPr>
            </w:pPr>
            <w:r>
              <w:rPr>
                <w:rFonts w:ascii="Arial" w:cs="Arial" w:eastAsia="Arial" w:hAnsi="Arial"/>
                <w:sz w:val="24"/>
                <w:szCs w:val="24"/>
                <w:color w:val="auto"/>
              </w:rPr>
              <w:t>Working Funds</w:t>
            </w:r>
          </w:p>
        </w:tc>
        <w:tc>
          <w:tcPr>
            <w:tcW w:w="1360" w:type="dxa"/>
            <w:vAlign w:val="bottom"/>
          </w:tcPr>
          <w:p>
            <w:pPr>
              <w:spacing w:after="0"/>
              <w:rPr>
                <w:sz w:val="24"/>
                <w:szCs w:val="24"/>
                <w:color w:val="auto"/>
              </w:rPr>
            </w:pPr>
          </w:p>
        </w:tc>
        <w:tc>
          <w:tcPr>
            <w:tcW w:w="40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79" w:lineRule="exact"/>
        <w:rPr>
          <w:sz w:val="20"/>
          <w:szCs w:val="20"/>
          <w:color w:val="auto"/>
        </w:rPr>
      </w:pPr>
    </w:p>
    <w:p>
      <w:pPr>
        <w:ind w:left="360"/>
        <w:spacing w:after="0"/>
        <w:rPr>
          <w:sz w:val="20"/>
          <w:szCs w:val="20"/>
          <w:color w:val="auto"/>
        </w:rPr>
      </w:pPr>
      <w:r>
        <w:rPr>
          <w:rFonts w:ascii="Arial" w:cs="Arial" w:eastAsia="Arial" w:hAnsi="Arial"/>
          <w:sz w:val="24"/>
          <w:szCs w:val="24"/>
          <w:color w:val="auto"/>
        </w:rPr>
        <w:t>4.2 Net Profit</w:t>
      </w:r>
    </w:p>
    <w:p>
      <w:pPr>
        <w:sectPr>
          <w:pgSz w:w="12240" w:h="15840" w:orient="portrait"/>
          <w:cols w:equalWidth="0" w:num="1">
            <w:col w:w="9360"/>
          </w:cols>
          <w:pgMar w:left="1440" w:top="1440" w:right="1440" w:bottom="426" w:gutter="0" w:footer="0" w:header="0"/>
        </w:sectPr>
      </w:pPr>
    </w:p>
    <w:p>
      <w:pPr>
        <w:spacing w:after="0" w:line="52" w:lineRule="exact"/>
        <w:rPr>
          <w:sz w:val="20"/>
          <w:szCs w:val="20"/>
          <w:color w:val="auto"/>
        </w:rPr>
      </w:pPr>
    </w:p>
    <w:p>
      <w:pPr>
        <w:ind w:left="5520"/>
        <w:spacing w:after="0"/>
        <w:rPr>
          <w:sz w:val="20"/>
          <w:szCs w:val="20"/>
          <w:color w:val="auto"/>
        </w:rPr>
      </w:pPr>
      <w:r>
        <w:rPr>
          <w:rFonts w:ascii="Arial" w:cs="Arial" w:eastAsia="Arial" w:hAnsi="Arial"/>
          <w:sz w:val="23"/>
          <w:szCs w:val="23"/>
          <w:color w:val="auto"/>
        </w:rPr>
        <w:t>first year</w:t>
      </w:r>
    </w:p>
    <w:p>
      <w:pPr>
        <w:spacing w:after="0" w:line="20" w:lineRule="exact"/>
        <w:rPr>
          <w:sz w:val="20"/>
          <w:szCs w:val="20"/>
          <w:color w:val="auto"/>
        </w:rPr>
      </w:pPr>
      <w:r>
        <w:rPr>
          <w:sz w:val="20"/>
          <w:szCs w:val="20"/>
          <w:color w:val="auto"/>
        </w:rPr>
        <w:br w:type="column"/>
      </w:r>
    </w:p>
    <w:p>
      <w:pPr>
        <w:spacing w:after="0" w:line="32" w:lineRule="exact"/>
        <w:rPr>
          <w:sz w:val="20"/>
          <w:szCs w:val="20"/>
          <w:color w:val="auto"/>
        </w:rPr>
      </w:pPr>
    </w:p>
    <w:p>
      <w:pPr>
        <w:jc w:val="center"/>
        <w:spacing w:after="0"/>
        <w:rPr>
          <w:sz w:val="20"/>
          <w:szCs w:val="20"/>
          <w:color w:val="auto"/>
        </w:rPr>
      </w:pPr>
      <w:r>
        <w:rPr>
          <w:rFonts w:ascii="Arial" w:cs="Arial" w:eastAsia="Arial" w:hAnsi="Arial"/>
          <w:sz w:val="23"/>
          <w:szCs w:val="23"/>
          <w:color w:val="auto"/>
        </w:rPr>
        <w:t>second</w:t>
      </w:r>
    </w:p>
    <w:p>
      <w:pPr>
        <w:spacing w:after="0" w:line="3"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year</w:t>
      </w:r>
    </w:p>
    <w:p>
      <w:pPr>
        <w:spacing w:after="0" w:line="20" w:lineRule="exact"/>
        <w:rPr>
          <w:sz w:val="20"/>
          <w:szCs w:val="20"/>
          <w:color w:val="auto"/>
        </w:rPr>
      </w:pPr>
      <w:r>
        <w:rPr>
          <w:sz w:val="20"/>
          <w:szCs w:val="20"/>
          <w:color w:val="auto"/>
        </w:rPr>
        <w:br w:type="column"/>
      </w:r>
    </w:p>
    <w:p>
      <w:pPr>
        <w:spacing w:after="0" w:line="32" w:lineRule="exact"/>
        <w:rPr>
          <w:sz w:val="20"/>
          <w:szCs w:val="20"/>
          <w:color w:val="auto"/>
        </w:rPr>
      </w:pPr>
    </w:p>
    <w:p>
      <w:pPr>
        <w:spacing w:after="0"/>
        <w:rPr>
          <w:sz w:val="20"/>
          <w:szCs w:val="20"/>
          <w:color w:val="auto"/>
        </w:rPr>
      </w:pPr>
      <w:r>
        <w:rPr>
          <w:rFonts w:ascii="Arial" w:cs="Arial" w:eastAsia="Arial" w:hAnsi="Arial"/>
          <w:sz w:val="23"/>
          <w:szCs w:val="23"/>
          <w:color w:val="auto"/>
        </w:rPr>
        <w:t>third</w:t>
      </w:r>
    </w:p>
    <w:p>
      <w:pPr>
        <w:spacing w:after="0" w:line="14" w:lineRule="exact"/>
        <w:rPr>
          <w:sz w:val="20"/>
          <w:szCs w:val="20"/>
          <w:color w:val="auto"/>
        </w:rPr>
      </w:pPr>
    </w:p>
    <w:p>
      <w:pPr>
        <w:spacing w:after="0"/>
        <w:rPr>
          <w:sz w:val="20"/>
          <w:szCs w:val="20"/>
          <w:color w:val="auto"/>
        </w:rPr>
      </w:pPr>
      <w:r>
        <w:rPr>
          <w:rFonts w:ascii="Arial" w:cs="Arial" w:eastAsia="Arial" w:hAnsi="Arial"/>
          <w:sz w:val="23"/>
          <w:szCs w:val="23"/>
          <w:color w:val="auto"/>
        </w:rPr>
        <w:t>year</w:t>
      </w:r>
    </w:p>
    <w:p>
      <w:pPr>
        <w:spacing w:after="0" w:line="36" w:lineRule="exact"/>
        <w:rPr>
          <w:sz w:val="20"/>
          <w:szCs w:val="20"/>
          <w:color w:val="auto"/>
        </w:rPr>
      </w:pPr>
    </w:p>
    <w:p>
      <w:pPr>
        <w:sectPr>
          <w:pgSz w:w="12240" w:h="15840" w:orient="portrait"/>
          <w:cols w:equalWidth="0" w:num="3">
            <w:col w:w="6440" w:space="640"/>
            <w:col w:w="760" w:space="560"/>
            <w:col w:w="960"/>
          </w:cols>
          <w:pgMar w:left="1440" w:top="1440" w:right="1440" w:bottom="426" w:gutter="0" w:footer="0" w:header="0"/>
          <w:type w:val="continuous"/>
        </w:sectPr>
      </w:pPr>
    </w:p>
    <w:p>
      <w:pPr>
        <w:ind w:left="380"/>
        <w:spacing w:after="0"/>
        <w:rPr>
          <w:sz w:val="20"/>
          <w:szCs w:val="20"/>
          <w:color w:val="auto"/>
        </w:rPr>
      </w:pPr>
      <w:r>
        <w:rPr>
          <w:rFonts w:ascii="Arial" w:cs="Arial" w:eastAsia="Arial" w:hAnsi="Arial"/>
          <w:sz w:val="24"/>
          <w:szCs w:val="24"/>
          <w:color w:val="auto"/>
        </w:rPr>
        <w:t>4.3 Income (From specific activity of Banker to an issue)</w:t>
      </w:r>
    </w:p>
    <w:p>
      <w:pPr>
        <w:sectPr>
          <w:pgSz w:w="12240" w:h="15840" w:orient="portrait"/>
          <w:cols w:equalWidth="0" w:num="1">
            <w:col w:w="9360"/>
          </w:cols>
          <w:pgMar w:left="1440" w:top="1440" w:right="1440" w:bottom="426" w:gutter="0" w:footer="0" w:header="0"/>
          <w:type w:val="continuous"/>
        </w:sectPr>
      </w:pPr>
    </w:p>
    <w:p>
      <w:pPr>
        <w:spacing w:after="0" w:line="41" w:lineRule="exact"/>
        <w:rPr>
          <w:sz w:val="20"/>
          <w:szCs w:val="20"/>
          <w:color w:val="auto"/>
        </w:rPr>
      </w:pPr>
    </w:p>
    <w:p>
      <w:pPr>
        <w:ind w:left="380"/>
        <w:spacing w:after="0"/>
        <w:rPr>
          <w:sz w:val="20"/>
          <w:szCs w:val="20"/>
          <w:color w:val="auto"/>
        </w:rPr>
      </w:pPr>
      <w:r>
        <w:rPr>
          <w:rFonts w:ascii="Arial" w:cs="Arial" w:eastAsia="Arial" w:hAnsi="Arial"/>
          <w:sz w:val="24"/>
          <w:szCs w:val="24"/>
          <w:color w:val="auto"/>
        </w:rPr>
        <w:t>5.0 Other information (For specific activity of Banker to an issue)</w:t>
      </w:r>
    </w:p>
    <w:p>
      <w:pPr>
        <w:spacing w:after="0" w:line="41" w:lineRule="exact"/>
        <w:rPr>
          <w:sz w:val="20"/>
          <w:szCs w:val="20"/>
          <w:color w:val="auto"/>
        </w:rPr>
      </w:pPr>
    </w:p>
    <w:p>
      <w:pPr>
        <w:ind w:left="380"/>
        <w:spacing w:after="0"/>
        <w:rPr>
          <w:sz w:val="20"/>
          <w:szCs w:val="20"/>
          <w:color w:val="auto"/>
        </w:rPr>
      </w:pPr>
      <w:r>
        <w:rPr>
          <w:rFonts w:ascii="Arial" w:cs="Arial" w:eastAsia="Arial" w:hAnsi="Arial"/>
          <w:sz w:val="24"/>
          <w:szCs w:val="24"/>
          <w:color w:val="auto"/>
        </w:rPr>
        <w:t>5.1 Details of all settled and pending disputes :</w:t>
      </w:r>
    </w:p>
    <w:p>
      <w:pPr>
        <w:spacing w:after="0" w:line="41" w:lineRule="exact"/>
        <w:rPr>
          <w:sz w:val="20"/>
          <w:szCs w:val="20"/>
          <w:color w:val="auto"/>
        </w:rPr>
      </w:pPr>
    </w:p>
    <w:p>
      <w:pPr>
        <w:ind w:left="640"/>
        <w:spacing w:after="0"/>
        <w:tabs>
          <w:tab w:leader="none" w:pos="4000" w:val="left"/>
          <w:tab w:leader="none" w:pos="6960" w:val="left"/>
        </w:tabs>
        <w:rPr>
          <w:sz w:val="20"/>
          <w:szCs w:val="20"/>
          <w:color w:val="auto"/>
        </w:rPr>
      </w:pPr>
      <w:r>
        <w:rPr>
          <w:rFonts w:ascii="Arial" w:cs="Arial" w:eastAsia="Arial" w:hAnsi="Arial"/>
          <w:sz w:val="24"/>
          <w:szCs w:val="24"/>
          <w:color w:val="auto"/>
        </w:rPr>
        <w:t>Nature of dispute</w:t>
      </w:r>
      <w:r>
        <w:rPr>
          <w:sz w:val="20"/>
          <w:szCs w:val="20"/>
          <w:color w:val="auto"/>
        </w:rPr>
        <w:tab/>
      </w:r>
      <w:r>
        <w:rPr>
          <w:rFonts w:ascii="Arial" w:cs="Arial" w:eastAsia="Arial" w:hAnsi="Arial"/>
          <w:sz w:val="24"/>
          <w:szCs w:val="24"/>
          <w:color w:val="auto"/>
        </w:rPr>
        <w:t>Name of the party</w:t>
      </w:r>
      <w:r>
        <w:rPr>
          <w:sz w:val="20"/>
          <w:szCs w:val="20"/>
          <w:color w:val="auto"/>
        </w:rPr>
        <w:tab/>
      </w:r>
      <w:r>
        <w:rPr>
          <w:rFonts w:ascii="Arial" w:cs="Arial" w:eastAsia="Arial" w:hAnsi="Arial"/>
          <w:sz w:val="24"/>
          <w:szCs w:val="24"/>
          <w:color w:val="auto"/>
        </w:rPr>
        <w:t>Pending/settled</w:t>
      </w:r>
    </w:p>
    <w:p>
      <w:pPr>
        <w:spacing w:after="0" w:line="52" w:lineRule="exact"/>
        <w:rPr>
          <w:sz w:val="20"/>
          <w:szCs w:val="20"/>
          <w:color w:val="auto"/>
        </w:rPr>
      </w:pPr>
    </w:p>
    <w:p>
      <w:pPr>
        <w:jc w:val="both"/>
        <w:ind w:left="840" w:right="260" w:hanging="451"/>
        <w:spacing w:after="0" w:line="234" w:lineRule="auto"/>
        <w:rPr>
          <w:sz w:val="20"/>
          <w:szCs w:val="20"/>
          <w:color w:val="auto"/>
        </w:rPr>
      </w:pPr>
      <w:r>
        <w:rPr>
          <w:rFonts w:ascii="Arial" w:cs="Arial" w:eastAsia="Arial" w:hAnsi="Arial"/>
          <w:sz w:val="24"/>
          <w:szCs w:val="24"/>
          <w:color w:val="auto"/>
        </w:rPr>
        <w:t>5.2 Indicate involvement in any economic and criminal offences in the last three years (For directors)</w:t>
      </w:r>
    </w:p>
    <w:p>
      <w:pPr>
        <w:spacing w:after="0" w:line="52" w:lineRule="exact"/>
        <w:rPr>
          <w:sz w:val="20"/>
          <w:szCs w:val="20"/>
          <w:color w:val="auto"/>
        </w:rPr>
      </w:pPr>
    </w:p>
    <w:p>
      <w:pPr>
        <w:jc w:val="both"/>
        <w:ind w:left="840" w:right="280" w:hanging="451"/>
        <w:spacing w:after="0" w:line="236" w:lineRule="auto"/>
        <w:rPr>
          <w:sz w:val="20"/>
          <w:szCs w:val="20"/>
          <w:color w:val="auto"/>
        </w:rPr>
      </w:pPr>
      <w:r>
        <w:rPr>
          <w:rFonts w:ascii="Arial" w:cs="Arial" w:eastAsia="Arial" w:hAnsi="Arial"/>
          <w:sz w:val="24"/>
          <w:szCs w:val="24"/>
          <w:color w:val="auto"/>
        </w:rPr>
        <w:t>5.3 Any other information considered relevant to the nature of services rendered by the company</w:t>
      </w:r>
    </w:p>
    <w:p>
      <w:pPr>
        <w:spacing w:after="0" w:line="27" w:lineRule="exact"/>
        <w:rPr>
          <w:sz w:val="20"/>
          <w:szCs w:val="20"/>
          <w:color w:val="auto"/>
        </w:rPr>
      </w:pPr>
    </w:p>
    <w:p>
      <w:pPr>
        <w:ind w:left="380"/>
        <w:spacing w:after="0"/>
        <w:rPr>
          <w:sz w:val="20"/>
          <w:szCs w:val="20"/>
          <w:color w:val="auto"/>
        </w:rPr>
      </w:pPr>
      <w:r>
        <w:rPr>
          <w:rFonts w:ascii="Arial" w:cs="Arial" w:eastAsia="Arial" w:hAnsi="Arial"/>
          <w:sz w:val="24"/>
          <w:szCs w:val="24"/>
          <w:color w:val="auto"/>
        </w:rPr>
        <w:t>5.4 Name and Address of the Auditors</w:t>
      </w:r>
    </w:p>
    <w:p>
      <w:pPr>
        <w:spacing w:after="0" w:line="200" w:lineRule="exact"/>
        <w:rPr>
          <w:sz w:val="20"/>
          <w:szCs w:val="20"/>
          <w:color w:val="auto"/>
        </w:rPr>
      </w:pPr>
    </w:p>
    <w:p>
      <w:pPr>
        <w:spacing w:after="0" w:line="240" w:lineRule="exact"/>
        <w:rPr>
          <w:sz w:val="20"/>
          <w:szCs w:val="20"/>
          <w:color w:val="auto"/>
        </w:rPr>
      </w:pPr>
    </w:p>
    <w:p>
      <w:pPr>
        <w:ind w:left="4300"/>
        <w:spacing w:after="0"/>
        <w:rPr>
          <w:sz w:val="20"/>
          <w:szCs w:val="20"/>
          <w:color w:val="auto"/>
        </w:rPr>
      </w:pPr>
      <w:r>
        <w:rPr>
          <w:rFonts w:ascii="Arial" w:cs="Arial" w:eastAsia="Arial" w:hAnsi="Arial"/>
          <w:sz w:val="24"/>
          <w:szCs w:val="24"/>
          <w:b w:val="1"/>
          <w:bCs w:val="1"/>
          <w:color w:val="auto"/>
        </w:rPr>
        <w:t>PART II</w:t>
      </w:r>
    </w:p>
    <w:p>
      <w:pPr>
        <w:spacing w:after="0" w:line="98" w:lineRule="exact"/>
        <w:rPr>
          <w:sz w:val="20"/>
          <w:szCs w:val="20"/>
          <w:color w:val="auto"/>
        </w:rPr>
      </w:pPr>
    </w:p>
    <w:p>
      <w:pPr>
        <w:ind w:left="1540"/>
        <w:spacing w:after="0"/>
        <w:rPr>
          <w:sz w:val="20"/>
          <w:szCs w:val="20"/>
          <w:color w:val="auto"/>
        </w:rPr>
      </w:pPr>
      <w:r>
        <w:rPr>
          <w:rFonts w:ascii="Arial" w:cs="Arial" w:eastAsia="Arial" w:hAnsi="Arial"/>
          <w:sz w:val="24"/>
          <w:szCs w:val="24"/>
          <w:b w:val="1"/>
          <w:bCs w:val="1"/>
          <w:color w:val="auto"/>
        </w:rPr>
        <w:t>SPECIFIC INFORMATION AS TO BANKER TO AN ISSUE</w:t>
      </w:r>
    </w:p>
    <w:p>
      <w:pPr>
        <w:spacing w:after="0" w:line="118" w:lineRule="exact"/>
        <w:rPr>
          <w:sz w:val="20"/>
          <w:szCs w:val="20"/>
          <w:color w:val="auto"/>
        </w:rPr>
      </w:pPr>
    </w:p>
    <w:p>
      <w:pPr>
        <w:ind w:left="380"/>
        <w:spacing w:after="0"/>
        <w:rPr>
          <w:sz w:val="20"/>
          <w:szCs w:val="20"/>
          <w:color w:val="auto"/>
        </w:rPr>
      </w:pPr>
      <w:r>
        <w:rPr>
          <w:rFonts w:ascii="Arial" w:cs="Arial" w:eastAsia="Arial" w:hAnsi="Arial"/>
          <w:sz w:val="24"/>
          <w:szCs w:val="24"/>
          <w:color w:val="auto"/>
        </w:rPr>
        <w:t>6.0 Business information</w:t>
      </w:r>
    </w:p>
    <w:p>
      <w:pPr>
        <w:spacing w:after="0" w:line="42" w:lineRule="exact"/>
        <w:rPr>
          <w:sz w:val="20"/>
          <w:szCs w:val="20"/>
          <w:color w:val="auto"/>
        </w:rPr>
      </w:pPr>
    </w:p>
    <w:p>
      <w:pPr>
        <w:jc w:val="both"/>
        <w:ind w:left="840" w:right="260" w:hanging="451"/>
        <w:spacing w:after="0" w:line="236" w:lineRule="auto"/>
        <w:rPr>
          <w:sz w:val="20"/>
          <w:szCs w:val="20"/>
          <w:color w:val="auto"/>
        </w:rPr>
      </w:pPr>
      <w:r>
        <w:rPr>
          <w:rFonts w:ascii="Arial" w:cs="Arial" w:eastAsia="Arial" w:hAnsi="Arial"/>
          <w:sz w:val="24"/>
          <w:szCs w:val="24"/>
          <w:color w:val="auto"/>
        </w:rPr>
        <w:t>6.1 Indicate type of activities carried on/proposed to be carried on. (Collection Bankers for : Application money and/or Allotment money, Refund Bankers, Paying Bankers for payment of dividend/interest warrant).</w:t>
      </w:r>
    </w:p>
    <w:p>
      <w:pPr>
        <w:spacing w:after="0" w:line="45" w:lineRule="exact"/>
        <w:rPr>
          <w:sz w:val="20"/>
          <w:szCs w:val="20"/>
          <w:color w:val="auto"/>
        </w:rPr>
      </w:pPr>
    </w:p>
    <w:p>
      <w:pPr>
        <w:jc w:val="both"/>
        <w:ind w:left="840" w:right="260" w:hanging="451"/>
        <w:spacing w:after="0" w:line="236" w:lineRule="auto"/>
        <w:rPr>
          <w:sz w:val="20"/>
          <w:szCs w:val="20"/>
          <w:color w:val="auto"/>
        </w:rPr>
      </w:pPr>
      <w:r>
        <w:rPr>
          <w:rFonts w:ascii="Arial" w:cs="Arial" w:eastAsia="Arial" w:hAnsi="Arial"/>
          <w:sz w:val="24"/>
          <w:szCs w:val="24"/>
          <w:color w:val="auto"/>
        </w:rPr>
        <w:t>6.2 Describe modus operandi for handling applications, processing them and for co-ordination between branches, remittance of money, collection and accounting for funds, function of refund bankers.</w:t>
      </w:r>
    </w:p>
    <w:p>
      <w:pPr>
        <w:spacing w:after="0" w:line="46" w:lineRule="exact"/>
        <w:rPr>
          <w:sz w:val="20"/>
          <w:szCs w:val="20"/>
          <w:color w:val="auto"/>
        </w:rPr>
      </w:pPr>
    </w:p>
    <w:p>
      <w:pPr>
        <w:jc w:val="both"/>
        <w:ind w:left="840" w:right="280" w:hanging="451"/>
        <w:spacing w:after="0" w:line="234" w:lineRule="auto"/>
        <w:rPr>
          <w:sz w:val="20"/>
          <w:szCs w:val="20"/>
          <w:color w:val="auto"/>
        </w:rPr>
      </w:pPr>
      <w:r>
        <w:rPr>
          <w:rFonts w:ascii="Arial" w:cs="Arial" w:eastAsia="Arial" w:hAnsi="Arial"/>
          <w:sz w:val="24"/>
          <w:szCs w:val="24"/>
          <w:color w:val="auto"/>
        </w:rPr>
        <w:t>6.3 Enclose a copy of typical contract entered with the client for the services rendered.</w:t>
      </w:r>
    </w:p>
    <w:p>
      <w:pPr>
        <w:spacing w:after="0" w:line="43" w:lineRule="exact"/>
        <w:rPr>
          <w:sz w:val="20"/>
          <w:szCs w:val="20"/>
          <w:color w:val="auto"/>
        </w:rPr>
      </w:pPr>
    </w:p>
    <w:p>
      <w:pPr>
        <w:jc w:val="both"/>
        <w:ind w:left="840" w:right="280" w:hanging="451"/>
        <w:spacing w:after="0" w:line="234" w:lineRule="auto"/>
        <w:rPr>
          <w:sz w:val="20"/>
          <w:szCs w:val="20"/>
          <w:color w:val="auto"/>
        </w:rPr>
      </w:pPr>
      <w:r>
        <w:rPr>
          <w:rFonts w:ascii="Arial" w:cs="Arial" w:eastAsia="Arial" w:hAnsi="Arial"/>
          <w:sz w:val="24"/>
          <w:szCs w:val="24"/>
          <w:color w:val="auto"/>
        </w:rPr>
        <w:t>6.4 Enclose list of centres at which the bank has branches out of centre notified by the Ministry of Finance.</w:t>
      </w:r>
    </w:p>
    <w:p>
      <w:pPr>
        <w:spacing w:after="0" w:line="32" w:lineRule="exact"/>
        <w:rPr>
          <w:sz w:val="20"/>
          <w:szCs w:val="20"/>
          <w:color w:val="auto"/>
        </w:rPr>
      </w:pPr>
    </w:p>
    <w:p>
      <w:pPr>
        <w:ind w:left="380"/>
        <w:spacing w:after="0"/>
        <w:rPr>
          <w:sz w:val="20"/>
          <w:szCs w:val="20"/>
          <w:color w:val="auto"/>
        </w:rPr>
      </w:pPr>
      <w:r>
        <w:rPr>
          <w:rFonts w:ascii="Arial" w:cs="Arial" w:eastAsia="Arial" w:hAnsi="Arial"/>
          <w:sz w:val="24"/>
          <w:szCs w:val="24"/>
          <w:color w:val="auto"/>
        </w:rPr>
        <w:t>7.0 Experience</w:t>
      </w:r>
    </w:p>
    <w:p>
      <w:pPr>
        <w:spacing w:after="0" w:line="42" w:lineRule="exact"/>
        <w:rPr>
          <w:sz w:val="20"/>
          <w:szCs w:val="20"/>
          <w:color w:val="auto"/>
        </w:rPr>
      </w:pPr>
    </w:p>
    <w:p>
      <w:pPr>
        <w:jc w:val="both"/>
        <w:ind w:left="840" w:right="280" w:hanging="451"/>
        <w:spacing w:after="0" w:line="234" w:lineRule="auto"/>
        <w:rPr>
          <w:sz w:val="20"/>
          <w:szCs w:val="20"/>
          <w:color w:val="auto"/>
        </w:rPr>
      </w:pPr>
      <w:r>
        <w:rPr>
          <w:rFonts w:ascii="Arial" w:cs="Arial" w:eastAsia="Arial" w:hAnsi="Arial"/>
          <w:sz w:val="24"/>
          <w:szCs w:val="24"/>
          <w:color w:val="auto"/>
        </w:rPr>
        <w:t>7.1 Experience as bankers as to the issue (period to be indicated) (Services provided during last year)</w:t>
      </w:r>
    </w:p>
    <w:p>
      <w:pPr>
        <w:spacing w:after="0" w:line="32" w:lineRule="exact"/>
        <w:rPr>
          <w:sz w:val="20"/>
          <w:szCs w:val="20"/>
          <w:color w:val="auto"/>
        </w:rPr>
      </w:pPr>
    </w:p>
    <w:p>
      <w:pPr>
        <w:ind w:left="380"/>
        <w:spacing w:after="0"/>
        <w:rPr>
          <w:sz w:val="20"/>
          <w:szCs w:val="20"/>
          <w:color w:val="auto"/>
        </w:rPr>
      </w:pPr>
      <w:r>
        <w:rPr>
          <w:rFonts w:ascii="Arial" w:cs="Arial" w:eastAsia="Arial" w:hAnsi="Arial"/>
          <w:sz w:val="24"/>
          <w:szCs w:val="24"/>
          <w:color w:val="auto"/>
        </w:rPr>
        <w:t>7.2 List of clients (Corporate clients only)</w:t>
      </w:r>
    </w:p>
    <w:p>
      <w:pPr>
        <w:spacing w:after="0" w:line="31" w:lineRule="exact"/>
        <w:rPr>
          <w:sz w:val="20"/>
          <w:szCs w:val="20"/>
          <w:color w:val="auto"/>
        </w:rPr>
      </w:pPr>
    </w:p>
    <w:p>
      <w:pPr>
        <w:ind w:left="840"/>
        <w:spacing w:after="0"/>
        <w:rPr>
          <w:sz w:val="20"/>
          <w:szCs w:val="20"/>
          <w:color w:val="auto"/>
        </w:rPr>
      </w:pPr>
      <w:r>
        <w:rPr>
          <w:rFonts w:ascii="Arial" w:cs="Arial" w:eastAsia="Arial" w:hAnsi="Arial"/>
          <w:sz w:val="24"/>
          <w:szCs w:val="24"/>
          <w:color w:val="auto"/>
        </w:rPr>
        <w:t>(For specific activity)</w:t>
      </w:r>
    </w:p>
    <w:p>
      <w:pPr>
        <w:spacing w:after="0" w:line="31" w:lineRule="exact"/>
        <w:rPr>
          <w:sz w:val="20"/>
          <w:szCs w:val="20"/>
          <w:color w:val="auto"/>
        </w:rPr>
      </w:pPr>
    </w:p>
    <w:p>
      <w:pPr>
        <w:ind w:left="840"/>
        <w:spacing w:after="0"/>
        <w:rPr>
          <w:sz w:val="20"/>
          <w:szCs w:val="20"/>
          <w:color w:val="auto"/>
        </w:rPr>
      </w:pPr>
      <w:r>
        <w:rPr>
          <w:rFonts w:ascii="Arial" w:cs="Arial" w:eastAsia="Arial" w:hAnsi="Arial"/>
          <w:sz w:val="24"/>
          <w:szCs w:val="24"/>
          <w:color w:val="auto"/>
        </w:rPr>
        <w:t>Name</w:t>
      </w:r>
    </w:p>
    <w:p>
      <w:pPr>
        <w:ind w:left="1080"/>
        <w:spacing w:after="0" w:line="237" w:lineRule="auto"/>
        <w:rPr>
          <w:sz w:val="20"/>
          <w:szCs w:val="20"/>
          <w:color w:val="auto"/>
        </w:rPr>
      </w:pPr>
      <w:r>
        <w:rPr>
          <w:rFonts w:ascii="Arial" w:cs="Arial" w:eastAsia="Arial" w:hAnsi="Arial"/>
          <w:sz w:val="24"/>
          <w:szCs w:val="24"/>
          <w:color w:val="auto"/>
        </w:rPr>
        <w:t>Services rendered</w:t>
      </w:r>
    </w:p>
    <w:p>
      <w:pPr>
        <w:spacing w:after="0" w:line="162" w:lineRule="exact"/>
        <w:rPr>
          <w:sz w:val="20"/>
          <w:szCs w:val="20"/>
          <w:color w:val="auto"/>
        </w:rPr>
      </w:pPr>
    </w:p>
    <w:p>
      <w:pPr>
        <w:jc w:val="center"/>
        <w:ind w:right="-79"/>
        <w:spacing w:after="0"/>
        <w:rPr>
          <w:sz w:val="20"/>
          <w:szCs w:val="20"/>
          <w:color w:val="auto"/>
        </w:rPr>
      </w:pPr>
      <w:r>
        <w:rPr>
          <w:rFonts w:ascii="Arial" w:cs="Arial" w:eastAsia="Arial" w:hAnsi="Arial"/>
          <w:sz w:val="24"/>
          <w:szCs w:val="24"/>
          <w:color w:val="auto"/>
        </w:rPr>
        <w:t>Declaration</w:t>
      </w:r>
    </w:p>
    <w:p>
      <w:pPr>
        <w:spacing w:after="0" w:line="290"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17</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type w:val="continuous"/>
        </w:sectPr>
      </w:pPr>
    </w:p>
    <w:bookmarkStart w:id="17" w:name="page18"/>
    <w:bookmarkEnd w:id="17"/>
    <w:p>
      <w:pPr>
        <w:spacing w:after="0" w:line="11" w:lineRule="exact"/>
        <w:rPr>
          <w:sz w:val="20"/>
          <w:szCs w:val="20"/>
          <w:color w:val="auto"/>
        </w:rPr>
      </w:pPr>
    </w:p>
    <w:p>
      <w:pPr>
        <w:jc w:val="center"/>
        <w:ind w:left="360" w:right="280"/>
        <w:spacing w:after="0" w:line="234" w:lineRule="auto"/>
        <w:rPr>
          <w:sz w:val="20"/>
          <w:szCs w:val="20"/>
          <w:color w:val="auto"/>
        </w:rPr>
      </w:pPr>
      <w:r>
        <w:rPr>
          <w:rFonts w:ascii="Arial" w:cs="Arial" w:eastAsia="Arial" w:hAnsi="Arial"/>
          <w:sz w:val="24"/>
          <w:szCs w:val="24"/>
          <w:color w:val="auto"/>
        </w:rPr>
        <w:t>THIS DECLARATION MUST BE SIGNED BY TWO AUTHORISED OFFICIALS OF THE APPLICANT</w:t>
      </w:r>
    </w:p>
    <w:p>
      <w:pPr>
        <w:spacing w:after="0" w:line="43" w:lineRule="exact"/>
        <w:rPr>
          <w:sz w:val="20"/>
          <w:szCs w:val="20"/>
          <w:color w:val="auto"/>
        </w:rPr>
      </w:pPr>
    </w:p>
    <w:p>
      <w:pPr>
        <w:jc w:val="both"/>
        <w:ind w:left="360" w:right="280"/>
        <w:spacing w:after="0" w:line="237" w:lineRule="auto"/>
        <w:rPr>
          <w:sz w:val="20"/>
          <w:szCs w:val="20"/>
          <w:color w:val="auto"/>
        </w:rPr>
      </w:pPr>
      <w:r>
        <w:rPr>
          <w:rFonts w:ascii="Arial" w:cs="Arial" w:eastAsia="Arial" w:hAnsi="Arial"/>
          <w:sz w:val="24"/>
          <w:szCs w:val="24"/>
          <w:color w:val="auto"/>
        </w:rPr>
        <w:t>We hereby apply for registration. We warrant that we have truthfully and fully answered the questions above and provided all the information which might reasonably be considered relevant for the purposes of our registration.</w:t>
      </w:r>
    </w:p>
    <w:p>
      <w:pPr>
        <w:spacing w:after="0" w:line="42" w:lineRule="exact"/>
        <w:rPr>
          <w:sz w:val="20"/>
          <w:szCs w:val="20"/>
          <w:color w:val="auto"/>
        </w:rPr>
      </w:pPr>
    </w:p>
    <w:p>
      <w:pPr>
        <w:jc w:val="both"/>
        <w:ind w:left="360" w:right="280"/>
        <w:spacing w:after="0" w:line="238" w:lineRule="auto"/>
        <w:rPr>
          <w:sz w:val="20"/>
          <w:szCs w:val="20"/>
          <w:color w:val="auto"/>
        </w:rPr>
      </w:pPr>
      <w:r>
        <w:rPr>
          <w:rFonts w:ascii="Arial" w:cs="Arial" w:eastAsia="Arial" w:hAnsi="Arial"/>
          <w:sz w:val="24"/>
          <w:szCs w:val="24"/>
          <w:color w:val="auto"/>
        </w:rPr>
        <w:t>We hereby declare that the information furnished is true and correct and neither the applicant nor any of its Directors and key-executive personnel have been involved in or convicted of economic offences during the last three years or by the Reserve Bank for violation of the provisions of the Reserve Bank of India Act, 1934 and Banking Regulation Act, 1949.</w:t>
      </w:r>
    </w:p>
    <w:p>
      <w:pPr>
        <w:spacing w:after="0" w:line="33" w:lineRule="exact"/>
        <w:rPr>
          <w:sz w:val="20"/>
          <w:szCs w:val="20"/>
          <w:color w:val="auto"/>
        </w:rPr>
      </w:pPr>
    </w:p>
    <w:p>
      <w:pPr>
        <w:ind w:left="360"/>
        <w:spacing w:after="0"/>
        <w:rPr>
          <w:sz w:val="20"/>
          <w:szCs w:val="20"/>
          <w:color w:val="auto"/>
        </w:rPr>
      </w:pPr>
      <w:r>
        <w:rPr>
          <w:rFonts w:ascii="Arial" w:cs="Arial" w:eastAsia="Arial" w:hAnsi="Arial"/>
          <w:sz w:val="24"/>
          <w:szCs w:val="24"/>
          <w:color w:val="auto"/>
        </w:rPr>
        <w:t>For and on behalf of</w:t>
      </w:r>
    </w:p>
    <w:p>
      <w:pPr>
        <w:spacing w:after="0" w:line="26" w:lineRule="exact"/>
        <w:rPr>
          <w:sz w:val="20"/>
          <w:szCs w:val="20"/>
          <w:color w:val="auto"/>
        </w:rPr>
      </w:pPr>
    </w:p>
    <w:p>
      <w:pPr>
        <w:ind w:left="360"/>
        <w:spacing w:after="0"/>
        <w:rPr>
          <w:sz w:val="20"/>
          <w:szCs w:val="20"/>
          <w:color w:val="auto"/>
        </w:rPr>
      </w:pPr>
      <w:r>
        <w:rPr>
          <w:rFonts w:ascii="Arial" w:cs="Arial" w:eastAsia="Arial" w:hAnsi="Arial"/>
          <w:sz w:val="24"/>
          <w:szCs w:val="24"/>
          <w:color w:val="auto"/>
        </w:rPr>
        <w:t>..................................................................................................................................</w:t>
      </w:r>
    </w:p>
    <w:p>
      <w:pPr>
        <w:spacing w:after="0" w:line="2" w:lineRule="exact"/>
        <w:rPr>
          <w:sz w:val="20"/>
          <w:szCs w:val="20"/>
          <w:color w:val="auto"/>
        </w:rPr>
      </w:pPr>
    </w:p>
    <w:p>
      <w:pPr>
        <w:ind w:left="360"/>
        <w:spacing w:after="0"/>
        <w:rPr>
          <w:sz w:val="20"/>
          <w:szCs w:val="20"/>
          <w:color w:val="auto"/>
        </w:rPr>
      </w:pPr>
      <w:r>
        <w:rPr>
          <w:rFonts w:ascii="Arial" w:cs="Arial" w:eastAsia="Arial" w:hAnsi="Arial"/>
          <w:sz w:val="24"/>
          <w:szCs w:val="24"/>
          <w:color w:val="auto"/>
        </w:rPr>
        <w:t>........</w:t>
      </w:r>
    </w:p>
    <w:p>
      <w:pPr>
        <w:spacing w:after="0" w:line="31" w:lineRule="exact"/>
        <w:rPr>
          <w:sz w:val="20"/>
          <w:szCs w:val="20"/>
          <w:color w:val="auto"/>
        </w:rPr>
      </w:pPr>
    </w:p>
    <w:p>
      <w:pPr>
        <w:ind w:left="5400"/>
        <w:spacing w:after="0"/>
        <w:rPr>
          <w:sz w:val="20"/>
          <w:szCs w:val="20"/>
          <w:color w:val="auto"/>
        </w:rPr>
      </w:pPr>
      <w:r>
        <w:rPr>
          <w:rFonts w:ascii="Arial" w:cs="Arial" w:eastAsia="Arial" w:hAnsi="Arial"/>
          <w:sz w:val="24"/>
          <w:szCs w:val="24"/>
          <w:color w:val="auto"/>
        </w:rPr>
        <w:t>(Name of Applicant)</w:t>
      </w:r>
    </w:p>
    <w:p>
      <w:pPr>
        <w:sectPr>
          <w:pgSz w:w="12240" w:h="15840" w:orient="portrait"/>
          <w:cols w:equalWidth="0" w:num="1">
            <w:col w:w="9360"/>
          </w:cols>
          <w:pgMar w:left="1440" w:top="1440" w:right="1440" w:bottom="426" w:gutter="0" w:footer="0" w:header="0"/>
        </w:sectPr>
      </w:pPr>
    </w:p>
    <w:p>
      <w:pPr>
        <w:spacing w:after="0" w:line="26" w:lineRule="exact"/>
        <w:rPr>
          <w:sz w:val="20"/>
          <w:szCs w:val="20"/>
          <w:color w:val="auto"/>
        </w:rPr>
      </w:pPr>
    </w:p>
    <w:p>
      <w:pPr>
        <w:ind w:left="360"/>
        <w:spacing w:after="0"/>
        <w:rPr>
          <w:sz w:val="20"/>
          <w:szCs w:val="20"/>
          <w:color w:val="auto"/>
        </w:rPr>
      </w:pPr>
      <w:r>
        <w:rPr>
          <w:rFonts w:ascii="Arial" w:cs="Arial" w:eastAsia="Arial" w:hAnsi="Arial"/>
          <w:sz w:val="24"/>
          <w:szCs w:val="24"/>
          <w:color w:val="auto"/>
        </w:rPr>
        <w:t>.......................................................</w:t>
      </w:r>
    </w:p>
    <w:p>
      <w:pPr>
        <w:spacing w:after="0" w:line="20" w:lineRule="exact"/>
        <w:rPr>
          <w:sz w:val="20"/>
          <w:szCs w:val="20"/>
          <w:color w:val="auto"/>
        </w:rPr>
      </w:pPr>
      <w:r>
        <w:rPr>
          <w:sz w:val="20"/>
          <w:szCs w:val="20"/>
          <w:color w:val="auto"/>
        </w:rPr>
        <w:br w:type="column"/>
      </w:r>
    </w:p>
    <w:p>
      <w:pPr>
        <w:spacing w:after="0" w:line="6" w:lineRule="exact"/>
        <w:rPr>
          <w:sz w:val="20"/>
          <w:szCs w:val="20"/>
          <w:color w:val="auto"/>
        </w:rPr>
      </w:pPr>
    </w:p>
    <w:p>
      <w:pPr>
        <w:spacing w:after="0"/>
        <w:rPr>
          <w:sz w:val="20"/>
          <w:szCs w:val="20"/>
          <w:color w:val="auto"/>
        </w:rPr>
      </w:pPr>
      <w:r>
        <w:rPr>
          <w:rFonts w:ascii="Arial" w:cs="Arial" w:eastAsia="Arial" w:hAnsi="Arial"/>
          <w:sz w:val="24"/>
          <w:szCs w:val="24"/>
          <w:color w:val="auto"/>
        </w:rPr>
        <w:t>.......................................................</w:t>
      </w:r>
    </w:p>
    <w:p>
      <w:pPr>
        <w:spacing w:after="0" w:line="41" w:lineRule="exact"/>
        <w:rPr>
          <w:sz w:val="20"/>
          <w:szCs w:val="20"/>
          <w:color w:val="auto"/>
        </w:rPr>
      </w:pPr>
    </w:p>
    <w:p>
      <w:pPr>
        <w:sectPr>
          <w:pgSz w:w="12240" w:h="15840" w:orient="portrait"/>
          <w:cols w:equalWidth="0" w:num="2">
            <w:col w:w="4040" w:space="720"/>
            <w:col w:w="4600"/>
          </w:cols>
          <w:pgMar w:left="1440" w:top="1440" w:right="1440" w:bottom="426" w:gutter="0" w:footer="0" w:header="0"/>
          <w:type w:val="continuous"/>
        </w:sectPr>
      </w:pPr>
    </w:p>
    <w:p>
      <w:pPr>
        <w:ind w:left="1080"/>
        <w:spacing w:after="0"/>
        <w:rPr>
          <w:sz w:val="20"/>
          <w:szCs w:val="20"/>
          <w:color w:val="auto"/>
        </w:rPr>
      </w:pPr>
      <w:r>
        <w:rPr>
          <w:rFonts w:ascii="Arial" w:cs="Arial" w:eastAsia="Arial" w:hAnsi="Arial"/>
          <w:sz w:val="24"/>
          <w:szCs w:val="24"/>
          <w:color w:val="auto"/>
        </w:rPr>
        <w:t>Director/Officer</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Director/Officer</w:t>
      </w:r>
    </w:p>
    <w:p>
      <w:pPr>
        <w:spacing w:after="0" w:line="41" w:lineRule="exact"/>
        <w:rPr>
          <w:sz w:val="20"/>
          <w:szCs w:val="20"/>
          <w:color w:val="auto"/>
        </w:rPr>
      </w:pPr>
    </w:p>
    <w:p>
      <w:pPr>
        <w:sectPr>
          <w:pgSz w:w="12240" w:h="15840" w:orient="portrait"/>
          <w:cols w:equalWidth="0" w:num="2">
            <w:col w:w="4760" w:space="720"/>
            <w:col w:w="3880"/>
          </w:cols>
          <w:pgMar w:left="1440" w:top="1440" w:right="1440" w:bottom="426" w:gutter="0" w:footer="0" w:header="0"/>
          <w:type w:val="continuous"/>
        </w:sectPr>
      </w:pPr>
    </w:p>
    <w:p>
      <w:pPr>
        <w:ind w:left="360"/>
        <w:spacing w:after="0"/>
        <w:rPr>
          <w:sz w:val="20"/>
          <w:szCs w:val="20"/>
          <w:color w:val="auto"/>
        </w:rPr>
      </w:pPr>
      <w:r>
        <w:rPr>
          <w:rFonts w:ascii="Arial" w:cs="Arial" w:eastAsia="Arial" w:hAnsi="Arial"/>
          <w:sz w:val="24"/>
          <w:szCs w:val="24"/>
          <w:color w:val="auto"/>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w:t>
      </w:r>
    </w:p>
    <w:p>
      <w:pPr>
        <w:spacing w:after="0" w:line="41" w:lineRule="exact"/>
        <w:rPr>
          <w:sz w:val="20"/>
          <w:szCs w:val="20"/>
          <w:color w:val="auto"/>
        </w:rPr>
      </w:pPr>
    </w:p>
    <w:p>
      <w:pPr>
        <w:sectPr>
          <w:pgSz w:w="12240" w:h="15840" w:orient="portrait"/>
          <w:cols w:equalWidth="0" w:num="2">
            <w:col w:w="4040" w:space="720"/>
            <w:col w:w="4600"/>
          </w:cols>
          <w:pgMar w:left="1440" w:top="1440" w:right="1440" w:bottom="426" w:gutter="0" w:footer="0" w:header="0"/>
          <w:type w:val="continuous"/>
        </w:sectPr>
      </w:pPr>
    </w:p>
    <w:p>
      <w:pPr>
        <w:ind w:left="1080"/>
        <w:spacing w:after="0"/>
        <w:rPr>
          <w:sz w:val="20"/>
          <w:szCs w:val="20"/>
          <w:color w:val="auto"/>
        </w:rPr>
      </w:pPr>
      <w:r>
        <w:rPr>
          <w:rFonts w:ascii="Arial" w:cs="Arial" w:eastAsia="Arial" w:hAnsi="Arial"/>
          <w:sz w:val="24"/>
          <w:szCs w:val="24"/>
          <w:color w:val="auto"/>
        </w:rPr>
        <w:t>Name in Block Letters</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Name in Block Letters</w:t>
      </w:r>
    </w:p>
    <w:p>
      <w:pPr>
        <w:spacing w:after="0" w:line="41" w:lineRule="exact"/>
        <w:rPr>
          <w:sz w:val="20"/>
          <w:szCs w:val="20"/>
          <w:color w:val="auto"/>
        </w:rPr>
      </w:pPr>
    </w:p>
    <w:p>
      <w:pPr>
        <w:sectPr>
          <w:pgSz w:w="12240" w:h="15840" w:orient="portrait"/>
          <w:cols w:equalWidth="0" w:num="2">
            <w:col w:w="4760" w:space="720"/>
            <w:col w:w="3880"/>
          </w:cols>
          <w:pgMar w:left="1440" w:top="1440" w:right="1440" w:bottom="426" w:gutter="0" w:footer="0" w:header="0"/>
          <w:type w:val="continuous"/>
        </w:sectPr>
      </w:pPr>
    </w:p>
    <w:p>
      <w:pPr>
        <w:ind w:left="360"/>
        <w:spacing w:after="0"/>
        <w:rPr>
          <w:sz w:val="20"/>
          <w:szCs w:val="20"/>
          <w:color w:val="auto"/>
        </w:rPr>
      </w:pPr>
      <w:r>
        <w:rPr>
          <w:rFonts w:ascii="Arial" w:cs="Arial" w:eastAsia="Arial" w:hAnsi="Arial"/>
          <w:sz w:val="24"/>
          <w:szCs w:val="24"/>
          <w:color w:val="auto"/>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4"/>
          <w:szCs w:val="24"/>
          <w:color w:val="auto"/>
        </w:rPr>
        <w:t>.......................................................</w:t>
      </w:r>
    </w:p>
    <w:p>
      <w:pPr>
        <w:spacing w:after="0" w:line="41" w:lineRule="exact"/>
        <w:rPr>
          <w:sz w:val="20"/>
          <w:szCs w:val="20"/>
          <w:color w:val="auto"/>
        </w:rPr>
      </w:pPr>
    </w:p>
    <w:p>
      <w:pPr>
        <w:sectPr>
          <w:pgSz w:w="12240" w:h="15840" w:orient="portrait"/>
          <w:cols w:equalWidth="0" w:num="2">
            <w:col w:w="4040" w:space="720"/>
            <w:col w:w="4600"/>
          </w:cols>
          <w:pgMar w:left="1440" w:top="1440" w:right="1440" w:bottom="426" w:gutter="0" w:footer="0" w:header="0"/>
          <w:type w:val="continuous"/>
        </w:sectPr>
      </w:pPr>
    </w:p>
    <w:p>
      <w:pPr>
        <w:ind w:left="360"/>
        <w:spacing w:after="0"/>
        <w:rPr>
          <w:sz w:val="20"/>
          <w:szCs w:val="20"/>
          <w:color w:val="auto"/>
        </w:rPr>
      </w:pPr>
      <w:r>
        <w:rPr>
          <w:rFonts w:ascii="Arial" w:cs="Arial" w:eastAsia="Arial" w:hAnsi="Arial"/>
          <w:sz w:val="24"/>
          <w:szCs w:val="24"/>
          <w:color w:val="auto"/>
        </w:rPr>
        <w:t>Place :</w:t>
      </w:r>
    </w:p>
    <w:p>
      <w:pPr>
        <w:spacing w:after="0" w:line="20" w:lineRule="exact"/>
        <w:rPr>
          <w:sz w:val="20"/>
          <w:szCs w:val="20"/>
          <w:color w:val="auto"/>
        </w:rPr>
      </w:pPr>
      <w:r>
        <w:rPr>
          <w:sz w:val="20"/>
          <w:szCs w:val="20"/>
          <w:color w:val="auto"/>
        </w:rPr>
        <w:br w:type="column"/>
      </w:r>
    </w:p>
    <w:p>
      <w:pPr>
        <w:jc w:val="center"/>
        <w:ind w:right="3860"/>
        <w:spacing w:after="0"/>
        <w:rPr>
          <w:sz w:val="20"/>
          <w:szCs w:val="20"/>
          <w:color w:val="auto"/>
        </w:rPr>
      </w:pPr>
      <w:r>
        <w:rPr>
          <w:rFonts w:ascii="Arial" w:cs="Arial" w:eastAsia="Arial" w:hAnsi="Arial"/>
          <w:sz w:val="24"/>
          <w:szCs w:val="24"/>
          <w:color w:val="auto"/>
        </w:rPr>
        <w:t>Place :</w:t>
      </w:r>
    </w:p>
    <w:p>
      <w:pPr>
        <w:spacing w:after="0" w:line="36" w:lineRule="exact"/>
        <w:rPr>
          <w:sz w:val="20"/>
          <w:szCs w:val="20"/>
          <w:color w:val="auto"/>
        </w:rPr>
      </w:pPr>
    </w:p>
    <w:p>
      <w:pPr>
        <w:sectPr>
          <w:pgSz w:w="12240" w:h="15840" w:orient="portrait"/>
          <w:cols w:equalWidth="0" w:num="2">
            <w:col w:w="4040" w:space="720"/>
            <w:col w:w="4600"/>
          </w:cols>
          <w:pgMar w:left="1440" w:top="1440" w:right="1440" w:bottom="426" w:gutter="0" w:footer="0" w:header="0"/>
          <w:type w:val="continuous"/>
        </w:sectPr>
      </w:pPr>
    </w:p>
    <w:p>
      <w:pPr>
        <w:spacing w:after="0" w:line="11" w:lineRule="exact"/>
        <w:rPr>
          <w:sz w:val="20"/>
          <w:szCs w:val="20"/>
          <w:color w:val="auto"/>
        </w:rPr>
      </w:pPr>
    </w:p>
    <w:p>
      <w:pPr>
        <w:ind w:left="360"/>
        <w:spacing w:after="0"/>
        <w:rPr>
          <w:sz w:val="20"/>
          <w:szCs w:val="20"/>
          <w:color w:val="auto"/>
        </w:rPr>
      </w:pPr>
      <w:r>
        <w:rPr>
          <w:rFonts w:ascii="Arial" w:cs="Arial" w:eastAsia="Arial" w:hAnsi="Arial"/>
          <w:sz w:val="23"/>
          <w:szCs w:val="23"/>
          <w:color w:val="auto"/>
        </w:rPr>
        <w:t>Date :</w:t>
      </w:r>
    </w:p>
    <w:p>
      <w:pPr>
        <w:spacing w:after="0" w:line="20" w:lineRule="exact"/>
        <w:rPr>
          <w:sz w:val="20"/>
          <w:szCs w:val="20"/>
          <w:color w:val="auto"/>
        </w:rPr>
      </w:pPr>
      <w:r>
        <w:rPr>
          <w:sz w:val="20"/>
          <w:szCs w:val="20"/>
          <w:color w:val="auto"/>
        </w:rPr>
        <w:br w:type="column"/>
      </w:r>
    </w:p>
    <w:p>
      <w:pPr>
        <w:jc w:val="center"/>
        <w:ind w:right="3940"/>
        <w:spacing w:after="0"/>
        <w:rPr>
          <w:sz w:val="20"/>
          <w:szCs w:val="20"/>
          <w:color w:val="auto"/>
        </w:rPr>
      </w:pPr>
      <w:r>
        <w:rPr>
          <w:rFonts w:ascii="Arial" w:cs="Arial" w:eastAsia="Arial" w:hAnsi="Arial"/>
          <w:sz w:val="24"/>
          <w:szCs w:val="24"/>
          <w:color w:val="auto"/>
        </w:rPr>
        <w:t>Date :</w:t>
      </w:r>
    </w:p>
    <w:p>
      <w:pPr>
        <w:spacing w:after="0" w:line="200" w:lineRule="exact"/>
        <w:rPr>
          <w:sz w:val="20"/>
          <w:szCs w:val="20"/>
          <w:color w:val="auto"/>
        </w:rPr>
      </w:pPr>
    </w:p>
    <w:p>
      <w:pPr>
        <w:sectPr>
          <w:pgSz w:w="12240" w:h="15840" w:orient="portrait"/>
          <w:cols w:equalWidth="0" w:num="2">
            <w:col w:w="4040" w:space="720"/>
            <w:col w:w="4600"/>
          </w:cols>
          <w:pgMar w:left="1440" w:top="1440" w:right="1440" w:bottom="426" w:gutter="0" w:footer="0" w:header="0"/>
          <w:type w:val="continuous"/>
        </w:sectPr>
      </w:pPr>
    </w:p>
    <w:p>
      <w:pPr>
        <w:spacing w:after="0" w:line="81" w:lineRule="exact"/>
        <w:rPr>
          <w:sz w:val="20"/>
          <w:szCs w:val="20"/>
          <w:color w:val="auto"/>
        </w:rPr>
      </w:pPr>
    </w:p>
    <w:p>
      <w:pPr>
        <w:jc w:val="center"/>
        <w:ind w:right="-99"/>
        <w:spacing w:after="0"/>
        <w:rPr>
          <w:sz w:val="20"/>
          <w:szCs w:val="20"/>
          <w:color w:val="auto"/>
        </w:rPr>
      </w:pPr>
      <w:r>
        <w:rPr>
          <w:rFonts w:ascii="Arial" w:cs="Arial" w:eastAsia="Arial" w:hAnsi="Arial"/>
          <w:sz w:val="24"/>
          <w:szCs w:val="24"/>
          <w:b w:val="1"/>
          <w:bCs w:val="1"/>
          <w:color w:val="auto"/>
        </w:rPr>
        <w:t>FORM B</w:t>
      </w:r>
    </w:p>
    <w:p>
      <w:pPr>
        <w:spacing w:after="0" w:line="62" w:lineRule="exact"/>
        <w:rPr>
          <w:sz w:val="20"/>
          <w:szCs w:val="20"/>
          <w:color w:val="auto"/>
        </w:rPr>
      </w:pPr>
    </w:p>
    <w:p>
      <w:pPr>
        <w:jc w:val="center"/>
        <w:ind w:right="-99"/>
        <w:spacing w:after="0"/>
        <w:rPr>
          <w:sz w:val="20"/>
          <w:szCs w:val="20"/>
          <w:color w:val="auto"/>
        </w:rPr>
      </w:pPr>
      <w:r>
        <w:rPr>
          <w:rFonts w:ascii="Arial" w:cs="Arial" w:eastAsia="Arial" w:hAnsi="Arial"/>
          <w:sz w:val="23"/>
          <w:szCs w:val="23"/>
          <w:color w:val="auto"/>
        </w:rPr>
        <w:t>[</w:t>
      </w:r>
      <w:r>
        <w:rPr>
          <w:rFonts w:ascii="Arial" w:cs="Arial" w:eastAsia="Arial" w:hAnsi="Arial"/>
          <w:sz w:val="14"/>
          <w:szCs w:val="14"/>
          <w:color w:val="auto"/>
        </w:rPr>
        <w:t>44</w:t>
      </w:r>
      <w:r>
        <w:rPr>
          <w:rFonts w:ascii="Arial" w:cs="Arial" w:eastAsia="Arial" w:hAnsi="Arial"/>
          <w:sz w:val="23"/>
          <w:szCs w:val="23"/>
          <w:color w:val="auto"/>
        </w:rPr>
        <w:t>[Regulation 7]]</w:t>
      </w:r>
    </w:p>
    <w:p>
      <w:pPr>
        <w:sectPr>
          <w:pgSz w:w="12240" w:h="15840" w:orient="portrait"/>
          <w:cols w:equalWidth="0" w:num="1">
            <w:col w:w="9360"/>
          </w:cols>
          <w:pgMar w:left="1440" w:top="1440" w:right="1440" w:bottom="426" w:gutter="0" w:footer="0" w:header="0"/>
          <w:type w:val="continuous"/>
        </w:sectPr>
      </w:pPr>
    </w:p>
    <w:p>
      <w:pPr>
        <w:spacing w:after="0" w:line="80" w:lineRule="exact"/>
        <w:rPr>
          <w:sz w:val="20"/>
          <w:szCs w:val="20"/>
          <w:color w:val="auto"/>
        </w:rPr>
      </w:pPr>
    </w:p>
    <w:p>
      <w:pPr>
        <w:jc w:val="center"/>
        <w:ind w:left="360" w:right="280"/>
        <w:spacing w:after="0" w:line="257" w:lineRule="auto"/>
        <w:rPr>
          <w:sz w:val="20"/>
          <w:szCs w:val="20"/>
          <w:color w:val="auto"/>
        </w:rPr>
      </w:pPr>
      <w:r>
        <w:rPr>
          <w:rFonts w:ascii="Arial" w:cs="Arial" w:eastAsia="Arial" w:hAnsi="Arial"/>
          <w:sz w:val="24"/>
          <w:szCs w:val="24"/>
          <w:color w:val="auto"/>
        </w:rPr>
        <w:t xml:space="preserve">Securities and Exchange Board of India (Bankers to an Issue) Regulations, 1994 </w:t>
      </w:r>
      <w:r>
        <w:rPr>
          <w:rFonts w:ascii="Arial" w:cs="Arial" w:eastAsia="Arial" w:hAnsi="Arial"/>
          <w:sz w:val="31"/>
          <w:szCs w:val="31"/>
          <w:b w:val="1"/>
          <w:bCs w:val="1"/>
          <w:color w:val="auto"/>
          <w:vertAlign w:val="superscript"/>
        </w:rPr>
        <w:t>45</w:t>
      </w:r>
      <w:r>
        <w:rPr>
          <w:rFonts w:ascii="Arial" w:cs="Arial" w:eastAsia="Arial" w:hAnsi="Arial"/>
          <w:sz w:val="24"/>
          <w:szCs w:val="24"/>
          <w:b w:val="1"/>
          <w:bCs w:val="1"/>
          <w:color w:val="auto"/>
        </w:rPr>
        <w:t>[Certificate of Registration]</w:t>
      </w:r>
    </w:p>
    <w:p>
      <w:pPr>
        <w:spacing w:after="0" w:line="1" w:lineRule="exact"/>
        <w:rPr>
          <w:sz w:val="20"/>
          <w:szCs w:val="20"/>
          <w:color w:val="auto"/>
        </w:rPr>
      </w:pPr>
    </w:p>
    <w:p>
      <w:pPr>
        <w:jc w:val="both"/>
        <w:ind w:left="360" w:right="260"/>
        <w:spacing w:after="0" w:line="236" w:lineRule="auto"/>
        <w:rPr>
          <w:sz w:val="20"/>
          <w:szCs w:val="20"/>
          <w:color w:val="auto"/>
        </w:rPr>
      </w:pPr>
      <w:r>
        <w:rPr>
          <w:rFonts w:ascii="Arial" w:cs="Arial" w:eastAsia="Arial" w:hAnsi="Arial"/>
          <w:sz w:val="24"/>
          <w:szCs w:val="24"/>
          <w:color w:val="auto"/>
        </w:rPr>
        <w:t>I. In exercise of the powers conferred by sub-section (1) of section 12 of the Securities and Exchange Board of India Act, 1992, read with the rules and regulations made thereunder the Board hereby grants a certificate of registration to................as a banker to an issue subject to the conditions in the rules and in</w:t>
      </w:r>
    </w:p>
    <w:p>
      <w:pPr>
        <w:spacing w:after="0" w:line="2" w:lineRule="exact"/>
        <w:rPr>
          <w:sz w:val="20"/>
          <w:szCs w:val="20"/>
          <w:color w:val="auto"/>
        </w:rPr>
      </w:pPr>
    </w:p>
    <w:p>
      <w:pPr>
        <w:ind w:left="360"/>
        <w:spacing w:after="0"/>
        <w:rPr>
          <w:sz w:val="20"/>
          <w:szCs w:val="20"/>
          <w:color w:val="auto"/>
        </w:rPr>
      </w:pPr>
      <w:r>
        <w:rPr>
          <w:rFonts w:ascii="Arial" w:cs="Arial" w:eastAsia="Arial" w:hAnsi="Arial"/>
          <w:sz w:val="24"/>
          <w:szCs w:val="24"/>
          <w:color w:val="auto"/>
        </w:rPr>
        <w:t>accordance with the regulations.</w:t>
      </w:r>
    </w:p>
    <w:p>
      <w:pPr>
        <w:spacing w:after="0" w:line="61" w:lineRule="exact"/>
        <w:rPr>
          <w:sz w:val="20"/>
          <w:szCs w:val="20"/>
          <w:color w:val="auto"/>
        </w:rPr>
      </w:pPr>
    </w:p>
    <w:p>
      <w:pPr>
        <w:ind w:left="360"/>
        <w:spacing w:after="0"/>
        <w:rPr>
          <w:sz w:val="20"/>
          <w:szCs w:val="20"/>
          <w:color w:val="auto"/>
        </w:rPr>
      </w:pPr>
      <w:r>
        <w:rPr>
          <w:rFonts w:ascii="Arial" w:cs="Arial" w:eastAsia="Arial" w:hAnsi="Arial"/>
          <w:sz w:val="24"/>
          <w:szCs w:val="24"/>
          <w:color w:val="auto"/>
        </w:rPr>
        <w:t>II. Registration Code for the Banker to an issue in BI / / /</w:t>
      </w:r>
    </w:p>
    <w:p>
      <w:pPr>
        <w:spacing w:after="0" w:line="62" w:lineRule="exact"/>
        <w:rPr>
          <w:sz w:val="20"/>
          <w:szCs w:val="20"/>
          <w:color w:val="auto"/>
        </w:rPr>
      </w:pPr>
    </w:p>
    <w:p>
      <w:pPr>
        <w:jc w:val="both"/>
        <w:ind w:left="360" w:right="280"/>
        <w:spacing w:after="0" w:line="209" w:lineRule="auto"/>
        <w:rPr>
          <w:sz w:val="20"/>
          <w:szCs w:val="20"/>
          <w:color w:val="auto"/>
        </w:rPr>
      </w:pPr>
      <w:r>
        <w:rPr>
          <w:rFonts w:ascii="Arial" w:cs="Arial" w:eastAsia="Arial" w:hAnsi="Arial"/>
          <w:sz w:val="31"/>
          <w:szCs w:val="31"/>
          <w:color w:val="auto"/>
          <w:vertAlign w:val="superscript"/>
        </w:rPr>
        <w:t>46</w:t>
      </w:r>
      <w:r>
        <w:rPr>
          <w:rFonts w:ascii="Arial" w:cs="Arial" w:eastAsia="Arial" w:hAnsi="Arial"/>
          <w:sz w:val="24"/>
          <w:szCs w:val="24"/>
          <w:color w:val="auto"/>
        </w:rPr>
        <w:t xml:space="preserve">[III. </w:t>
      </w:r>
      <w:r>
        <w:rPr>
          <w:rFonts w:ascii="Times New Roman" w:cs="Times New Roman" w:eastAsia="Times New Roman" w:hAnsi="Times New Roman"/>
          <w:sz w:val="24"/>
          <w:szCs w:val="24"/>
          <w:color w:val="auto"/>
        </w:rPr>
        <w:t>This certificate of registration shall be valid unless it is suspended or cancelled by</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239395</wp:posOffset>
                </wp:positionV>
                <wp:extent cx="18294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8.85pt" to="162.05pt,18.85pt" o:allowincell="f" strokecolor="#000000" strokeweight="0.4799pt"/>
            </w:pict>
          </mc:Fallback>
        </mc:AlternateContent>
      </w:r>
    </w:p>
    <w:p>
      <w:pPr>
        <w:spacing w:after="0" w:line="200" w:lineRule="exact"/>
        <w:rPr>
          <w:sz w:val="20"/>
          <w:szCs w:val="20"/>
          <w:color w:val="auto"/>
        </w:rPr>
      </w:pPr>
    </w:p>
    <w:p>
      <w:pPr>
        <w:spacing w:after="0" w:line="281" w:lineRule="exact"/>
        <w:rPr>
          <w:sz w:val="20"/>
          <w:szCs w:val="20"/>
          <w:color w:val="auto"/>
        </w:rPr>
      </w:pPr>
    </w:p>
    <w:p>
      <w:pPr>
        <w:jc w:val="both"/>
        <w:ind w:left="360" w:right="260"/>
        <w:spacing w:after="0" w:line="205" w:lineRule="auto"/>
        <w:tabs>
          <w:tab w:leader="none" w:pos="562" w:val="left"/>
        </w:tabs>
        <w:numPr>
          <w:ilvl w:val="0"/>
          <w:numId w:val="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“Regulation 7/ 7A” by the Securities and Exchange Board of India (Change In Conditions Of Registration Of Certain Intermediaries) (Amendment) Regulations, 2016 w.e.f. 08-12-2016.</w:t>
      </w:r>
    </w:p>
    <w:p>
      <w:pPr>
        <w:spacing w:after="0" w:line="9" w:lineRule="exact"/>
        <w:rPr>
          <w:rFonts w:ascii="Times New Roman" w:cs="Times New Roman" w:eastAsia="Times New Roman" w:hAnsi="Times New Roman"/>
          <w:sz w:val="26"/>
          <w:szCs w:val="26"/>
          <w:color w:val="auto"/>
          <w:vertAlign w:val="superscript"/>
        </w:rPr>
      </w:pPr>
    </w:p>
    <w:p>
      <w:pPr>
        <w:ind w:left="360" w:right="2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“Regulation 7/ 7A” substituted the word “Regulation 7” by the Securities and Exchange Board of India (Bankers to an Issue) (Amendment) Regulations, 2011, w.e.f. 05-07-2011.</w:t>
      </w:r>
    </w:p>
    <w:p>
      <w:pPr>
        <w:spacing w:after="0" w:line="5" w:lineRule="exact"/>
        <w:rPr>
          <w:rFonts w:ascii="Times New Roman" w:cs="Times New Roman" w:eastAsia="Times New Roman" w:hAnsi="Times New Roman"/>
          <w:sz w:val="26"/>
          <w:szCs w:val="26"/>
          <w:color w:val="auto"/>
          <w:vertAlign w:val="superscript"/>
        </w:rPr>
      </w:pPr>
    </w:p>
    <w:p>
      <w:pPr>
        <w:jc w:val="both"/>
        <w:ind w:left="360" w:right="260"/>
        <w:spacing w:after="0" w:line="215" w:lineRule="auto"/>
        <w:tabs>
          <w:tab w:leader="none" w:pos="572" w:val="left"/>
        </w:tabs>
        <w:numPr>
          <w:ilvl w:val="0"/>
          <w:numId w:val="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“Certificate of Initial/Permanent Regulation” by the Securities and Exchange Board of India (Change In Conditions Of Registration Of Certain Intermediaries) (Amendment) Regulations, 2016 w.e.f. 08-12-2016.</w:t>
      </w:r>
    </w:p>
    <w:p>
      <w:pPr>
        <w:spacing w:after="0" w:line="11" w:lineRule="exact"/>
        <w:rPr>
          <w:rFonts w:ascii="Times New Roman" w:cs="Times New Roman" w:eastAsia="Times New Roman" w:hAnsi="Times New Roman"/>
          <w:sz w:val="26"/>
          <w:szCs w:val="26"/>
          <w:color w:val="auto"/>
          <w:vertAlign w:val="superscript"/>
        </w:rPr>
      </w:pPr>
    </w:p>
    <w:p>
      <w:pPr>
        <w:jc w:val="both"/>
        <w:ind w:left="360" w:right="260"/>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Prior to this, the words “Certificate of Initial/Permanent Regulation” substituted the words “Certificate of Registration” by the Securities and Exchange Board of India (Bankers to an Issue) (Amendment) Regulations, 2011, w.e.f. 05-07-2011.</w:t>
      </w:r>
    </w:p>
    <w:p>
      <w:pPr>
        <w:spacing w:after="0" w:line="218"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18</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type w:val="continuous"/>
        </w:sectPr>
      </w:pPr>
    </w:p>
    <w:bookmarkStart w:id="18" w:name="page19"/>
    <w:bookmarkEnd w:id="18"/>
    <w:p>
      <w:pPr>
        <w:spacing w:after="0" w:line="200" w:lineRule="exact"/>
        <w:rPr>
          <w:sz w:val="20"/>
          <w:szCs w:val="20"/>
          <w:color w:val="auto"/>
        </w:rPr>
      </w:pPr>
    </w:p>
    <w:p>
      <w:pPr>
        <w:spacing w:after="0" w:line="390" w:lineRule="exact"/>
        <w:rPr>
          <w:sz w:val="20"/>
          <w:szCs w:val="20"/>
          <w:color w:val="auto"/>
        </w:rPr>
      </w:pPr>
    </w:p>
    <w:p>
      <w:pPr>
        <w:ind w:left="360"/>
        <w:spacing w:after="0"/>
        <w:rPr>
          <w:sz w:val="20"/>
          <w:szCs w:val="20"/>
          <w:color w:val="auto"/>
        </w:rPr>
      </w:pPr>
      <w:r>
        <w:rPr>
          <w:rFonts w:ascii="Arial" w:cs="Arial" w:eastAsia="Arial" w:hAnsi="Arial"/>
          <w:sz w:val="24"/>
          <w:szCs w:val="24"/>
          <w:color w:val="auto"/>
        </w:rPr>
        <w:t>Date :</w:t>
      </w:r>
    </w:p>
    <w:p>
      <w:pPr>
        <w:spacing w:after="0" w:line="61" w:lineRule="exact"/>
        <w:rPr>
          <w:sz w:val="20"/>
          <w:szCs w:val="20"/>
          <w:color w:val="auto"/>
        </w:rPr>
      </w:pPr>
    </w:p>
    <w:p>
      <w:pPr>
        <w:ind w:left="360"/>
        <w:spacing w:after="0"/>
        <w:rPr>
          <w:sz w:val="20"/>
          <w:szCs w:val="20"/>
          <w:color w:val="auto"/>
        </w:rPr>
      </w:pPr>
      <w:r>
        <w:rPr>
          <w:rFonts w:ascii="Arial" w:cs="Arial" w:eastAsia="Arial" w:hAnsi="Arial"/>
          <w:sz w:val="24"/>
          <w:szCs w:val="24"/>
          <w:color w:val="auto"/>
        </w:rPr>
        <w:t>Place :</w:t>
      </w:r>
    </w:p>
    <w:p>
      <w:pPr>
        <w:spacing w:after="0" w:line="2" w:lineRule="exact"/>
        <w:rPr>
          <w:sz w:val="20"/>
          <w:szCs w:val="20"/>
          <w:color w:val="auto"/>
        </w:rPr>
      </w:pPr>
    </w:p>
    <w:p>
      <w:pPr>
        <w:jc w:val="right"/>
        <w:ind w:right="260"/>
        <w:spacing w:after="0"/>
        <w:rPr>
          <w:sz w:val="20"/>
          <w:szCs w:val="20"/>
          <w:color w:val="auto"/>
        </w:rPr>
      </w:pPr>
      <w:r>
        <w:rPr>
          <w:rFonts w:ascii="Arial" w:cs="Arial" w:eastAsia="Arial" w:hAnsi="Arial"/>
          <w:sz w:val="24"/>
          <w:szCs w:val="24"/>
          <w:color w:val="auto"/>
        </w:rPr>
        <w:t>By Order</w:t>
      </w:r>
    </w:p>
    <w:p>
      <w:pPr>
        <w:spacing w:after="0" w:line="60" w:lineRule="exact"/>
        <w:rPr>
          <w:sz w:val="20"/>
          <w:szCs w:val="20"/>
          <w:color w:val="auto"/>
        </w:rPr>
      </w:pPr>
    </w:p>
    <w:p>
      <w:pPr>
        <w:jc w:val="right"/>
        <w:ind w:right="260"/>
        <w:spacing w:after="0"/>
        <w:rPr>
          <w:sz w:val="20"/>
          <w:szCs w:val="20"/>
          <w:color w:val="auto"/>
        </w:rPr>
      </w:pPr>
      <w:r>
        <w:rPr>
          <w:rFonts w:ascii="Arial" w:cs="Arial" w:eastAsia="Arial" w:hAnsi="Arial"/>
          <w:sz w:val="24"/>
          <w:szCs w:val="24"/>
          <w:color w:val="auto"/>
        </w:rPr>
        <w:t>For and on behalf of</w:t>
      </w:r>
    </w:p>
    <w:p>
      <w:pPr>
        <w:spacing w:after="0" w:line="60" w:lineRule="exact"/>
        <w:rPr>
          <w:sz w:val="20"/>
          <w:szCs w:val="20"/>
          <w:color w:val="auto"/>
        </w:rPr>
      </w:pPr>
    </w:p>
    <w:p>
      <w:pPr>
        <w:jc w:val="right"/>
        <w:ind w:right="260"/>
        <w:spacing w:after="0"/>
        <w:rPr>
          <w:sz w:val="20"/>
          <w:szCs w:val="20"/>
          <w:color w:val="auto"/>
        </w:rPr>
      </w:pPr>
      <w:r>
        <w:rPr>
          <w:rFonts w:ascii="Arial" w:cs="Arial" w:eastAsia="Arial" w:hAnsi="Arial"/>
          <w:sz w:val="24"/>
          <w:szCs w:val="24"/>
          <w:color w:val="auto"/>
        </w:rPr>
        <w:t>Securities and Exchange Board of India</w:t>
      </w:r>
    </w:p>
    <w:p>
      <w:pPr>
        <w:spacing w:after="0" w:line="60" w:lineRule="exact"/>
        <w:rPr>
          <w:sz w:val="20"/>
          <w:szCs w:val="20"/>
          <w:color w:val="auto"/>
        </w:rPr>
      </w:pPr>
    </w:p>
    <w:p>
      <w:pPr>
        <w:jc w:val="right"/>
        <w:ind w:right="260"/>
        <w:spacing w:after="0"/>
        <w:rPr>
          <w:sz w:val="20"/>
          <w:szCs w:val="20"/>
          <w:color w:val="auto"/>
        </w:rPr>
      </w:pPr>
      <w:r>
        <w:rPr>
          <w:rFonts w:ascii="Arial" w:cs="Arial" w:eastAsia="Arial" w:hAnsi="Arial"/>
          <w:sz w:val="24"/>
          <w:szCs w:val="24"/>
          <w:color w:val="auto"/>
        </w:rPr>
        <w:t>Authorised Signatory</w:t>
      </w: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3960"/>
        <w:spacing w:after="0"/>
        <w:rPr>
          <w:sz w:val="20"/>
          <w:szCs w:val="20"/>
          <w:color w:val="auto"/>
        </w:rPr>
      </w:pPr>
      <w:r>
        <w:rPr>
          <w:rFonts w:ascii="Arial" w:cs="Arial" w:eastAsia="Arial" w:hAnsi="Arial"/>
          <w:sz w:val="24"/>
          <w:szCs w:val="24"/>
          <w:b w:val="1"/>
          <w:bCs w:val="1"/>
          <w:color w:val="auto"/>
        </w:rPr>
        <w:t>SCHEDULE II</w:t>
      </w:r>
    </w:p>
    <w:p>
      <w:pPr>
        <w:spacing w:after="0" w:line="65" w:lineRule="exact"/>
        <w:rPr>
          <w:sz w:val="20"/>
          <w:szCs w:val="20"/>
          <w:color w:val="auto"/>
        </w:rPr>
      </w:pPr>
    </w:p>
    <w:p>
      <w:pPr>
        <w:ind w:left="460"/>
        <w:spacing w:after="0"/>
        <w:rPr>
          <w:sz w:val="20"/>
          <w:szCs w:val="20"/>
          <w:color w:val="auto"/>
        </w:rPr>
      </w:pPr>
      <w:r>
        <w:rPr>
          <w:rFonts w:ascii="Arial" w:cs="Arial" w:eastAsia="Arial" w:hAnsi="Arial"/>
          <w:sz w:val="24"/>
          <w:szCs w:val="24"/>
          <w:b w:val="1"/>
          <w:bCs w:val="1"/>
          <w:color w:val="auto"/>
        </w:rPr>
        <w:t>SECURITIES AND EXCHANGE BOARD OF INDIA (BANKERS TO AN ISSUE)</w:t>
      </w:r>
    </w:p>
    <w:p>
      <w:pPr>
        <w:jc w:val="center"/>
        <w:ind w:right="-99"/>
        <w:spacing w:after="0" w:line="237" w:lineRule="auto"/>
        <w:rPr>
          <w:sz w:val="20"/>
          <w:szCs w:val="20"/>
          <w:color w:val="auto"/>
        </w:rPr>
      </w:pPr>
      <w:r>
        <w:rPr>
          <w:rFonts w:ascii="Arial" w:cs="Arial" w:eastAsia="Arial" w:hAnsi="Arial"/>
          <w:sz w:val="24"/>
          <w:szCs w:val="24"/>
          <w:b w:val="1"/>
          <w:bCs w:val="1"/>
          <w:color w:val="auto"/>
        </w:rPr>
        <w:t>REGULATIONS, 1994</w:t>
      </w:r>
    </w:p>
    <w:p>
      <w:pPr>
        <w:spacing w:after="0" w:line="62" w:lineRule="exact"/>
        <w:rPr>
          <w:sz w:val="20"/>
          <w:szCs w:val="20"/>
          <w:color w:val="auto"/>
        </w:rPr>
      </w:pPr>
    </w:p>
    <w:p>
      <w:pPr>
        <w:jc w:val="center"/>
        <w:ind w:right="-99"/>
        <w:spacing w:after="0"/>
        <w:rPr>
          <w:sz w:val="20"/>
          <w:szCs w:val="20"/>
          <w:color w:val="auto"/>
        </w:rPr>
      </w:pPr>
      <w:r>
        <w:rPr>
          <w:rFonts w:ascii="Arial" w:cs="Arial" w:eastAsia="Arial" w:hAnsi="Arial"/>
          <w:sz w:val="24"/>
          <w:szCs w:val="24"/>
          <w:b w:val="1"/>
          <w:bCs w:val="1"/>
          <w:color w:val="auto"/>
        </w:rPr>
        <w:t>[Regulation 11]</w:t>
      </w:r>
    </w:p>
    <w:p>
      <w:pPr>
        <w:spacing w:after="0" w:line="60" w:lineRule="exact"/>
        <w:rPr>
          <w:sz w:val="20"/>
          <w:szCs w:val="20"/>
          <w:color w:val="auto"/>
        </w:rPr>
      </w:pPr>
    </w:p>
    <w:p>
      <w:pPr>
        <w:jc w:val="center"/>
        <w:ind w:right="-99"/>
        <w:spacing w:after="0"/>
        <w:rPr>
          <w:sz w:val="20"/>
          <w:szCs w:val="20"/>
          <w:color w:val="auto"/>
        </w:rPr>
      </w:pPr>
      <w:r>
        <w:rPr>
          <w:rFonts w:ascii="Arial" w:cs="Arial" w:eastAsia="Arial" w:hAnsi="Arial"/>
          <w:sz w:val="24"/>
          <w:szCs w:val="24"/>
          <w:b w:val="1"/>
          <w:bCs w:val="1"/>
          <w:color w:val="auto"/>
        </w:rPr>
        <w:t>FEES</w:t>
      </w:r>
    </w:p>
    <w:p>
      <w:pPr>
        <w:spacing w:after="0" w:line="278" w:lineRule="exact"/>
        <w:rPr>
          <w:sz w:val="20"/>
          <w:szCs w:val="20"/>
          <w:color w:val="auto"/>
        </w:rPr>
      </w:pPr>
    </w:p>
    <w:p>
      <w:pPr>
        <w:jc w:val="both"/>
        <w:ind w:left="360" w:right="280"/>
        <w:spacing w:after="0" w:line="223" w:lineRule="auto"/>
        <w:rPr>
          <w:sz w:val="20"/>
          <w:szCs w:val="20"/>
          <w:color w:val="auto"/>
        </w:rPr>
      </w:pPr>
      <w:r>
        <w:rPr>
          <w:rFonts w:ascii="Arial" w:cs="Arial" w:eastAsia="Arial" w:hAnsi="Arial"/>
          <w:sz w:val="31"/>
          <w:szCs w:val="31"/>
          <w:color w:val="auto"/>
          <w:vertAlign w:val="superscript"/>
        </w:rPr>
        <w:t>47</w:t>
      </w:r>
      <w:r>
        <w:rPr>
          <w:rFonts w:ascii="Arial" w:cs="Arial" w:eastAsia="Arial" w:hAnsi="Arial"/>
          <w:sz w:val="24"/>
          <w:szCs w:val="24"/>
          <w:color w:val="auto"/>
        </w:rPr>
        <w:t xml:space="preserve">[1. Every banker to an issue shall pay fees of </w:t>
      </w:r>
      <w:r>
        <w:rPr>
          <w:rFonts w:ascii="Arial" w:cs="Arial" w:eastAsia="Arial" w:hAnsi="Arial"/>
          <w:sz w:val="31"/>
          <w:szCs w:val="31"/>
          <w:color w:val="auto"/>
          <w:vertAlign w:val="superscript"/>
        </w:rPr>
        <w:t>48</w:t>
      </w:r>
      <w:r>
        <w:rPr>
          <w:rFonts w:ascii="Arial" w:cs="Arial" w:eastAsia="Arial" w:hAnsi="Arial"/>
          <w:sz w:val="24"/>
          <w:szCs w:val="24"/>
          <w:color w:val="auto"/>
        </w:rPr>
        <w:t xml:space="preserve">[twenty lakh] rupees at the time of grant of certificate of </w:t>
      </w:r>
      <w:r>
        <w:rPr>
          <w:rFonts w:ascii="Arial" w:cs="Arial" w:eastAsia="Arial" w:hAnsi="Arial"/>
          <w:sz w:val="31"/>
          <w:szCs w:val="31"/>
          <w:color w:val="auto"/>
          <w:vertAlign w:val="superscript"/>
        </w:rPr>
        <w:t>49</w:t>
      </w:r>
      <w:r>
        <w:rPr>
          <w:rFonts w:ascii="Arial" w:cs="Arial" w:eastAsia="Arial" w:hAnsi="Arial"/>
          <w:sz w:val="24"/>
          <w:szCs w:val="24"/>
          <w:color w:val="auto"/>
        </w:rPr>
        <w:t>[***] registration.</w:t>
      </w:r>
    </w:p>
    <w:p>
      <w:pPr>
        <w:spacing w:after="0" w:line="173" w:lineRule="exact"/>
        <w:rPr>
          <w:sz w:val="20"/>
          <w:szCs w:val="20"/>
          <w:color w:val="auto"/>
        </w:rPr>
      </w:pPr>
    </w:p>
    <w:p>
      <w:pPr>
        <w:ind w:left="360"/>
        <w:spacing w:after="0"/>
        <w:rPr>
          <w:sz w:val="20"/>
          <w:szCs w:val="20"/>
          <w:color w:val="auto"/>
        </w:rPr>
      </w:pPr>
      <w:r>
        <w:rPr>
          <w:rFonts w:ascii="Arial" w:cs="Arial" w:eastAsia="Arial" w:hAnsi="Arial"/>
          <w:sz w:val="24"/>
          <w:szCs w:val="24"/>
          <w:color w:val="auto"/>
        </w:rPr>
        <w:t xml:space="preserve">1A. </w:t>
      </w:r>
      <w:r>
        <w:rPr>
          <w:rFonts w:ascii="Arial" w:cs="Arial" w:eastAsia="Arial" w:hAnsi="Arial"/>
          <w:sz w:val="31"/>
          <w:szCs w:val="31"/>
          <w:color w:val="auto"/>
          <w:vertAlign w:val="superscript"/>
        </w:rPr>
        <w:t>50</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302260</wp:posOffset>
                </wp:positionV>
                <wp:extent cx="554672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7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3.8pt" to="454.75pt,23.8pt" o:allowincell="f" strokecolor="#000000" strokeweight="0.48pt"/>
            </w:pict>
          </mc:Fallback>
        </mc:AlternateContent>
      </w:r>
    </w:p>
    <w:p>
      <w:pPr>
        <w:spacing w:after="0" w:line="200" w:lineRule="exact"/>
        <w:rPr>
          <w:sz w:val="20"/>
          <w:szCs w:val="20"/>
          <w:color w:val="auto"/>
        </w:rPr>
      </w:pPr>
    </w:p>
    <w:p>
      <w:pPr>
        <w:spacing w:after="0" w:line="368" w:lineRule="exact"/>
        <w:rPr>
          <w:sz w:val="20"/>
          <w:szCs w:val="20"/>
          <w:color w:val="auto"/>
        </w:rPr>
      </w:pPr>
    </w:p>
    <w:p>
      <w:pPr>
        <w:jc w:val="both"/>
        <w:ind w:left="360" w:right="260"/>
        <w:spacing w:after="0" w:line="212" w:lineRule="auto"/>
        <w:rPr>
          <w:sz w:val="20"/>
          <w:szCs w:val="20"/>
          <w:color w:val="auto"/>
        </w:rPr>
      </w:pPr>
      <w:r>
        <w:rPr>
          <w:rFonts w:ascii="Times New Roman" w:cs="Times New Roman" w:eastAsia="Times New Roman" w:hAnsi="Times New Roman"/>
          <w:sz w:val="25"/>
          <w:szCs w:val="25"/>
          <w:color w:val="auto"/>
          <w:vertAlign w:val="superscript"/>
        </w:rPr>
        <w:t>46</w:t>
      </w:r>
      <w:r>
        <w:rPr>
          <w:rFonts w:ascii="Times New Roman" w:cs="Times New Roman" w:eastAsia="Times New Roman" w:hAnsi="Times New Roman"/>
          <w:sz w:val="20"/>
          <w:szCs w:val="20"/>
          <w:color w:val="auto"/>
        </w:rPr>
        <w:t xml:space="preserve"> Substituted by the Securities and Exchange Board of India (Change In Conditions Of Registration Of Certain Intermediaries) (Amendment) Regulations, 2016 w.e.f. 08-12-2016. Prior to substitution paragraph</w:t>
      </w:r>
    </w:p>
    <w:p>
      <w:pPr>
        <w:spacing w:after="0" w:line="11" w:lineRule="exact"/>
        <w:rPr>
          <w:sz w:val="20"/>
          <w:szCs w:val="20"/>
          <w:color w:val="auto"/>
        </w:rPr>
      </w:pPr>
    </w:p>
    <w:p>
      <w:pPr>
        <w:ind w:left="360" w:right="260"/>
        <w:spacing w:after="0" w:line="235" w:lineRule="auto"/>
        <w:tabs>
          <w:tab w:leader="none" w:pos="657" w:val="left"/>
        </w:tabs>
        <w:numPr>
          <w:ilvl w:val="0"/>
          <w:numId w:val="7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 substituted by the Securities and Exchange Board of India (Bankers to an Issue) (Amendment) Regulations, 2011, w.e.f. 05-07-2011.</w:t>
      </w:r>
    </w:p>
    <w:p>
      <w:pPr>
        <w:spacing w:after="0" w:line="2"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read as under:</w:t>
      </w:r>
    </w:p>
    <w:p>
      <w:pPr>
        <w:spacing w:after="0" w:line="9" w:lineRule="exact"/>
        <w:rPr>
          <w:rFonts w:ascii="Times New Roman" w:cs="Times New Roman" w:eastAsia="Times New Roman" w:hAnsi="Times New Roman"/>
          <w:sz w:val="20"/>
          <w:szCs w:val="20"/>
          <w:color w:val="auto"/>
        </w:rPr>
      </w:pPr>
    </w:p>
    <w:p>
      <w:pPr>
        <w:ind w:left="360" w:right="26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“III. This certificate of registration shall be valid from ….. to …. / for permanent, unless suspended or cancelled by the Board.]”</w:t>
      </w:r>
    </w:p>
    <w:p>
      <w:pPr>
        <w:spacing w:after="0" w:line="10" w:lineRule="exact"/>
        <w:rPr>
          <w:rFonts w:ascii="Times New Roman" w:cs="Times New Roman" w:eastAsia="Times New Roman" w:hAnsi="Times New Roman"/>
          <w:sz w:val="20"/>
          <w:szCs w:val="20"/>
          <w:color w:val="auto"/>
        </w:rPr>
      </w:pPr>
    </w:p>
    <w:p>
      <w:pPr>
        <w:ind w:left="360" w:right="260"/>
        <w:spacing w:after="0" w:line="23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Prior to the above, paragraph III was by the Securities and Exchange Board of India (Bankers to an Issue) (Amendment) Regulations, 2011, w.e.f. 05-07-2011.</w:t>
      </w: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Prior to the substitution the paragraph read as under:</w:t>
      </w: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“III. Unless renewed, the certificate of registration is valid from................to...........”</w:t>
      </w:r>
    </w:p>
    <w:p>
      <w:pPr>
        <w:spacing w:after="0" w:line="2" w:lineRule="exact"/>
        <w:rPr>
          <w:rFonts w:ascii="Times New Roman" w:cs="Times New Roman" w:eastAsia="Times New Roman" w:hAnsi="Times New Roman"/>
          <w:sz w:val="20"/>
          <w:szCs w:val="20"/>
          <w:color w:val="auto"/>
        </w:rPr>
      </w:pPr>
    </w:p>
    <w:p>
      <w:pPr>
        <w:ind w:left="360" w:right="260"/>
        <w:spacing w:after="0" w:line="21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47</w:t>
      </w:r>
      <w:r>
        <w:rPr>
          <w:rFonts w:ascii="Times New Roman" w:cs="Times New Roman" w:eastAsia="Times New Roman" w:hAnsi="Times New Roman"/>
          <w:sz w:val="20"/>
          <w:szCs w:val="20"/>
          <w:color w:val="auto"/>
        </w:rPr>
        <w:t xml:space="preserve"> Substituted paragraph 1 and 2 by the Securities and Exchange Board of India (Bankers to an Issue) (Amendment) Regulations, 2011, w.e.f. 05-07-2011. Prior to the substitution the paragraphs read as under: “1. Every banker to an issue shall pay a sum of </w:t>
      </w:r>
      <w:r>
        <w:rPr>
          <w:rFonts w:ascii="Times New Roman" w:cs="Times New Roman" w:eastAsia="Times New Roman" w:hAnsi="Times New Roman"/>
          <w:sz w:val="25"/>
          <w:szCs w:val="25"/>
          <w:color w:val="auto"/>
          <w:vertAlign w:val="superscript"/>
        </w:rPr>
        <w:t>47</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ten lakh rupees</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as registration fees at the time of the grant of certificate by the Board.</w:t>
      </w:r>
    </w:p>
    <w:p>
      <w:pPr>
        <w:spacing w:after="0" w:line="61" w:lineRule="exact"/>
        <w:rPr>
          <w:sz w:val="20"/>
          <w:szCs w:val="20"/>
          <w:color w:val="auto"/>
        </w:rPr>
      </w:pPr>
    </w:p>
    <w:p>
      <w:pPr>
        <w:ind w:left="360" w:right="260"/>
        <w:spacing w:after="0" w:line="212" w:lineRule="auto"/>
        <w:tabs>
          <w:tab w:leader="none" w:pos="571" w:val="left"/>
        </w:tabs>
        <w:numPr>
          <w:ilvl w:val="0"/>
          <w:numId w:val="7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Every banker to an issue to keep registration in force shall pay renewal fee of </w:t>
      </w:r>
      <w:r>
        <w:rPr>
          <w:rFonts w:ascii="Times New Roman" w:cs="Times New Roman" w:eastAsia="Times New Roman" w:hAnsi="Times New Roman"/>
          <w:sz w:val="25"/>
          <w:szCs w:val="25"/>
          <w:color w:val="auto"/>
          <w:vertAlign w:val="superscript"/>
        </w:rPr>
        <w:t>47</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five lakh Rupees</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every three years from the fourth year from the date of initial registration.”</w:t>
      </w:r>
    </w:p>
    <w:p>
      <w:pPr>
        <w:spacing w:after="0" w:line="66" w:lineRule="exact"/>
        <w:rPr>
          <w:sz w:val="20"/>
          <w:szCs w:val="20"/>
          <w:color w:val="auto"/>
        </w:rPr>
      </w:pPr>
    </w:p>
    <w:p>
      <w:pPr>
        <w:ind w:left="360" w:right="280"/>
        <w:spacing w:after="0" w:line="212" w:lineRule="auto"/>
        <w:rPr>
          <w:sz w:val="20"/>
          <w:szCs w:val="20"/>
          <w:color w:val="auto"/>
        </w:rPr>
      </w:pPr>
      <w:r>
        <w:rPr>
          <w:rFonts w:ascii="Times New Roman" w:cs="Times New Roman" w:eastAsia="Times New Roman" w:hAnsi="Times New Roman"/>
          <w:sz w:val="25"/>
          <w:szCs w:val="25"/>
          <w:color w:val="auto"/>
          <w:vertAlign w:val="superscript"/>
        </w:rPr>
        <w:t>48</w:t>
      </w:r>
      <w:r>
        <w:rPr>
          <w:rFonts w:ascii="Times New Roman" w:cs="Times New Roman" w:eastAsia="Times New Roman" w:hAnsi="Times New Roman"/>
          <w:sz w:val="20"/>
          <w:szCs w:val="20"/>
          <w:color w:val="auto"/>
        </w:rPr>
        <w:t xml:space="preserve"> Substituted for the words “thirteen lakh thirty three thousand and three hundred” by Securities and Exchange Board of India (Payment of Fees) (Amendment) Regulations, 2014 w.e.f. 23-05-2014.</w:t>
      </w:r>
    </w:p>
    <w:p>
      <w:pPr>
        <w:spacing w:after="0" w:line="11" w:lineRule="exact"/>
        <w:rPr>
          <w:sz w:val="20"/>
          <w:szCs w:val="20"/>
          <w:color w:val="auto"/>
        </w:rPr>
      </w:pPr>
    </w:p>
    <w:p>
      <w:pPr>
        <w:ind w:left="360" w:right="260"/>
        <w:spacing w:after="0" w:line="202" w:lineRule="auto"/>
        <w:tabs>
          <w:tab w:leader="none" w:pos="557" w:val="left"/>
        </w:tabs>
        <w:numPr>
          <w:ilvl w:val="0"/>
          <w:numId w:val="7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word “initial” was omitted by the Securities and Exchange Board of India (Change In Conditions Of Registration Of Certain Intermediaries) (Amendment) Regulations, 2016 w.e.f. 08-12-2016.</w:t>
      </w:r>
    </w:p>
    <w:p>
      <w:pPr>
        <w:spacing w:after="0" w:line="10" w:lineRule="exact"/>
        <w:rPr>
          <w:rFonts w:ascii="Times New Roman" w:cs="Times New Roman" w:eastAsia="Times New Roman" w:hAnsi="Times New Roman"/>
          <w:sz w:val="26"/>
          <w:szCs w:val="26"/>
          <w:color w:val="auto"/>
          <w:vertAlign w:val="superscript"/>
        </w:rPr>
      </w:pPr>
    </w:p>
    <w:p>
      <w:pPr>
        <w:jc w:val="both"/>
        <w:ind w:left="360" w:right="260"/>
        <w:spacing w:after="0" w:line="215" w:lineRule="auto"/>
        <w:tabs>
          <w:tab w:leader="none" w:pos="553" w:val="left"/>
        </w:tabs>
        <w:numPr>
          <w:ilvl w:val="0"/>
          <w:numId w:val="7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paragraph 1A read as under:</w:t>
      </w:r>
    </w:p>
    <w:p>
      <w:pPr>
        <w:spacing w:after="0" w:line="11" w:lineRule="exact"/>
        <w:rPr>
          <w:rFonts w:ascii="Times New Roman" w:cs="Times New Roman" w:eastAsia="Times New Roman" w:hAnsi="Times New Roman"/>
          <w:sz w:val="26"/>
          <w:szCs w:val="26"/>
          <w:color w:val="auto"/>
          <w:vertAlign w:val="superscript"/>
        </w:rPr>
      </w:pPr>
    </w:p>
    <w:p>
      <w:pPr>
        <w:ind w:left="360" w:right="26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“1A. A banker to an issue referred to under sub-regulation (3) of regulation 7, shall pay fee for the remaining period of two years on </w:t>
      </w:r>
      <w:r>
        <w:rPr>
          <w:rFonts w:ascii="Times New Roman" w:cs="Times New Roman" w:eastAsia="Times New Roman" w:hAnsi="Times New Roman"/>
          <w:sz w:val="20"/>
          <w:szCs w:val="20"/>
          <w:i w:val="1"/>
          <w:iCs w:val="1"/>
          <w:color w:val="auto"/>
        </w:rPr>
        <w:t>pro rata</w:t>
      </w:r>
      <w:r>
        <w:rPr>
          <w:rFonts w:ascii="Times New Roman" w:cs="Times New Roman" w:eastAsia="Times New Roman" w:hAnsi="Times New Roman"/>
          <w:sz w:val="20"/>
          <w:szCs w:val="20"/>
          <w:color w:val="auto"/>
        </w:rPr>
        <w:t xml:space="preserve"> basis of the fees prescribed under paragraph 2.”</w:t>
      </w:r>
    </w:p>
    <w:p>
      <w:pPr>
        <w:spacing w:after="0" w:line="218"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19</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19" w:name="page20"/>
    <w:bookmarkEnd w:id="19"/>
    <w:p>
      <w:pPr>
        <w:spacing w:after="0" w:line="2" w:lineRule="exact"/>
        <w:rPr>
          <w:sz w:val="20"/>
          <w:szCs w:val="20"/>
          <w:color w:val="auto"/>
        </w:rPr>
      </w:pPr>
    </w:p>
    <w:p>
      <w:pPr>
        <w:jc w:val="both"/>
        <w:ind w:left="360" w:right="260"/>
        <w:spacing w:after="0" w:line="228" w:lineRule="auto"/>
        <w:rPr>
          <w:sz w:val="20"/>
          <w:szCs w:val="20"/>
          <w:color w:val="auto"/>
        </w:rPr>
      </w:pPr>
      <w:r>
        <w:rPr>
          <w:rFonts w:ascii="Arial" w:cs="Arial" w:eastAsia="Arial" w:hAnsi="Arial"/>
          <w:sz w:val="31"/>
          <w:szCs w:val="31"/>
          <w:color w:val="auto"/>
          <w:vertAlign w:val="superscript"/>
        </w:rPr>
        <w:t>51</w:t>
      </w:r>
      <w:r>
        <w:rPr>
          <w:rFonts w:ascii="Arial" w:cs="Arial" w:eastAsia="Arial" w:hAnsi="Arial"/>
          <w:sz w:val="24"/>
          <w:szCs w:val="24"/>
          <w:color w:val="auto"/>
        </w:rPr>
        <w:t>[</w:t>
      </w:r>
      <w:r>
        <w:rPr>
          <w:rFonts w:ascii="Times New Roman" w:cs="Times New Roman" w:eastAsia="Times New Roman" w:hAnsi="Times New Roman"/>
          <w:sz w:val="24"/>
          <w:szCs w:val="24"/>
          <w:color w:val="auto"/>
        </w:rPr>
        <w:t>2. A banker to an issue who has been granted a certificate of registration, to keep its</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registration in force, shall pay fee of nine lakh rupees every three years from the sixth year, from the date of grant of certificate of registration or from the date of grant of certificate of initial registration granted prior to the commencement of the Securities and Exchange Board of India (Change in Conditions of Registration of Certain Intermediaries (Amendment) Regulations, 2016, as the case may be.</w:t>
      </w:r>
      <w:r>
        <w:rPr>
          <w:rFonts w:ascii="Arial" w:cs="Arial" w:eastAsia="Arial" w:hAnsi="Arial"/>
          <w:sz w:val="24"/>
          <w:szCs w:val="24"/>
          <w:color w:val="auto"/>
        </w:rPr>
        <w:t>]</w:t>
      </w:r>
    </w:p>
    <w:p>
      <w:pPr>
        <w:spacing w:after="0" w:line="297" w:lineRule="exact"/>
        <w:rPr>
          <w:sz w:val="20"/>
          <w:szCs w:val="20"/>
          <w:color w:val="auto"/>
        </w:rPr>
      </w:pPr>
    </w:p>
    <w:p>
      <w:pPr>
        <w:jc w:val="both"/>
        <w:ind w:left="840" w:right="260" w:hanging="480"/>
        <w:spacing w:after="0" w:line="237" w:lineRule="auto"/>
        <w:rPr>
          <w:sz w:val="20"/>
          <w:szCs w:val="20"/>
          <w:color w:val="auto"/>
        </w:rPr>
      </w:pPr>
      <w:r>
        <w:rPr>
          <w:rFonts w:ascii="Arial" w:cs="Arial" w:eastAsia="Arial" w:hAnsi="Arial"/>
          <w:sz w:val="24"/>
          <w:szCs w:val="24"/>
          <w:color w:val="auto"/>
        </w:rPr>
        <w:t>3.(a)</w:t>
      </w:r>
      <w:r>
        <w:rPr>
          <w:sz w:val="20"/>
          <w:szCs w:val="20"/>
          <w:color w:val="auto"/>
        </w:rPr>
        <w:t xml:space="preserve"> </w:t>
      </w:r>
      <w:r>
        <w:rPr>
          <w:rFonts w:ascii="Arial" w:cs="Arial" w:eastAsia="Arial" w:hAnsi="Arial"/>
          <w:sz w:val="24"/>
          <w:szCs w:val="24"/>
          <w:color w:val="auto"/>
        </w:rPr>
        <w:t>The fee referred to in paragraph 1, shall be paid by the banker to an issue within fifteen days from the date of receipt of intimation from the Board under sub-regulation (1) of regulation 7.</w:t>
      </w:r>
    </w:p>
    <w:p>
      <w:pPr>
        <w:spacing w:after="0" w:line="3" w:lineRule="exact"/>
        <w:rPr>
          <w:sz w:val="20"/>
          <w:szCs w:val="20"/>
          <w:color w:val="auto"/>
        </w:rPr>
      </w:pPr>
    </w:p>
    <w:p>
      <w:pPr>
        <w:ind w:left="560"/>
        <w:spacing w:after="0"/>
        <w:rPr>
          <w:sz w:val="20"/>
          <w:szCs w:val="20"/>
          <w:color w:val="auto"/>
        </w:rPr>
      </w:pPr>
      <w:r>
        <w:rPr>
          <w:rFonts w:ascii="Arial" w:cs="Arial" w:eastAsia="Arial" w:hAnsi="Arial"/>
          <w:sz w:val="24"/>
          <w:szCs w:val="24"/>
          <w:color w:val="auto"/>
        </w:rPr>
        <w:t xml:space="preserve">(aa) </w:t>
      </w:r>
      <w:r>
        <w:rPr>
          <w:rFonts w:ascii="Arial" w:cs="Arial" w:eastAsia="Arial" w:hAnsi="Arial"/>
          <w:sz w:val="31"/>
          <w:szCs w:val="31"/>
          <w:color w:val="auto"/>
          <w:vertAlign w:val="superscript"/>
        </w:rPr>
        <w:t>52</w:t>
      </w:r>
      <w:r>
        <w:rPr>
          <w:rFonts w:ascii="Arial" w:cs="Arial" w:eastAsia="Arial" w:hAnsi="Arial"/>
          <w:sz w:val="24"/>
          <w:szCs w:val="24"/>
          <w:color w:val="auto"/>
        </w:rPr>
        <w:t>[***]</w:t>
      </w:r>
    </w:p>
    <w:p>
      <w:pPr>
        <w:ind w:left="820" w:right="280" w:hanging="268"/>
        <w:spacing w:after="0" w:line="205" w:lineRule="auto"/>
        <w:rPr>
          <w:sz w:val="20"/>
          <w:szCs w:val="20"/>
          <w:color w:val="auto"/>
        </w:rPr>
      </w:pPr>
      <w:r>
        <w:rPr>
          <w:rFonts w:ascii="Arial" w:cs="Arial" w:eastAsia="Arial" w:hAnsi="Arial"/>
          <w:sz w:val="31"/>
          <w:szCs w:val="31"/>
          <w:color w:val="auto"/>
          <w:vertAlign w:val="superscript"/>
        </w:rPr>
        <w:t>53</w:t>
      </w:r>
      <w:r>
        <w:rPr>
          <w:rFonts w:ascii="Arial" w:cs="Arial" w:eastAsia="Arial" w:hAnsi="Arial"/>
          <w:sz w:val="24"/>
          <w:szCs w:val="24"/>
          <w:color w:val="auto"/>
        </w:rPr>
        <w:t xml:space="preserve">[(b) </w:t>
      </w:r>
      <w:r>
        <w:rPr>
          <w:rFonts w:ascii="Times New Roman" w:cs="Times New Roman" w:eastAsia="Times New Roman" w:hAnsi="Times New Roman"/>
          <w:sz w:val="24"/>
          <w:szCs w:val="24"/>
          <w:color w:val="auto"/>
        </w:rPr>
        <w:t>The fee referred to in paragraph 2 shall be paid by the banker to an issue three</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months before the expiry of the block for which fee has been paid.]</w:t>
      </w:r>
    </w:p>
    <w:p>
      <w:pPr>
        <w:spacing w:after="0" w:line="1" w:lineRule="exact"/>
        <w:rPr>
          <w:sz w:val="20"/>
          <w:szCs w:val="20"/>
          <w:color w:val="auto"/>
        </w:rPr>
      </w:pPr>
    </w:p>
    <w:p>
      <w:pPr>
        <w:jc w:val="both"/>
        <w:ind w:left="360" w:right="280"/>
        <w:spacing w:after="0" w:line="211" w:lineRule="auto"/>
        <w:rPr>
          <w:sz w:val="20"/>
          <w:szCs w:val="20"/>
          <w:color w:val="auto"/>
        </w:rPr>
      </w:pPr>
      <w:r>
        <w:rPr>
          <w:rFonts w:ascii="Arial" w:cs="Arial" w:eastAsia="Arial" w:hAnsi="Arial"/>
          <w:sz w:val="31"/>
          <w:szCs w:val="31"/>
          <w:b w:val="1"/>
          <w:bCs w:val="1"/>
          <w:color w:val="auto"/>
          <w:vertAlign w:val="superscript"/>
        </w:rPr>
        <w:t>54</w:t>
      </w:r>
      <w:r>
        <w:rPr>
          <w:rFonts w:ascii="Arial" w:cs="Arial" w:eastAsia="Arial" w:hAnsi="Arial"/>
          <w:sz w:val="24"/>
          <w:szCs w:val="24"/>
          <w:b w:val="1"/>
          <w:bCs w:val="1"/>
          <w:color w:val="auto"/>
        </w:rPr>
        <w:t>[</w:t>
      </w:r>
      <w:r>
        <w:rPr>
          <w:rFonts w:ascii="Arial" w:cs="Arial" w:eastAsia="Arial" w:hAnsi="Arial"/>
          <w:sz w:val="24"/>
          <w:szCs w:val="24"/>
          <w:color w:val="auto"/>
        </w:rPr>
        <w:t>3A.</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The non-refundable fee payable alongwith the application for registration under</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sub-regulation (1A) of Regulation 3 shall be a sum of fifty thousand rupees.]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483870</wp:posOffset>
                </wp:positionV>
                <wp:extent cx="18294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8.1pt" to="162.05pt,38.1pt" o:allowincell="f" strokecolor="#000000" strokeweight="0.4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jc w:val="both"/>
        <w:ind w:left="360" w:right="260"/>
        <w:spacing w:after="0" w:line="219" w:lineRule="auto"/>
        <w:rPr>
          <w:sz w:val="20"/>
          <w:szCs w:val="20"/>
          <w:color w:val="auto"/>
        </w:rPr>
      </w:pPr>
      <w:r>
        <w:rPr>
          <w:rFonts w:ascii="Times New Roman" w:cs="Times New Roman" w:eastAsia="Times New Roman" w:hAnsi="Times New Roman"/>
          <w:sz w:val="25"/>
          <w:szCs w:val="25"/>
          <w:color w:val="auto"/>
          <w:vertAlign w:val="superscript"/>
        </w:rPr>
        <w:t>51</w:t>
      </w:r>
      <w:r>
        <w:rPr>
          <w:rFonts w:ascii="Times New Roman" w:cs="Times New Roman" w:eastAsia="Times New Roman" w:hAnsi="Times New Roman"/>
          <w:sz w:val="20"/>
          <w:szCs w:val="20"/>
          <w:color w:val="auto"/>
        </w:rPr>
        <w:t xml:space="preserve"> Substituted by the Securities and Exchange Board of India (Change In Conditions Of Registration Of Certain Intermediaries) (Amendment) Regulations, 2016 w.e.f. 08-12-2016. Prior to substitution paragraph 2 read as under:</w:t>
      </w:r>
    </w:p>
    <w:p>
      <w:pPr>
        <w:spacing w:after="0" w:line="11" w:lineRule="exact"/>
        <w:rPr>
          <w:sz w:val="20"/>
          <w:szCs w:val="20"/>
          <w:color w:val="auto"/>
        </w:rPr>
      </w:pPr>
    </w:p>
    <w:p>
      <w:pPr>
        <w:jc w:val="both"/>
        <w:ind w:left="360" w:right="260"/>
        <w:spacing w:after="0" w:line="224" w:lineRule="auto"/>
        <w:rPr>
          <w:sz w:val="20"/>
          <w:szCs w:val="20"/>
          <w:color w:val="auto"/>
        </w:rPr>
      </w:pPr>
      <w:r>
        <w:rPr>
          <w:rFonts w:ascii="Times New Roman" w:cs="Times New Roman" w:eastAsia="Times New Roman" w:hAnsi="Times New Roman"/>
          <w:sz w:val="20"/>
          <w:szCs w:val="20"/>
          <w:color w:val="auto"/>
        </w:rPr>
        <w:t xml:space="preserve">“2. A banker to an issue who has been granted a certificate of permanent registration, to keep its registration in force, shall pay fees of </w:t>
      </w:r>
      <w:r>
        <w:rPr>
          <w:rFonts w:ascii="Times New Roman" w:cs="Times New Roman" w:eastAsia="Times New Roman" w:hAnsi="Times New Roman"/>
          <w:sz w:val="25"/>
          <w:szCs w:val="25"/>
          <w:color w:val="auto"/>
          <w:vertAlign w:val="superscript"/>
        </w:rPr>
        <w:t>51</w:t>
      </w:r>
      <w:r>
        <w:rPr>
          <w:rFonts w:ascii="Times New Roman" w:cs="Times New Roman" w:eastAsia="Times New Roman" w:hAnsi="Times New Roman"/>
          <w:sz w:val="20"/>
          <w:szCs w:val="20"/>
          <w:color w:val="auto"/>
        </w:rPr>
        <w:t>[nine] lakh rupees every three years from the sixth year from the date of grant of certificate of initial registration, or from completion of the period of renewed certificate of registration, as the case may be.”</w:t>
      </w:r>
    </w:p>
    <w:p>
      <w:pPr>
        <w:spacing w:after="0" w:line="10" w:lineRule="exact"/>
        <w:rPr>
          <w:sz w:val="20"/>
          <w:szCs w:val="20"/>
          <w:color w:val="auto"/>
        </w:rPr>
      </w:pPr>
    </w:p>
    <w:p>
      <w:pPr>
        <w:jc w:val="both"/>
        <w:ind w:left="360" w:right="260"/>
        <w:spacing w:after="0" w:line="235" w:lineRule="auto"/>
        <w:rPr>
          <w:sz w:val="20"/>
          <w:szCs w:val="20"/>
          <w:color w:val="auto"/>
        </w:rPr>
      </w:pPr>
      <w:r>
        <w:rPr>
          <w:rFonts w:ascii="Times New Roman" w:cs="Times New Roman" w:eastAsia="Times New Roman" w:hAnsi="Times New Roman"/>
          <w:sz w:val="20"/>
          <w:szCs w:val="20"/>
          <w:color w:val="auto"/>
        </w:rPr>
        <w:t>Also, the word “nine” was substituted for the word “five” by Securities and Exchange Board of India (Payment of Fees) (Amendment) Regulations, 2014 w.e.f. 23-05-2014.</w:t>
      </w:r>
    </w:p>
    <w:p>
      <w:pPr>
        <w:spacing w:after="0" w:line="10" w:lineRule="exact"/>
        <w:rPr>
          <w:sz w:val="20"/>
          <w:szCs w:val="20"/>
          <w:color w:val="auto"/>
        </w:rPr>
      </w:pPr>
    </w:p>
    <w:p>
      <w:pPr>
        <w:jc w:val="both"/>
        <w:ind w:left="360" w:right="260"/>
        <w:spacing w:after="0" w:line="215" w:lineRule="auto"/>
        <w:tabs>
          <w:tab w:leader="none" w:pos="553" w:val="left"/>
        </w:tabs>
        <w:numPr>
          <w:ilvl w:val="0"/>
          <w:numId w:val="7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Securities and Exchange Board of India (Change In Conditions Of Registration Of Certain Intermediaries) (Amendment) Regulations, 2016 w.e.f. 08-12-2016. Prior to omission clause (aa) as inserted by the Securities and Exchange Board of India (Bankers to an Issue) (Amendment) Regulations, 2011, w.e.f.</w:t>
      </w:r>
    </w:p>
    <w:p>
      <w:pPr>
        <w:spacing w:after="0" w:line="2"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05-07-2011.read as under:</w:t>
      </w:r>
    </w:p>
    <w:p>
      <w:pPr>
        <w:spacing w:after="0" w:line="4" w:lineRule="exact"/>
        <w:rPr>
          <w:rFonts w:ascii="Times New Roman" w:cs="Times New Roman" w:eastAsia="Times New Roman" w:hAnsi="Times New Roman"/>
          <w:sz w:val="26"/>
          <w:szCs w:val="26"/>
          <w:color w:val="auto"/>
          <w:vertAlign w:val="superscript"/>
        </w:rPr>
      </w:pPr>
    </w:p>
    <w:p>
      <w:pPr>
        <w:jc w:val="both"/>
        <w:ind w:left="360" w:right="260"/>
        <w:spacing w:after="0" w:line="23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“(aa) The fees referred to in paragraph 1A shall be paid by the banker to an issue within a period of three months before completion of the period of three years from the date of grant of certificate of initial registration, or within a period of three months from the date of notification of these regulations, as the case may be.”</w:t>
      </w:r>
    </w:p>
    <w:p>
      <w:pPr>
        <w:spacing w:after="0" w:line="9" w:lineRule="exact"/>
        <w:rPr>
          <w:rFonts w:ascii="Times New Roman" w:cs="Times New Roman" w:eastAsia="Times New Roman" w:hAnsi="Times New Roman"/>
          <w:sz w:val="26"/>
          <w:szCs w:val="26"/>
          <w:color w:val="auto"/>
          <w:vertAlign w:val="superscript"/>
        </w:rPr>
      </w:pPr>
    </w:p>
    <w:p>
      <w:pPr>
        <w:jc w:val="both"/>
        <w:ind w:left="360" w:right="260"/>
        <w:spacing w:after="0" w:line="221" w:lineRule="auto"/>
        <w:tabs>
          <w:tab w:leader="none" w:pos="577" w:val="left"/>
        </w:tabs>
        <w:numPr>
          <w:ilvl w:val="0"/>
          <w:numId w:val="7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clasue (b) as substituted by the Securities and Exchange Board of India (Bankers to an Issue) (Amendment) Regulations, 2011, w.e.f. 05-07-2011 read as under:</w:t>
      </w:r>
    </w:p>
    <w:p>
      <w:pPr>
        <w:spacing w:after="0" w:line="3" w:lineRule="exact"/>
        <w:rPr>
          <w:sz w:val="20"/>
          <w:szCs w:val="20"/>
          <w:color w:val="auto"/>
        </w:rPr>
      </w:pPr>
    </w:p>
    <w:p>
      <w:pPr>
        <w:ind w:left="360"/>
        <w:spacing w:after="0"/>
        <w:tabs>
          <w:tab w:leader="none" w:pos="7460" w:val="left"/>
        </w:tabs>
        <w:rPr>
          <w:sz w:val="20"/>
          <w:szCs w:val="20"/>
          <w:color w:val="auto"/>
        </w:rPr>
      </w:pPr>
      <w:r>
        <w:rPr>
          <w:rFonts w:ascii="Times New Roman" w:cs="Times New Roman" w:eastAsia="Times New Roman" w:hAnsi="Times New Roman"/>
          <w:sz w:val="20"/>
          <w:szCs w:val="20"/>
          <w:color w:val="auto"/>
        </w:rPr>
        <w:t>“(b) The fee referred to in paragraph 2 shall be paid by the banker to an issue, at</w:t>
      </w:r>
      <w:r>
        <w:rPr>
          <w:sz w:val="20"/>
          <w:szCs w:val="20"/>
          <w:color w:val="auto"/>
        </w:rPr>
        <w:tab/>
      </w:r>
      <w:r>
        <w:rPr>
          <w:rFonts w:ascii="Times New Roman" w:cs="Times New Roman" w:eastAsia="Times New Roman" w:hAnsi="Times New Roman"/>
          <w:sz w:val="20"/>
          <w:szCs w:val="20"/>
          <w:color w:val="auto"/>
        </w:rPr>
        <w:t>the time of grant of</w:t>
      </w:r>
    </w:p>
    <w:p>
      <w:pPr>
        <w:spacing w:after="0" w:line="9" w:lineRule="exact"/>
        <w:rPr>
          <w:sz w:val="20"/>
          <w:szCs w:val="20"/>
          <w:color w:val="auto"/>
        </w:rPr>
      </w:pPr>
    </w:p>
    <w:p>
      <w:pPr>
        <w:jc w:val="both"/>
        <w:ind w:left="360" w:right="260"/>
        <w:spacing w:after="0" w:line="235" w:lineRule="auto"/>
        <w:rPr>
          <w:sz w:val="20"/>
          <w:szCs w:val="20"/>
          <w:color w:val="auto"/>
        </w:rPr>
      </w:pPr>
      <w:r>
        <w:rPr>
          <w:rFonts w:ascii="Times New Roman" w:cs="Times New Roman" w:eastAsia="Times New Roman" w:hAnsi="Times New Roman"/>
          <w:sz w:val="20"/>
          <w:szCs w:val="20"/>
          <w:color w:val="auto"/>
        </w:rPr>
        <w:t>permanent registration, within fifteen days from the date of receipt of intimation from the Board under sub-regulation (6) of regulation 7A and thereafter the fee shall be paid three months before expiry of the block for which fee has been paid.”</w:t>
      </w:r>
    </w:p>
    <w:p>
      <w:pPr>
        <w:spacing w:after="0" w:line="233" w:lineRule="exact"/>
        <w:rPr>
          <w:sz w:val="20"/>
          <w:szCs w:val="20"/>
          <w:color w:val="auto"/>
        </w:rPr>
      </w:pPr>
    </w:p>
    <w:p>
      <w:pPr>
        <w:ind w:left="360"/>
        <w:spacing w:after="0"/>
        <w:tabs>
          <w:tab w:leader="none" w:pos="1020" w:val="left"/>
          <w:tab w:leader="none" w:pos="1800" w:val="left"/>
          <w:tab w:leader="none" w:pos="2800" w:val="left"/>
          <w:tab w:leader="none" w:pos="3480" w:val="left"/>
          <w:tab w:leader="none" w:pos="4400" w:val="left"/>
          <w:tab w:leader="none" w:pos="5720" w:val="left"/>
          <w:tab w:leader="none" w:pos="6340" w:val="left"/>
          <w:tab w:leader="none" w:pos="7160" w:val="left"/>
          <w:tab w:leader="none" w:pos="8280" w:val="left"/>
          <w:tab w:leader="none" w:pos="8600" w:val="left"/>
        </w:tabs>
        <w:rPr>
          <w:sz w:val="20"/>
          <w:szCs w:val="20"/>
          <w:color w:val="auto"/>
        </w:rPr>
      </w:pPr>
      <w:r>
        <w:rPr>
          <w:rFonts w:ascii="Times New Roman" w:cs="Times New Roman" w:eastAsia="Times New Roman" w:hAnsi="Times New Roman"/>
          <w:sz w:val="20"/>
          <w:szCs w:val="20"/>
          <w:color w:val="auto"/>
        </w:rPr>
        <w:t>Clause</w:t>
        <w:tab/>
        <w:t>(b)  was</w:t>
        <w:tab/>
        <w:t>substituted</w:t>
        <w:tab/>
        <w:t>by  the</w:t>
        <w:tab/>
        <w:t>Securities</w:t>
        <w:tab/>
        <w:t>and  Exchange</w:t>
        <w:tab/>
        <w:t>Board</w:t>
        <w:tab/>
        <w:t>of  India</w:t>
        <w:tab/>
        <w:t>(Bankers  to</w:t>
        <w:tab/>
        <w:t>an</w:t>
        <w:tab/>
        <w:t>Issue)</w:t>
      </w:r>
    </w:p>
    <w:p>
      <w:pPr>
        <w:ind w:left="360"/>
        <w:spacing w:after="0"/>
        <w:rPr>
          <w:sz w:val="20"/>
          <w:szCs w:val="20"/>
          <w:color w:val="auto"/>
        </w:rPr>
      </w:pPr>
      <w:r>
        <w:rPr>
          <w:rFonts w:ascii="Times New Roman" w:cs="Times New Roman" w:eastAsia="Times New Roman" w:hAnsi="Times New Roman"/>
          <w:sz w:val="20"/>
          <w:szCs w:val="20"/>
          <w:color w:val="auto"/>
        </w:rPr>
        <w:t>(Amendment) Regulations, 2011, w.e.f. 05-07-2011.  Prior to the substitution the clause read as under:</w:t>
      </w:r>
    </w:p>
    <w:p>
      <w:pPr>
        <w:ind w:left="360"/>
        <w:spacing w:after="0"/>
        <w:rPr>
          <w:sz w:val="20"/>
          <w:szCs w:val="20"/>
          <w:color w:val="auto"/>
        </w:rPr>
      </w:pPr>
      <w:r>
        <w:rPr>
          <w:rFonts w:ascii="Times New Roman" w:cs="Times New Roman" w:eastAsia="Times New Roman" w:hAnsi="Times New Roman"/>
          <w:sz w:val="20"/>
          <w:szCs w:val="20"/>
          <w:color w:val="auto"/>
        </w:rPr>
        <w:t>“(b)The fee referred to in paragraph 2, shall be paid by the banker to an issue within fifteen days from the</w:t>
      </w:r>
    </w:p>
    <w:p>
      <w:pPr>
        <w:ind w:left="840"/>
        <w:spacing w:after="0"/>
        <w:rPr>
          <w:sz w:val="20"/>
          <w:szCs w:val="20"/>
          <w:color w:val="auto"/>
        </w:rPr>
      </w:pPr>
      <w:r>
        <w:rPr>
          <w:rFonts w:ascii="Times New Roman" w:cs="Times New Roman" w:eastAsia="Times New Roman" w:hAnsi="Times New Roman"/>
          <w:sz w:val="20"/>
          <w:szCs w:val="20"/>
          <w:color w:val="auto"/>
        </w:rPr>
        <w:t>date of receipt of intimation from the Board under sub-regulation (3) of regulation 8.”</w:t>
      </w:r>
    </w:p>
    <w:p>
      <w:pPr>
        <w:spacing w:after="0" w:line="48" w:lineRule="exact"/>
        <w:rPr>
          <w:sz w:val="20"/>
          <w:szCs w:val="20"/>
          <w:color w:val="auto"/>
        </w:rPr>
      </w:pPr>
    </w:p>
    <w:p>
      <w:pPr>
        <w:jc w:val="both"/>
        <w:ind w:left="360" w:right="260"/>
        <w:spacing w:after="0" w:line="238" w:lineRule="auto"/>
        <w:tabs>
          <w:tab w:leader="none" w:pos="692" w:val="left"/>
        </w:tabs>
        <w:numPr>
          <w:ilvl w:val="0"/>
          <w:numId w:val="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Securities and Exchange Board of India (Change In Conditions Of Registration Of Certain Intermediaries) (Amendment) Regulations, 2016 w.e.f. 08-12-2016. Prior to substitution, paragraph 3A as inserted by the Securities and Exchange Board of India (Bankers to an Issue) (Amendment) Regulations, 2006, w.e.f. 07-09-2006 read as under:</w:t>
      </w:r>
    </w:p>
    <w:p>
      <w:pPr>
        <w:spacing w:after="0" w:line="217"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20</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20" w:name="page21"/>
    <w:bookmarkEnd w:id="20"/>
    <w:p>
      <w:pPr>
        <w:spacing w:after="0" w:line="338" w:lineRule="exact"/>
        <w:rPr>
          <w:sz w:val="20"/>
          <w:szCs w:val="20"/>
          <w:color w:val="auto"/>
        </w:rPr>
      </w:pPr>
    </w:p>
    <w:p>
      <w:pPr>
        <w:jc w:val="both"/>
        <w:ind w:left="360" w:right="280"/>
        <w:spacing w:after="0" w:line="208" w:lineRule="auto"/>
        <w:tabs>
          <w:tab w:leader="none" w:pos="652" w:val="left"/>
        </w:tabs>
        <w:numPr>
          <w:ilvl w:val="0"/>
          <w:numId w:val="79"/>
        </w:numPr>
        <w:rPr>
          <w:rFonts w:ascii="Arial" w:cs="Arial" w:eastAsia="Arial" w:hAnsi="Arial"/>
          <w:sz w:val="24"/>
          <w:szCs w:val="24"/>
          <w:color w:val="auto"/>
        </w:rPr>
      </w:pPr>
      <w:r>
        <w:rPr>
          <w:rFonts w:ascii="Arial" w:cs="Arial" w:eastAsia="Arial" w:hAnsi="Arial"/>
          <w:sz w:val="24"/>
          <w:szCs w:val="24"/>
          <w:color w:val="auto"/>
        </w:rPr>
        <w:t xml:space="preserve">The fees specified in </w:t>
      </w:r>
      <w:r>
        <w:rPr>
          <w:rFonts w:ascii="Arial" w:cs="Arial" w:eastAsia="Arial" w:hAnsi="Arial"/>
          <w:sz w:val="31"/>
          <w:szCs w:val="31"/>
          <w:color w:val="auto"/>
          <w:vertAlign w:val="superscript"/>
        </w:rPr>
        <w:t>55</w:t>
      </w:r>
      <w:r>
        <w:rPr>
          <w:rFonts w:ascii="Arial" w:cs="Arial" w:eastAsia="Arial" w:hAnsi="Arial"/>
          <w:sz w:val="24"/>
          <w:szCs w:val="24"/>
          <w:color w:val="auto"/>
        </w:rPr>
        <w:t xml:space="preserve">[1, </w:t>
      </w:r>
      <w:r>
        <w:rPr>
          <w:rFonts w:ascii="Arial" w:cs="Arial" w:eastAsia="Arial" w:hAnsi="Arial"/>
          <w:sz w:val="31"/>
          <w:szCs w:val="31"/>
          <w:color w:val="auto"/>
          <w:vertAlign w:val="superscript"/>
        </w:rPr>
        <w:t>56</w:t>
      </w:r>
      <w:r>
        <w:rPr>
          <w:rFonts w:ascii="Arial" w:cs="Arial" w:eastAsia="Arial" w:hAnsi="Arial"/>
          <w:sz w:val="24"/>
          <w:szCs w:val="24"/>
          <w:color w:val="auto"/>
        </w:rPr>
        <w:t xml:space="preserve">[***] 2 and 3A] shall be payable by bankers to an issue </w:t>
      </w:r>
      <w:r>
        <w:rPr>
          <w:rFonts w:ascii="Arial" w:cs="Arial" w:eastAsia="Arial" w:hAnsi="Arial"/>
          <w:sz w:val="31"/>
          <w:szCs w:val="31"/>
          <w:color w:val="auto"/>
          <w:vertAlign w:val="superscript"/>
        </w:rPr>
        <w:t>57</w:t>
      </w:r>
      <w:r>
        <w:rPr>
          <w:rFonts w:ascii="Arial" w:cs="Arial" w:eastAsia="Arial" w:hAnsi="Arial"/>
          <w:sz w:val="24"/>
          <w:szCs w:val="24"/>
          <w:color w:val="auto"/>
        </w:rPr>
        <w:t>[by way of direct credit in the bank account through NEFT/RTGS/IMPS or any other mode allowed by RBI or] by a demand draft in favour of “Securities and Exchange Board of India” payable at Mumbai or at the respective regional office.</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370" w:lineRule="exact"/>
        <w:rPr>
          <w:sz w:val="20"/>
          <w:szCs w:val="20"/>
          <w:color w:val="auto"/>
        </w:rPr>
      </w:pPr>
    </w:p>
    <w:p>
      <w:pPr>
        <w:ind w:left="3800"/>
        <w:spacing w:after="0"/>
        <w:rPr>
          <w:sz w:val="20"/>
          <w:szCs w:val="20"/>
          <w:color w:val="auto"/>
        </w:rPr>
      </w:pPr>
      <w:r>
        <w:rPr>
          <w:rFonts w:ascii="Arial" w:cs="Arial" w:eastAsia="Arial" w:hAnsi="Arial"/>
          <w:sz w:val="31"/>
          <w:szCs w:val="31"/>
          <w:b w:val="1"/>
          <w:bCs w:val="1"/>
          <w:color w:val="auto"/>
          <w:vertAlign w:val="superscript"/>
        </w:rPr>
        <w:t>58</w:t>
      </w:r>
      <w:r>
        <w:rPr>
          <w:rFonts w:ascii="Arial" w:cs="Arial" w:eastAsia="Arial" w:hAnsi="Arial"/>
          <w:sz w:val="24"/>
          <w:szCs w:val="24"/>
          <w:b w:val="1"/>
          <w:bCs w:val="1"/>
          <w:color w:val="auto"/>
        </w:rPr>
        <w:t>[SCHEDULE III</w:t>
      </w:r>
    </w:p>
    <w:p>
      <w:pPr>
        <w:ind w:left="460"/>
        <w:spacing w:after="0" w:line="232" w:lineRule="auto"/>
        <w:rPr>
          <w:sz w:val="20"/>
          <w:szCs w:val="20"/>
          <w:color w:val="auto"/>
        </w:rPr>
      </w:pPr>
      <w:r>
        <w:rPr>
          <w:rFonts w:ascii="Arial" w:cs="Arial" w:eastAsia="Arial" w:hAnsi="Arial"/>
          <w:sz w:val="24"/>
          <w:szCs w:val="24"/>
          <w:b w:val="1"/>
          <w:bCs w:val="1"/>
          <w:color w:val="auto"/>
        </w:rPr>
        <w:t>SECURITIES AND EXCHANGE BOARD OF INDIA (BANKERS TO AN ISSUE)</w:t>
      </w:r>
    </w:p>
    <w:p>
      <w:pPr>
        <w:jc w:val="center"/>
        <w:ind w:right="-99"/>
        <w:spacing w:after="0" w:line="239" w:lineRule="auto"/>
        <w:rPr>
          <w:sz w:val="20"/>
          <w:szCs w:val="20"/>
          <w:color w:val="auto"/>
        </w:rPr>
      </w:pPr>
      <w:r>
        <w:rPr>
          <w:rFonts w:ascii="Arial" w:cs="Arial" w:eastAsia="Arial" w:hAnsi="Arial"/>
          <w:sz w:val="24"/>
          <w:szCs w:val="24"/>
          <w:b w:val="1"/>
          <w:bCs w:val="1"/>
          <w:color w:val="auto"/>
        </w:rPr>
        <w:t>REGULATIONS, 1994</w:t>
      </w:r>
    </w:p>
    <w:p>
      <w:pPr>
        <w:spacing w:after="0" w:line="60" w:lineRule="exact"/>
        <w:rPr>
          <w:sz w:val="20"/>
          <w:szCs w:val="20"/>
          <w:color w:val="auto"/>
        </w:rPr>
      </w:pPr>
    </w:p>
    <w:p>
      <w:pPr>
        <w:jc w:val="center"/>
        <w:ind w:right="-99"/>
        <w:spacing w:after="0"/>
        <w:rPr>
          <w:sz w:val="20"/>
          <w:szCs w:val="20"/>
          <w:color w:val="auto"/>
        </w:rPr>
      </w:pPr>
      <w:r>
        <w:rPr>
          <w:rFonts w:ascii="Arial" w:cs="Arial" w:eastAsia="Arial" w:hAnsi="Arial"/>
          <w:sz w:val="24"/>
          <w:szCs w:val="24"/>
          <w:b w:val="1"/>
          <w:bCs w:val="1"/>
          <w:color w:val="auto"/>
        </w:rPr>
        <w:t>[Regulation 16]</w:t>
      </w:r>
    </w:p>
    <w:p>
      <w:pPr>
        <w:spacing w:after="0" w:line="60" w:lineRule="exact"/>
        <w:rPr>
          <w:sz w:val="20"/>
          <w:szCs w:val="20"/>
          <w:color w:val="auto"/>
        </w:rPr>
      </w:pPr>
    </w:p>
    <w:p>
      <w:pPr>
        <w:jc w:val="center"/>
        <w:ind w:right="-79"/>
        <w:spacing w:after="0"/>
        <w:rPr>
          <w:sz w:val="20"/>
          <w:szCs w:val="20"/>
          <w:color w:val="auto"/>
        </w:rPr>
      </w:pPr>
      <w:r>
        <w:rPr>
          <w:rFonts w:ascii="Arial" w:cs="Arial" w:eastAsia="Arial" w:hAnsi="Arial"/>
          <w:sz w:val="24"/>
          <w:szCs w:val="24"/>
          <w:b w:val="1"/>
          <w:bCs w:val="1"/>
          <w:color w:val="auto"/>
        </w:rPr>
        <w:t>CODE OF CONDUCT</w:t>
      </w:r>
    </w:p>
    <w:p>
      <w:pPr>
        <w:spacing w:after="0" w:line="41" w:lineRule="exact"/>
        <w:rPr>
          <w:sz w:val="20"/>
          <w:szCs w:val="20"/>
          <w:color w:val="auto"/>
        </w:rPr>
      </w:pPr>
    </w:p>
    <w:p>
      <w:pPr>
        <w:ind w:left="620" w:hanging="260"/>
        <w:spacing w:after="0"/>
        <w:tabs>
          <w:tab w:leader="none" w:pos="620" w:val="left"/>
        </w:tabs>
        <w:numPr>
          <w:ilvl w:val="0"/>
          <w:numId w:val="80"/>
        </w:numPr>
        <w:rPr>
          <w:rFonts w:ascii="Arial" w:cs="Arial" w:eastAsia="Arial" w:hAnsi="Arial"/>
          <w:sz w:val="24"/>
          <w:szCs w:val="24"/>
          <w:b w:val="1"/>
          <w:bCs w:val="1"/>
          <w:color w:val="auto"/>
        </w:rPr>
      </w:pPr>
      <w:r>
        <w:rPr>
          <w:rFonts w:ascii="Arial" w:cs="Arial" w:eastAsia="Arial" w:hAnsi="Arial"/>
          <w:sz w:val="24"/>
          <w:szCs w:val="24"/>
          <w:color w:val="auto"/>
        </w:rPr>
        <w:t>A Banker to an issue shall make all efforts to protect the interests of investors.</w:t>
      </w:r>
    </w:p>
    <w:p>
      <w:pPr>
        <w:spacing w:after="0" w:line="70" w:lineRule="exact"/>
        <w:rPr>
          <w:rFonts w:ascii="Arial" w:cs="Arial" w:eastAsia="Arial" w:hAnsi="Arial"/>
          <w:sz w:val="24"/>
          <w:szCs w:val="24"/>
          <w:b w:val="1"/>
          <w:bCs w:val="1"/>
          <w:color w:val="auto"/>
        </w:rPr>
      </w:pPr>
    </w:p>
    <w:p>
      <w:pPr>
        <w:ind w:left="360" w:right="280"/>
        <w:spacing w:after="0" w:line="236" w:lineRule="auto"/>
        <w:tabs>
          <w:tab w:leader="none" w:pos="701" w:val="left"/>
        </w:tabs>
        <w:numPr>
          <w:ilvl w:val="0"/>
          <w:numId w:val="80"/>
        </w:numPr>
        <w:rPr>
          <w:rFonts w:ascii="Arial" w:cs="Arial" w:eastAsia="Arial" w:hAnsi="Arial"/>
          <w:sz w:val="24"/>
          <w:szCs w:val="24"/>
          <w:b w:val="1"/>
          <w:bCs w:val="1"/>
          <w:color w:val="auto"/>
        </w:rPr>
      </w:pPr>
      <w:r>
        <w:rPr>
          <w:rFonts w:ascii="Arial" w:cs="Arial" w:eastAsia="Arial" w:hAnsi="Arial"/>
          <w:sz w:val="24"/>
          <w:szCs w:val="24"/>
          <w:color w:val="auto"/>
        </w:rPr>
        <w:t>A Banker to an issue shall in the conduct of its business, observe high standards of integrity and fairness in the conduct of its business.</w:t>
      </w:r>
    </w:p>
    <w:p>
      <w:pPr>
        <w:spacing w:after="0" w:line="72" w:lineRule="exact"/>
        <w:rPr>
          <w:rFonts w:ascii="Arial" w:cs="Arial" w:eastAsia="Arial" w:hAnsi="Arial"/>
          <w:sz w:val="24"/>
          <w:szCs w:val="24"/>
          <w:b w:val="1"/>
          <w:bCs w:val="1"/>
          <w:color w:val="auto"/>
        </w:rPr>
      </w:pPr>
    </w:p>
    <w:p>
      <w:pPr>
        <w:ind w:left="360" w:right="260"/>
        <w:spacing w:after="0" w:line="234" w:lineRule="auto"/>
        <w:tabs>
          <w:tab w:leader="none" w:pos="706" w:val="left"/>
        </w:tabs>
        <w:numPr>
          <w:ilvl w:val="0"/>
          <w:numId w:val="80"/>
        </w:numPr>
        <w:rPr>
          <w:rFonts w:ascii="Arial" w:cs="Arial" w:eastAsia="Arial" w:hAnsi="Arial"/>
          <w:sz w:val="24"/>
          <w:szCs w:val="24"/>
          <w:b w:val="1"/>
          <w:bCs w:val="1"/>
          <w:color w:val="auto"/>
        </w:rPr>
      </w:pPr>
      <w:r>
        <w:rPr>
          <w:rFonts w:ascii="Arial" w:cs="Arial" w:eastAsia="Arial" w:hAnsi="Arial"/>
          <w:sz w:val="24"/>
          <w:szCs w:val="24"/>
          <w:color w:val="auto"/>
        </w:rPr>
        <w:t>A Banker to an issue shall fulfill its obligations in a prompt, ethical and professional manner.</w:t>
      </w:r>
    </w:p>
    <w:p>
      <w:pPr>
        <w:spacing w:after="0" w:line="71" w:lineRule="exact"/>
        <w:rPr>
          <w:rFonts w:ascii="Arial" w:cs="Arial" w:eastAsia="Arial" w:hAnsi="Arial"/>
          <w:sz w:val="24"/>
          <w:szCs w:val="24"/>
          <w:b w:val="1"/>
          <w:bCs w:val="1"/>
          <w:color w:val="auto"/>
        </w:rPr>
      </w:pPr>
    </w:p>
    <w:p>
      <w:pPr>
        <w:ind w:left="360" w:right="280"/>
        <w:spacing w:after="0" w:line="236" w:lineRule="auto"/>
        <w:tabs>
          <w:tab w:leader="none" w:pos="658" w:val="left"/>
        </w:tabs>
        <w:numPr>
          <w:ilvl w:val="0"/>
          <w:numId w:val="80"/>
        </w:numPr>
        <w:rPr>
          <w:rFonts w:ascii="Arial" w:cs="Arial" w:eastAsia="Arial" w:hAnsi="Arial"/>
          <w:sz w:val="24"/>
          <w:szCs w:val="24"/>
          <w:b w:val="1"/>
          <w:bCs w:val="1"/>
          <w:color w:val="auto"/>
        </w:rPr>
      </w:pPr>
      <w:r>
        <w:rPr>
          <w:rFonts w:ascii="Arial" w:cs="Arial" w:eastAsia="Arial" w:hAnsi="Arial"/>
          <w:sz w:val="24"/>
          <w:szCs w:val="24"/>
          <w:color w:val="auto"/>
        </w:rPr>
        <w:t>A Banker to an issue shall at all times exercise due diligence, ensure proper care and exercise independent professional judgment.</w:t>
      </w:r>
    </w:p>
    <w:p>
      <w:pPr>
        <w:spacing w:after="0" w:line="71" w:lineRule="exact"/>
        <w:rPr>
          <w:rFonts w:ascii="Arial" w:cs="Arial" w:eastAsia="Arial" w:hAnsi="Arial"/>
          <w:sz w:val="24"/>
          <w:szCs w:val="24"/>
          <w:b w:val="1"/>
          <w:bCs w:val="1"/>
          <w:color w:val="auto"/>
        </w:rPr>
      </w:pPr>
    </w:p>
    <w:p>
      <w:pPr>
        <w:ind w:left="360" w:right="280"/>
        <w:spacing w:after="0" w:line="234" w:lineRule="auto"/>
        <w:tabs>
          <w:tab w:leader="none" w:pos="716" w:val="left"/>
        </w:tabs>
        <w:numPr>
          <w:ilvl w:val="0"/>
          <w:numId w:val="80"/>
        </w:numPr>
        <w:rPr>
          <w:rFonts w:ascii="Arial" w:cs="Arial" w:eastAsia="Arial" w:hAnsi="Arial"/>
          <w:sz w:val="24"/>
          <w:szCs w:val="24"/>
          <w:b w:val="1"/>
          <w:bCs w:val="1"/>
          <w:color w:val="auto"/>
        </w:rPr>
      </w:pPr>
      <w:r>
        <w:rPr>
          <w:rFonts w:ascii="Arial" w:cs="Arial" w:eastAsia="Arial" w:hAnsi="Arial"/>
          <w:sz w:val="24"/>
          <w:szCs w:val="24"/>
          <w:color w:val="auto"/>
        </w:rPr>
        <w:t>A Banker to an issue shall not at any time act in collusion with other intermediaries or the issuer in a manner that is detrimental to the investor.</w:t>
      </w:r>
    </w:p>
    <w:p>
      <w:pPr>
        <w:spacing w:after="0" w:line="61" w:lineRule="exact"/>
        <w:rPr>
          <w:rFonts w:ascii="Arial" w:cs="Arial" w:eastAsia="Arial" w:hAnsi="Arial"/>
          <w:sz w:val="24"/>
          <w:szCs w:val="24"/>
          <w:b w:val="1"/>
          <w:bCs w:val="1"/>
          <w:color w:val="auto"/>
        </w:rPr>
      </w:pPr>
    </w:p>
    <w:p>
      <w:pPr>
        <w:ind w:left="620" w:hanging="260"/>
        <w:spacing w:after="0"/>
        <w:tabs>
          <w:tab w:leader="none" w:pos="620" w:val="left"/>
        </w:tabs>
        <w:numPr>
          <w:ilvl w:val="0"/>
          <w:numId w:val="80"/>
        </w:numPr>
        <w:rPr>
          <w:rFonts w:ascii="Arial" w:cs="Arial" w:eastAsia="Arial" w:hAnsi="Arial"/>
          <w:sz w:val="24"/>
          <w:szCs w:val="24"/>
          <w:b w:val="1"/>
          <w:bCs w:val="1"/>
          <w:color w:val="auto"/>
        </w:rPr>
      </w:pPr>
      <w:r>
        <w:rPr>
          <w:rFonts w:ascii="Arial" w:cs="Arial" w:eastAsia="Arial" w:hAnsi="Arial"/>
          <w:sz w:val="24"/>
          <w:szCs w:val="24"/>
          <w:color w:val="auto"/>
        </w:rPr>
        <w:t>A Banker to an issue shall endeavour to ensure that—</w:t>
      </w:r>
    </w:p>
    <w:p>
      <w:pPr>
        <w:spacing w:after="0" w:line="60" w:lineRule="exact"/>
        <w:rPr>
          <w:rFonts w:ascii="Arial" w:cs="Arial" w:eastAsia="Arial" w:hAnsi="Arial"/>
          <w:sz w:val="24"/>
          <w:szCs w:val="24"/>
          <w:b w:val="1"/>
          <w:bCs w:val="1"/>
          <w:color w:val="auto"/>
        </w:rPr>
      </w:pPr>
    </w:p>
    <w:p>
      <w:pPr>
        <w:ind w:left="840" w:hanging="412"/>
        <w:spacing w:after="0"/>
        <w:tabs>
          <w:tab w:leader="none" w:pos="840" w:val="left"/>
        </w:tabs>
        <w:numPr>
          <w:ilvl w:val="1"/>
          <w:numId w:val="80"/>
        </w:numPr>
        <w:rPr>
          <w:rFonts w:ascii="Arial" w:cs="Arial" w:eastAsia="Arial" w:hAnsi="Arial"/>
          <w:sz w:val="24"/>
          <w:szCs w:val="24"/>
          <w:color w:val="auto"/>
        </w:rPr>
      </w:pPr>
      <w:r>
        <w:rPr>
          <w:rFonts w:ascii="Arial" w:cs="Arial" w:eastAsia="Arial" w:hAnsi="Arial"/>
          <w:sz w:val="24"/>
          <w:szCs w:val="24"/>
          <w:color w:val="auto"/>
        </w:rPr>
        <w:t>inquiries from investors are adequately dealt with;</w:t>
      </w:r>
    </w:p>
    <w:p>
      <w:pPr>
        <w:spacing w:after="0" w:line="60" w:lineRule="exact"/>
        <w:rPr>
          <w:rFonts w:ascii="Arial" w:cs="Arial" w:eastAsia="Arial" w:hAnsi="Arial"/>
          <w:sz w:val="24"/>
          <w:szCs w:val="24"/>
          <w:color w:val="auto"/>
        </w:rPr>
      </w:pPr>
    </w:p>
    <w:p>
      <w:pPr>
        <w:ind w:left="840" w:hanging="412"/>
        <w:spacing w:after="0"/>
        <w:tabs>
          <w:tab w:leader="none" w:pos="840" w:val="left"/>
        </w:tabs>
        <w:numPr>
          <w:ilvl w:val="1"/>
          <w:numId w:val="80"/>
        </w:numPr>
        <w:rPr>
          <w:rFonts w:ascii="Arial" w:cs="Arial" w:eastAsia="Arial" w:hAnsi="Arial"/>
          <w:sz w:val="24"/>
          <w:szCs w:val="24"/>
          <w:color w:val="auto"/>
        </w:rPr>
      </w:pPr>
      <w:r>
        <w:rPr>
          <w:rFonts w:ascii="Arial" w:cs="Arial" w:eastAsia="Arial" w:hAnsi="Arial"/>
          <w:sz w:val="24"/>
          <w:szCs w:val="24"/>
          <w:color w:val="auto"/>
        </w:rPr>
        <w:t>grievances of investors are redressed in a timely and appropriate manner;</w:t>
      </w:r>
    </w:p>
    <w:p>
      <w:pPr>
        <w:spacing w:after="0" w:line="70" w:lineRule="exact"/>
        <w:rPr>
          <w:rFonts w:ascii="Arial" w:cs="Arial" w:eastAsia="Arial" w:hAnsi="Arial"/>
          <w:sz w:val="24"/>
          <w:szCs w:val="24"/>
          <w:color w:val="auto"/>
        </w:rPr>
      </w:pPr>
    </w:p>
    <w:p>
      <w:pPr>
        <w:jc w:val="both"/>
        <w:ind w:left="840" w:right="260" w:hanging="398"/>
        <w:spacing w:after="0" w:line="237" w:lineRule="auto"/>
        <w:tabs>
          <w:tab w:leader="none" w:pos="840" w:val="left"/>
        </w:tabs>
        <w:numPr>
          <w:ilvl w:val="1"/>
          <w:numId w:val="80"/>
        </w:numPr>
        <w:rPr>
          <w:rFonts w:ascii="Arial" w:cs="Arial" w:eastAsia="Arial" w:hAnsi="Arial"/>
          <w:sz w:val="24"/>
          <w:szCs w:val="24"/>
          <w:color w:val="auto"/>
        </w:rPr>
      </w:pPr>
      <w:r>
        <w:rPr>
          <w:rFonts w:ascii="Arial" w:cs="Arial" w:eastAsia="Arial" w:hAnsi="Arial"/>
          <w:sz w:val="24"/>
          <w:szCs w:val="24"/>
          <w:color w:val="auto"/>
        </w:rPr>
        <w:t>where a complaint is not remedied promptly, the investor is advised of any further steps which may be available to the investor under the regulatory system.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300355</wp:posOffset>
                </wp:positionV>
                <wp:extent cx="554672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467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3.65pt" to="454.75pt,23.65pt" o:allowincell="f" strokecolor="#000000" strokeweight="0.48pt"/>
            </w:pict>
          </mc:Fallback>
        </mc:AlternateContent>
      </w:r>
    </w:p>
    <w:p>
      <w:pPr>
        <w:spacing w:after="0" w:line="200" w:lineRule="exact"/>
        <w:rPr>
          <w:sz w:val="20"/>
          <w:szCs w:val="20"/>
          <w:color w:val="auto"/>
        </w:rPr>
      </w:pPr>
    </w:p>
    <w:p>
      <w:pPr>
        <w:spacing w:after="0" w:line="372" w:lineRule="exact"/>
        <w:rPr>
          <w:sz w:val="20"/>
          <w:szCs w:val="20"/>
          <w:color w:val="auto"/>
        </w:rPr>
      </w:pPr>
    </w:p>
    <w:p>
      <w:pPr>
        <w:jc w:val="both"/>
        <w:ind w:left="360" w:right="260"/>
        <w:spacing w:after="0" w:line="208" w:lineRule="auto"/>
        <w:rPr>
          <w:sz w:val="20"/>
          <w:szCs w:val="20"/>
          <w:color w:val="auto"/>
        </w:rPr>
      </w:pPr>
      <w:r>
        <w:rPr>
          <w:rFonts w:ascii="Times New Roman" w:cs="Times New Roman" w:eastAsia="Times New Roman" w:hAnsi="Times New Roman"/>
          <w:sz w:val="20"/>
          <w:szCs w:val="20"/>
          <w:color w:val="auto"/>
        </w:rPr>
        <w:t xml:space="preserve">“3A. The non-refundable fee payable along with an application for registration under sub-regulation (1A) of regulation 3 or an application for </w:t>
      </w:r>
      <w:r>
        <w:rPr>
          <w:rFonts w:ascii="Times New Roman" w:cs="Times New Roman" w:eastAsia="Times New Roman" w:hAnsi="Times New Roman"/>
          <w:sz w:val="25"/>
          <w:szCs w:val="25"/>
          <w:color w:val="auto"/>
          <w:vertAlign w:val="superscript"/>
        </w:rPr>
        <w:t>54</w:t>
      </w:r>
      <w:r>
        <w:rPr>
          <w:rFonts w:ascii="Times New Roman" w:cs="Times New Roman" w:eastAsia="Times New Roman" w:hAnsi="Times New Roman"/>
          <w:sz w:val="20"/>
          <w:szCs w:val="20"/>
          <w:color w:val="auto"/>
        </w:rPr>
        <w:t xml:space="preserve">[permanent registration under sub-regulation (1) or sub-regulation (2) of regulation 7A] shall be a sum of </w:t>
      </w:r>
      <w:r>
        <w:rPr>
          <w:rFonts w:ascii="Times New Roman" w:cs="Times New Roman" w:eastAsia="Times New Roman" w:hAnsi="Times New Roman"/>
          <w:sz w:val="25"/>
          <w:szCs w:val="25"/>
          <w:color w:val="auto"/>
          <w:vertAlign w:val="superscript"/>
        </w:rPr>
        <w:t>54</w:t>
      </w:r>
      <w:r>
        <w:rPr>
          <w:rFonts w:ascii="Times New Roman" w:cs="Times New Roman" w:eastAsia="Times New Roman" w:hAnsi="Times New Roman"/>
          <w:sz w:val="20"/>
          <w:szCs w:val="20"/>
          <w:color w:val="auto"/>
        </w:rPr>
        <w:t>[fifty thousand] thousand rupees.”</w:t>
      </w:r>
    </w:p>
    <w:p>
      <w:pPr>
        <w:spacing w:after="0" w:line="2" w:lineRule="exact"/>
        <w:rPr>
          <w:sz w:val="20"/>
          <w:szCs w:val="20"/>
          <w:color w:val="auto"/>
        </w:rPr>
      </w:pPr>
    </w:p>
    <w:p>
      <w:pPr>
        <w:jc w:val="both"/>
        <w:ind w:left="360" w:right="260"/>
        <w:spacing w:after="0" w:line="235" w:lineRule="auto"/>
        <w:rPr>
          <w:sz w:val="20"/>
          <w:szCs w:val="20"/>
          <w:color w:val="auto"/>
        </w:rPr>
      </w:pPr>
      <w:r>
        <w:rPr>
          <w:rFonts w:ascii="Times New Roman" w:cs="Times New Roman" w:eastAsia="Times New Roman" w:hAnsi="Times New Roman"/>
          <w:sz w:val="20"/>
          <w:szCs w:val="20"/>
          <w:color w:val="auto"/>
        </w:rPr>
        <w:t>Also, the words “permanent registration under sub-regulation (1) or sub-regulation (2) of regulation 7A” were substituted for the words “renewal of registration under sub-regulation (1A) of regulation 8” by the the Securities and Exchange Board of India (Bankers to an Issue) (Amendment) Regulations, 2011, w.e.f. 05-07-2011;</w:t>
      </w:r>
    </w:p>
    <w:p>
      <w:pPr>
        <w:spacing w:after="0" w:line="13" w:lineRule="exact"/>
        <w:rPr>
          <w:sz w:val="20"/>
          <w:szCs w:val="20"/>
          <w:color w:val="auto"/>
        </w:rPr>
      </w:pPr>
    </w:p>
    <w:p>
      <w:pPr>
        <w:jc w:val="both"/>
        <w:ind w:left="360" w:right="280"/>
        <w:spacing w:after="0" w:line="235" w:lineRule="auto"/>
        <w:rPr>
          <w:sz w:val="20"/>
          <w:szCs w:val="20"/>
          <w:color w:val="auto"/>
        </w:rPr>
      </w:pPr>
      <w:r>
        <w:rPr>
          <w:rFonts w:ascii="Times New Roman" w:cs="Times New Roman" w:eastAsia="Times New Roman" w:hAnsi="Times New Roman"/>
          <w:sz w:val="20"/>
          <w:szCs w:val="20"/>
          <w:color w:val="auto"/>
        </w:rPr>
        <w:t>And the words “fifty thousand” were substituted for the words “twenty-five” by Securities and Exchange Board of India (Payment of Fees) (Amendment) Regulations, 2014 w.e.f. 23-05-2014.</w:t>
      </w:r>
    </w:p>
    <w:p>
      <w:pPr>
        <w:spacing w:after="0" w:line="234" w:lineRule="exact"/>
        <w:rPr>
          <w:sz w:val="20"/>
          <w:szCs w:val="20"/>
          <w:color w:val="auto"/>
        </w:rPr>
      </w:pPr>
    </w:p>
    <w:p>
      <w:pPr>
        <w:jc w:val="both"/>
        <w:ind w:left="360" w:right="260"/>
        <w:spacing w:after="0" w:line="212" w:lineRule="auto"/>
        <w:rPr>
          <w:sz w:val="20"/>
          <w:szCs w:val="20"/>
          <w:color w:val="auto"/>
        </w:rPr>
      </w:pPr>
      <w:r>
        <w:rPr>
          <w:rFonts w:ascii="Times New Roman" w:cs="Times New Roman" w:eastAsia="Times New Roman" w:hAnsi="Times New Roman"/>
          <w:sz w:val="25"/>
          <w:szCs w:val="25"/>
          <w:color w:val="auto"/>
          <w:vertAlign w:val="superscript"/>
        </w:rPr>
        <w:t>55</w:t>
      </w:r>
      <w:r>
        <w:rPr>
          <w:rFonts w:ascii="Times New Roman" w:cs="Times New Roman" w:eastAsia="Times New Roman" w:hAnsi="Times New Roman"/>
          <w:sz w:val="20"/>
          <w:szCs w:val="20"/>
          <w:color w:val="auto"/>
        </w:rPr>
        <w:t xml:space="preserve"> Substituted the word and figures “1, 2 and 3A” by the the Securities and Exchange Board of India (Bankers to an Issue) (Amendment) Regulations, 2011, w.e.f. 05-07-2011.</w:t>
      </w:r>
    </w:p>
    <w:p>
      <w:pPr>
        <w:spacing w:after="0" w:line="1" w:lineRule="exact"/>
        <w:rPr>
          <w:sz w:val="20"/>
          <w:szCs w:val="20"/>
          <w:color w:val="auto"/>
        </w:rPr>
      </w:pPr>
    </w:p>
    <w:p>
      <w:pPr>
        <w:jc w:val="both"/>
        <w:ind w:left="360" w:right="260"/>
        <w:spacing w:after="0" w:line="211" w:lineRule="auto"/>
        <w:rPr>
          <w:sz w:val="20"/>
          <w:szCs w:val="20"/>
          <w:color w:val="auto"/>
        </w:rPr>
      </w:pPr>
      <w:r>
        <w:rPr>
          <w:rFonts w:ascii="Times New Roman" w:cs="Times New Roman" w:eastAsia="Times New Roman" w:hAnsi="Times New Roman"/>
          <w:sz w:val="25"/>
          <w:szCs w:val="25"/>
          <w:color w:val="auto"/>
          <w:vertAlign w:val="superscript"/>
        </w:rPr>
        <w:t>56</w:t>
      </w:r>
      <w:r>
        <w:rPr>
          <w:rFonts w:ascii="Times New Roman" w:cs="Times New Roman" w:eastAsia="Times New Roman" w:hAnsi="Times New Roman"/>
          <w:sz w:val="20"/>
          <w:szCs w:val="20"/>
          <w:color w:val="auto"/>
        </w:rPr>
        <w:t xml:space="preserve"> The words “1A” omitted by the Securities and Exchange Board of India (Change In Conditions Of Registration Of Certain Intermediaries) (Amendment) Regulations, 2016 w.e.f. 08-12-2016.</w:t>
      </w:r>
    </w:p>
    <w:p>
      <w:pPr>
        <w:spacing w:after="0" w:line="10" w:lineRule="exact"/>
        <w:rPr>
          <w:sz w:val="20"/>
          <w:szCs w:val="20"/>
          <w:color w:val="auto"/>
        </w:rPr>
      </w:pPr>
    </w:p>
    <w:p>
      <w:pPr>
        <w:ind w:left="360" w:right="260"/>
        <w:spacing w:after="0" w:line="204" w:lineRule="auto"/>
        <w:tabs>
          <w:tab w:leader="none" w:pos="567" w:val="left"/>
        </w:tabs>
        <w:numPr>
          <w:ilvl w:val="0"/>
          <w:numId w:val="8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 6-3-2017.</w:t>
      </w:r>
    </w:p>
    <w:p>
      <w:pPr>
        <w:spacing w:after="0" w:line="11" w:lineRule="exact"/>
        <w:rPr>
          <w:rFonts w:ascii="Times New Roman" w:cs="Times New Roman" w:eastAsia="Times New Roman" w:hAnsi="Times New Roman"/>
          <w:sz w:val="26"/>
          <w:szCs w:val="26"/>
          <w:color w:val="auto"/>
          <w:vertAlign w:val="superscript"/>
        </w:rPr>
      </w:pPr>
    </w:p>
    <w:p>
      <w:pPr>
        <w:ind w:left="360" w:right="260"/>
        <w:spacing w:after="0" w:line="235" w:lineRule="auto"/>
        <w:tabs>
          <w:tab w:leader="none" w:pos="725" w:val="left"/>
        </w:tabs>
        <w:numPr>
          <w:ilvl w:val="0"/>
          <w:numId w:val="8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by the Securities and Exchange Board of India (Bankers to an Issue) (Amendment) Regulations, 2003, w.e.f. 01-10-2003.</w:t>
      </w:r>
    </w:p>
    <w:p>
      <w:pPr>
        <w:spacing w:after="0" w:line="218"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21</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21" w:name="page22"/>
    <w:bookmarkEnd w:id="21"/>
    <w:p>
      <w:pPr>
        <w:ind w:left="620" w:hanging="260"/>
        <w:spacing w:after="0"/>
        <w:tabs>
          <w:tab w:leader="none" w:pos="620" w:val="left"/>
        </w:tabs>
        <w:numPr>
          <w:ilvl w:val="0"/>
          <w:numId w:val="83"/>
        </w:numPr>
        <w:rPr>
          <w:rFonts w:ascii="Arial" w:cs="Arial" w:eastAsia="Arial" w:hAnsi="Arial"/>
          <w:sz w:val="24"/>
          <w:szCs w:val="24"/>
          <w:b w:val="1"/>
          <w:bCs w:val="1"/>
          <w:color w:val="auto"/>
        </w:rPr>
      </w:pPr>
      <w:r>
        <w:rPr>
          <w:rFonts w:ascii="Arial" w:cs="Arial" w:eastAsia="Arial" w:hAnsi="Arial"/>
          <w:sz w:val="24"/>
          <w:szCs w:val="24"/>
          <w:color w:val="auto"/>
        </w:rPr>
        <w:t>A Banker to an issue shall not—</w:t>
      </w:r>
    </w:p>
    <w:p>
      <w:pPr>
        <w:spacing w:after="0" w:line="70" w:lineRule="exact"/>
        <w:rPr>
          <w:rFonts w:ascii="Arial" w:cs="Arial" w:eastAsia="Arial" w:hAnsi="Arial"/>
          <w:sz w:val="24"/>
          <w:szCs w:val="24"/>
          <w:b w:val="1"/>
          <w:bCs w:val="1"/>
          <w:color w:val="auto"/>
        </w:rPr>
      </w:pPr>
    </w:p>
    <w:p>
      <w:pPr>
        <w:ind w:left="840" w:right="280" w:hanging="412"/>
        <w:spacing w:after="0" w:line="234" w:lineRule="auto"/>
        <w:tabs>
          <w:tab w:leader="none" w:pos="840" w:val="left"/>
        </w:tabs>
        <w:numPr>
          <w:ilvl w:val="1"/>
          <w:numId w:val="83"/>
        </w:numPr>
        <w:rPr>
          <w:rFonts w:ascii="Arial" w:cs="Arial" w:eastAsia="Arial" w:hAnsi="Arial"/>
          <w:sz w:val="24"/>
          <w:szCs w:val="24"/>
          <w:color w:val="auto"/>
        </w:rPr>
      </w:pPr>
      <w:r>
        <w:rPr>
          <w:rFonts w:ascii="Arial" w:cs="Arial" w:eastAsia="Arial" w:hAnsi="Arial"/>
          <w:sz w:val="24"/>
          <w:szCs w:val="24"/>
          <w:color w:val="auto"/>
        </w:rPr>
        <w:t>allow blank application forms bearing brokers stamp to be kept at the bank premises or peddled anywhere near the entrance of the premises;</w:t>
      </w:r>
    </w:p>
    <w:p>
      <w:pPr>
        <w:spacing w:after="0" w:line="72" w:lineRule="exact"/>
        <w:rPr>
          <w:rFonts w:ascii="Arial" w:cs="Arial" w:eastAsia="Arial" w:hAnsi="Arial"/>
          <w:sz w:val="24"/>
          <w:szCs w:val="24"/>
          <w:color w:val="auto"/>
        </w:rPr>
      </w:pPr>
    </w:p>
    <w:p>
      <w:pPr>
        <w:ind w:left="840" w:right="260" w:hanging="412"/>
        <w:spacing w:after="0" w:line="236" w:lineRule="auto"/>
        <w:tabs>
          <w:tab w:leader="none" w:pos="840" w:val="left"/>
        </w:tabs>
        <w:numPr>
          <w:ilvl w:val="1"/>
          <w:numId w:val="83"/>
        </w:numPr>
        <w:rPr>
          <w:rFonts w:ascii="Arial" w:cs="Arial" w:eastAsia="Arial" w:hAnsi="Arial"/>
          <w:sz w:val="24"/>
          <w:szCs w:val="24"/>
          <w:color w:val="auto"/>
        </w:rPr>
      </w:pPr>
      <w:r>
        <w:rPr>
          <w:rFonts w:ascii="Arial" w:cs="Arial" w:eastAsia="Arial" w:hAnsi="Arial"/>
          <w:sz w:val="24"/>
          <w:szCs w:val="24"/>
          <w:color w:val="auto"/>
        </w:rPr>
        <w:t>accept applications after office hours or after the date of closure of the issue or on bank holidays;</w:t>
      </w:r>
    </w:p>
    <w:p>
      <w:pPr>
        <w:spacing w:after="0" w:line="71" w:lineRule="exact"/>
        <w:rPr>
          <w:rFonts w:ascii="Arial" w:cs="Arial" w:eastAsia="Arial" w:hAnsi="Arial"/>
          <w:sz w:val="24"/>
          <w:szCs w:val="24"/>
          <w:color w:val="auto"/>
        </w:rPr>
      </w:pPr>
    </w:p>
    <w:p>
      <w:pPr>
        <w:jc w:val="both"/>
        <w:ind w:left="840" w:right="260" w:hanging="398"/>
        <w:spacing w:after="0" w:line="236" w:lineRule="auto"/>
        <w:tabs>
          <w:tab w:leader="none" w:pos="840" w:val="left"/>
        </w:tabs>
        <w:numPr>
          <w:ilvl w:val="1"/>
          <w:numId w:val="83"/>
        </w:numPr>
        <w:rPr>
          <w:rFonts w:ascii="Arial" w:cs="Arial" w:eastAsia="Arial" w:hAnsi="Arial"/>
          <w:sz w:val="24"/>
          <w:szCs w:val="24"/>
          <w:color w:val="auto"/>
        </w:rPr>
      </w:pPr>
      <w:r>
        <w:rPr>
          <w:rFonts w:ascii="Arial" w:cs="Arial" w:eastAsia="Arial" w:hAnsi="Arial"/>
          <w:sz w:val="24"/>
          <w:szCs w:val="24"/>
          <w:color w:val="auto"/>
        </w:rPr>
        <w:t>after the closure of the public issue accept any instruments such as cheques/demand drafts/stock invests from any other source other than the designated Registrar to the Issue;</w:t>
      </w:r>
    </w:p>
    <w:p>
      <w:pPr>
        <w:spacing w:after="0" w:line="73" w:lineRule="exact"/>
        <w:rPr>
          <w:rFonts w:ascii="Arial" w:cs="Arial" w:eastAsia="Arial" w:hAnsi="Arial"/>
          <w:sz w:val="24"/>
          <w:szCs w:val="24"/>
          <w:color w:val="auto"/>
        </w:rPr>
      </w:pPr>
    </w:p>
    <w:p>
      <w:pPr>
        <w:ind w:left="840" w:right="280" w:hanging="412"/>
        <w:spacing w:after="0" w:line="234" w:lineRule="auto"/>
        <w:tabs>
          <w:tab w:leader="none" w:pos="840" w:val="left"/>
        </w:tabs>
        <w:numPr>
          <w:ilvl w:val="1"/>
          <w:numId w:val="83"/>
        </w:numPr>
        <w:rPr>
          <w:rFonts w:ascii="Arial" w:cs="Arial" w:eastAsia="Arial" w:hAnsi="Arial"/>
          <w:sz w:val="24"/>
          <w:szCs w:val="24"/>
          <w:color w:val="auto"/>
        </w:rPr>
      </w:pPr>
      <w:r>
        <w:rPr>
          <w:rFonts w:ascii="Arial" w:cs="Arial" w:eastAsia="Arial" w:hAnsi="Arial"/>
          <w:sz w:val="24"/>
          <w:szCs w:val="24"/>
          <w:color w:val="auto"/>
        </w:rPr>
        <w:t>part with the issue proceeds until listing permission is granted by the stock exchange to the body corporate;</w:t>
      </w:r>
    </w:p>
    <w:p>
      <w:pPr>
        <w:spacing w:after="0" w:line="71" w:lineRule="exact"/>
        <w:rPr>
          <w:rFonts w:ascii="Arial" w:cs="Arial" w:eastAsia="Arial" w:hAnsi="Arial"/>
          <w:sz w:val="24"/>
          <w:szCs w:val="24"/>
          <w:color w:val="auto"/>
        </w:rPr>
      </w:pPr>
    </w:p>
    <w:p>
      <w:pPr>
        <w:jc w:val="both"/>
        <w:ind w:left="840" w:right="260" w:hanging="412"/>
        <w:spacing w:after="0" w:line="238" w:lineRule="auto"/>
        <w:tabs>
          <w:tab w:leader="none" w:pos="840" w:val="left"/>
        </w:tabs>
        <w:numPr>
          <w:ilvl w:val="1"/>
          <w:numId w:val="83"/>
        </w:numPr>
        <w:rPr>
          <w:rFonts w:ascii="Arial" w:cs="Arial" w:eastAsia="Arial" w:hAnsi="Arial"/>
          <w:sz w:val="24"/>
          <w:szCs w:val="24"/>
          <w:color w:val="auto"/>
        </w:rPr>
      </w:pPr>
      <w:r>
        <w:rPr>
          <w:rFonts w:ascii="Arial" w:cs="Arial" w:eastAsia="Arial" w:hAnsi="Arial"/>
          <w:sz w:val="24"/>
          <w:szCs w:val="24"/>
          <w:color w:val="auto"/>
        </w:rPr>
        <w:t>delay in issuing the final certificate pertaining to the collection figures to the Registrar to the Issue, the lead manager and the body corporate and such figures should be submitted within seven working days from the issue closure date.</w:t>
      </w:r>
    </w:p>
    <w:p>
      <w:pPr>
        <w:spacing w:after="0" w:line="72" w:lineRule="exact"/>
        <w:rPr>
          <w:rFonts w:ascii="Arial" w:cs="Arial" w:eastAsia="Arial" w:hAnsi="Arial"/>
          <w:sz w:val="24"/>
          <w:szCs w:val="24"/>
          <w:color w:val="auto"/>
        </w:rPr>
      </w:pPr>
    </w:p>
    <w:p>
      <w:pPr>
        <w:ind w:left="360" w:right="280"/>
        <w:spacing w:after="0" w:line="234" w:lineRule="auto"/>
        <w:tabs>
          <w:tab w:leader="none" w:pos="644" w:val="left"/>
        </w:tabs>
        <w:numPr>
          <w:ilvl w:val="0"/>
          <w:numId w:val="83"/>
        </w:numPr>
        <w:rPr>
          <w:rFonts w:ascii="Arial" w:cs="Arial" w:eastAsia="Arial" w:hAnsi="Arial"/>
          <w:sz w:val="24"/>
          <w:szCs w:val="24"/>
          <w:b w:val="1"/>
          <w:bCs w:val="1"/>
          <w:color w:val="auto"/>
        </w:rPr>
      </w:pPr>
      <w:r>
        <w:rPr>
          <w:rFonts w:ascii="Arial" w:cs="Arial" w:eastAsia="Arial" w:hAnsi="Arial"/>
          <w:sz w:val="24"/>
          <w:szCs w:val="24"/>
          <w:color w:val="auto"/>
        </w:rPr>
        <w:t>A Banker to an issue shall be prompt in disbursing dividends, interests, or any such accrual income received or collected by him on behalf of his clients.</w:t>
      </w:r>
    </w:p>
    <w:p>
      <w:pPr>
        <w:spacing w:after="0" w:line="95" w:lineRule="exact"/>
        <w:rPr>
          <w:rFonts w:ascii="Arial" w:cs="Arial" w:eastAsia="Arial" w:hAnsi="Arial"/>
          <w:sz w:val="24"/>
          <w:szCs w:val="24"/>
          <w:b w:val="1"/>
          <w:bCs w:val="1"/>
          <w:color w:val="auto"/>
        </w:rPr>
      </w:pPr>
    </w:p>
    <w:p>
      <w:pPr>
        <w:jc w:val="both"/>
        <w:ind w:left="360" w:right="280"/>
        <w:spacing w:after="0" w:line="236" w:lineRule="auto"/>
        <w:tabs>
          <w:tab w:leader="none" w:pos="644" w:val="left"/>
        </w:tabs>
        <w:numPr>
          <w:ilvl w:val="0"/>
          <w:numId w:val="83"/>
        </w:numPr>
        <w:rPr>
          <w:rFonts w:ascii="Arial" w:cs="Arial" w:eastAsia="Arial" w:hAnsi="Arial"/>
          <w:sz w:val="24"/>
          <w:szCs w:val="24"/>
          <w:b w:val="1"/>
          <w:bCs w:val="1"/>
          <w:color w:val="auto"/>
        </w:rPr>
      </w:pPr>
      <w:r>
        <w:rPr>
          <w:rFonts w:ascii="Arial" w:cs="Arial" w:eastAsia="Arial" w:hAnsi="Arial"/>
          <w:sz w:val="24"/>
          <w:szCs w:val="24"/>
          <w:color w:val="auto"/>
        </w:rPr>
        <w:t>A Banker to an issue shall not make any exaggerated statement, whether oral or written to the client, either about its qualification or capability to render certain services or its achievements in regard to services rendered to other clients.</w:t>
      </w:r>
    </w:p>
    <w:p>
      <w:pPr>
        <w:spacing w:after="0" w:line="93" w:lineRule="exact"/>
        <w:rPr>
          <w:rFonts w:ascii="Arial" w:cs="Arial" w:eastAsia="Arial" w:hAnsi="Arial"/>
          <w:sz w:val="24"/>
          <w:szCs w:val="24"/>
          <w:b w:val="1"/>
          <w:bCs w:val="1"/>
          <w:color w:val="auto"/>
        </w:rPr>
      </w:pPr>
    </w:p>
    <w:p>
      <w:pPr>
        <w:jc w:val="both"/>
        <w:ind w:left="360" w:right="260"/>
        <w:spacing w:after="0" w:line="237" w:lineRule="auto"/>
        <w:tabs>
          <w:tab w:leader="none" w:pos="817" w:val="left"/>
        </w:tabs>
        <w:numPr>
          <w:ilvl w:val="0"/>
          <w:numId w:val="83"/>
        </w:numPr>
        <w:rPr>
          <w:rFonts w:ascii="Arial" w:cs="Arial" w:eastAsia="Arial" w:hAnsi="Arial"/>
          <w:sz w:val="24"/>
          <w:szCs w:val="24"/>
          <w:b w:val="1"/>
          <w:bCs w:val="1"/>
          <w:color w:val="auto"/>
        </w:rPr>
      </w:pPr>
      <w:r>
        <w:rPr>
          <w:rFonts w:ascii="Arial" w:cs="Arial" w:eastAsia="Arial" w:hAnsi="Arial"/>
          <w:sz w:val="24"/>
          <w:szCs w:val="24"/>
          <w:color w:val="auto"/>
        </w:rPr>
        <w:t>A Banker to an issue shall always endeavour to render the best possible advice to the clients having regard to the clients’ needs and the environments and his own professional skill.</w:t>
      </w:r>
    </w:p>
    <w:p>
      <w:pPr>
        <w:spacing w:after="0" w:line="90" w:lineRule="exact"/>
        <w:rPr>
          <w:rFonts w:ascii="Arial" w:cs="Arial" w:eastAsia="Arial" w:hAnsi="Arial"/>
          <w:sz w:val="24"/>
          <w:szCs w:val="24"/>
          <w:b w:val="1"/>
          <w:bCs w:val="1"/>
          <w:color w:val="auto"/>
        </w:rPr>
      </w:pPr>
    </w:p>
    <w:p>
      <w:pPr>
        <w:jc w:val="both"/>
        <w:ind w:left="360" w:right="280"/>
        <w:spacing w:after="0" w:line="238" w:lineRule="auto"/>
        <w:tabs>
          <w:tab w:leader="none" w:pos="793" w:val="left"/>
        </w:tabs>
        <w:numPr>
          <w:ilvl w:val="0"/>
          <w:numId w:val="83"/>
        </w:numPr>
        <w:rPr>
          <w:rFonts w:ascii="Arial" w:cs="Arial" w:eastAsia="Arial" w:hAnsi="Arial"/>
          <w:sz w:val="24"/>
          <w:szCs w:val="24"/>
          <w:b w:val="1"/>
          <w:bCs w:val="1"/>
          <w:color w:val="auto"/>
        </w:rPr>
      </w:pPr>
      <w:r>
        <w:rPr>
          <w:rFonts w:ascii="Arial" w:cs="Arial" w:eastAsia="Arial" w:hAnsi="Arial"/>
          <w:sz w:val="24"/>
          <w:szCs w:val="24"/>
          <w:color w:val="auto"/>
        </w:rPr>
        <w:t>A Banker to an issue shall not divulge to anybody either orally or in writing, directly or indirectly, any confidential information about its clients which has come to its knowledge, without taking prior permission of its clients except where such disclosures are required to be made in compliance with any law for the time being in force.</w:t>
      </w:r>
    </w:p>
    <w:p>
      <w:pPr>
        <w:spacing w:after="0" w:line="91" w:lineRule="exact"/>
        <w:rPr>
          <w:rFonts w:ascii="Arial" w:cs="Arial" w:eastAsia="Arial" w:hAnsi="Arial"/>
          <w:sz w:val="24"/>
          <w:szCs w:val="24"/>
          <w:b w:val="1"/>
          <w:bCs w:val="1"/>
          <w:color w:val="auto"/>
        </w:rPr>
      </w:pPr>
    </w:p>
    <w:p>
      <w:pPr>
        <w:ind w:left="360" w:right="260"/>
        <w:spacing w:after="0" w:line="236" w:lineRule="auto"/>
        <w:tabs>
          <w:tab w:leader="none" w:pos="826" w:val="left"/>
        </w:tabs>
        <w:numPr>
          <w:ilvl w:val="0"/>
          <w:numId w:val="83"/>
        </w:numPr>
        <w:rPr>
          <w:rFonts w:ascii="Arial" w:cs="Arial" w:eastAsia="Arial" w:hAnsi="Arial"/>
          <w:sz w:val="24"/>
          <w:szCs w:val="24"/>
          <w:b w:val="1"/>
          <w:bCs w:val="1"/>
          <w:color w:val="auto"/>
        </w:rPr>
      </w:pPr>
      <w:r>
        <w:rPr>
          <w:rFonts w:ascii="Arial" w:cs="Arial" w:eastAsia="Arial" w:hAnsi="Arial"/>
          <w:sz w:val="24"/>
          <w:szCs w:val="24"/>
          <w:color w:val="auto"/>
        </w:rPr>
        <w:t>A Banker to an issue shall avoid conflict of interest and make adequate disclosure of his interest.</w:t>
      </w:r>
    </w:p>
    <w:p>
      <w:pPr>
        <w:spacing w:after="0" w:line="71" w:lineRule="exact"/>
        <w:rPr>
          <w:rFonts w:ascii="Arial" w:cs="Arial" w:eastAsia="Arial" w:hAnsi="Arial"/>
          <w:sz w:val="24"/>
          <w:szCs w:val="24"/>
          <w:b w:val="1"/>
          <w:bCs w:val="1"/>
          <w:color w:val="auto"/>
        </w:rPr>
      </w:pPr>
    </w:p>
    <w:p>
      <w:pPr>
        <w:jc w:val="both"/>
        <w:ind w:left="360" w:right="260"/>
        <w:spacing w:after="0" w:line="237" w:lineRule="auto"/>
        <w:tabs>
          <w:tab w:leader="none" w:pos="773" w:val="left"/>
        </w:tabs>
        <w:numPr>
          <w:ilvl w:val="0"/>
          <w:numId w:val="83"/>
        </w:numPr>
        <w:rPr>
          <w:rFonts w:ascii="Arial" w:cs="Arial" w:eastAsia="Arial" w:hAnsi="Arial"/>
          <w:sz w:val="24"/>
          <w:szCs w:val="24"/>
          <w:b w:val="1"/>
          <w:bCs w:val="1"/>
          <w:color w:val="auto"/>
        </w:rPr>
      </w:pPr>
      <w:r>
        <w:rPr>
          <w:rFonts w:ascii="Arial" w:cs="Arial" w:eastAsia="Arial" w:hAnsi="Arial"/>
          <w:sz w:val="24"/>
          <w:szCs w:val="24"/>
          <w:color w:val="auto"/>
        </w:rPr>
        <w:t>A Banker to an issue shall put in place a mechanism to resolve any conflict of interest situation that may arise in the conduct of its business or where any conflict of interest arises, shall take reasonable steps to resolve the same in an equitable manner.</w:t>
      </w:r>
    </w:p>
    <w:p>
      <w:pPr>
        <w:spacing w:after="0" w:line="72" w:lineRule="exact"/>
        <w:rPr>
          <w:rFonts w:ascii="Arial" w:cs="Arial" w:eastAsia="Arial" w:hAnsi="Arial"/>
          <w:sz w:val="24"/>
          <w:szCs w:val="24"/>
          <w:b w:val="1"/>
          <w:bCs w:val="1"/>
          <w:color w:val="auto"/>
        </w:rPr>
      </w:pPr>
    </w:p>
    <w:p>
      <w:pPr>
        <w:jc w:val="both"/>
        <w:ind w:left="360" w:right="260"/>
        <w:spacing w:after="0" w:line="237" w:lineRule="auto"/>
        <w:tabs>
          <w:tab w:leader="none" w:pos="807" w:val="left"/>
        </w:tabs>
        <w:numPr>
          <w:ilvl w:val="0"/>
          <w:numId w:val="83"/>
        </w:numPr>
        <w:rPr>
          <w:rFonts w:ascii="Arial" w:cs="Arial" w:eastAsia="Arial" w:hAnsi="Arial"/>
          <w:sz w:val="24"/>
          <w:szCs w:val="24"/>
          <w:b w:val="1"/>
          <w:bCs w:val="1"/>
          <w:color w:val="auto"/>
        </w:rPr>
      </w:pPr>
      <w:r>
        <w:rPr>
          <w:rFonts w:ascii="Arial" w:cs="Arial" w:eastAsia="Arial" w:hAnsi="Arial"/>
          <w:sz w:val="24"/>
          <w:szCs w:val="24"/>
          <w:color w:val="auto"/>
        </w:rPr>
        <w:t>A Banker to an issue shall make appropriate disclosure to the client of its possible source or potential areas of conflict of duties and interest while acting as banker to an issue which would impair its ability to render fair, objective and unbiased services.</w:t>
      </w:r>
    </w:p>
    <w:p>
      <w:pPr>
        <w:spacing w:after="0" w:line="71" w:lineRule="exact"/>
        <w:rPr>
          <w:rFonts w:ascii="Arial" w:cs="Arial" w:eastAsia="Arial" w:hAnsi="Arial"/>
          <w:sz w:val="24"/>
          <w:szCs w:val="24"/>
          <w:b w:val="1"/>
          <w:bCs w:val="1"/>
          <w:color w:val="auto"/>
        </w:rPr>
      </w:pPr>
    </w:p>
    <w:p>
      <w:pPr>
        <w:jc w:val="both"/>
        <w:ind w:left="360" w:right="260"/>
        <w:spacing w:after="0" w:line="238" w:lineRule="auto"/>
        <w:tabs>
          <w:tab w:leader="none" w:pos="769" w:val="left"/>
        </w:tabs>
        <w:numPr>
          <w:ilvl w:val="0"/>
          <w:numId w:val="83"/>
        </w:numPr>
        <w:rPr>
          <w:rFonts w:ascii="Arial" w:cs="Arial" w:eastAsia="Arial" w:hAnsi="Arial"/>
          <w:sz w:val="24"/>
          <w:szCs w:val="24"/>
          <w:b w:val="1"/>
          <w:bCs w:val="1"/>
          <w:color w:val="auto"/>
        </w:rPr>
      </w:pPr>
      <w:r>
        <w:rPr>
          <w:rFonts w:ascii="Arial" w:cs="Arial" w:eastAsia="Arial" w:hAnsi="Arial"/>
          <w:sz w:val="24"/>
          <w:szCs w:val="24"/>
          <w:color w:val="auto"/>
        </w:rPr>
        <w:t>A Banker to an issue shall not indulge in any unfair competition, which is likely to harm the interests of other bankers to an issue or investors or is likely to place such other bankers to an issue in a disadvantageous position while competing for or executing any assignment.</w:t>
      </w:r>
    </w:p>
    <w:p>
      <w:pPr>
        <w:spacing w:after="0" w:line="71" w:lineRule="exact"/>
        <w:rPr>
          <w:rFonts w:ascii="Arial" w:cs="Arial" w:eastAsia="Arial" w:hAnsi="Arial"/>
          <w:sz w:val="24"/>
          <w:szCs w:val="24"/>
          <w:b w:val="1"/>
          <w:bCs w:val="1"/>
          <w:color w:val="auto"/>
        </w:rPr>
      </w:pPr>
    </w:p>
    <w:p>
      <w:pPr>
        <w:ind w:left="360" w:right="260"/>
        <w:spacing w:after="0" w:line="234" w:lineRule="auto"/>
        <w:tabs>
          <w:tab w:leader="none" w:pos="817" w:val="left"/>
        </w:tabs>
        <w:numPr>
          <w:ilvl w:val="0"/>
          <w:numId w:val="83"/>
        </w:numPr>
        <w:rPr>
          <w:rFonts w:ascii="Arial" w:cs="Arial" w:eastAsia="Arial" w:hAnsi="Arial"/>
          <w:sz w:val="24"/>
          <w:szCs w:val="24"/>
          <w:b w:val="1"/>
          <w:bCs w:val="1"/>
          <w:color w:val="auto"/>
        </w:rPr>
      </w:pPr>
      <w:r>
        <w:rPr>
          <w:rFonts w:ascii="Arial" w:cs="Arial" w:eastAsia="Arial" w:hAnsi="Arial"/>
          <w:sz w:val="24"/>
          <w:szCs w:val="24"/>
          <w:color w:val="auto"/>
        </w:rPr>
        <w:t>A Banker to an issue shall not discriminate amongst its clients, save and except on ethical and commercial considerations.</w:t>
      </w:r>
    </w:p>
    <w:p>
      <w:pPr>
        <w:spacing w:after="0" w:line="392"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22</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22" w:name="page23"/>
    <w:bookmarkEnd w:id="22"/>
    <w:p>
      <w:pPr>
        <w:spacing w:after="0" w:line="11" w:lineRule="exact"/>
        <w:rPr>
          <w:sz w:val="20"/>
          <w:szCs w:val="20"/>
          <w:color w:val="auto"/>
        </w:rPr>
      </w:pPr>
    </w:p>
    <w:p>
      <w:pPr>
        <w:jc w:val="both"/>
        <w:ind w:left="360" w:right="260"/>
        <w:spacing w:after="0"/>
        <w:tabs>
          <w:tab w:leader="none" w:pos="788" w:val="left"/>
        </w:tabs>
        <w:numPr>
          <w:ilvl w:val="0"/>
          <w:numId w:val="84"/>
        </w:numPr>
        <w:rPr>
          <w:rFonts w:ascii="Arial" w:cs="Arial" w:eastAsia="Arial" w:hAnsi="Arial"/>
          <w:sz w:val="24"/>
          <w:szCs w:val="24"/>
          <w:b w:val="1"/>
          <w:bCs w:val="1"/>
          <w:color w:val="auto"/>
        </w:rPr>
      </w:pPr>
      <w:r>
        <w:rPr>
          <w:rFonts w:ascii="Arial" w:cs="Arial" w:eastAsia="Arial" w:hAnsi="Arial"/>
          <w:sz w:val="24"/>
          <w:szCs w:val="24"/>
          <w:color w:val="auto"/>
        </w:rPr>
        <w:t>A Banker to an issue shall ensure that any change in registration status/any penal action taken by Board or any material change in financials which may adversely affect the interests of clients/investors is promptly informed to the clients and any business remaining outstanding is transferred to another registered person in accordance with any instructions of the affected clients/investors.</w:t>
      </w:r>
    </w:p>
    <w:p>
      <w:pPr>
        <w:spacing w:after="0" w:line="334" w:lineRule="exact"/>
        <w:rPr>
          <w:rFonts w:ascii="Arial" w:cs="Arial" w:eastAsia="Arial" w:hAnsi="Arial"/>
          <w:sz w:val="24"/>
          <w:szCs w:val="24"/>
          <w:b w:val="1"/>
          <w:bCs w:val="1"/>
          <w:color w:val="auto"/>
        </w:rPr>
      </w:pPr>
    </w:p>
    <w:p>
      <w:pPr>
        <w:jc w:val="both"/>
        <w:ind w:left="360" w:right="260"/>
        <w:spacing w:after="0" w:line="238" w:lineRule="auto"/>
        <w:tabs>
          <w:tab w:leader="none" w:pos="797" w:val="left"/>
        </w:tabs>
        <w:numPr>
          <w:ilvl w:val="0"/>
          <w:numId w:val="84"/>
        </w:numPr>
        <w:rPr>
          <w:rFonts w:ascii="Arial" w:cs="Arial" w:eastAsia="Arial" w:hAnsi="Arial"/>
          <w:sz w:val="24"/>
          <w:szCs w:val="24"/>
          <w:b w:val="1"/>
          <w:bCs w:val="1"/>
          <w:color w:val="auto"/>
        </w:rPr>
      </w:pPr>
      <w:r>
        <w:rPr>
          <w:rFonts w:ascii="Arial" w:cs="Arial" w:eastAsia="Arial" w:hAnsi="Arial"/>
          <w:sz w:val="24"/>
          <w:szCs w:val="24"/>
          <w:color w:val="auto"/>
        </w:rPr>
        <w:t>A Banker to an issue shall maintain an appropriate level of knowledge and competency and abide by the provisions of the Act, regulations, circulars and guidelines of the Board. The banker to an issue shall also comply with the award of the Ombudsman passed under the Securities and Exchange Board of India (Ombudsman) Regulations, 2003.</w:t>
      </w:r>
    </w:p>
    <w:p>
      <w:pPr>
        <w:spacing w:after="0" w:line="72" w:lineRule="exact"/>
        <w:rPr>
          <w:rFonts w:ascii="Arial" w:cs="Arial" w:eastAsia="Arial" w:hAnsi="Arial"/>
          <w:sz w:val="24"/>
          <w:szCs w:val="24"/>
          <w:b w:val="1"/>
          <w:bCs w:val="1"/>
          <w:color w:val="auto"/>
        </w:rPr>
      </w:pPr>
    </w:p>
    <w:p>
      <w:pPr>
        <w:jc w:val="both"/>
        <w:ind w:left="360" w:right="260"/>
        <w:spacing w:after="0" w:line="238" w:lineRule="auto"/>
        <w:tabs>
          <w:tab w:leader="none" w:pos="783" w:val="left"/>
        </w:tabs>
        <w:numPr>
          <w:ilvl w:val="0"/>
          <w:numId w:val="84"/>
        </w:numPr>
        <w:rPr>
          <w:rFonts w:ascii="Arial" w:cs="Arial" w:eastAsia="Arial" w:hAnsi="Arial"/>
          <w:sz w:val="24"/>
          <w:szCs w:val="24"/>
          <w:b w:val="1"/>
          <w:bCs w:val="1"/>
          <w:color w:val="auto"/>
        </w:rPr>
      </w:pPr>
      <w:r>
        <w:rPr>
          <w:rFonts w:ascii="Arial" w:cs="Arial" w:eastAsia="Arial" w:hAnsi="Arial"/>
          <w:sz w:val="24"/>
          <w:szCs w:val="24"/>
          <w:color w:val="auto"/>
        </w:rPr>
        <w:t>A Banker to an issue shall ensure that the Board is promptly informed about any action, legal proceedings, etc., initiated against it in respect of any material breach or non-compliance by it, of any law, rules, regulations, and directions of the Board or of any other regulatory body.</w:t>
      </w:r>
    </w:p>
    <w:p>
      <w:pPr>
        <w:spacing w:after="0" w:line="72" w:lineRule="exact"/>
        <w:rPr>
          <w:rFonts w:ascii="Arial" w:cs="Arial" w:eastAsia="Arial" w:hAnsi="Arial"/>
          <w:sz w:val="24"/>
          <w:szCs w:val="24"/>
          <w:b w:val="1"/>
          <w:bCs w:val="1"/>
          <w:color w:val="auto"/>
        </w:rPr>
      </w:pPr>
    </w:p>
    <w:p>
      <w:pPr>
        <w:jc w:val="both"/>
        <w:ind w:left="360" w:right="260"/>
        <w:spacing w:after="0" w:line="236" w:lineRule="auto"/>
        <w:tabs>
          <w:tab w:leader="none" w:pos="793" w:val="left"/>
        </w:tabs>
        <w:numPr>
          <w:ilvl w:val="0"/>
          <w:numId w:val="84"/>
        </w:numPr>
        <w:rPr>
          <w:rFonts w:ascii="Arial" w:cs="Arial" w:eastAsia="Arial" w:hAnsi="Arial"/>
          <w:sz w:val="24"/>
          <w:szCs w:val="24"/>
          <w:b w:val="1"/>
          <w:bCs w:val="1"/>
          <w:color w:val="auto"/>
        </w:rPr>
      </w:pPr>
      <w:r>
        <w:rPr>
          <w:rFonts w:ascii="Arial" w:cs="Arial" w:eastAsia="Arial" w:hAnsi="Arial"/>
          <w:sz w:val="24"/>
          <w:szCs w:val="24"/>
          <w:color w:val="auto"/>
        </w:rPr>
        <w:t>A Banker to an issue shall not make any untrue statement or suppress any material fact in any documents, reports, papers or information furnished to the Board.</w:t>
      </w:r>
    </w:p>
    <w:p>
      <w:pPr>
        <w:spacing w:after="0" w:line="73" w:lineRule="exact"/>
        <w:rPr>
          <w:rFonts w:ascii="Arial" w:cs="Arial" w:eastAsia="Arial" w:hAnsi="Arial"/>
          <w:sz w:val="24"/>
          <w:szCs w:val="24"/>
          <w:b w:val="1"/>
          <w:bCs w:val="1"/>
          <w:color w:val="auto"/>
        </w:rPr>
      </w:pPr>
    </w:p>
    <w:p>
      <w:pPr>
        <w:jc w:val="both"/>
        <w:ind w:left="360" w:right="260"/>
        <w:spacing w:after="0" w:line="237" w:lineRule="auto"/>
        <w:tabs>
          <w:tab w:leader="none" w:pos="778" w:val="left"/>
        </w:tabs>
        <w:numPr>
          <w:ilvl w:val="0"/>
          <w:numId w:val="84"/>
        </w:numPr>
        <w:rPr>
          <w:rFonts w:ascii="Arial" w:cs="Arial" w:eastAsia="Arial" w:hAnsi="Arial"/>
          <w:sz w:val="24"/>
          <w:szCs w:val="24"/>
          <w:b w:val="1"/>
          <w:bCs w:val="1"/>
          <w:color w:val="auto"/>
        </w:rPr>
      </w:pPr>
      <w:r>
        <w:rPr>
          <w:rFonts w:ascii="Arial" w:cs="Arial" w:eastAsia="Arial" w:hAnsi="Arial"/>
          <w:sz w:val="24"/>
          <w:szCs w:val="24"/>
          <w:color w:val="auto"/>
        </w:rPr>
        <w:t>A Banker to an issue shall not neglect or fail or refuse to submit to the Board or other agencies with which it is registered, such books, documents, correspondence, and papers or any part thereof as may be demanded/requested from time to time.</w:t>
      </w:r>
    </w:p>
    <w:p>
      <w:pPr>
        <w:spacing w:after="0" w:line="71" w:lineRule="exact"/>
        <w:rPr>
          <w:rFonts w:ascii="Arial" w:cs="Arial" w:eastAsia="Arial" w:hAnsi="Arial"/>
          <w:sz w:val="24"/>
          <w:szCs w:val="24"/>
          <w:b w:val="1"/>
          <w:bCs w:val="1"/>
          <w:color w:val="auto"/>
        </w:rPr>
      </w:pPr>
    </w:p>
    <w:p>
      <w:pPr>
        <w:jc w:val="both"/>
        <w:ind w:left="360" w:right="260"/>
        <w:spacing w:after="0" w:line="238" w:lineRule="auto"/>
        <w:tabs>
          <w:tab w:leader="none" w:pos="802" w:val="left"/>
        </w:tabs>
        <w:numPr>
          <w:ilvl w:val="0"/>
          <w:numId w:val="84"/>
        </w:numPr>
        <w:rPr>
          <w:rFonts w:ascii="Arial" w:cs="Arial" w:eastAsia="Arial" w:hAnsi="Arial"/>
          <w:sz w:val="24"/>
          <w:szCs w:val="24"/>
          <w:b w:val="1"/>
          <w:bCs w:val="1"/>
          <w:color w:val="auto"/>
        </w:rPr>
      </w:pPr>
      <w:r>
        <w:rPr>
          <w:rFonts w:ascii="Arial" w:cs="Arial" w:eastAsia="Arial" w:hAnsi="Arial"/>
          <w:sz w:val="24"/>
          <w:szCs w:val="24"/>
          <w:color w:val="auto"/>
        </w:rPr>
        <w:t>A Banker to an issue shall abide by the provisions of such acts and rules, regulations, guidelines, resolutions, notifications, directions, circulars and instructions as may be issued from time to time by the Central Government, the Reserve Bank of India, the Indian Banks Association or the Board and as may be applicable and relevant to the activities carried on by the banker to an issue.</w:t>
      </w:r>
    </w:p>
    <w:p>
      <w:pPr>
        <w:spacing w:after="0" w:line="72" w:lineRule="exact"/>
        <w:rPr>
          <w:rFonts w:ascii="Arial" w:cs="Arial" w:eastAsia="Arial" w:hAnsi="Arial"/>
          <w:sz w:val="24"/>
          <w:szCs w:val="24"/>
          <w:b w:val="1"/>
          <w:bCs w:val="1"/>
          <w:color w:val="auto"/>
        </w:rPr>
      </w:pPr>
    </w:p>
    <w:p>
      <w:pPr>
        <w:jc w:val="both"/>
        <w:ind w:left="360" w:right="260"/>
        <w:spacing w:after="0" w:line="238" w:lineRule="auto"/>
        <w:tabs>
          <w:tab w:leader="none" w:pos="778" w:val="left"/>
        </w:tabs>
        <w:numPr>
          <w:ilvl w:val="0"/>
          <w:numId w:val="84"/>
        </w:numPr>
        <w:rPr>
          <w:rFonts w:ascii="Arial" w:cs="Arial" w:eastAsia="Arial" w:hAnsi="Arial"/>
          <w:sz w:val="24"/>
          <w:szCs w:val="24"/>
          <w:b w:val="1"/>
          <w:bCs w:val="1"/>
          <w:color w:val="auto"/>
        </w:rPr>
      </w:pPr>
      <w:r>
        <w:rPr>
          <w:rFonts w:ascii="Arial" w:cs="Arial" w:eastAsia="Arial" w:hAnsi="Arial"/>
          <w:sz w:val="24"/>
          <w:szCs w:val="24"/>
          <w:color w:val="auto"/>
        </w:rPr>
        <w:t>(a) A Banker to an issue or any of his employees shall not render, directly or indirectly, any investment advice about any security in the publicly accessible media, whether real-time or non-real-time, unless a disclosure of its interest including long or short position in the said security has been made, while rendering such advice.</w:t>
      </w:r>
    </w:p>
    <w:p>
      <w:pPr>
        <w:spacing w:after="0" w:line="72" w:lineRule="exact"/>
        <w:rPr>
          <w:sz w:val="20"/>
          <w:szCs w:val="20"/>
          <w:color w:val="auto"/>
        </w:rPr>
      </w:pPr>
    </w:p>
    <w:p>
      <w:pPr>
        <w:jc w:val="both"/>
        <w:ind w:left="360" w:right="260"/>
        <w:spacing w:after="0" w:line="238" w:lineRule="auto"/>
        <w:tabs>
          <w:tab w:leader="none" w:pos="744" w:val="left"/>
        </w:tabs>
        <w:numPr>
          <w:ilvl w:val="0"/>
          <w:numId w:val="85"/>
        </w:numPr>
        <w:rPr>
          <w:rFonts w:ascii="Arial" w:cs="Arial" w:eastAsia="Arial" w:hAnsi="Arial"/>
          <w:sz w:val="24"/>
          <w:szCs w:val="24"/>
          <w:color w:val="auto"/>
        </w:rPr>
      </w:pPr>
      <w:r>
        <w:rPr>
          <w:rFonts w:ascii="Arial" w:cs="Arial" w:eastAsia="Arial" w:hAnsi="Arial"/>
          <w:sz w:val="24"/>
          <w:szCs w:val="24"/>
          <w:color w:val="auto"/>
        </w:rPr>
        <w:t>In case, an employee of the banker to an issue is rendering such advice, the banker to an issue shall ensure that he discloses his interest, the interest of his dependent family members and that of the employer including employer’s long or short position in the said security, while rendering such advice.</w:t>
      </w:r>
    </w:p>
    <w:p>
      <w:pPr>
        <w:spacing w:after="0" w:line="72" w:lineRule="exact"/>
        <w:rPr>
          <w:sz w:val="20"/>
          <w:szCs w:val="20"/>
          <w:color w:val="auto"/>
        </w:rPr>
      </w:pPr>
    </w:p>
    <w:p>
      <w:pPr>
        <w:jc w:val="both"/>
        <w:ind w:left="360" w:right="260"/>
        <w:spacing w:after="0" w:line="237" w:lineRule="auto"/>
        <w:tabs>
          <w:tab w:leader="none" w:pos="850" w:val="left"/>
        </w:tabs>
        <w:numPr>
          <w:ilvl w:val="0"/>
          <w:numId w:val="86"/>
        </w:numPr>
        <w:rPr>
          <w:rFonts w:ascii="Arial" w:cs="Arial" w:eastAsia="Arial" w:hAnsi="Arial"/>
          <w:sz w:val="24"/>
          <w:szCs w:val="24"/>
          <w:b w:val="1"/>
          <w:bCs w:val="1"/>
          <w:color w:val="auto"/>
        </w:rPr>
      </w:pPr>
      <w:r>
        <w:rPr>
          <w:rFonts w:ascii="Arial" w:cs="Arial" w:eastAsia="Arial" w:hAnsi="Arial"/>
          <w:sz w:val="24"/>
          <w:szCs w:val="24"/>
          <w:color w:val="auto"/>
        </w:rPr>
        <w:t>A Banker to an issue or any of its directors, or employee having the management of the whole or substantially the whole of affairs of the business, shall not, either through its account or their respective accounts or through their family members, relatives or friends indulge in any insider trading.</w:t>
      </w:r>
    </w:p>
    <w:p>
      <w:pPr>
        <w:spacing w:after="0" w:line="71" w:lineRule="exact"/>
        <w:rPr>
          <w:rFonts w:ascii="Arial" w:cs="Arial" w:eastAsia="Arial" w:hAnsi="Arial"/>
          <w:sz w:val="24"/>
          <w:szCs w:val="24"/>
          <w:b w:val="1"/>
          <w:bCs w:val="1"/>
          <w:color w:val="auto"/>
        </w:rPr>
      </w:pPr>
    </w:p>
    <w:p>
      <w:pPr>
        <w:jc w:val="both"/>
        <w:ind w:left="360" w:right="260"/>
        <w:spacing w:after="0" w:line="238" w:lineRule="auto"/>
        <w:tabs>
          <w:tab w:leader="none" w:pos="778" w:val="left"/>
        </w:tabs>
        <w:numPr>
          <w:ilvl w:val="0"/>
          <w:numId w:val="86"/>
        </w:numPr>
        <w:rPr>
          <w:rFonts w:ascii="Arial" w:cs="Arial" w:eastAsia="Arial" w:hAnsi="Arial"/>
          <w:sz w:val="24"/>
          <w:szCs w:val="24"/>
          <w:b w:val="1"/>
          <w:bCs w:val="1"/>
          <w:color w:val="auto"/>
        </w:rPr>
      </w:pPr>
      <w:r>
        <w:rPr>
          <w:rFonts w:ascii="Arial" w:cs="Arial" w:eastAsia="Arial" w:hAnsi="Arial"/>
          <w:sz w:val="24"/>
          <w:szCs w:val="24"/>
          <w:color w:val="auto"/>
        </w:rPr>
        <w:t>A Banker to an issue shall have internal control procedures and financial and operational capabilities which can be reasonably expected to protect its operations, its clients, investors and other registered entities from financial loss arising from theft, fraud, and other dishonest acts, professional misconduct or omissions.</w:t>
      </w:r>
    </w:p>
    <w:p>
      <w:pPr>
        <w:spacing w:after="0" w:line="219"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23</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p>
      <w:pPr>
        <w:sectPr>
          <w:pgSz w:w="12240" w:h="15840" w:orient="portrait"/>
          <w:cols w:equalWidth="0" w:num="1">
            <w:col w:w="9360"/>
          </w:cols>
          <w:pgMar w:left="1440" w:top="1440" w:right="1440" w:bottom="426" w:gutter="0" w:footer="0" w:header="0"/>
        </w:sectPr>
      </w:pPr>
    </w:p>
    <w:bookmarkStart w:id="23" w:name="page24"/>
    <w:bookmarkEnd w:id="23"/>
    <w:p>
      <w:pPr>
        <w:spacing w:after="0" w:line="11" w:lineRule="exact"/>
        <w:rPr>
          <w:sz w:val="20"/>
          <w:szCs w:val="20"/>
          <w:color w:val="auto"/>
        </w:rPr>
      </w:pPr>
    </w:p>
    <w:p>
      <w:pPr>
        <w:ind w:left="360" w:right="280"/>
        <w:spacing w:after="0" w:line="234" w:lineRule="auto"/>
        <w:tabs>
          <w:tab w:leader="none" w:pos="826" w:val="left"/>
        </w:tabs>
        <w:numPr>
          <w:ilvl w:val="0"/>
          <w:numId w:val="87"/>
        </w:numPr>
        <w:rPr>
          <w:rFonts w:ascii="Arial" w:cs="Arial" w:eastAsia="Arial" w:hAnsi="Arial"/>
          <w:sz w:val="24"/>
          <w:szCs w:val="24"/>
          <w:b w:val="1"/>
          <w:bCs w:val="1"/>
          <w:color w:val="auto"/>
        </w:rPr>
      </w:pPr>
      <w:r>
        <w:rPr>
          <w:rFonts w:ascii="Arial" w:cs="Arial" w:eastAsia="Arial" w:hAnsi="Arial"/>
          <w:sz w:val="24"/>
          <w:szCs w:val="24"/>
          <w:color w:val="auto"/>
        </w:rPr>
        <w:t>A Banker to an issue shall provide adequate freedom and powers to its compliance officer for the effective discharge of its duties.</w:t>
      </w:r>
    </w:p>
    <w:p>
      <w:pPr>
        <w:spacing w:after="0" w:line="95" w:lineRule="exact"/>
        <w:rPr>
          <w:rFonts w:ascii="Arial" w:cs="Arial" w:eastAsia="Arial" w:hAnsi="Arial"/>
          <w:sz w:val="24"/>
          <w:szCs w:val="24"/>
          <w:b w:val="1"/>
          <w:bCs w:val="1"/>
          <w:color w:val="auto"/>
        </w:rPr>
      </w:pPr>
    </w:p>
    <w:p>
      <w:pPr>
        <w:jc w:val="both"/>
        <w:ind w:left="360" w:right="260"/>
        <w:spacing w:after="0" w:line="238" w:lineRule="auto"/>
        <w:tabs>
          <w:tab w:leader="none" w:pos="826" w:val="left"/>
        </w:tabs>
        <w:numPr>
          <w:ilvl w:val="0"/>
          <w:numId w:val="87"/>
        </w:numPr>
        <w:rPr>
          <w:rFonts w:ascii="Arial" w:cs="Arial" w:eastAsia="Arial" w:hAnsi="Arial"/>
          <w:sz w:val="24"/>
          <w:szCs w:val="24"/>
          <w:b w:val="1"/>
          <w:bCs w:val="1"/>
          <w:color w:val="auto"/>
        </w:rPr>
      </w:pPr>
      <w:r>
        <w:rPr>
          <w:rFonts w:ascii="Arial" w:cs="Arial" w:eastAsia="Arial" w:hAnsi="Arial"/>
          <w:sz w:val="24"/>
          <w:szCs w:val="24"/>
          <w:color w:val="auto"/>
        </w:rPr>
        <w:t>A Banker to an issue shall develop its own internal code of conduct for governing its internal operations and laying down its standards of appropriate conduct for its employees and officers in the carrying out of their duties as a banker to an issue and as a part of the industry. Such a code may extend to the maintenance of professional excellence and standards, integrity, confidentiality, objectivity, avoidance of conflict of interests, disclosure of shareholdings and interests, etc.</w:t>
      </w:r>
    </w:p>
    <w:p>
      <w:pPr>
        <w:spacing w:after="0" w:line="96" w:lineRule="exact"/>
        <w:rPr>
          <w:rFonts w:ascii="Arial" w:cs="Arial" w:eastAsia="Arial" w:hAnsi="Arial"/>
          <w:sz w:val="24"/>
          <w:szCs w:val="24"/>
          <w:b w:val="1"/>
          <w:bCs w:val="1"/>
          <w:color w:val="auto"/>
        </w:rPr>
      </w:pPr>
    </w:p>
    <w:p>
      <w:pPr>
        <w:jc w:val="both"/>
        <w:ind w:left="360" w:right="280"/>
        <w:spacing w:after="0" w:line="237" w:lineRule="auto"/>
        <w:tabs>
          <w:tab w:leader="none" w:pos="788" w:val="left"/>
        </w:tabs>
        <w:numPr>
          <w:ilvl w:val="0"/>
          <w:numId w:val="87"/>
        </w:numPr>
        <w:rPr>
          <w:rFonts w:ascii="Arial" w:cs="Arial" w:eastAsia="Arial" w:hAnsi="Arial"/>
          <w:sz w:val="24"/>
          <w:szCs w:val="24"/>
          <w:b w:val="1"/>
          <w:bCs w:val="1"/>
          <w:color w:val="auto"/>
        </w:rPr>
      </w:pPr>
      <w:r>
        <w:rPr>
          <w:rFonts w:ascii="Arial" w:cs="Arial" w:eastAsia="Arial" w:hAnsi="Arial"/>
          <w:sz w:val="24"/>
          <w:szCs w:val="24"/>
          <w:color w:val="auto"/>
        </w:rPr>
        <w:t>A Banker to an issue shall ensure that any person it employs or appoints to conduct a business is fit and proper and otherwise qualified to act in the capacity so employed or appointed (including having relevant professional training or experience).</w:t>
      </w:r>
    </w:p>
    <w:p>
      <w:pPr>
        <w:spacing w:after="0" w:line="90" w:lineRule="exact"/>
        <w:rPr>
          <w:rFonts w:ascii="Arial" w:cs="Arial" w:eastAsia="Arial" w:hAnsi="Arial"/>
          <w:sz w:val="24"/>
          <w:szCs w:val="24"/>
          <w:b w:val="1"/>
          <w:bCs w:val="1"/>
          <w:color w:val="auto"/>
        </w:rPr>
      </w:pPr>
    </w:p>
    <w:p>
      <w:pPr>
        <w:jc w:val="both"/>
        <w:ind w:left="360" w:right="280"/>
        <w:spacing w:after="0" w:line="237" w:lineRule="auto"/>
        <w:tabs>
          <w:tab w:leader="none" w:pos="769" w:val="left"/>
        </w:tabs>
        <w:numPr>
          <w:ilvl w:val="0"/>
          <w:numId w:val="87"/>
        </w:numPr>
        <w:rPr>
          <w:rFonts w:ascii="Arial" w:cs="Arial" w:eastAsia="Arial" w:hAnsi="Arial"/>
          <w:sz w:val="24"/>
          <w:szCs w:val="24"/>
          <w:b w:val="1"/>
          <w:bCs w:val="1"/>
          <w:color w:val="auto"/>
        </w:rPr>
      </w:pPr>
      <w:r>
        <w:rPr>
          <w:rFonts w:ascii="Arial" w:cs="Arial" w:eastAsia="Arial" w:hAnsi="Arial"/>
          <w:sz w:val="24"/>
          <w:szCs w:val="24"/>
          <w:color w:val="auto"/>
        </w:rPr>
        <w:t>A Banker to an issue shall ensure that it has adequate resources to supervise diligently and does supervise diligently persons employed or appointed by it to conduct business on its behalf.</w:t>
      </w:r>
    </w:p>
    <w:p>
      <w:pPr>
        <w:spacing w:after="0" w:line="95" w:lineRule="exact"/>
        <w:rPr>
          <w:rFonts w:ascii="Arial" w:cs="Arial" w:eastAsia="Arial" w:hAnsi="Arial"/>
          <w:sz w:val="24"/>
          <w:szCs w:val="24"/>
          <w:b w:val="1"/>
          <w:bCs w:val="1"/>
          <w:color w:val="auto"/>
        </w:rPr>
      </w:pPr>
    </w:p>
    <w:p>
      <w:pPr>
        <w:ind w:left="360" w:right="260"/>
        <w:spacing w:after="0" w:line="234" w:lineRule="auto"/>
        <w:tabs>
          <w:tab w:leader="none" w:pos="812" w:val="left"/>
        </w:tabs>
        <w:numPr>
          <w:ilvl w:val="0"/>
          <w:numId w:val="87"/>
        </w:numPr>
        <w:rPr>
          <w:rFonts w:ascii="Arial" w:cs="Arial" w:eastAsia="Arial" w:hAnsi="Arial"/>
          <w:sz w:val="24"/>
          <w:szCs w:val="24"/>
          <w:b w:val="1"/>
          <w:bCs w:val="1"/>
          <w:color w:val="auto"/>
        </w:rPr>
      </w:pPr>
      <w:r>
        <w:rPr>
          <w:rFonts w:ascii="Arial" w:cs="Arial" w:eastAsia="Arial" w:hAnsi="Arial"/>
          <w:sz w:val="24"/>
          <w:szCs w:val="24"/>
          <w:color w:val="auto"/>
        </w:rPr>
        <w:t>A Banker to an issue shall be responsible for the acts or omissions of its employees and agents in respect to the conduct of its business.</w:t>
      </w:r>
    </w:p>
    <w:p>
      <w:pPr>
        <w:spacing w:after="0" w:line="90" w:lineRule="exact"/>
        <w:rPr>
          <w:rFonts w:ascii="Arial" w:cs="Arial" w:eastAsia="Arial" w:hAnsi="Arial"/>
          <w:sz w:val="24"/>
          <w:szCs w:val="24"/>
          <w:b w:val="1"/>
          <w:bCs w:val="1"/>
          <w:color w:val="auto"/>
        </w:rPr>
      </w:pPr>
    </w:p>
    <w:p>
      <w:pPr>
        <w:jc w:val="both"/>
        <w:ind w:left="360" w:right="260"/>
        <w:spacing w:after="0" w:line="237" w:lineRule="auto"/>
        <w:tabs>
          <w:tab w:leader="none" w:pos="797" w:val="left"/>
        </w:tabs>
        <w:numPr>
          <w:ilvl w:val="0"/>
          <w:numId w:val="87"/>
        </w:numPr>
        <w:rPr>
          <w:rFonts w:ascii="Arial" w:cs="Arial" w:eastAsia="Arial" w:hAnsi="Arial"/>
          <w:sz w:val="24"/>
          <w:szCs w:val="24"/>
          <w:b w:val="1"/>
          <w:bCs w:val="1"/>
          <w:color w:val="auto"/>
        </w:rPr>
      </w:pPr>
      <w:r>
        <w:rPr>
          <w:rFonts w:ascii="Arial" w:cs="Arial" w:eastAsia="Arial" w:hAnsi="Arial"/>
          <w:sz w:val="24"/>
          <w:szCs w:val="24"/>
          <w:color w:val="auto"/>
        </w:rPr>
        <w:t>A Banker to an issue shall ensure that the senior management, particularly decision makers have access to all relevant information about the business on a timely basis.</w:t>
      </w:r>
    </w:p>
    <w:p>
      <w:pPr>
        <w:spacing w:after="0" w:line="90" w:lineRule="exact"/>
        <w:rPr>
          <w:rFonts w:ascii="Arial" w:cs="Arial" w:eastAsia="Arial" w:hAnsi="Arial"/>
          <w:sz w:val="24"/>
          <w:szCs w:val="24"/>
          <w:b w:val="1"/>
          <w:bCs w:val="1"/>
          <w:color w:val="auto"/>
        </w:rPr>
      </w:pPr>
    </w:p>
    <w:p>
      <w:pPr>
        <w:jc w:val="both"/>
        <w:ind w:left="360" w:right="260"/>
        <w:spacing w:after="0" w:line="238" w:lineRule="auto"/>
        <w:tabs>
          <w:tab w:leader="none" w:pos="797" w:val="left"/>
        </w:tabs>
        <w:numPr>
          <w:ilvl w:val="0"/>
          <w:numId w:val="87"/>
        </w:numPr>
        <w:rPr>
          <w:rFonts w:ascii="Arial" w:cs="Arial" w:eastAsia="Arial" w:hAnsi="Arial"/>
          <w:sz w:val="24"/>
          <w:szCs w:val="24"/>
          <w:b w:val="1"/>
          <w:bCs w:val="1"/>
          <w:color w:val="auto"/>
        </w:rPr>
      </w:pPr>
      <w:r>
        <w:rPr>
          <w:rFonts w:ascii="Arial" w:cs="Arial" w:eastAsia="Arial" w:hAnsi="Arial"/>
          <w:sz w:val="24"/>
          <w:szCs w:val="24"/>
          <w:color w:val="auto"/>
        </w:rPr>
        <w:t>A Banker to an issue also registered with the Board in other capacity shall endeavour to ensure that arms length relationship is maintained in terms of both manpower and infrastructure between the activities carried out as banker to an issue and other permitted activities.</w:t>
      </w:r>
    </w:p>
    <w:p>
      <w:pPr>
        <w:spacing w:after="0" w:line="80" w:lineRule="exact"/>
        <w:rPr>
          <w:rFonts w:ascii="Arial" w:cs="Arial" w:eastAsia="Arial" w:hAnsi="Arial"/>
          <w:sz w:val="24"/>
          <w:szCs w:val="24"/>
          <w:b w:val="1"/>
          <w:bCs w:val="1"/>
          <w:color w:val="auto"/>
        </w:rPr>
      </w:pPr>
    </w:p>
    <w:p>
      <w:pPr>
        <w:ind w:left="760" w:hanging="400"/>
        <w:spacing w:after="0"/>
        <w:tabs>
          <w:tab w:leader="none" w:pos="760" w:val="left"/>
        </w:tabs>
        <w:numPr>
          <w:ilvl w:val="0"/>
          <w:numId w:val="87"/>
        </w:numPr>
        <w:rPr>
          <w:rFonts w:ascii="Arial" w:cs="Arial" w:eastAsia="Arial" w:hAnsi="Arial"/>
          <w:sz w:val="24"/>
          <w:szCs w:val="24"/>
          <w:b w:val="1"/>
          <w:bCs w:val="1"/>
          <w:color w:val="auto"/>
        </w:rPr>
      </w:pPr>
      <w:r>
        <w:rPr>
          <w:rFonts w:ascii="Arial" w:cs="Arial" w:eastAsia="Arial" w:hAnsi="Arial"/>
          <w:sz w:val="24"/>
          <w:szCs w:val="24"/>
          <w:color w:val="auto"/>
        </w:rPr>
        <w:t>A Banker to an issue shall not be a party to or instrumental for—</w:t>
      </w:r>
    </w:p>
    <w:p>
      <w:pPr>
        <w:spacing w:after="0" w:line="79" w:lineRule="exact"/>
        <w:rPr>
          <w:rFonts w:ascii="Arial" w:cs="Arial" w:eastAsia="Arial" w:hAnsi="Arial"/>
          <w:sz w:val="24"/>
          <w:szCs w:val="24"/>
          <w:b w:val="1"/>
          <w:bCs w:val="1"/>
          <w:color w:val="auto"/>
        </w:rPr>
      </w:pPr>
    </w:p>
    <w:p>
      <w:pPr>
        <w:ind w:left="840" w:hanging="412"/>
        <w:spacing w:after="0"/>
        <w:tabs>
          <w:tab w:leader="none" w:pos="840" w:val="left"/>
        </w:tabs>
        <w:numPr>
          <w:ilvl w:val="1"/>
          <w:numId w:val="87"/>
        </w:numPr>
        <w:rPr>
          <w:rFonts w:ascii="Arial" w:cs="Arial" w:eastAsia="Arial" w:hAnsi="Arial"/>
          <w:sz w:val="24"/>
          <w:szCs w:val="24"/>
          <w:color w:val="auto"/>
        </w:rPr>
      </w:pPr>
      <w:r>
        <w:rPr>
          <w:rFonts w:ascii="Arial" w:cs="Arial" w:eastAsia="Arial" w:hAnsi="Arial"/>
          <w:sz w:val="24"/>
          <w:szCs w:val="24"/>
          <w:color w:val="auto"/>
        </w:rPr>
        <w:t>creation of false market;</w:t>
      </w:r>
    </w:p>
    <w:p>
      <w:pPr>
        <w:spacing w:after="0" w:line="60" w:lineRule="exact"/>
        <w:rPr>
          <w:rFonts w:ascii="Arial" w:cs="Arial" w:eastAsia="Arial" w:hAnsi="Arial"/>
          <w:sz w:val="24"/>
          <w:szCs w:val="24"/>
          <w:color w:val="auto"/>
        </w:rPr>
      </w:pPr>
    </w:p>
    <w:p>
      <w:pPr>
        <w:ind w:left="840" w:hanging="412"/>
        <w:spacing w:after="0"/>
        <w:tabs>
          <w:tab w:leader="none" w:pos="840" w:val="left"/>
        </w:tabs>
        <w:numPr>
          <w:ilvl w:val="1"/>
          <w:numId w:val="87"/>
        </w:numPr>
        <w:rPr>
          <w:rFonts w:ascii="Arial" w:cs="Arial" w:eastAsia="Arial" w:hAnsi="Arial"/>
          <w:sz w:val="24"/>
          <w:szCs w:val="24"/>
          <w:color w:val="auto"/>
        </w:rPr>
      </w:pPr>
      <w:r>
        <w:rPr>
          <w:rFonts w:ascii="Arial" w:cs="Arial" w:eastAsia="Arial" w:hAnsi="Arial"/>
          <w:sz w:val="24"/>
          <w:szCs w:val="24"/>
          <w:color w:val="auto"/>
        </w:rPr>
        <w:t>price rigging or manipulation; or</w:t>
      </w:r>
    </w:p>
    <w:p>
      <w:pPr>
        <w:spacing w:after="0" w:line="70" w:lineRule="exact"/>
        <w:rPr>
          <w:rFonts w:ascii="Arial" w:cs="Arial" w:eastAsia="Arial" w:hAnsi="Arial"/>
          <w:sz w:val="24"/>
          <w:szCs w:val="24"/>
          <w:color w:val="auto"/>
        </w:rPr>
      </w:pPr>
    </w:p>
    <w:p>
      <w:pPr>
        <w:jc w:val="both"/>
        <w:ind w:left="840" w:right="280" w:hanging="398"/>
        <w:spacing w:after="0" w:line="236" w:lineRule="auto"/>
        <w:tabs>
          <w:tab w:leader="none" w:pos="840" w:val="left"/>
        </w:tabs>
        <w:numPr>
          <w:ilvl w:val="1"/>
          <w:numId w:val="87"/>
        </w:numPr>
        <w:rPr>
          <w:rFonts w:ascii="Arial" w:cs="Arial" w:eastAsia="Arial" w:hAnsi="Arial"/>
          <w:sz w:val="24"/>
          <w:szCs w:val="24"/>
          <w:color w:val="auto"/>
        </w:rPr>
      </w:pPr>
      <w:r>
        <w:rPr>
          <w:rFonts w:ascii="Arial" w:cs="Arial" w:eastAsia="Arial" w:hAnsi="Arial"/>
          <w:sz w:val="24"/>
          <w:szCs w:val="24"/>
          <w:color w:val="auto"/>
        </w:rPr>
        <w:t>passing of unpublished price sensitive information in respect of securities which are listed and proposed to be listed in any stock exchange to any person or intermediary.</w:t>
      </w:r>
      <w:r>
        <w:rPr>
          <w:rFonts w:ascii="Arial" w:cs="Arial" w:eastAsia="Arial" w:hAnsi="Arial"/>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ind w:right="-99"/>
        <w:spacing w:after="0"/>
        <w:rPr>
          <w:sz w:val="20"/>
          <w:szCs w:val="20"/>
          <w:color w:val="auto"/>
        </w:rPr>
      </w:pPr>
      <w:r>
        <w:rPr>
          <w:rFonts w:ascii="Times New Roman" w:cs="Times New Roman" w:eastAsia="Times New Roman" w:hAnsi="Times New Roman"/>
          <w:sz w:val="20"/>
          <w:szCs w:val="20"/>
          <w:color w:val="auto"/>
        </w:rPr>
        <w:t xml:space="preserve">Page </w:t>
      </w:r>
      <w:r>
        <w:rPr>
          <w:rFonts w:ascii="Times New Roman" w:cs="Times New Roman" w:eastAsia="Times New Roman" w:hAnsi="Times New Roman"/>
          <w:sz w:val="20"/>
          <w:szCs w:val="20"/>
          <w:b w:val="1"/>
          <w:bCs w:val="1"/>
          <w:color w:val="auto"/>
        </w:rPr>
        <w:t>24</w:t>
      </w:r>
      <w:r>
        <w:rPr>
          <w:rFonts w:ascii="Times New Roman" w:cs="Times New Roman" w:eastAsia="Times New Roman" w:hAnsi="Times New Roman"/>
          <w:sz w:val="20"/>
          <w:szCs w:val="20"/>
          <w:color w:val="auto"/>
        </w:rPr>
        <w:t xml:space="preserve"> of </w:t>
      </w:r>
      <w:r>
        <w:rPr>
          <w:rFonts w:ascii="Times New Roman" w:cs="Times New Roman" w:eastAsia="Times New Roman" w:hAnsi="Times New Roman"/>
          <w:sz w:val="20"/>
          <w:szCs w:val="20"/>
          <w:b w:val="1"/>
          <w:bCs w:val="1"/>
          <w:color w:val="auto"/>
        </w:rPr>
        <w:t>24</w:t>
      </w:r>
    </w:p>
    <w:sectPr>
      <w:pgSz w:w="12240" w:h="15840" w:orient="portrait"/>
      <w:cols w:equalWidth="0" w:num="1">
        <w:col w:w="9360"/>
      </w:cols>
      <w:pgMar w:left="1440" w:top="1440" w:right="1440" w:bottom="42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25A06FB"/>
    <w:multiLevelType w:val="hybridMultilevel"/>
    <w:lvl w:ilvl="0">
      <w:lvlJc w:val="left"/>
      <w:lvlText w:val="%1."/>
      <w:numFmt w:val="decimal"/>
      <w:start w:val="1"/>
    </w:lvl>
  </w:abstractNum>
  <w:abstractNum w:abstractNumId="1">
    <w:nsid w:val="2CD89A32"/>
    <w:multiLevelType w:val="hybridMultilevel"/>
    <w:lvl w:ilvl="0">
      <w:lvlJc w:val="left"/>
      <w:lvlText w:val="%1."/>
      <w:numFmt w:val="decimal"/>
      <w:start w:val="3"/>
    </w:lvl>
  </w:abstractNum>
  <w:abstractNum w:abstractNumId="2">
    <w:nsid w:val="57E4CCAF"/>
    <w:multiLevelType w:val="hybridMultilevel"/>
    <w:lvl w:ilvl="0">
      <w:lvlJc w:val="left"/>
      <w:lvlText w:val="%1."/>
      <w:numFmt w:val="decimal"/>
      <w:start w:val="7"/>
    </w:lvl>
  </w:abstractNum>
  <w:abstractNum w:abstractNumId="3">
    <w:nsid w:val="7A6D8D3C"/>
    <w:multiLevelType w:val="hybridMultilevel"/>
    <w:lvl w:ilvl="0">
      <w:lvlJc w:val="left"/>
      <w:lvlText w:val="%1."/>
      <w:numFmt w:val="decimal"/>
      <w:start w:val="9"/>
    </w:lvl>
  </w:abstractNum>
  <w:abstractNum w:abstractNumId="4">
    <w:nsid w:val="4B588F54"/>
    <w:multiLevelType w:val="hybridMultilevel"/>
    <w:lvl w:ilvl="0">
      <w:lvlJc w:val="left"/>
      <w:lvlText w:val="%1."/>
      <w:numFmt w:val="decimal"/>
      <w:start w:val="17"/>
    </w:lvl>
  </w:abstractNum>
  <w:abstractNum w:abstractNumId="5">
    <w:nsid w:val="542289EC"/>
    <w:multiLevelType w:val="hybridMultilevel"/>
    <w:lvl w:ilvl="0">
      <w:lvlJc w:val="left"/>
      <w:lvlText w:val="%1."/>
      <w:numFmt w:val="decimal"/>
      <w:start w:val="23"/>
    </w:lvl>
  </w:abstractNum>
  <w:abstractNum w:abstractNumId="6">
    <w:nsid w:val="6DE91B18"/>
    <w:multiLevelType w:val="hybridMultilevel"/>
    <w:lvl w:ilvl="0">
      <w:lvlJc w:val="left"/>
      <w:lvlText w:val="%1."/>
      <w:numFmt w:val="decimal"/>
      <w:start w:val="1"/>
    </w:lvl>
  </w:abstractNum>
  <w:abstractNum w:abstractNumId="7">
    <w:nsid w:val="38437FDB"/>
    <w:multiLevelType w:val="hybridMultilevel"/>
    <w:lvl w:ilvl="0">
      <w:lvlJc w:val="left"/>
      <w:lvlText w:val="(%1)"/>
      <w:numFmt w:val="decimal"/>
      <w:start w:val="2"/>
    </w:lvl>
  </w:abstractNum>
  <w:abstractNum w:abstractNumId="8">
    <w:nsid w:val="7644A45C"/>
    <w:multiLevelType w:val="hybridMultilevel"/>
    <w:lvl w:ilvl="0">
      <w:lvlJc w:val="left"/>
      <w:lvlText w:val="(%1)"/>
      <w:numFmt w:val="lowerLetter"/>
      <w:start w:val="27"/>
    </w:lvl>
    <w:lvl w:ilvl="1">
      <w:lvlJc w:val="left"/>
      <w:lvlText w:val="(%2)"/>
      <w:numFmt w:val="lowerRoman"/>
      <w:start w:val="1"/>
    </w:lvl>
  </w:abstractNum>
  <w:abstractNum w:abstractNumId="9">
    <w:nsid w:val="32FFF902"/>
    <w:multiLevelType w:val="hybridMultilevel"/>
    <w:lvl w:ilvl="0">
      <w:lvlJc w:val="left"/>
      <w:lvlText w:val="%1"/>
      <w:numFmt w:val="decimal"/>
      <w:start w:val="1"/>
    </w:lvl>
  </w:abstractNum>
  <w:abstractNum w:abstractNumId="10">
    <w:nsid w:val="684A481A"/>
    <w:multiLevelType w:val="hybridMultilevel"/>
    <w:lvl w:ilvl="0">
      <w:lvlJc w:val="left"/>
      <w:lvlText w:val="(%1)"/>
      <w:numFmt w:val="lowerRoman"/>
      <w:start w:val="1"/>
    </w:lvl>
  </w:abstractNum>
  <w:abstractNum w:abstractNumId="11">
    <w:nsid w:val="579478FE"/>
    <w:multiLevelType w:val="hybridMultilevel"/>
    <w:lvl w:ilvl="0">
      <w:lvlJc w:val="left"/>
      <w:lvlText w:val="(%1)"/>
      <w:numFmt w:val="lowerLetter"/>
      <w:start w:val="2"/>
    </w:lvl>
  </w:abstractNum>
  <w:abstractNum w:abstractNumId="12">
    <w:nsid w:val="749ABB43"/>
    <w:multiLevelType w:val="hybridMultilevel"/>
    <w:lvl w:ilvl="0">
      <w:lvlJc w:val="left"/>
      <w:lvlText w:val="(%1)"/>
      <w:numFmt w:val="lowerLetter"/>
      <w:start w:val="4"/>
    </w:lvl>
  </w:abstractNum>
  <w:abstractNum w:abstractNumId="13">
    <w:nsid w:val="3DC240FB"/>
    <w:multiLevelType w:val="hybridMultilevel"/>
    <w:lvl w:ilvl="0">
      <w:lvlJc w:val="left"/>
      <w:lvlText w:val="(%1)"/>
      <w:numFmt w:val="lowerRoman"/>
      <w:start w:val="1"/>
    </w:lvl>
  </w:abstractNum>
  <w:abstractNum w:abstractNumId="14">
    <w:nsid w:val="1BA026FA"/>
    <w:multiLevelType w:val="hybridMultilevel"/>
    <w:lvl w:ilvl="0">
      <w:lvlJc w:val="left"/>
      <w:lvlText w:val="(%1)"/>
      <w:numFmt w:val="upperLetter"/>
      <w:start w:val="1"/>
    </w:lvl>
    <w:lvl w:ilvl="1">
      <w:lvlJc w:val="left"/>
      <w:lvlText w:val="(%2)"/>
      <w:numFmt w:val="upperLetter"/>
      <w:start w:val="3"/>
    </w:lvl>
  </w:abstractNum>
  <w:abstractNum w:abstractNumId="15">
    <w:nsid w:val="79A1DEAA"/>
    <w:multiLevelType w:val="hybridMultilevel"/>
    <w:lvl w:ilvl="0">
      <w:lvlJc w:val="left"/>
      <w:lvlText w:val="%1"/>
      <w:numFmt w:val="decimal"/>
      <w:start w:val="5"/>
    </w:lvl>
  </w:abstractNum>
  <w:abstractNum w:abstractNumId="16">
    <w:nsid w:val="75C6C33A"/>
    <w:multiLevelType w:val="hybridMultilevel"/>
    <w:lvl w:ilvl="0">
      <w:lvlJc w:val="left"/>
      <w:lvlText w:val="(%1)"/>
      <w:numFmt w:val="lowerLetter"/>
      <w:start w:val="6"/>
    </w:lvl>
  </w:abstractNum>
  <w:abstractNum w:abstractNumId="17">
    <w:nsid w:val="12E685FB"/>
    <w:multiLevelType w:val="hybridMultilevel"/>
    <w:lvl w:ilvl="0">
      <w:lvlJc w:val="left"/>
      <w:lvlText w:val="%1."/>
      <w:numFmt w:val="decimal"/>
      <w:start w:val="3"/>
    </w:lvl>
  </w:abstractNum>
  <w:abstractNum w:abstractNumId="18">
    <w:nsid w:val="70C6A529"/>
    <w:multiLevelType w:val="hybridMultilevel"/>
    <w:lvl w:ilvl="0">
      <w:lvlJc w:val="left"/>
      <w:lvlText w:val="(%1)"/>
      <w:numFmt w:val="decimal"/>
      <w:start w:val="2"/>
    </w:lvl>
  </w:abstractNum>
  <w:abstractNum w:abstractNumId="19">
    <w:nsid w:val="520EEDD1"/>
    <w:multiLevelType w:val="hybridMultilevel"/>
    <w:lvl w:ilvl="0">
      <w:lvlJc w:val="left"/>
      <w:lvlText w:val="%1."/>
      <w:numFmt w:val="decimal"/>
      <w:start w:val="4"/>
    </w:lvl>
  </w:abstractNum>
  <w:abstractNum w:abstractNumId="20">
    <w:nsid w:val="374A3FE6"/>
    <w:multiLevelType w:val="hybridMultilevel"/>
    <w:lvl w:ilvl="0">
      <w:lvlJc w:val="left"/>
      <w:lvlText w:val="%1."/>
      <w:numFmt w:val="decimal"/>
      <w:start w:val="5"/>
    </w:lvl>
  </w:abstractNum>
  <w:abstractNum w:abstractNumId="21">
    <w:nsid w:val="4F4EF005"/>
    <w:multiLevelType w:val="hybridMultilevel"/>
    <w:lvl w:ilvl="0">
      <w:lvlJc w:val="left"/>
      <w:lvlText w:val="(%1)"/>
      <w:numFmt w:val="decimal"/>
      <w:start w:val="2"/>
    </w:lvl>
  </w:abstractNum>
  <w:abstractNum w:abstractNumId="22">
    <w:nsid w:val="23F9C13C"/>
    <w:multiLevelType w:val="hybridMultilevel"/>
    <w:lvl w:ilvl="0">
      <w:lvlJc w:val="left"/>
      <w:lvlText w:val="%1"/>
      <w:numFmt w:val="decimal"/>
      <w:start w:val="7"/>
    </w:lvl>
  </w:abstractNum>
  <w:abstractNum w:abstractNumId="23">
    <w:nsid w:val="649BB77C"/>
    <w:multiLevelType w:val="hybridMultilevel"/>
    <w:lvl w:ilvl="0">
      <w:lvlJc w:val="left"/>
      <w:lvlText w:val="%1."/>
      <w:numFmt w:val="decimal"/>
      <w:start w:val="6"/>
    </w:lvl>
    <w:lvl w:ilvl="1">
      <w:lvlJc w:val="left"/>
      <w:lvlText w:val="(%2)"/>
      <w:numFmt w:val="lowerLetter"/>
      <w:start w:val="1"/>
    </w:lvl>
  </w:abstractNum>
  <w:abstractNum w:abstractNumId="24">
    <w:nsid w:val="275AC794"/>
    <w:multiLevelType w:val="hybridMultilevel"/>
    <w:lvl w:ilvl="0">
      <w:lvlJc w:val="left"/>
      <w:lvlText w:val="(%1)"/>
      <w:numFmt w:val="decimal"/>
      <w:start w:val="1"/>
    </w:lvl>
  </w:abstractNum>
  <w:abstractNum w:abstractNumId="25">
    <w:nsid w:val="39386575"/>
    <w:multiLevelType w:val="hybridMultilevel"/>
    <w:lvl w:ilvl="0">
      <w:lvlJc w:val="left"/>
      <w:lvlText w:val="%1"/>
      <w:numFmt w:val="decimal"/>
      <w:start w:val="14"/>
    </w:lvl>
  </w:abstractNum>
  <w:abstractNum w:abstractNumId="26">
    <w:nsid w:val="1CF10FD8"/>
    <w:multiLevelType w:val="hybridMultilevel"/>
    <w:lvl w:ilvl="0">
      <w:lvlJc w:val="left"/>
      <w:lvlText w:val="(%1)"/>
      <w:numFmt w:val="decimal"/>
      <w:start w:val="4"/>
    </w:lvl>
  </w:abstractNum>
  <w:abstractNum w:abstractNumId="27">
    <w:nsid w:val="180115BE"/>
    <w:multiLevelType w:val="hybridMultilevel"/>
    <w:lvl w:ilvl="0">
      <w:lvlJc w:val="left"/>
      <w:lvlText w:val="%1"/>
      <w:numFmt w:val="decimal"/>
      <w:start w:val="21"/>
    </w:lvl>
  </w:abstractNum>
  <w:abstractNum w:abstractNumId="28">
    <w:nsid w:val="235BA861"/>
    <w:multiLevelType w:val="hybridMultilevel"/>
    <w:lvl w:ilvl="0">
      <w:lvlJc w:val="left"/>
      <w:lvlText w:val="(%1)"/>
      <w:numFmt w:val="decimal"/>
      <w:start w:val="1"/>
    </w:lvl>
  </w:abstractNum>
  <w:abstractNum w:abstractNumId="29">
    <w:nsid w:val="47398C89"/>
    <w:multiLevelType w:val="hybridMultilevel"/>
    <w:lvl w:ilvl="0">
      <w:lvlJc w:val="left"/>
      <w:lvlText w:val="%1"/>
      <w:numFmt w:val="lowerLetter"/>
      <w:start w:val="1"/>
    </w:lvl>
    <w:lvl w:ilvl="1">
      <w:lvlJc w:val="left"/>
      <w:lvlText w:val="(%2)"/>
      <w:numFmt w:val="lowerLetter"/>
      <w:start w:val="1"/>
    </w:lvl>
  </w:abstractNum>
  <w:abstractNum w:abstractNumId="30">
    <w:nsid w:val="354FE9F9"/>
    <w:multiLevelType w:val="hybridMultilevel"/>
    <w:lvl w:ilvl="0">
      <w:lvlJc w:val="left"/>
      <w:lvlText w:val="(%1)"/>
      <w:numFmt w:val="lowerLetter"/>
      <w:start w:val="2"/>
    </w:lvl>
    <w:lvl w:ilvl="1">
      <w:lvlJc w:val="left"/>
      <w:lvlText w:val="%2"/>
      <w:numFmt w:val="lowerLetter"/>
      <w:start w:val="1"/>
    </w:lvl>
  </w:abstractNum>
  <w:abstractNum w:abstractNumId="31">
    <w:nsid w:val="15B5AF5C"/>
    <w:multiLevelType w:val="hybridMultilevel"/>
    <w:lvl w:ilvl="0">
      <w:lvlJc w:val="left"/>
      <w:lvlText w:val="(%1)"/>
      <w:numFmt w:val="lowerLetter"/>
      <w:start w:val="4"/>
    </w:lvl>
  </w:abstractNum>
  <w:abstractNum w:abstractNumId="32">
    <w:nsid w:val="741226BB"/>
    <w:multiLevelType w:val="hybridMultilevel"/>
    <w:lvl w:ilvl="0">
      <w:lvlJc w:val="left"/>
      <w:lvlText w:val="%1"/>
      <w:numFmt w:val="decimal"/>
      <w:start w:val="23"/>
    </w:lvl>
  </w:abstractNum>
  <w:abstractNum w:abstractNumId="33">
    <w:nsid w:val="D34B6A8"/>
    <w:multiLevelType w:val="hybridMultilevel"/>
    <w:lvl w:ilvl="0">
      <w:lvlJc w:val="left"/>
      <w:lvlText w:val="%1."/>
      <w:numFmt w:val="decimal"/>
      <w:start w:val="8"/>
    </w:lvl>
  </w:abstractNum>
  <w:abstractNum w:abstractNumId="34">
    <w:nsid w:val="10233C99"/>
    <w:multiLevelType w:val="hybridMultilevel"/>
    <w:lvl w:ilvl="0">
      <w:lvlJc w:val="left"/>
      <w:lvlText w:val="(%1)"/>
      <w:numFmt w:val="decimal"/>
      <w:start w:val="2"/>
    </w:lvl>
  </w:abstractNum>
  <w:abstractNum w:abstractNumId="35">
    <w:nsid w:val="3F6AB60F"/>
    <w:multiLevelType w:val="hybridMultilevel"/>
    <w:lvl w:ilvl="0">
      <w:lvlJc w:val="left"/>
      <w:lvlText w:val="%1"/>
      <w:numFmt w:val="decimal"/>
      <w:start w:val="24"/>
    </w:lvl>
  </w:abstractNum>
  <w:abstractNum w:abstractNumId="36">
    <w:nsid w:val="61574095"/>
    <w:multiLevelType w:val="hybridMultilevel"/>
    <w:lvl w:ilvl="0">
      <w:lvlJc w:val="left"/>
      <w:lvlText w:val="%1"/>
      <w:numFmt w:val="decimal"/>
      <w:start w:val="26"/>
    </w:lvl>
  </w:abstractNum>
  <w:abstractNum w:abstractNumId="37">
    <w:nsid w:val="7E0C57B1"/>
    <w:multiLevelType w:val="hybridMultilevel"/>
    <w:lvl w:ilvl="0">
      <w:lvlJc w:val="left"/>
      <w:lvlText w:val="(%1)"/>
      <w:numFmt w:val="lowerLetter"/>
      <w:start w:val="5"/>
    </w:lvl>
  </w:abstractNum>
  <w:abstractNum w:abstractNumId="38">
    <w:nsid w:val="77AE35EB"/>
    <w:multiLevelType w:val="hybridMultilevel"/>
    <w:lvl w:ilvl="0">
      <w:lvlJc w:val="left"/>
      <w:lvlText w:val="(%1)"/>
      <w:numFmt w:val="decimal"/>
      <w:start w:val="2"/>
    </w:lvl>
  </w:abstractNum>
  <w:abstractNum w:abstractNumId="39">
    <w:nsid w:val="579BE4F1"/>
    <w:multiLevelType w:val="hybridMultilevel"/>
    <w:lvl w:ilvl="0">
      <w:lvlJc w:val="left"/>
      <w:lvlText w:val="(%1)"/>
      <w:numFmt w:val="decimal"/>
      <w:start w:val="3"/>
    </w:lvl>
  </w:abstractNum>
  <w:abstractNum w:abstractNumId="40">
    <w:nsid w:val="310C50B3"/>
    <w:multiLevelType w:val="hybridMultilevel"/>
    <w:lvl w:ilvl="0">
      <w:lvlJc w:val="left"/>
      <w:lvlText w:val="%1"/>
      <w:numFmt w:val="decimal"/>
      <w:start w:val="28"/>
    </w:lvl>
  </w:abstractNum>
  <w:abstractNum w:abstractNumId="41">
    <w:nsid w:val="5FF87E05"/>
    <w:multiLevelType w:val="hybridMultilevel"/>
    <w:lvl w:ilvl="0">
      <w:lvlJc w:val="left"/>
      <w:lvlText w:val="(%1)"/>
      <w:numFmt w:val="decimal"/>
      <w:start w:val="2"/>
    </w:lvl>
  </w:abstractNum>
  <w:abstractNum w:abstractNumId="42">
    <w:nsid w:val="2F305DEF"/>
    <w:multiLevelType w:val="hybridMultilevel"/>
    <w:lvl w:ilvl="0">
      <w:lvlJc w:val="left"/>
      <w:lvlText w:val="%1."/>
      <w:numFmt w:val="decimal"/>
      <w:start w:val="12"/>
    </w:lvl>
    <w:lvl w:ilvl="1">
      <w:lvlJc w:val="left"/>
      <w:lvlText w:val="(%2)"/>
      <w:numFmt w:val="lowerLetter"/>
      <w:start w:val="1"/>
    </w:lvl>
  </w:abstractNum>
  <w:abstractNum w:abstractNumId="43">
    <w:nsid w:val="25A70BF7"/>
    <w:multiLevelType w:val="hybridMultilevel"/>
    <w:lvl w:ilvl="0">
      <w:lvlJc w:val="left"/>
      <w:lvlText w:val="(%1)"/>
      <w:numFmt w:val="decimal"/>
      <w:start w:val="2"/>
    </w:lvl>
  </w:abstractNum>
  <w:abstractNum w:abstractNumId="44">
    <w:nsid w:val="1DBABF00"/>
    <w:multiLevelType w:val="hybridMultilevel"/>
    <w:lvl w:ilvl="0">
      <w:lvlJc w:val="left"/>
      <w:lvlText w:val="%1"/>
      <w:numFmt w:val="decimal"/>
      <w:start w:val="32"/>
    </w:lvl>
  </w:abstractNum>
  <w:abstractNum w:abstractNumId="45">
    <w:nsid w:val="4AD084E9"/>
    <w:multiLevelType w:val="hybridMultilevel"/>
    <w:lvl w:ilvl="0">
      <w:lvlJc w:val="left"/>
      <w:lvlText w:val="%1."/>
      <w:numFmt w:val="decimal"/>
      <w:start w:val="10"/>
    </w:lvl>
  </w:abstractNum>
  <w:abstractNum w:abstractNumId="46">
    <w:nsid w:val="1F48EAA1"/>
    <w:multiLevelType w:val="hybridMultilevel"/>
    <w:lvl w:ilvl="0">
      <w:lvlJc w:val="left"/>
      <w:lvlText w:val="(%1)"/>
      <w:numFmt w:val="decimal"/>
      <w:start w:val="3"/>
    </w:lvl>
  </w:abstractNum>
  <w:abstractNum w:abstractNumId="47">
    <w:nsid w:val="1381823A"/>
    <w:multiLevelType w:val="hybridMultilevel"/>
    <w:lvl w:ilvl="0">
      <w:lvlJc w:val="left"/>
      <w:lvlText w:val="%1."/>
      <w:numFmt w:val="decimal"/>
      <w:start w:val="13"/>
    </w:lvl>
    <w:lvl w:ilvl="1">
      <w:lvlJc w:val="left"/>
      <w:lvlText w:val="(%2)"/>
      <w:numFmt w:val="lowerLetter"/>
      <w:start w:val="1"/>
    </w:lvl>
  </w:abstractNum>
  <w:abstractNum w:abstractNumId="48">
    <w:nsid w:val="5DB70AE5"/>
    <w:multiLevelType w:val="hybridMultilevel"/>
    <w:lvl w:ilvl="0">
      <w:lvlJc w:val="left"/>
      <w:lvlText w:val="%1."/>
      <w:numFmt w:val="decimal"/>
      <w:start w:val="14"/>
    </w:lvl>
  </w:abstractNum>
  <w:abstractNum w:abstractNumId="49">
    <w:nsid w:val="100F8FCA"/>
    <w:multiLevelType w:val="hybridMultilevel"/>
    <w:lvl w:ilvl="0">
      <w:lvlJc w:val="left"/>
      <w:lvlText w:val="(%1)"/>
      <w:numFmt w:val="decimal"/>
      <w:start w:val="2"/>
    </w:lvl>
    <w:lvl w:ilvl="1">
      <w:lvlJc w:val="left"/>
      <w:lvlText w:val="(%2)"/>
      <w:numFmt w:val="lowerLetter"/>
      <w:start w:val="1"/>
    </w:lvl>
  </w:abstractNum>
  <w:abstractNum w:abstractNumId="50">
    <w:nsid w:val="6590700B"/>
    <w:multiLevelType w:val="hybridMultilevel"/>
    <w:lvl w:ilvl="0">
      <w:lvlJc w:val="left"/>
      <w:lvlText w:val="%1."/>
      <w:numFmt w:val="decimal"/>
      <w:start w:val="15"/>
    </w:lvl>
  </w:abstractNum>
  <w:abstractNum w:abstractNumId="51">
    <w:nsid w:val="15014ACB"/>
    <w:multiLevelType w:val="hybridMultilevel"/>
    <w:lvl w:ilvl="0">
      <w:lvlJc w:val="left"/>
      <w:lvlText w:val="%1."/>
      <w:numFmt w:val="decimal"/>
      <w:start w:val="16"/>
    </w:lvl>
  </w:abstractNum>
  <w:abstractNum w:abstractNumId="52">
    <w:nsid w:val="5F5E7FD0"/>
    <w:multiLevelType w:val="hybridMultilevel"/>
    <w:lvl w:ilvl="0">
      <w:lvlJc w:val="left"/>
      <w:lvlText w:val="%1"/>
      <w:numFmt w:val="decimal"/>
      <w:start w:val="34"/>
    </w:lvl>
  </w:abstractNum>
  <w:abstractNum w:abstractNumId="53">
    <w:nsid w:val="98A3148"/>
    <w:multiLevelType w:val="hybridMultilevel"/>
    <w:lvl w:ilvl="0">
      <w:lvlJc w:val="left"/>
      <w:lvlText w:val="(%1)"/>
      <w:numFmt w:val="decimal"/>
      <w:start w:val="2"/>
    </w:lvl>
  </w:abstractNum>
  <w:abstractNum w:abstractNumId="54">
    <w:nsid w:val="799D0247"/>
    <w:multiLevelType w:val="hybridMultilevel"/>
    <w:lvl w:ilvl="0">
      <w:lvlJc w:val="left"/>
      <w:lvlText w:val="%1."/>
      <w:numFmt w:val="decimal"/>
      <w:start w:val="17"/>
    </w:lvl>
  </w:abstractNum>
  <w:abstractNum w:abstractNumId="55">
    <w:nsid w:val="6B94764"/>
    <w:multiLevelType w:val="hybridMultilevel"/>
    <w:lvl w:ilvl="0">
      <w:lvlJc w:val="left"/>
      <w:lvlText w:val="%1."/>
      <w:numFmt w:val="decimal"/>
      <w:start w:val="18"/>
    </w:lvl>
    <w:lvl w:ilvl="1">
      <w:lvlJc w:val="left"/>
      <w:lvlText w:val="(%2)"/>
      <w:numFmt w:val="lowerLetter"/>
      <w:start w:val="1"/>
    </w:lvl>
  </w:abstractNum>
  <w:abstractNum w:abstractNumId="56">
    <w:nsid w:val="42C296BD"/>
    <w:multiLevelType w:val="hybridMultilevel"/>
    <w:lvl w:ilvl="0">
      <w:lvlJc w:val="left"/>
      <w:lvlText w:val="%1."/>
      <w:numFmt w:val="decimal"/>
      <w:start w:val="19"/>
    </w:lvl>
  </w:abstractNum>
  <w:abstractNum w:abstractNumId="57">
    <w:nsid w:val="168E121F"/>
    <w:multiLevelType w:val="hybridMultilevel"/>
    <w:lvl w:ilvl="0">
      <w:lvlJc w:val="left"/>
      <w:lvlText w:val="%1."/>
      <w:numFmt w:val="decimal"/>
      <w:start w:val="20"/>
    </w:lvl>
  </w:abstractNum>
  <w:abstractNum w:abstractNumId="58">
    <w:nsid w:val="1EBA5D23"/>
    <w:multiLevelType w:val="hybridMultilevel"/>
    <w:lvl w:ilvl="0">
      <w:lvlJc w:val="left"/>
      <w:lvlText w:val="(%1)"/>
      <w:numFmt w:val="decimal"/>
      <w:start w:val="2"/>
    </w:lvl>
  </w:abstractNum>
  <w:abstractNum w:abstractNumId="59">
    <w:nsid w:val="661E3F1E"/>
    <w:multiLevelType w:val="hybridMultilevel"/>
    <w:lvl w:ilvl="0">
      <w:lvlJc w:val="left"/>
      <w:lvlText w:val="(%1)"/>
      <w:numFmt w:val="decimal"/>
      <w:start w:val="3"/>
    </w:lvl>
  </w:abstractNum>
  <w:abstractNum w:abstractNumId="60">
    <w:nsid w:val="5DC79EA8"/>
    <w:multiLevelType w:val="hybridMultilevel"/>
    <w:lvl w:ilvl="0">
      <w:lvlJc w:val="left"/>
      <w:lvlText w:val="%1."/>
      <w:numFmt w:val="decimal"/>
      <w:start w:val="21"/>
    </w:lvl>
  </w:abstractNum>
  <w:abstractNum w:abstractNumId="61">
    <w:nsid w:val="540A471C"/>
    <w:multiLevelType w:val="hybridMultilevel"/>
    <w:lvl w:ilvl="0">
      <w:lvlJc w:val="left"/>
      <w:lvlText w:val="%1."/>
      <w:numFmt w:val="decimal"/>
      <w:start w:val="22"/>
    </w:lvl>
  </w:abstractNum>
  <w:abstractNum w:abstractNumId="62">
    <w:nsid w:val="7BD3EE7B"/>
    <w:multiLevelType w:val="hybridMultilevel"/>
    <w:lvl w:ilvl="0">
      <w:lvlJc w:val="left"/>
      <w:lvlText w:val="%1"/>
      <w:numFmt w:val="decimal"/>
      <w:start w:val="36"/>
    </w:lvl>
  </w:abstractNum>
  <w:abstractNum w:abstractNumId="63">
    <w:nsid w:val="51D9C564"/>
    <w:multiLevelType w:val="hybridMultilevel"/>
    <w:lvl w:ilvl="0">
      <w:lvlJc w:val="left"/>
      <w:lvlText w:val="%1."/>
      <w:numFmt w:val="decimal"/>
      <w:start w:val="23"/>
    </w:lvl>
  </w:abstractNum>
  <w:abstractNum w:abstractNumId="64">
    <w:nsid w:val="613EFDC5"/>
    <w:multiLevelType w:val="hybridMultilevel"/>
    <w:lvl w:ilvl="0">
      <w:lvlJc w:val="left"/>
      <w:lvlText w:val="%1."/>
      <w:numFmt w:val="decimal"/>
      <w:start w:val="32"/>
    </w:lvl>
  </w:abstractNum>
  <w:abstractNum w:abstractNumId="65">
    <w:nsid w:val="BF72B14"/>
    <w:multiLevelType w:val="hybridMultilevel"/>
    <w:lvl w:ilvl="0">
      <w:lvlJc w:val="left"/>
      <w:lvlText w:val="(%1)"/>
      <w:numFmt w:val="decimal"/>
      <w:start w:val="2"/>
    </w:lvl>
  </w:abstractNum>
  <w:abstractNum w:abstractNumId="66">
    <w:nsid w:val="11447B73"/>
    <w:multiLevelType w:val="hybridMultilevel"/>
    <w:lvl w:ilvl="0">
      <w:lvlJc w:val="left"/>
      <w:lvlText w:val="(%1)"/>
      <w:numFmt w:val="lowerLetter"/>
      <w:start w:val="1"/>
    </w:lvl>
  </w:abstractNum>
  <w:abstractNum w:abstractNumId="67">
    <w:nsid w:val="42963E5A"/>
    <w:multiLevelType w:val="hybridMultilevel"/>
    <w:lvl w:ilvl="0">
      <w:lvlJc w:val="left"/>
      <w:lvlText w:val="%1"/>
      <w:numFmt w:val="decimal"/>
      <w:start w:val="40"/>
    </w:lvl>
  </w:abstractNum>
  <w:abstractNum w:abstractNumId="68">
    <w:nsid w:val="A0382C5"/>
    <w:multiLevelType w:val="hybridMultilevel"/>
    <w:lvl w:ilvl="0">
      <w:lvlJc w:val="left"/>
      <w:lvlText w:val="%1."/>
      <w:numFmt w:val="decimal"/>
      <w:start w:val="1"/>
    </w:lvl>
  </w:abstractNum>
  <w:abstractNum w:abstractNumId="69">
    <w:nsid w:val="8F2B15E"/>
    <w:multiLevelType w:val="hybridMultilevel"/>
    <w:lvl w:ilvl="0">
      <w:lvlJc w:val="left"/>
      <w:lvlText w:val="%1"/>
      <w:numFmt w:val="decimal"/>
      <w:start w:val="41"/>
    </w:lvl>
  </w:abstractNum>
  <w:abstractNum w:abstractNumId="70">
    <w:nsid w:val="1A32234B"/>
    <w:multiLevelType w:val="hybridMultilevel"/>
    <w:lvl w:ilvl="0">
      <w:lvlJc w:val="left"/>
      <w:lvlText w:val="(%1)"/>
      <w:numFmt w:val="lowerLetter"/>
      <w:start w:val="1"/>
    </w:lvl>
  </w:abstractNum>
  <w:abstractNum w:abstractNumId="71">
    <w:nsid w:val="3B0FD379"/>
    <w:multiLevelType w:val="hybridMultilevel"/>
    <w:lvl w:ilvl="0">
      <w:lvlJc w:val="left"/>
      <w:lvlText w:val="(%1)"/>
      <w:numFmt w:val="lowerLetter"/>
      <w:start w:val="1"/>
    </w:lvl>
  </w:abstractNum>
  <w:abstractNum w:abstractNumId="72">
    <w:nsid w:val="68EB2F63"/>
    <w:multiLevelType w:val="hybridMultilevel"/>
    <w:lvl w:ilvl="0">
      <w:lvlJc w:val="left"/>
      <w:lvlText w:val="%1"/>
      <w:numFmt w:val="decimal"/>
      <w:start w:val="44"/>
    </w:lvl>
  </w:abstractNum>
  <w:abstractNum w:abstractNumId="73">
    <w:nsid w:val="4962813B"/>
    <w:multiLevelType w:val="hybridMultilevel"/>
    <w:lvl w:ilvl="0">
      <w:lvlJc w:val="left"/>
      <w:lvlText w:val="%1"/>
      <w:numFmt w:val="upperLetter"/>
      <w:start w:val="61"/>
    </w:lvl>
  </w:abstractNum>
  <w:abstractNum w:abstractNumId="74">
    <w:nsid w:val="60B6DF70"/>
    <w:multiLevelType w:val="hybridMultilevel"/>
    <w:lvl w:ilvl="0">
      <w:lvlJc w:val="left"/>
      <w:lvlText w:val="%1."/>
      <w:numFmt w:val="decimal"/>
      <w:start w:val="2"/>
    </w:lvl>
  </w:abstractNum>
  <w:abstractNum w:abstractNumId="75">
    <w:nsid w:val="6A5EE64"/>
    <w:multiLevelType w:val="hybridMultilevel"/>
    <w:lvl w:ilvl="0">
      <w:lvlJc w:val="left"/>
      <w:lvlText w:val="%1"/>
      <w:numFmt w:val="decimal"/>
      <w:start w:val="49"/>
    </w:lvl>
  </w:abstractNum>
  <w:abstractNum w:abstractNumId="76">
    <w:nsid w:val="14330624"/>
    <w:multiLevelType w:val="hybridMultilevel"/>
    <w:lvl w:ilvl="0">
      <w:lvlJc w:val="left"/>
      <w:lvlText w:val="%1"/>
      <w:numFmt w:val="decimal"/>
      <w:start w:val="52"/>
    </w:lvl>
  </w:abstractNum>
  <w:abstractNum w:abstractNumId="77">
    <w:nsid w:val="7FFFCA11"/>
    <w:multiLevelType w:val="hybridMultilevel"/>
    <w:lvl w:ilvl="0">
      <w:lvlJc w:val="left"/>
      <w:lvlText w:val="%1."/>
      <w:numFmt w:val="decimal"/>
      <w:start w:val="54"/>
    </w:lvl>
  </w:abstractNum>
  <w:abstractNum w:abstractNumId="78">
    <w:nsid w:val="1A27709E"/>
    <w:multiLevelType w:val="hybridMultilevel"/>
    <w:lvl w:ilvl="0">
      <w:lvlJc w:val="left"/>
      <w:lvlText w:val="%1."/>
      <w:numFmt w:val="decimal"/>
      <w:start w:val="4"/>
    </w:lvl>
  </w:abstractNum>
  <w:abstractNum w:abstractNumId="79">
    <w:nsid w:val="71EA1109"/>
    <w:multiLevelType w:val="hybridMultilevel"/>
    <w:lvl w:ilvl="0">
      <w:lvlJc w:val="left"/>
      <w:lvlText w:val="%1."/>
      <w:numFmt w:val="decimal"/>
      <w:start w:val="1"/>
    </w:lvl>
    <w:lvl w:ilvl="1">
      <w:lvlJc w:val="left"/>
      <w:lvlText w:val="(%2)"/>
      <w:numFmt w:val="lowerLetter"/>
      <w:start w:val="1"/>
    </w:lvl>
  </w:abstractNum>
  <w:abstractNum w:abstractNumId="80">
    <w:nsid w:val="100F59DC"/>
    <w:multiLevelType w:val="hybridMultilevel"/>
    <w:lvl w:ilvl="0">
      <w:lvlJc w:val="left"/>
      <w:lvlText w:val="%1"/>
      <w:numFmt w:val="decimal"/>
      <w:start w:val="57"/>
    </w:lvl>
  </w:abstractNum>
  <w:abstractNum w:abstractNumId="81">
    <w:nsid w:val="7FB7E0AA"/>
    <w:multiLevelType w:val="hybridMultilevel"/>
    <w:lvl w:ilvl="0">
      <w:lvlJc w:val="left"/>
      <w:lvlText w:val="%1."/>
      <w:numFmt w:val="decimal"/>
      <w:start w:val="58"/>
    </w:lvl>
  </w:abstractNum>
  <w:abstractNum w:abstractNumId="82">
    <w:nsid w:val="6EB5BD4"/>
    <w:multiLevelType w:val="hybridMultilevel"/>
    <w:lvl w:ilvl="0">
      <w:lvlJc w:val="left"/>
      <w:lvlText w:val="%1."/>
      <w:numFmt w:val="decimal"/>
      <w:start w:val="7"/>
    </w:lvl>
    <w:lvl w:ilvl="1">
      <w:lvlJc w:val="left"/>
      <w:lvlText w:val="(%2)"/>
      <w:numFmt w:val="lowerLetter"/>
      <w:start w:val="1"/>
    </w:lvl>
  </w:abstractNum>
  <w:abstractNum w:abstractNumId="83">
    <w:nsid w:val="6F6DD9AC"/>
    <w:multiLevelType w:val="hybridMultilevel"/>
    <w:lvl w:ilvl="0">
      <w:lvlJc w:val="left"/>
      <w:lvlText w:val="%1."/>
      <w:numFmt w:val="decimal"/>
      <w:start w:val="17"/>
    </w:lvl>
  </w:abstractNum>
  <w:abstractNum w:abstractNumId="84">
    <w:nsid w:val="94211F2"/>
    <w:multiLevelType w:val="hybridMultilevel"/>
    <w:lvl w:ilvl="0">
      <w:lvlJc w:val="left"/>
      <w:lvlText w:val="(%1)"/>
      <w:numFmt w:val="lowerLetter"/>
      <w:start w:val="2"/>
    </w:lvl>
  </w:abstractNum>
  <w:abstractNum w:abstractNumId="85">
    <w:nsid w:val="885E1B"/>
    <w:multiLevelType w:val="hybridMultilevel"/>
    <w:lvl w:ilvl="0">
      <w:lvlJc w:val="left"/>
      <w:lvlText w:val="%1."/>
      <w:numFmt w:val="decimal"/>
      <w:start w:val="24"/>
    </w:lvl>
  </w:abstractNum>
  <w:abstractNum w:abstractNumId="86">
    <w:nsid w:val="76272110"/>
    <w:multiLevelType w:val="hybridMultilevel"/>
    <w:lvl w:ilvl="0">
      <w:lvlJc w:val="left"/>
      <w:lvlText w:val="%1."/>
      <w:numFmt w:val="decimal"/>
      <w:start w:val="26"/>
    </w:lvl>
    <w:lvl w:ilvl="1">
      <w:lvlJc w:val="left"/>
      <w:lvlText w:val="(%2)"/>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2021-01-04T13:10:08Z</dcterms:created>
  <dcterms:modified xsi:type="dcterms:W3CDTF">2021-01-04T13:10:08Z</dcterms:modified>
</cp:coreProperties>
</file>