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THE GAZETTE OF INDIA</w:t>
      </w:r>
    </w:p>
    <w:p>
      <w:pPr>
        <w:spacing w:after="0" w:line="358" w:lineRule="exact"/>
        <w:rPr>
          <w:sz w:val="24"/>
          <w:szCs w:val="24"/>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EXTRAORDINARY</w:t>
      </w:r>
    </w:p>
    <w:p>
      <w:pPr>
        <w:spacing w:after="0" w:line="360" w:lineRule="exact"/>
        <w:rPr>
          <w:sz w:val="24"/>
          <w:szCs w:val="24"/>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PART III - SECTION 4</w:t>
      </w:r>
    </w:p>
    <w:p>
      <w:pPr>
        <w:spacing w:after="0" w:line="358" w:lineRule="exact"/>
        <w:rPr>
          <w:sz w:val="24"/>
          <w:szCs w:val="24"/>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PUBLISHED BY AUTHORITY</w:t>
      </w:r>
    </w:p>
    <w:p>
      <w:pPr>
        <w:spacing w:after="0" w:line="360" w:lineRule="exact"/>
        <w:rPr>
          <w:sz w:val="24"/>
          <w:szCs w:val="24"/>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NEW DELHI, SEPTEMBER 11, 2018</w:t>
      </w:r>
    </w:p>
    <w:p>
      <w:pPr>
        <w:spacing w:after="0" w:line="200" w:lineRule="exact"/>
        <w:rPr>
          <w:sz w:val="24"/>
          <w:szCs w:val="24"/>
          <w:color w:val="auto"/>
        </w:rPr>
      </w:pPr>
    </w:p>
    <w:p>
      <w:pPr>
        <w:spacing w:after="0" w:line="200" w:lineRule="exact"/>
        <w:rPr>
          <w:sz w:val="24"/>
          <w:szCs w:val="24"/>
          <w:color w:val="auto"/>
        </w:rPr>
      </w:pPr>
    </w:p>
    <w:p>
      <w:pPr>
        <w:spacing w:after="0" w:line="277" w:lineRule="exact"/>
        <w:rPr>
          <w:sz w:val="24"/>
          <w:szCs w:val="24"/>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SECURITIES AND EXCHANGE BOARD OF INDIA</w:t>
      </w:r>
    </w:p>
    <w:p>
      <w:pPr>
        <w:spacing w:after="0" w:line="358" w:lineRule="exact"/>
        <w:rPr>
          <w:sz w:val="24"/>
          <w:szCs w:val="24"/>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NOTIFICATION</w:t>
      </w:r>
    </w:p>
    <w:p>
      <w:pPr>
        <w:spacing w:after="0" w:line="364" w:lineRule="exact"/>
        <w:rPr>
          <w:sz w:val="24"/>
          <w:szCs w:val="24"/>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Mumbai, the 11</w:t>
      </w:r>
      <w:r>
        <w:rPr>
          <w:rFonts w:ascii="Times New Roman" w:cs="Times New Roman" w:eastAsia="Times New Roman" w:hAnsi="Times New Roman"/>
          <w:sz w:val="32"/>
          <w:szCs w:val="32"/>
          <w:b w:val="1"/>
          <w:bCs w:val="1"/>
          <w:color w:val="auto"/>
          <w:vertAlign w:val="superscript"/>
        </w:rPr>
        <w:t>th</w:t>
      </w:r>
      <w:r>
        <w:rPr>
          <w:rFonts w:ascii="Times New Roman" w:cs="Times New Roman" w:eastAsia="Times New Roman" w:hAnsi="Times New Roman"/>
          <w:sz w:val="24"/>
          <w:szCs w:val="24"/>
          <w:b w:val="1"/>
          <w:bCs w:val="1"/>
          <w:color w:val="auto"/>
        </w:rPr>
        <w:t xml:space="preserve"> September, 2018</w:t>
      </w:r>
    </w:p>
    <w:p>
      <w:pPr>
        <w:spacing w:after="0" w:line="200" w:lineRule="exact"/>
        <w:rPr>
          <w:sz w:val="24"/>
          <w:szCs w:val="24"/>
          <w:color w:val="auto"/>
        </w:rPr>
      </w:pPr>
    </w:p>
    <w:p>
      <w:pPr>
        <w:spacing w:after="0" w:line="390" w:lineRule="exact"/>
        <w:rPr>
          <w:sz w:val="24"/>
          <w:szCs w:val="24"/>
          <w:color w:val="auto"/>
        </w:rPr>
      </w:pPr>
    </w:p>
    <w:p>
      <w:pPr>
        <w:jc w:val="center"/>
        <w:ind w:left="488" w:right="480"/>
        <w:spacing w:after="0" w:line="266" w:lineRule="auto"/>
        <w:rPr>
          <w:sz w:val="20"/>
          <w:szCs w:val="20"/>
          <w:color w:val="auto"/>
        </w:rPr>
      </w:pPr>
      <w:r>
        <w:rPr>
          <w:rFonts w:ascii="Times New Roman" w:cs="Times New Roman" w:eastAsia="Times New Roman" w:hAnsi="Times New Roman"/>
          <w:sz w:val="24"/>
          <w:szCs w:val="24"/>
          <w:b w:val="1"/>
          <w:bCs w:val="1"/>
          <w:color w:val="auto"/>
        </w:rPr>
        <w:t>SECURITIES AND EXCHANGE BOARD OF INDIA (ISSUE OF CAPITAL AND DISCLOSURE REQUIREMENTS) REGULATIONS, 2018</w:t>
      </w:r>
    </w:p>
    <w:p>
      <w:pPr>
        <w:sectPr>
          <w:pgSz w:w="11900" w:h="16836" w:orient="portrait"/>
          <w:cols w:equalWidth="0" w:num="1">
            <w:col w:w="9468"/>
          </w:cols>
          <w:pgMar w:left="1152" w:top="1149" w:right="1284" w:bottom="103" w:gutter="0" w:footer="0" w:header="0"/>
        </w:sectPr>
      </w:pPr>
    </w:p>
    <w:p>
      <w:pPr>
        <w:spacing w:after="0" w:line="200" w:lineRule="exact"/>
        <w:rPr>
          <w:sz w:val="24"/>
          <w:szCs w:val="24"/>
          <w:color w:val="auto"/>
        </w:rPr>
      </w:pPr>
    </w:p>
    <w:p>
      <w:pPr>
        <w:spacing w:after="0" w:line="233" w:lineRule="exact"/>
        <w:rPr>
          <w:sz w:val="24"/>
          <w:szCs w:val="24"/>
          <w:color w:val="auto"/>
        </w:rPr>
      </w:pPr>
    </w:p>
    <w:p>
      <w:pPr>
        <w:jc w:val="both"/>
        <w:ind w:left="8"/>
        <w:spacing w:after="0" w:line="354" w:lineRule="auto"/>
        <w:rPr>
          <w:sz w:val="20"/>
          <w:szCs w:val="20"/>
          <w:color w:val="auto"/>
        </w:rPr>
      </w:pPr>
      <w:r>
        <w:rPr>
          <w:rFonts w:ascii="Times New Roman" w:cs="Times New Roman" w:eastAsia="Times New Roman" w:hAnsi="Times New Roman"/>
          <w:sz w:val="24"/>
          <w:szCs w:val="24"/>
          <w:b w:val="1"/>
          <w:bCs w:val="1"/>
          <w:color w:val="auto"/>
        </w:rPr>
        <w:t xml:space="preserve">No. SEBI/LAD-NRO/GN/2018/31. - </w:t>
      </w:r>
      <w:r>
        <w:rPr>
          <w:rFonts w:ascii="Times New Roman" w:cs="Times New Roman" w:eastAsia="Times New Roman" w:hAnsi="Times New Roman"/>
          <w:sz w:val="24"/>
          <w:szCs w:val="24"/>
          <w:color w:val="auto"/>
        </w:rPr>
        <w:t>In</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the Securities and Exchange Board of the following regulations, namely:</w:t>
      </w:r>
    </w:p>
    <w:p>
      <w:pPr>
        <w:spacing w:after="0" w:line="20" w:lineRule="exact"/>
        <w:rPr>
          <w:sz w:val="24"/>
          <w:szCs w:val="24"/>
          <w:color w:val="auto"/>
        </w:rPr>
      </w:pPr>
      <w:r>
        <w:rPr>
          <w:sz w:val="24"/>
          <w:szCs w:val="24"/>
          <w:color w:val="auto"/>
        </w:rPr>
        <w:br w:type="column"/>
      </w:r>
    </w:p>
    <w:p>
      <w:pPr>
        <w:spacing w:after="0" w:line="200" w:lineRule="exact"/>
        <w:rPr>
          <w:sz w:val="24"/>
          <w:szCs w:val="24"/>
          <w:color w:val="auto"/>
        </w:rPr>
      </w:pPr>
    </w:p>
    <w:p>
      <w:pPr>
        <w:spacing w:after="0" w:line="213" w:lineRule="exact"/>
        <w:rPr>
          <w:sz w:val="24"/>
          <w:szCs w:val="24"/>
          <w:color w:val="auto"/>
        </w:rPr>
      </w:pPr>
    </w:p>
    <w:p>
      <w:pPr>
        <w:jc w:val="right"/>
        <w:spacing w:after="0" w:line="350" w:lineRule="auto"/>
        <w:rPr>
          <w:sz w:val="20"/>
          <w:szCs w:val="20"/>
          <w:color w:val="auto"/>
        </w:rPr>
      </w:pPr>
      <w:r>
        <w:rPr>
          <w:rFonts w:ascii="Times New Roman" w:cs="Times New Roman" w:eastAsia="Times New Roman" w:hAnsi="Times New Roman"/>
          <w:sz w:val="24"/>
          <w:szCs w:val="24"/>
          <w:color w:val="auto"/>
        </w:rPr>
        <w:t>exercise  of  the  powers  conferred  by  section  30  of India Act, 1992 (15 of 1992), the Board hereby makes</w:t>
      </w:r>
    </w:p>
    <w:p>
      <w:pPr>
        <w:spacing w:after="0" w:line="616" w:lineRule="exact"/>
        <w:rPr>
          <w:sz w:val="24"/>
          <w:szCs w:val="24"/>
          <w:color w:val="auto"/>
        </w:rPr>
      </w:pPr>
    </w:p>
    <w:p>
      <w:pPr>
        <w:sectPr>
          <w:pgSz w:w="11900" w:h="16836" w:orient="portrait"/>
          <w:cols w:equalWidth="0" w:num="2">
            <w:col w:w="4028" w:space="40"/>
            <w:col w:w="5400"/>
          </w:cols>
          <w:pgMar w:left="1152" w:top="1149" w:right="1284" w:bottom="103" w:gutter="0" w:footer="0" w:header="0"/>
          <w:type w:val="continuous"/>
        </w:sectPr>
      </w:pPr>
    </w:p>
    <w:p>
      <w:pPr>
        <w:spacing w:after="0" w:line="227" w:lineRule="exact"/>
        <w:rPr>
          <w:sz w:val="24"/>
          <w:szCs w:val="24"/>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CHAPTER I - PRELIMINARY</w:t>
      </w:r>
    </w:p>
    <w:p>
      <w:pPr>
        <w:spacing w:after="0" w:line="200" w:lineRule="exact"/>
        <w:rPr>
          <w:sz w:val="24"/>
          <w:szCs w:val="24"/>
          <w:color w:val="auto"/>
        </w:rPr>
      </w:pPr>
    </w:p>
    <w:p>
      <w:pPr>
        <w:spacing w:after="0" w:line="352" w:lineRule="exact"/>
        <w:rPr>
          <w:sz w:val="24"/>
          <w:szCs w:val="24"/>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Short title and commencement</w:t>
      </w:r>
    </w:p>
    <w:p>
      <w:pPr>
        <w:spacing w:after="0" w:line="147" w:lineRule="exact"/>
        <w:rPr>
          <w:sz w:val="24"/>
          <w:szCs w:val="24"/>
          <w:color w:val="auto"/>
        </w:rPr>
      </w:pPr>
    </w:p>
    <w:p>
      <w:pPr>
        <w:ind w:left="8" w:hanging="8"/>
        <w:spacing w:after="0" w:line="348" w:lineRule="auto"/>
        <w:tabs>
          <w:tab w:leader="none" w:pos="293" w:val="left"/>
        </w:tabs>
        <w:numPr>
          <w:ilvl w:val="0"/>
          <w:numId w:val="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These regulations may be called the Securities and Exchange Board of India (Issue of Capital and Disclosure Requirements) Regulations, 2018.</w:t>
      </w:r>
    </w:p>
    <w:p>
      <w:pPr>
        <w:spacing w:after="0" w:line="200" w:lineRule="exact"/>
        <w:rPr>
          <w:sz w:val="24"/>
          <w:szCs w:val="24"/>
          <w:color w:val="auto"/>
        </w:rPr>
      </w:pPr>
    </w:p>
    <w:p>
      <w:pPr>
        <w:spacing w:after="0" w:line="240" w:lineRule="exact"/>
        <w:rPr>
          <w:sz w:val="24"/>
          <w:szCs w:val="24"/>
          <w:color w:val="auto"/>
        </w:rPr>
      </w:pPr>
    </w:p>
    <w:p>
      <w:pPr>
        <w:ind w:left="8" w:hanging="8"/>
        <w:spacing w:after="0" w:line="350" w:lineRule="auto"/>
        <w:tabs>
          <w:tab w:leader="none" w:pos="363" w:val="left"/>
        </w:tabs>
        <w:numPr>
          <w:ilvl w:val="0"/>
          <w:numId w:val="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They shall come into force on the sixtieth day from the date of its publication in the Official Gazette.</w:t>
      </w:r>
    </w:p>
    <w:p>
      <w:pPr>
        <w:spacing w:after="0" w:line="200" w:lineRule="exact"/>
        <w:rPr>
          <w:sz w:val="24"/>
          <w:szCs w:val="24"/>
          <w:color w:val="auto"/>
        </w:rPr>
      </w:pPr>
    </w:p>
    <w:p>
      <w:pPr>
        <w:spacing w:after="0" w:line="231" w:lineRule="exact"/>
        <w:rPr>
          <w:sz w:val="24"/>
          <w:szCs w:val="24"/>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Definitions</w:t>
      </w:r>
    </w:p>
    <w:p>
      <w:pPr>
        <w:spacing w:after="0" w:line="132" w:lineRule="exact"/>
        <w:rPr>
          <w:sz w:val="24"/>
          <w:szCs w:val="24"/>
          <w:color w:val="auto"/>
        </w:rPr>
      </w:pPr>
    </w:p>
    <w:p>
      <w:pPr>
        <w:ind w:left="248" w:hanging="248"/>
        <w:spacing w:after="0"/>
        <w:tabs>
          <w:tab w:leader="none" w:pos="248" w:val="left"/>
        </w:tabs>
        <w:numPr>
          <w:ilvl w:val="0"/>
          <w:numId w:val="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In these regulations, unless the context otherwise requires:</w:t>
      </w:r>
    </w:p>
    <w:p>
      <w:pPr>
        <w:spacing w:after="0" w:line="139" w:lineRule="exact"/>
        <w:rPr>
          <w:rFonts w:ascii="Times New Roman" w:cs="Times New Roman" w:eastAsia="Times New Roman" w:hAnsi="Times New Roman"/>
          <w:sz w:val="24"/>
          <w:szCs w:val="24"/>
          <w:b w:val="1"/>
          <w:bCs w:val="1"/>
          <w:color w:val="auto"/>
        </w:rPr>
      </w:pPr>
    </w:p>
    <w:p>
      <w:pPr>
        <w:ind w:left="548" w:hanging="512"/>
        <w:spacing w:after="0"/>
        <w:tabs>
          <w:tab w:leader="none" w:pos="548" w:val="left"/>
        </w:tabs>
        <w:numPr>
          <w:ilvl w:val="1"/>
          <w:numId w:val="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“Act” means the Securities and Exchange Board of India Act, 1992 [15 of 1992];</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98" w:lineRule="exact"/>
        <w:rPr>
          <w:sz w:val="24"/>
          <w:szCs w:val="24"/>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w:t>
      </w:r>
    </w:p>
    <w:p>
      <w:pPr>
        <w:sectPr>
          <w:pgSz w:w="11900" w:h="16836" w:orient="portrait"/>
          <w:cols w:equalWidth="0" w:num="1">
            <w:col w:w="9468"/>
          </w:cols>
          <w:pgMar w:left="1152" w:top="1149" w:right="1284" w:bottom="103" w:gutter="0" w:footer="0" w:header="0"/>
          <w:type w:val="continuous"/>
        </w:sectPr>
      </w:pPr>
    </w:p>
    <w:bookmarkStart w:id="1" w:name="page2"/>
    <w:bookmarkEnd w:id="1"/>
    <w:p>
      <w:pPr>
        <w:jc w:val="both"/>
        <w:ind w:left="520" w:right="20" w:hanging="512"/>
        <w:spacing w:after="0" w:line="354" w:lineRule="auto"/>
        <w:tabs>
          <w:tab w:leader="none" w:pos="520" w:val="left"/>
        </w:tabs>
        <w:numPr>
          <w:ilvl w:val="0"/>
          <w:numId w:val="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“advertisement” includes notices, brochures, pamphlets, show cards, catalogues, hoardings, placards, posters, insertions in newspaper, pictures and films in any print media or electronic media, radio, television programme;</w:t>
      </w:r>
    </w:p>
    <w:p>
      <w:pPr>
        <w:spacing w:after="0" w:line="20" w:lineRule="exact"/>
        <w:rPr>
          <w:rFonts w:ascii="Times New Roman" w:cs="Times New Roman" w:eastAsia="Times New Roman" w:hAnsi="Times New Roman"/>
          <w:sz w:val="24"/>
          <w:szCs w:val="24"/>
          <w:color w:val="auto"/>
        </w:rPr>
      </w:pPr>
    </w:p>
    <w:p>
      <w:pPr>
        <w:jc w:val="both"/>
        <w:ind w:left="520" w:hanging="512"/>
        <w:spacing w:after="0" w:line="375" w:lineRule="auto"/>
        <w:tabs>
          <w:tab w:leader="none" w:pos="520" w:val="left"/>
        </w:tabs>
        <w:numPr>
          <w:ilvl w:val="0"/>
          <w:numId w:val="4"/>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“anchor investor" means a qualified institutional buyer who makes an application for a value of at least ten crore rupees in a public issue on the main board made through the book building process in accordance with these regulations or makes an application for a value of at least two crore rupees for an issue made in accordance with Chapter IX of these regulations;</w:t>
      </w:r>
    </w:p>
    <w:p>
      <w:pPr>
        <w:spacing w:after="0" w:line="3" w:lineRule="exact"/>
        <w:rPr>
          <w:rFonts w:ascii="Times New Roman" w:cs="Times New Roman" w:eastAsia="Times New Roman" w:hAnsi="Times New Roman"/>
          <w:sz w:val="23"/>
          <w:szCs w:val="23"/>
          <w:color w:val="auto"/>
        </w:rPr>
      </w:pPr>
    </w:p>
    <w:p>
      <w:pPr>
        <w:jc w:val="both"/>
        <w:ind w:left="520" w:right="20" w:hanging="512"/>
        <w:spacing w:after="0" w:line="354" w:lineRule="auto"/>
        <w:tabs>
          <w:tab w:leader="none" w:pos="520" w:val="left"/>
        </w:tabs>
        <w:numPr>
          <w:ilvl w:val="0"/>
          <w:numId w:val="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“application supported by blocked amount (ASBA)” means an application for subscribing to a public issue or rights issue, along with an authorisation to self-certified syndicate bank to block the application money in a bank account;</w:t>
      </w:r>
    </w:p>
    <w:p>
      <w:pPr>
        <w:spacing w:after="0" w:line="22" w:lineRule="exact"/>
        <w:rPr>
          <w:rFonts w:ascii="Times New Roman" w:cs="Times New Roman" w:eastAsia="Times New Roman" w:hAnsi="Times New Roman"/>
          <w:sz w:val="24"/>
          <w:szCs w:val="24"/>
          <w:color w:val="auto"/>
        </w:rPr>
      </w:pPr>
    </w:p>
    <w:p>
      <w:pPr>
        <w:ind w:left="520" w:right="20" w:hanging="512"/>
        <w:spacing w:after="0" w:line="348" w:lineRule="auto"/>
        <w:tabs>
          <w:tab w:leader="none" w:pos="520" w:val="left"/>
        </w:tabs>
        <w:numPr>
          <w:ilvl w:val="0"/>
          <w:numId w:val="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“associate” means a person which is an associate of the issuer and as defined under the Companies Act, 2013;</w:t>
      </w:r>
    </w:p>
    <w:p>
      <w:pPr>
        <w:spacing w:after="0" w:line="15" w:lineRule="exact"/>
        <w:rPr>
          <w:rFonts w:ascii="Times New Roman" w:cs="Times New Roman" w:eastAsia="Times New Roman" w:hAnsi="Times New Roman"/>
          <w:sz w:val="24"/>
          <w:szCs w:val="24"/>
          <w:color w:val="auto"/>
        </w:rPr>
      </w:pPr>
    </w:p>
    <w:p>
      <w:pPr>
        <w:ind w:left="520" w:hanging="512"/>
        <w:spacing w:after="0"/>
        <w:tabs>
          <w:tab w:leader="none" w:pos="520" w:val="left"/>
        </w:tabs>
        <w:numPr>
          <w:ilvl w:val="0"/>
          <w:numId w:val="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“Board” means the Securities and Exchange Board of India established under the Act;</w:t>
      </w:r>
    </w:p>
    <w:p>
      <w:pPr>
        <w:spacing w:after="0" w:line="149" w:lineRule="exact"/>
        <w:rPr>
          <w:rFonts w:ascii="Times New Roman" w:cs="Times New Roman" w:eastAsia="Times New Roman" w:hAnsi="Times New Roman"/>
          <w:sz w:val="24"/>
          <w:szCs w:val="24"/>
          <w:color w:val="auto"/>
        </w:rPr>
      </w:pPr>
    </w:p>
    <w:p>
      <w:pPr>
        <w:jc w:val="both"/>
        <w:ind w:left="520" w:right="20" w:hanging="512"/>
        <w:spacing w:after="0" w:line="354" w:lineRule="auto"/>
        <w:tabs>
          <w:tab w:leader="none" w:pos="520" w:val="left"/>
        </w:tabs>
        <w:numPr>
          <w:ilvl w:val="0"/>
          <w:numId w:val="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“book building” means a process undertaken to elicit demand and to assess the price for determination of the quantum or value or coupon of specified securities or Indian Depository Receipts, as the case may be, in accordance with these regulations;</w:t>
      </w:r>
    </w:p>
    <w:p>
      <w:pPr>
        <w:spacing w:after="0" w:line="22" w:lineRule="exact"/>
        <w:rPr>
          <w:rFonts w:ascii="Times New Roman" w:cs="Times New Roman" w:eastAsia="Times New Roman" w:hAnsi="Times New Roman"/>
          <w:sz w:val="24"/>
          <w:szCs w:val="24"/>
          <w:color w:val="auto"/>
        </w:rPr>
      </w:pPr>
    </w:p>
    <w:p>
      <w:pPr>
        <w:jc w:val="both"/>
        <w:ind w:left="520" w:right="20" w:hanging="512"/>
        <w:spacing w:after="0" w:line="354" w:lineRule="auto"/>
        <w:tabs>
          <w:tab w:leader="none" w:pos="520" w:val="left"/>
        </w:tabs>
        <w:numPr>
          <w:ilvl w:val="0"/>
          <w:numId w:val="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“composite issue” means an issue of specified securities by a listed issuer on public-cum-rights basis, wherein the allotment in both public issue and rights issue is proposed to be made simultaneously;</w:t>
      </w:r>
    </w:p>
    <w:p>
      <w:pPr>
        <w:spacing w:after="0" w:line="19" w:lineRule="exact"/>
        <w:rPr>
          <w:rFonts w:ascii="Times New Roman" w:cs="Times New Roman" w:eastAsia="Times New Roman" w:hAnsi="Times New Roman"/>
          <w:sz w:val="24"/>
          <w:szCs w:val="24"/>
          <w:color w:val="auto"/>
        </w:rPr>
      </w:pPr>
    </w:p>
    <w:p>
      <w:pPr>
        <w:ind w:left="520" w:right="20" w:hanging="512"/>
        <w:spacing w:after="0" w:line="350" w:lineRule="auto"/>
        <w:tabs>
          <w:tab w:leader="none" w:pos="520" w:val="left"/>
        </w:tabs>
        <w:numPr>
          <w:ilvl w:val="0"/>
          <w:numId w:val="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“control” shall have the same meaning as assigned to it under the Securities and Exchange Board of India (Substantial Acquisitions of Shares and Takeovers) Regulations, 2011;</w:t>
      </w:r>
    </w:p>
    <w:p>
      <w:pPr>
        <w:spacing w:after="0" w:line="23" w:lineRule="exact"/>
        <w:rPr>
          <w:rFonts w:ascii="Times New Roman" w:cs="Times New Roman" w:eastAsia="Times New Roman" w:hAnsi="Times New Roman"/>
          <w:sz w:val="24"/>
          <w:szCs w:val="24"/>
          <w:color w:val="auto"/>
        </w:rPr>
      </w:pPr>
    </w:p>
    <w:p>
      <w:pPr>
        <w:jc w:val="both"/>
        <w:ind w:left="520" w:right="20" w:hanging="512"/>
        <w:spacing w:after="0" w:line="357" w:lineRule="auto"/>
        <w:tabs>
          <w:tab w:leader="none" w:pos="520" w:val="left"/>
        </w:tabs>
        <w:numPr>
          <w:ilvl w:val="0"/>
          <w:numId w:val="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“convertible debt instrument” means an instrument which creates or acknowledges indebtedness and is convertible into equity shares of the issuer at a later date at or without the option of the holder of the instrument, whether constituting a charge on the assets of the issuer or not;</w:t>
      </w:r>
    </w:p>
    <w:p>
      <w:pPr>
        <w:spacing w:after="0" w:line="14" w:lineRule="exact"/>
        <w:rPr>
          <w:rFonts w:ascii="Times New Roman" w:cs="Times New Roman" w:eastAsia="Times New Roman" w:hAnsi="Times New Roman"/>
          <w:sz w:val="24"/>
          <w:szCs w:val="24"/>
          <w:color w:val="auto"/>
        </w:rPr>
      </w:pPr>
    </w:p>
    <w:p>
      <w:pPr>
        <w:jc w:val="both"/>
        <w:ind w:left="520" w:right="20" w:hanging="512"/>
        <w:spacing w:after="0" w:line="354" w:lineRule="auto"/>
        <w:tabs>
          <w:tab w:leader="none" w:pos="520" w:val="left"/>
        </w:tabs>
        <w:numPr>
          <w:ilvl w:val="0"/>
          <w:numId w:val="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“convertible security” means a security which is convertible into or exchangeable with equity shares of the issuer at a later date, with or without the option of the holder of such security and includes convertible debt instrument and convertible preference shares;</w:t>
      </w:r>
    </w:p>
    <w:p>
      <w:pPr>
        <w:spacing w:after="0" w:line="22" w:lineRule="exact"/>
        <w:rPr>
          <w:rFonts w:ascii="Times New Roman" w:cs="Times New Roman" w:eastAsia="Times New Roman" w:hAnsi="Times New Roman"/>
          <w:sz w:val="24"/>
          <w:szCs w:val="24"/>
          <w:color w:val="auto"/>
        </w:rPr>
      </w:pPr>
    </w:p>
    <w:p>
      <w:pPr>
        <w:jc w:val="both"/>
        <w:ind w:left="520" w:right="20" w:hanging="512"/>
        <w:spacing w:after="0" w:line="354" w:lineRule="auto"/>
        <w:tabs>
          <w:tab w:leader="none" w:pos="520" w:val="left"/>
        </w:tabs>
        <w:numPr>
          <w:ilvl w:val="0"/>
          <w:numId w:val="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“designated stock exchange” means a recognised stock exchange having nationwide trading terminals chosen by the issuer on which securities of an issuer are listed or proposed to be listed for the purpose of a particular issue of specified securities under these regulations:</w:t>
      </w:r>
    </w:p>
    <w:p>
      <w:pPr>
        <w:spacing w:after="0" w:line="20" w:lineRule="exact"/>
        <w:rPr>
          <w:rFonts w:ascii="Times New Roman" w:cs="Times New Roman" w:eastAsia="Times New Roman" w:hAnsi="Times New Roman"/>
          <w:sz w:val="24"/>
          <w:szCs w:val="24"/>
          <w:color w:val="auto"/>
        </w:rPr>
      </w:pPr>
    </w:p>
    <w:p>
      <w:pPr>
        <w:ind w:left="520" w:right="20"/>
        <w:spacing w:after="0" w:line="350"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the issuer may choose a different recognised stock exchange as a designated stock exchange for any subsequent issue of specified securities;</w:t>
      </w:r>
    </w:p>
    <w:p>
      <w:pPr>
        <w:spacing w:after="0" w:line="23" w:lineRule="exact"/>
        <w:rPr>
          <w:rFonts w:ascii="Times New Roman" w:cs="Times New Roman" w:eastAsia="Times New Roman" w:hAnsi="Times New Roman"/>
          <w:sz w:val="24"/>
          <w:szCs w:val="24"/>
          <w:color w:val="auto"/>
        </w:rPr>
      </w:pPr>
    </w:p>
    <w:p>
      <w:pPr>
        <w:ind w:left="520" w:right="20" w:hanging="512"/>
        <w:spacing w:after="0" w:line="350" w:lineRule="auto"/>
        <w:tabs>
          <w:tab w:leader="none" w:pos="520" w:val="left"/>
        </w:tabs>
        <w:numPr>
          <w:ilvl w:val="0"/>
          <w:numId w:val="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“draft letter of offer” means the draft letter of offer filed with the Board in relation to a rights issue under these regulations;</w:t>
      </w:r>
    </w:p>
    <w:p>
      <w:pPr>
        <w:spacing w:after="0" w:line="268" w:lineRule="exact"/>
        <w:rPr>
          <w:sz w:val="20"/>
          <w:szCs w:val="20"/>
          <w:color w:val="auto"/>
        </w:rPr>
      </w:pPr>
    </w:p>
    <w:p>
      <w:pPr>
        <w:jc w:val="center"/>
        <w:ind w:right="60"/>
        <w:spacing w:after="0"/>
        <w:rPr>
          <w:sz w:val="20"/>
          <w:szCs w:val="20"/>
          <w:color w:val="auto"/>
        </w:rPr>
      </w:pPr>
      <w:r>
        <w:rPr>
          <w:rFonts w:ascii="Times New Roman" w:cs="Times New Roman" w:eastAsia="Times New Roman" w:hAnsi="Times New Roman"/>
          <w:sz w:val="24"/>
          <w:szCs w:val="24"/>
          <w:color w:val="auto"/>
        </w:rPr>
        <w:t>2</w:t>
      </w:r>
    </w:p>
    <w:p>
      <w:pPr>
        <w:sectPr>
          <w:pgSz w:w="11900" w:h="16836" w:orient="portrait"/>
          <w:cols w:equalWidth="0" w:num="1">
            <w:col w:w="9460"/>
          </w:cols>
          <w:pgMar w:left="1180" w:top="1156" w:right="1264" w:bottom="103" w:gutter="0" w:footer="0" w:header="0"/>
        </w:sectPr>
      </w:pPr>
    </w:p>
    <w:bookmarkStart w:id="2" w:name="page3"/>
    <w:bookmarkEnd w:id="2"/>
    <w:p>
      <w:pPr>
        <w:ind w:left="520" w:hanging="512"/>
        <w:spacing w:after="0" w:line="348" w:lineRule="auto"/>
        <w:tabs>
          <w:tab w:leader="none" w:pos="520" w:val="left"/>
        </w:tabs>
        <w:numPr>
          <w:ilvl w:val="0"/>
          <w:numId w:val="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“draft offer document” means the draft offer document filed with the Board in relation to a public issue under these regulations;</w:t>
      </w:r>
    </w:p>
    <w:p>
      <w:pPr>
        <w:spacing w:after="0" w:line="28" w:lineRule="exact"/>
        <w:rPr>
          <w:rFonts w:ascii="Times New Roman" w:cs="Times New Roman" w:eastAsia="Times New Roman" w:hAnsi="Times New Roman"/>
          <w:sz w:val="24"/>
          <w:szCs w:val="24"/>
          <w:color w:val="auto"/>
        </w:rPr>
      </w:pPr>
    </w:p>
    <w:p>
      <w:pPr>
        <w:jc w:val="both"/>
        <w:ind w:left="520" w:hanging="512"/>
        <w:spacing w:after="0" w:line="357" w:lineRule="auto"/>
        <w:tabs>
          <w:tab w:leader="none" w:pos="520" w:val="left"/>
        </w:tabs>
        <w:numPr>
          <w:ilvl w:val="0"/>
          <w:numId w:val="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“employee” means a permanent employee, working in India or outside India, of the issuer or of the promoters or subsidiary company of the issuer, or a director of the issuer, whether whole-time or not and does not include (i) promoters, (ii) a person belonging to the promoter group; or (iii) a director who either himself/herself or through their relatives or through any body corporate, directly or indirectly, holds more than ten per cent. of the outstanding equity shares of the issuer;</w:t>
      </w:r>
    </w:p>
    <w:p>
      <w:pPr>
        <w:spacing w:after="0" w:line="21" w:lineRule="exact"/>
        <w:rPr>
          <w:rFonts w:ascii="Times New Roman" w:cs="Times New Roman" w:eastAsia="Times New Roman" w:hAnsi="Times New Roman"/>
          <w:sz w:val="24"/>
          <w:szCs w:val="24"/>
          <w:color w:val="auto"/>
        </w:rPr>
      </w:pPr>
    </w:p>
    <w:p>
      <w:pPr>
        <w:jc w:val="both"/>
        <w:ind w:left="520"/>
        <w:spacing w:after="0" w:line="35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for the purposes of stock option schemes, employee shall have the same meaning as assigned to under the Securities and Exchange Board of India (Share Based Employee Benefits) Regulations, 2014;</w:t>
      </w:r>
    </w:p>
    <w:p>
      <w:pPr>
        <w:spacing w:after="0" w:line="19" w:lineRule="exact"/>
        <w:rPr>
          <w:rFonts w:ascii="Times New Roman" w:cs="Times New Roman" w:eastAsia="Times New Roman" w:hAnsi="Times New Roman"/>
          <w:sz w:val="24"/>
          <w:szCs w:val="24"/>
          <w:color w:val="auto"/>
        </w:rPr>
      </w:pPr>
    </w:p>
    <w:p>
      <w:pPr>
        <w:ind w:left="520" w:hanging="512"/>
        <w:spacing w:after="0" w:line="350" w:lineRule="auto"/>
        <w:tabs>
          <w:tab w:leader="none" w:pos="520" w:val="left"/>
        </w:tabs>
        <w:numPr>
          <w:ilvl w:val="0"/>
          <w:numId w:val="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“fugitive economic offender” shall mean an individual who is declared a fugitive economic offender under section 12 of the Fugitive Economic Offenders Act, 2018 (17 of 2018);</w:t>
      </w:r>
    </w:p>
    <w:p>
      <w:pPr>
        <w:spacing w:after="0" w:line="23" w:lineRule="exact"/>
        <w:rPr>
          <w:rFonts w:ascii="Times New Roman" w:cs="Times New Roman" w:eastAsia="Times New Roman" w:hAnsi="Times New Roman"/>
          <w:sz w:val="24"/>
          <w:szCs w:val="24"/>
          <w:color w:val="auto"/>
        </w:rPr>
      </w:pPr>
    </w:p>
    <w:p>
      <w:pPr>
        <w:jc w:val="both"/>
        <w:ind w:left="520" w:hanging="512"/>
        <w:spacing w:after="0" w:line="354" w:lineRule="auto"/>
        <w:tabs>
          <w:tab w:leader="none" w:pos="520" w:val="left"/>
        </w:tabs>
        <w:numPr>
          <w:ilvl w:val="0"/>
          <w:numId w:val="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“further public offer” means an offer of specified securities by a listed issuer to the public for subscription and includes an offer for sale of specified securities to the public by any existing holders of such specified securities in a listed issuer;</w:t>
      </w:r>
    </w:p>
    <w:p>
      <w:pPr>
        <w:spacing w:after="0" w:line="22" w:lineRule="exact"/>
        <w:rPr>
          <w:rFonts w:ascii="Times New Roman" w:cs="Times New Roman" w:eastAsia="Times New Roman" w:hAnsi="Times New Roman"/>
          <w:sz w:val="24"/>
          <w:szCs w:val="24"/>
          <w:color w:val="auto"/>
        </w:rPr>
      </w:pPr>
    </w:p>
    <w:p>
      <w:pPr>
        <w:jc w:val="both"/>
        <w:ind w:left="520" w:hanging="512"/>
        <w:spacing w:after="0" w:line="356" w:lineRule="auto"/>
        <w:tabs>
          <w:tab w:leader="none" w:pos="520" w:val="left"/>
        </w:tabs>
        <w:numPr>
          <w:ilvl w:val="0"/>
          <w:numId w:val="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“general corporate purposes” include such identified purposes for which no specific amount is allocated or any amount so specified towards general corporate purpose or any such purpose by whatever name called, in the draft offer document, draft letter of offer, or the offer document:</w:t>
      </w:r>
    </w:p>
    <w:p>
      <w:pPr>
        <w:spacing w:after="0" w:line="18" w:lineRule="exact"/>
        <w:rPr>
          <w:rFonts w:ascii="Times New Roman" w:cs="Times New Roman" w:eastAsia="Times New Roman" w:hAnsi="Times New Roman"/>
          <w:sz w:val="24"/>
          <w:szCs w:val="24"/>
          <w:color w:val="auto"/>
        </w:rPr>
      </w:pPr>
    </w:p>
    <w:p>
      <w:pPr>
        <w:jc w:val="both"/>
        <w:ind w:left="520"/>
        <w:spacing w:after="0" w:line="35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any issue related expenses shall not be considered as a part of general corporate purpose merely because no specific amount has been allocated for such expenses in the draft offer document, draft letter of offer or the offer document;</w:t>
      </w:r>
    </w:p>
    <w:p>
      <w:pPr>
        <w:spacing w:after="0" w:line="20" w:lineRule="exact"/>
        <w:rPr>
          <w:rFonts w:ascii="Times New Roman" w:cs="Times New Roman" w:eastAsia="Times New Roman" w:hAnsi="Times New Roman"/>
          <w:sz w:val="24"/>
          <w:szCs w:val="24"/>
          <w:color w:val="auto"/>
        </w:rPr>
      </w:pPr>
    </w:p>
    <w:p>
      <w:pPr>
        <w:ind w:left="520" w:hanging="512"/>
        <w:spacing w:after="0" w:line="350" w:lineRule="auto"/>
        <w:tabs>
          <w:tab w:leader="none" w:pos="520" w:val="left"/>
        </w:tabs>
        <w:numPr>
          <w:ilvl w:val="0"/>
          <w:numId w:val="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“green shoe option” means an option of allotting equity shares in excess of the equity shares offered in the public issue as a post-listing price stabilizing mechanism;</w:t>
      </w:r>
    </w:p>
    <w:p>
      <w:pPr>
        <w:spacing w:after="0" w:line="23" w:lineRule="exact"/>
        <w:rPr>
          <w:rFonts w:ascii="Times New Roman" w:cs="Times New Roman" w:eastAsia="Times New Roman" w:hAnsi="Times New Roman"/>
          <w:sz w:val="24"/>
          <w:szCs w:val="24"/>
          <w:color w:val="auto"/>
        </w:rPr>
      </w:pPr>
    </w:p>
    <w:p>
      <w:pPr>
        <w:jc w:val="both"/>
        <w:ind w:left="520" w:hanging="512"/>
        <w:spacing w:after="0" w:line="356" w:lineRule="auto"/>
        <w:tabs>
          <w:tab w:leader="none" w:pos="520" w:val="left"/>
        </w:tabs>
        <w:numPr>
          <w:ilvl w:val="0"/>
          <w:numId w:val="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"group companies", shall include such companies (other than promoter(s) and subsidiary/subsidiaries) with which there were related party transactions, during the period for which financial information is disclosed, as covered under the applicable accounting standards, and also other companies as considered material by the board of the issuer;</w:t>
      </w:r>
    </w:p>
    <w:p>
      <w:pPr>
        <w:spacing w:after="0" w:line="18" w:lineRule="exact"/>
        <w:rPr>
          <w:rFonts w:ascii="Times New Roman" w:cs="Times New Roman" w:eastAsia="Times New Roman" w:hAnsi="Times New Roman"/>
          <w:sz w:val="24"/>
          <w:szCs w:val="24"/>
          <w:color w:val="auto"/>
        </w:rPr>
      </w:pPr>
    </w:p>
    <w:p>
      <w:pPr>
        <w:ind w:left="520" w:hanging="512"/>
        <w:spacing w:after="0" w:line="350" w:lineRule="auto"/>
        <w:tabs>
          <w:tab w:leader="none" w:pos="520" w:val="left"/>
        </w:tabs>
        <w:numPr>
          <w:ilvl w:val="0"/>
          <w:numId w:val="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“housing finance company” means a deposit taking housing finance company registered with the National Housing Bank for carrying on the business of housing finance;</w:t>
      </w:r>
    </w:p>
    <w:p>
      <w:pPr>
        <w:spacing w:after="0" w:line="11" w:lineRule="exact"/>
        <w:rPr>
          <w:rFonts w:ascii="Times New Roman" w:cs="Times New Roman" w:eastAsia="Times New Roman" w:hAnsi="Times New Roman"/>
          <w:sz w:val="24"/>
          <w:szCs w:val="24"/>
          <w:color w:val="auto"/>
        </w:rPr>
      </w:pPr>
    </w:p>
    <w:p>
      <w:pPr>
        <w:ind w:left="520" w:hanging="512"/>
        <w:spacing w:after="0"/>
        <w:tabs>
          <w:tab w:leader="none" w:pos="520" w:val="left"/>
        </w:tabs>
        <w:numPr>
          <w:ilvl w:val="0"/>
          <w:numId w:val="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“infrastructure sector” shall include the following facilities/services:</w:t>
      </w:r>
    </w:p>
    <w:p>
      <w:pPr>
        <w:spacing w:after="0" w:line="139" w:lineRule="exact"/>
        <w:rPr>
          <w:rFonts w:ascii="Times New Roman" w:cs="Times New Roman" w:eastAsia="Times New Roman" w:hAnsi="Times New Roman"/>
          <w:sz w:val="24"/>
          <w:szCs w:val="24"/>
          <w:color w:val="auto"/>
        </w:rPr>
      </w:pPr>
    </w:p>
    <w:p>
      <w:pPr>
        <w:ind w:left="960" w:hanging="268"/>
        <w:spacing w:after="0"/>
        <w:tabs>
          <w:tab w:leader="none" w:pos="960" w:val="left"/>
        </w:tabs>
        <w:numPr>
          <w:ilvl w:val="1"/>
          <w:numId w:val="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transportation (including inter modal transportation), including the following: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jc w:val="center"/>
        <w:ind w:right="40"/>
        <w:spacing w:after="0"/>
        <w:rPr>
          <w:sz w:val="20"/>
          <w:szCs w:val="20"/>
          <w:color w:val="auto"/>
        </w:rPr>
      </w:pPr>
      <w:r>
        <w:rPr>
          <w:rFonts w:ascii="Times New Roman" w:cs="Times New Roman" w:eastAsia="Times New Roman" w:hAnsi="Times New Roman"/>
          <w:sz w:val="24"/>
          <w:szCs w:val="24"/>
          <w:color w:val="auto"/>
        </w:rPr>
        <w:t>3</w:t>
      </w:r>
    </w:p>
    <w:p>
      <w:pPr>
        <w:sectPr>
          <w:pgSz w:w="11900" w:h="16836" w:orient="portrait"/>
          <w:cols w:equalWidth="0" w:num="1">
            <w:col w:w="9440"/>
          </w:cols>
          <w:pgMar w:left="1180" w:top="1156" w:right="1284" w:bottom="103" w:gutter="0" w:footer="0" w:header="0"/>
        </w:sectPr>
      </w:pPr>
    </w:p>
    <w:bookmarkStart w:id="3" w:name="page4"/>
    <w:bookmarkEnd w:id="3"/>
    <w:p>
      <w:pPr>
        <w:jc w:val="both"/>
        <w:ind w:left="1160" w:right="20" w:hanging="368"/>
        <w:spacing w:after="0" w:line="354" w:lineRule="auto"/>
        <w:tabs>
          <w:tab w:leader="none" w:pos="1160" w:val="left"/>
        </w:tabs>
        <w:numPr>
          <w:ilvl w:val="1"/>
          <w:numId w:val="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roads, national highways, state highways, major district roads, other district roads and village roads, including toll roads, bridges, highways, road transport providers and other road-related services;</w:t>
      </w:r>
    </w:p>
    <w:p>
      <w:pPr>
        <w:spacing w:after="0" w:line="20" w:lineRule="exact"/>
        <w:rPr>
          <w:rFonts w:ascii="Times New Roman" w:cs="Times New Roman" w:eastAsia="Times New Roman" w:hAnsi="Times New Roman"/>
          <w:sz w:val="24"/>
          <w:szCs w:val="24"/>
          <w:color w:val="auto"/>
        </w:rPr>
      </w:pPr>
    </w:p>
    <w:p>
      <w:pPr>
        <w:ind w:left="1160" w:right="20" w:hanging="368"/>
        <w:spacing w:after="0" w:line="350" w:lineRule="auto"/>
        <w:tabs>
          <w:tab w:leader="none" w:pos="1160" w:val="left"/>
        </w:tabs>
        <w:numPr>
          <w:ilvl w:val="1"/>
          <w:numId w:val="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rail system, rail transport providers, metro rail roads and other railway related services;</w:t>
      </w:r>
    </w:p>
    <w:p>
      <w:pPr>
        <w:spacing w:after="0" w:line="23" w:lineRule="exact"/>
        <w:rPr>
          <w:rFonts w:ascii="Times New Roman" w:cs="Times New Roman" w:eastAsia="Times New Roman" w:hAnsi="Times New Roman"/>
          <w:sz w:val="24"/>
          <w:szCs w:val="24"/>
          <w:color w:val="auto"/>
        </w:rPr>
      </w:pPr>
    </w:p>
    <w:p>
      <w:pPr>
        <w:ind w:left="1160" w:right="20" w:hanging="368"/>
        <w:spacing w:after="0" w:line="350" w:lineRule="auto"/>
        <w:tabs>
          <w:tab w:leader="none" w:pos="1160" w:val="left"/>
        </w:tabs>
        <w:numPr>
          <w:ilvl w:val="1"/>
          <w:numId w:val="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ports (including minor ports and harbours), inland waterways, coastal shipping including shipping lines and other port related services;</w:t>
      </w:r>
    </w:p>
    <w:p>
      <w:pPr>
        <w:spacing w:after="0" w:line="10" w:lineRule="exact"/>
        <w:rPr>
          <w:rFonts w:ascii="Times New Roman" w:cs="Times New Roman" w:eastAsia="Times New Roman" w:hAnsi="Times New Roman"/>
          <w:sz w:val="24"/>
          <w:szCs w:val="24"/>
          <w:color w:val="auto"/>
        </w:rPr>
      </w:pPr>
    </w:p>
    <w:p>
      <w:pPr>
        <w:ind w:left="1160" w:hanging="368"/>
        <w:spacing w:after="0"/>
        <w:tabs>
          <w:tab w:leader="none" w:pos="1160" w:val="left"/>
        </w:tabs>
        <w:numPr>
          <w:ilvl w:val="1"/>
          <w:numId w:val="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aviation, including airports, heliports, airlines and other airport related services;</w:t>
      </w:r>
    </w:p>
    <w:p>
      <w:pPr>
        <w:spacing w:after="0" w:line="139" w:lineRule="exact"/>
        <w:rPr>
          <w:rFonts w:ascii="Times New Roman" w:cs="Times New Roman" w:eastAsia="Times New Roman" w:hAnsi="Times New Roman"/>
          <w:sz w:val="24"/>
          <w:szCs w:val="24"/>
          <w:color w:val="auto"/>
        </w:rPr>
      </w:pPr>
    </w:p>
    <w:p>
      <w:pPr>
        <w:ind w:left="1160" w:hanging="368"/>
        <w:spacing w:after="0"/>
        <w:tabs>
          <w:tab w:leader="none" w:pos="1160" w:val="left"/>
        </w:tabs>
        <w:numPr>
          <w:ilvl w:val="1"/>
          <w:numId w:val="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logistics services;</w:t>
      </w:r>
    </w:p>
    <w:p>
      <w:pPr>
        <w:spacing w:after="0" w:line="136" w:lineRule="exact"/>
        <w:rPr>
          <w:rFonts w:ascii="Times New Roman" w:cs="Times New Roman" w:eastAsia="Times New Roman" w:hAnsi="Times New Roman"/>
          <w:sz w:val="24"/>
          <w:szCs w:val="24"/>
          <w:color w:val="auto"/>
        </w:rPr>
      </w:pPr>
    </w:p>
    <w:p>
      <w:pPr>
        <w:ind w:left="700" w:hanging="268"/>
        <w:spacing w:after="0"/>
        <w:tabs>
          <w:tab w:leader="none" w:pos="700" w:val="left"/>
        </w:tabs>
        <w:numPr>
          <w:ilvl w:val="0"/>
          <w:numId w:val="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agriculture, including the following:</w:t>
      </w:r>
    </w:p>
    <w:p>
      <w:pPr>
        <w:spacing w:after="0" w:line="139" w:lineRule="exact"/>
        <w:rPr>
          <w:rFonts w:ascii="Times New Roman" w:cs="Times New Roman" w:eastAsia="Times New Roman" w:hAnsi="Times New Roman"/>
          <w:sz w:val="24"/>
          <w:szCs w:val="24"/>
          <w:color w:val="auto"/>
        </w:rPr>
      </w:pPr>
    </w:p>
    <w:p>
      <w:pPr>
        <w:ind w:left="1140" w:hanging="348"/>
        <w:spacing w:after="0"/>
        <w:tabs>
          <w:tab w:leader="none" w:pos="1140" w:val="left"/>
        </w:tabs>
        <w:numPr>
          <w:ilvl w:val="1"/>
          <w:numId w:val="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infrastructure related to storage facilities;</w:t>
      </w:r>
    </w:p>
    <w:p>
      <w:pPr>
        <w:spacing w:after="0" w:line="149" w:lineRule="exact"/>
        <w:rPr>
          <w:rFonts w:ascii="Times New Roman" w:cs="Times New Roman" w:eastAsia="Times New Roman" w:hAnsi="Times New Roman"/>
          <w:sz w:val="24"/>
          <w:szCs w:val="24"/>
          <w:color w:val="auto"/>
        </w:rPr>
      </w:pPr>
    </w:p>
    <w:p>
      <w:pPr>
        <w:ind w:left="1160" w:right="20" w:hanging="368"/>
        <w:spacing w:after="0" w:line="350" w:lineRule="auto"/>
        <w:tabs>
          <w:tab w:leader="none" w:pos="1143" w:val="left"/>
        </w:tabs>
        <w:numPr>
          <w:ilvl w:val="1"/>
          <w:numId w:val="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construction relating to projects involving agro-processing and supply of inputs to agriculture;</w:t>
      </w:r>
    </w:p>
    <w:p>
      <w:pPr>
        <w:spacing w:after="0" w:line="22" w:lineRule="exact"/>
        <w:rPr>
          <w:rFonts w:ascii="Times New Roman" w:cs="Times New Roman" w:eastAsia="Times New Roman" w:hAnsi="Times New Roman"/>
          <w:sz w:val="24"/>
          <w:szCs w:val="24"/>
          <w:color w:val="auto"/>
        </w:rPr>
      </w:pPr>
    </w:p>
    <w:p>
      <w:pPr>
        <w:ind w:left="1140" w:hanging="348"/>
        <w:spacing w:after="0"/>
        <w:tabs>
          <w:tab w:leader="none" w:pos="1140" w:val="left"/>
        </w:tabs>
        <w:numPr>
          <w:ilvl w:val="1"/>
          <w:numId w:val="7"/>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construction  for  preservation  and  storage  of  processed  agro-products,  perishable</w:t>
      </w:r>
    </w:p>
    <w:p>
      <w:pPr>
        <w:spacing w:after="0" w:line="151" w:lineRule="exact"/>
        <w:rPr>
          <w:sz w:val="20"/>
          <w:szCs w:val="20"/>
          <w:color w:val="auto"/>
        </w:rPr>
      </w:pPr>
    </w:p>
    <w:p>
      <w:pPr>
        <w:ind w:left="440" w:right="400" w:firstLine="720"/>
        <w:spacing w:after="0" w:line="348" w:lineRule="auto"/>
        <w:rPr>
          <w:sz w:val="20"/>
          <w:szCs w:val="20"/>
          <w:color w:val="auto"/>
        </w:rPr>
      </w:pPr>
      <w:r>
        <w:rPr>
          <w:rFonts w:ascii="Times New Roman" w:cs="Times New Roman" w:eastAsia="Times New Roman" w:hAnsi="Times New Roman"/>
          <w:sz w:val="24"/>
          <w:szCs w:val="24"/>
          <w:color w:val="auto"/>
        </w:rPr>
        <w:t>goods such as fruits, vegetables and flowers including testing facilities for quality; iii)water management, including the following:</w:t>
      </w:r>
    </w:p>
    <w:p>
      <w:pPr>
        <w:spacing w:after="0" w:line="16" w:lineRule="exact"/>
        <w:rPr>
          <w:sz w:val="20"/>
          <w:szCs w:val="20"/>
          <w:color w:val="auto"/>
        </w:rPr>
      </w:pPr>
    </w:p>
    <w:p>
      <w:pPr>
        <w:ind w:left="1140" w:hanging="348"/>
        <w:spacing w:after="0"/>
        <w:tabs>
          <w:tab w:leader="none" w:pos="1140" w:val="left"/>
        </w:tabs>
        <w:numPr>
          <w:ilvl w:val="2"/>
          <w:numId w:val="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water supply or distribution;</w:t>
      </w:r>
    </w:p>
    <w:p>
      <w:pPr>
        <w:spacing w:after="0" w:line="136" w:lineRule="exact"/>
        <w:rPr>
          <w:rFonts w:ascii="Times New Roman" w:cs="Times New Roman" w:eastAsia="Times New Roman" w:hAnsi="Times New Roman"/>
          <w:sz w:val="24"/>
          <w:szCs w:val="24"/>
          <w:color w:val="auto"/>
        </w:rPr>
      </w:pPr>
    </w:p>
    <w:p>
      <w:pPr>
        <w:ind w:left="1140" w:hanging="348"/>
        <w:spacing w:after="0"/>
        <w:tabs>
          <w:tab w:leader="none" w:pos="1140" w:val="left"/>
        </w:tabs>
        <w:numPr>
          <w:ilvl w:val="2"/>
          <w:numId w:val="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irrigation;</w:t>
      </w:r>
    </w:p>
    <w:p>
      <w:pPr>
        <w:spacing w:after="0" w:line="139" w:lineRule="exact"/>
        <w:rPr>
          <w:rFonts w:ascii="Times New Roman" w:cs="Times New Roman" w:eastAsia="Times New Roman" w:hAnsi="Times New Roman"/>
          <w:sz w:val="24"/>
          <w:szCs w:val="24"/>
          <w:color w:val="auto"/>
        </w:rPr>
      </w:pPr>
    </w:p>
    <w:p>
      <w:pPr>
        <w:ind w:left="1140" w:hanging="348"/>
        <w:spacing w:after="0"/>
        <w:tabs>
          <w:tab w:leader="none" w:pos="1140" w:val="left"/>
        </w:tabs>
        <w:numPr>
          <w:ilvl w:val="2"/>
          <w:numId w:val="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water treatment, etc.</w:t>
      </w:r>
    </w:p>
    <w:p>
      <w:pPr>
        <w:spacing w:after="0" w:line="136" w:lineRule="exact"/>
        <w:rPr>
          <w:rFonts w:ascii="Times New Roman" w:cs="Times New Roman" w:eastAsia="Times New Roman" w:hAnsi="Times New Roman"/>
          <w:sz w:val="24"/>
          <w:szCs w:val="24"/>
          <w:color w:val="auto"/>
        </w:rPr>
      </w:pPr>
    </w:p>
    <w:p>
      <w:pPr>
        <w:ind w:left="700" w:hanging="356"/>
        <w:spacing w:after="0"/>
        <w:tabs>
          <w:tab w:leader="none" w:pos="700" w:val="left"/>
        </w:tabs>
        <w:numPr>
          <w:ilvl w:val="0"/>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telecommunication, including the following:</w:t>
      </w:r>
    </w:p>
    <w:p>
      <w:pPr>
        <w:spacing w:after="0" w:line="139" w:lineRule="exact"/>
        <w:rPr>
          <w:rFonts w:ascii="Times New Roman" w:cs="Times New Roman" w:eastAsia="Times New Roman" w:hAnsi="Times New Roman"/>
          <w:sz w:val="24"/>
          <w:szCs w:val="24"/>
          <w:color w:val="auto"/>
        </w:rPr>
      </w:pPr>
    </w:p>
    <w:p>
      <w:pPr>
        <w:ind w:left="1160" w:hanging="368"/>
        <w:spacing w:after="0"/>
        <w:tabs>
          <w:tab w:leader="none" w:pos="1160" w:val="left"/>
        </w:tabs>
        <w:numPr>
          <w:ilvl w:val="2"/>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basic or cellular, including radio paging;</w:t>
      </w:r>
    </w:p>
    <w:p>
      <w:pPr>
        <w:spacing w:after="0" w:line="149" w:lineRule="exact"/>
        <w:rPr>
          <w:rFonts w:ascii="Times New Roman" w:cs="Times New Roman" w:eastAsia="Times New Roman" w:hAnsi="Times New Roman"/>
          <w:sz w:val="24"/>
          <w:szCs w:val="24"/>
          <w:color w:val="auto"/>
        </w:rPr>
      </w:pPr>
    </w:p>
    <w:p>
      <w:pPr>
        <w:ind w:left="1160" w:right="20" w:hanging="368"/>
        <w:spacing w:after="0" w:line="350" w:lineRule="auto"/>
        <w:tabs>
          <w:tab w:leader="none" w:pos="1160" w:val="left"/>
        </w:tabs>
        <w:numPr>
          <w:ilvl w:val="2"/>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domestic satellite service (i.e., satellite owned and operated by an Indian company for providing telecommunication service);</w:t>
      </w:r>
    </w:p>
    <w:p>
      <w:pPr>
        <w:spacing w:after="0" w:line="11" w:lineRule="exact"/>
        <w:rPr>
          <w:rFonts w:ascii="Times New Roman" w:cs="Times New Roman" w:eastAsia="Times New Roman" w:hAnsi="Times New Roman"/>
          <w:sz w:val="24"/>
          <w:szCs w:val="24"/>
          <w:color w:val="auto"/>
        </w:rPr>
      </w:pPr>
    </w:p>
    <w:p>
      <w:pPr>
        <w:ind w:left="1160" w:hanging="368"/>
        <w:spacing w:after="0"/>
        <w:tabs>
          <w:tab w:leader="none" w:pos="1160" w:val="left"/>
        </w:tabs>
        <w:numPr>
          <w:ilvl w:val="2"/>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network of trunking, broadband network and internet services;</w:t>
      </w:r>
    </w:p>
    <w:p>
      <w:pPr>
        <w:spacing w:after="0" w:line="150" w:lineRule="exact"/>
        <w:rPr>
          <w:rFonts w:ascii="Times New Roman" w:cs="Times New Roman" w:eastAsia="Times New Roman" w:hAnsi="Times New Roman"/>
          <w:sz w:val="24"/>
          <w:szCs w:val="24"/>
          <w:color w:val="auto"/>
        </w:rPr>
      </w:pPr>
    </w:p>
    <w:p>
      <w:pPr>
        <w:ind w:left="700" w:hanging="268"/>
        <w:spacing w:after="0"/>
        <w:tabs>
          <w:tab w:leader="none" w:pos="700" w:val="left"/>
        </w:tabs>
        <w:numPr>
          <w:ilvl w:val="1"/>
          <w:numId w:val="9"/>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industrial, commercial and social development and maintenance, including the following:</w:t>
      </w:r>
    </w:p>
    <w:p>
      <w:pPr>
        <w:spacing w:after="0" w:line="136" w:lineRule="exact"/>
        <w:rPr>
          <w:rFonts w:ascii="Times New Roman" w:cs="Times New Roman" w:eastAsia="Times New Roman" w:hAnsi="Times New Roman"/>
          <w:sz w:val="23"/>
          <w:szCs w:val="23"/>
          <w:color w:val="auto"/>
        </w:rPr>
      </w:pPr>
    </w:p>
    <w:p>
      <w:pPr>
        <w:ind w:left="1160" w:hanging="368"/>
        <w:spacing w:after="0"/>
        <w:tabs>
          <w:tab w:leader="none" w:pos="1160" w:val="left"/>
        </w:tabs>
        <w:numPr>
          <w:ilvl w:val="2"/>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real estate development, including an industrial park or special economic zone;</w:t>
      </w:r>
    </w:p>
    <w:p>
      <w:pPr>
        <w:spacing w:after="0" w:line="139" w:lineRule="exact"/>
        <w:rPr>
          <w:rFonts w:ascii="Times New Roman" w:cs="Times New Roman" w:eastAsia="Times New Roman" w:hAnsi="Times New Roman"/>
          <w:sz w:val="24"/>
          <w:szCs w:val="24"/>
          <w:color w:val="auto"/>
        </w:rPr>
      </w:pPr>
    </w:p>
    <w:p>
      <w:pPr>
        <w:ind w:left="1160" w:hanging="368"/>
        <w:spacing w:after="0"/>
        <w:tabs>
          <w:tab w:leader="none" w:pos="1160" w:val="left"/>
        </w:tabs>
        <w:numPr>
          <w:ilvl w:val="2"/>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tourism, including hotels, convention centres and entertainment centres;</w:t>
      </w:r>
    </w:p>
    <w:p>
      <w:pPr>
        <w:spacing w:after="0" w:line="149" w:lineRule="exact"/>
        <w:rPr>
          <w:rFonts w:ascii="Times New Roman" w:cs="Times New Roman" w:eastAsia="Times New Roman" w:hAnsi="Times New Roman"/>
          <w:sz w:val="24"/>
          <w:szCs w:val="24"/>
          <w:color w:val="auto"/>
        </w:rPr>
      </w:pPr>
    </w:p>
    <w:p>
      <w:pPr>
        <w:ind w:left="1160" w:right="20" w:hanging="368"/>
        <w:spacing w:after="0" w:line="350" w:lineRule="auto"/>
        <w:tabs>
          <w:tab w:leader="none" w:pos="1160" w:val="left"/>
        </w:tabs>
        <w:numPr>
          <w:ilvl w:val="2"/>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public markets and buildings, trade fair, convention, exhibition, cultural centres, sports and recreation infrastructure, public gardens and parks;</w:t>
      </w:r>
    </w:p>
    <w:p>
      <w:pPr>
        <w:spacing w:after="0" w:line="10" w:lineRule="exact"/>
        <w:rPr>
          <w:rFonts w:ascii="Times New Roman" w:cs="Times New Roman" w:eastAsia="Times New Roman" w:hAnsi="Times New Roman"/>
          <w:sz w:val="24"/>
          <w:szCs w:val="24"/>
          <w:color w:val="auto"/>
        </w:rPr>
      </w:pPr>
    </w:p>
    <w:p>
      <w:pPr>
        <w:ind w:left="1160" w:hanging="368"/>
        <w:spacing w:after="0"/>
        <w:tabs>
          <w:tab w:leader="none" w:pos="1160" w:val="left"/>
        </w:tabs>
        <w:numPr>
          <w:ilvl w:val="2"/>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construction of educational institutions and hospitals;</w:t>
      </w:r>
    </w:p>
    <w:p>
      <w:pPr>
        <w:spacing w:after="0" w:line="151" w:lineRule="exact"/>
        <w:rPr>
          <w:rFonts w:ascii="Times New Roman" w:cs="Times New Roman" w:eastAsia="Times New Roman" w:hAnsi="Times New Roman"/>
          <w:sz w:val="24"/>
          <w:szCs w:val="24"/>
          <w:color w:val="auto"/>
        </w:rPr>
      </w:pPr>
    </w:p>
    <w:p>
      <w:pPr>
        <w:ind w:left="1160" w:right="20" w:hanging="368"/>
        <w:spacing w:after="0" w:line="348" w:lineRule="auto"/>
        <w:tabs>
          <w:tab w:leader="none" w:pos="1160" w:val="left"/>
        </w:tabs>
        <w:numPr>
          <w:ilvl w:val="2"/>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other urban development, including solid waste management systems, sanitation and sewerage systems, etc.;</w:t>
      </w:r>
    </w:p>
    <w:p>
      <w:pPr>
        <w:spacing w:after="0" w:line="16"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4"/>
          <w:szCs w:val="24"/>
          <w:color w:val="auto"/>
        </w:rPr>
        <w:t>vi) power, including the following:</w:t>
      </w:r>
    </w:p>
    <w:p>
      <w:pPr>
        <w:spacing w:after="0" w:line="149" w:lineRule="exact"/>
        <w:rPr>
          <w:sz w:val="20"/>
          <w:szCs w:val="20"/>
          <w:color w:val="auto"/>
        </w:rPr>
      </w:pPr>
    </w:p>
    <w:p>
      <w:pPr>
        <w:ind w:left="1160" w:right="20" w:hanging="368"/>
        <w:spacing w:after="0" w:line="350" w:lineRule="auto"/>
        <w:tabs>
          <w:tab w:leader="none" w:pos="1160" w:val="left"/>
        </w:tabs>
        <w:numPr>
          <w:ilvl w:val="0"/>
          <w:numId w:val="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generation of power through thermal, hydro, nuclear, fossil fuel, wind and other renewable sources;</w:t>
      </w:r>
    </w:p>
    <w:p>
      <w:pPr>
        <w:spacing w:after="0" w:line="268" w:lineRule="exact"/>
        <w:rPr>
          <w:sz w:val="20"/>
          <w:szCs w:val="20"/>
          <w:color w:val="auto"/>
        </w:rPr>
      </w:pPr>
    </w:p>
    <w:p>
      <w:pPr>
        <w:jc w:val="center"/>
        <w:ind w:right="320"/>
        <w:spacing w:after="0"/>
        <w:rPr>
          <w:sz w:val="20"/>
          <w:szCs w:val="20"/>
          <w:color w:val="auto"/>
        </w:rPr>
      </w:pPr>
      <w:r>
        <w:rPr>
          <w:rFonts w:ascii="Times New Roman" w:cs="Times New Roman" w:eastAsia="Times New Roman" w:hAnsi="Times New Roman"/>
          <w:sz w:val="24"/>
          <w:szCs w:val="24"/>
          <w:color w:val="auto"/>
        </w:rPr>
        <w:t>4</w:t>
      </w:r>
    </w:p>
    <w:p>
      <w:pPr>
        <w:sectPr>
          <w:pgSz w:w="11900" w:h="16836" w:orient="portrait"/>
          <w:cols w:equalWidth="0" w:num="1">
            <w:col w:w="9200"/>
          </w:cols>
          <w:pgMar w:left="1440" w:top="1156" w:right="1264" w:bottom="103" w:gutter="0" w:footer="0" w:header="0"/>
        </w:sectPr>
      </w:pPr>
    </w:p>
    <w:bookmarkStart w:id="4" w:name="page5"/>
    <w:bookmarkEnd w:id="4"/>
    <w:p>
      <w:pPr>
        <w:ind w:left="1448" w:hanging="368"/>
        <w:spacing w:after="0" w:line="348" w:lineRule="auto"/>
        <w:tabs>
          <w:tab w:leader="none" w:pos="1448" w:val="left"/>
        </w:tabs>
        <w:numPr>
          <w:ilvl w:val="1"/>
          <w:numId w:val="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transmission, distribution or trading of power by laying a network of new transmission or distribution lines;</w:t>
      </w:r>
    </w:p>
    <w:p>
      <w:pPr>
        <w:spacing w:after="0" w:line="15" w:lineRule="exact"/>
        <w:rPr>
          <w:rFonts w:ascii="Times New Roman" w:cs="Times New Roman" w:eastAsia="Times New Roman" w:hAnsi="Times New Roman"/>
          <w:sz w:val="24"/>
          <w:szCs w:val="24"/>
          <w:color w:val="auto"/>
        </w:rPr>
      </w:pPr>
    </w:p>
    <w:p>
      <w:pPr>
        <w:ind w:left="1448" w:hanging="728"/>
        <w:spacing w:after="0"/>
        <w:tabs>
          <w:tab w:leader="none" w:pos="1448" w:val="left"/>
        </w:tabs>
        <w:numPr>
          <w:ilvl w:val="0"/>
          <w:numId w:val="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petroleum and natural gas, including the following:</w:t>
      </w:r>
    </w:p>
    <w:p>
      <w:pPr>
        <w:spacing w:after="0" w:line="136" w:lineRule="exact"/>
        <w:rPr>
          <w:rFonts w:ascii="Times New Roman" w:cs="Times New Roman" w:eastAsia="Times New Roman" w:hAnsi="Times New Roman"/>
          <w:sz w:val="24"/>
          <w:szCs w:val="24"/>
          <w:color w:val="auto"/>
        </w:rPr>
      </w:pPr>
    </w:p>
    <w:p>
      <w:pPr>
        <w:ind w:left="1428" w:hanging="348"/>
        <w:spacing w:after="0"/>
        <w:tabs>
          <w:tab w:leader="none" w:pos="1428" w:val="left"/>
        </w:tabs>
        <w:numPr>
          <w:ilvl w:val="1"/>
          <w:numId w:val="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exploration and production;</w:t>
      </w:r>
    </w:p>
    <w:p>
      <w:pPr>
        <w:spacing w:after="0" w:line="139" w:lineRule="exact"/>
        <w:rPr>
          <w:rFonts w:ascii="Times New Roman" w:cs="Times New Roman" w:eastAsia="Times New Roman" w:hAnsi="Times New Roman"/>
          <w:sz w:val="24"/>
          <w:szCs w:val="24"/>
          <w:color w:val="auto"/>
        </w:rPr>
      </w:pPr>
    </w:p>
    <w:p>
      <w:pPr>
        <w:ind w:left="1428" w:hanging="348"/>
        <w:spacing w:after="0"/>
        <w:tabs>
          <w:tab w:leader="none" w:pos="1428" w:val="left"/>
        </w:tabs>
        <w:numPr>
          <w:ilvl w:val="1"/>
          <w:numId w:val="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import terminals;</w:t>
      </w:r>
    </w:p>
    <w:p>
      <w:pPr>
        <w:spacing w:after="0" w:line="136" w:lineRule="exact"/>
        <w:rPr>
          <w:rFonts w:ascii="Times New Roman" w:cs="Times New Roman" w:eastAsia="Times New Roman" w:hAnsi="Times New Roman"/>
          <w:sz w:val="24"/>
          <w:szCs w:val="24"/>
          <w:color w:val="auto"/>
        </w:rPr>
      </w:pPr>
    </w:p>
    <w:p>
      <w:pPr>
        <w:ind w:left="1428" w:hanging="348"/>
        <w:spacing w:after="0"/>
        <w:tabs>
          <w:tab w:leader="none" w:pos="1428" w:val="left"/>
        </w:tabs>
        <w:numPr>
          <w:ilvl w:val="1"/>
          <w:numId w:val="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liquefaction and re-gasification;</w:t>
      </w:r>
    </w:p>
    <w:p>
      <w:pPr>
        <w:spacing w:after="0" w:line="139" w:lineRule="exact"/>
        <w:rPr>
          <w:rFonts w:ascii="Times New Roman" w:cs="Times New Roman" w:eastAsia="Times New Roman" w:hAnsi="Times New Roman"/>
          <w:sz w:val="24"/>
          <w:szCs w:val="24"/>
          <w:color w:val="auto"/>
        </w:rPr>
      </w:pPr>
    </w:p>
    <w:p>
      <w:pPr>
        <w:ind w:left="1428" w:hanging="348"/>
        <w:spacing w:after="0"/>
        <w:tabs>
          <w:tab w:leader="none" w:pos="1428" w:val="left"/>
        </w:tabs>
        <w:numPr>
          <w:ilvl w:val="1"/>
          <w:numId w:val="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storage terminals;</w:t>
      </w:r>
    </w:p>
    <w:p>
      <w:pPr>
        <w:spacing w:after="0" w:line="136" w:lineRule="exact"/>
        <w:rPr>
          <w:rFonts w:ascii="Times New Roman" w:cs="Times New Roman" w:eastAsia="Times New Roman" w:hAnsi="Times New Roman"/>
          <w:sz w:val="24"/>
          <w:szCs w:val="24"/>
          <w:color w:val="auto"/>
        </w:rPr>
      </w:pPr>
    </w:p>
    <w:p>
      <w:pPr>
        <w:ind w:left="1428" w:hanging="348"/>
        <w:spacing w:after="0"/>
        <w:tabs>
          <w:tab w:leader="none" w:pos="1428" w:val="left"/>
        </w:tabs>
        <w:numPr>
          <w:ilvl w:val="1"/>
          <w:numId w:val="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transmission networks and distribution networks including city gas infrastructure;</w:t>
      </w:r>
    </w:p>
    <w:p>
      <w:pPr>
        <w:spacing w:after="0" w:line="139" w:lineRule="exact"/>
        <w:rPr>
          <w:rFonts w:ascii="Times New Roman" w:cs="Times New Roman" w:eastAsia="Times New Roman" w:hAnsi="Times New Roman"/>
          <w:sz w:val="24"/>
          <w:szCs w:val="24"/>
          <w:color w:val="auto"/>
        </w:rPr>
      </w:pPr>
    </w:p>
    <w:p>
      <w:pPr>
        <w:ind w:left="1448" w:hanging="728"/>
        <w:spacing w:after="0"/>
        <w:tabs>
          <w:tab w:leader="none" w:pos="1448" w:val="left"/>
        </w:tabs>
        <w:numPr>
          <w:ilvl w:val="0"/>
          <w:numId w:val="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housing, including the following:</w:t>
      </w:r>
    </w:p>
    <w:p>
      <w:pPr>
        <w:spacing w:after="0" w:line="136" w:lineRule="exact"/>
        <w:rPr>
          <w:rFonts w:ascii="Times New Roman" w:cs="Times New Roman" w:eastAsia="Times New Roman" w:hAnsi="Times New Roman"/>
          <w:sz w:val="24"/>
          <w:szCs w:val="24"/>
          <w:color w:val="auto"/>
        </w:rPr>
      </w:pPr>
    </w:p>
    <w:p>
      <w:pPr>
        <w:ind w:left="1428" w:hanging="348"/>
        <w:spacing w:after="0"/>
        <w:tabs>
          <w:tab w:leader="none" w:pos="1428" w:val="left"/>
        </w:tabs>
        <w:numPr>
          <w:ilvl w:val="1"/>
          <w:numId w:val="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urban and rural housing including public or mass housing, slum rehabilitation etc;</w:t>
      </w:r>
    </w:p>
    <w:p>
      <w:pPr>
        <w:spacing w:after="0" w:line="151" w:lineRule="exact"/>
        <w:rPr>
          <w:rFonts w:ascii="Times New Roman" w:cs="Times New Roman" w:eastAsia="Times New Roman" w:hAnsi="Times New Roman"/>
          <w:sz w:val="24"/>
          <w:szCs w:val="24"/>
          <w:color w:val="auto"/>
        </w:rPr>
      </w:pPr>
    </w:p>
    <w:p>
      <w:pPr>
        <w:ind w:left="1448" w:hanging="368"/>
        <w:spacing w:after="0" w:line="348" w:lineRule="auto"/>
        <w:tabs>
          <w:tab w:leader="none" w:pos="1431" w:val="left"/>
        </w:tabs>
        <w:numPr>
          <w:ilvl w:val="1"/>
          <w:numId w:val="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other allied activities such as drainage, lighting, laying of roads, sanitation facilities etc.;</w:t>
      </w:r>
    </w:p>
    <w:p>
      <w:pPr>
        <w:spacing w:after="0" w:line="28" w:lineRule="exact"/>
        <w:rPr>
          <w:sz w:val="20"/>
          <w:szCs w:val="20"/>
          <w:color w:val="auto"/>
        </w:rPr>
      </w:pPr>
    </w:p>
    <w:p>
      <w:pPr>
        <w:ind w:left="988" w:hanging="270"/>
        <w:spacing w:after="0" w:line="348" w:lineRule="auto"/>
        <w:rPr>
          <w:sz w:val="20"/>
          <w:szCs w:val="20"/>
          <w:color w:val="auto"/>
        </w:rPr>
      </w:pPr>
      <w:r>
        <w:rPr>
          <w:rFonts w:ascii="Times New Roman" w:cs="Times New Roman" w:eastAsia="Times New Roman" w:hAnsi="Times New Roman"/>
          <w:sz w:val="24"/>
          <w:szCs w:val="24"/>
          <w:color w:val="auto"/>
        </w:rPr>
        <w:t>ix) services provided by recognised stock exchanges and registered depositories, in relation to securities;</w:t>
      </w:r>
    </w:p>
    <w:p>
      <w:pPr>
        <w:spacing w:after="0" w:line="15" w:lineRule="exact"/>
        <w:rPr>
          <w:sz w:val="20"/>
          <w:szCs w:val="20"/>
          <w:color w:val="auto"/>
        </w:rPr>
      </w:pPr>
    </w:p>
    <w:p>
      <w:pPr>
        <w:ind w:left="988" w:hanging="268"/>
        <w:spacing w:after="0"/>
        <w:tabs>
          <w:tab w:leader="none" w:pos="988" w:val="left"/>
        </w:tabs>
        <w:numPr>
          <w:ilvl w:val="0"/>
          <w:numId w:val="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other miscellaneous facilities or services, including the following:</w:t>
      </w:r>
    </w:p>
    <w:p>
      <w:pPr>
        <w:spacing w:after="0" w:line="136" w:lineRule="exact"/>
        <w:rPr>
          <w:rFonts w:ascii="Times New Roman" w:cs="Times New Roman" w:eastAsia="Times New Roman" w:hAnsi="Times New Roman"/>
          <w:sz w:val="24"/>
          <w:szCs w:val="24"/>
          <w:color w:val="auto"/>
        </w:rPr>
      </w:pPr>
    </w:p>
    <w:p>
      <w:pPr>
        <w:ind w:left="1448" w:hanging="368"/>
        <w:spacing w:after="0"/>
        <w:tabs>
          <w:tab w:leader="none" w:pos="1448" w:val="left"/>
        </w:tabs>
        <w:numPr>
          <w:ilvl w:val="1"/>
          <w:numId w:val="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mining and related activities;</w:t>
      </w:r>
    </w:p>
    <w:p>
      <w:pPr>
        <w:spacing w:after="0" w:line="139" w:lineRule="exact"/>
        <w:rPr>
          <w:rFonts w:ascii="Times New Roman" w:cs="Times New Roman" w:eastAsia="Times New Roman" w:hAnsi="Times New Roman"/>
          <w:sz w:val="24"/>
          <w:szCs w:val="24"/>
          <w:color w:val="auto"/>
        </w:rPr>
      </w:pPr>
    </w:p>
    <w:p>
      <w:pPr>
        <w:ind w:left="1448" w:hanging="368"/>
        <w:spacing w:after="0"/>
        <w:tabs>
          <w:tab w:leader="none" w:pos="1448" w:val="left"/>
        </w:tabs>
        <w:numPr>
          <w:ilvl w:val="1"/>
          <w:numId w:val="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technology related infrastructure;</w:t>
      </w:r>
    </w:p>
    <w:p>
      <w:pPr>
        <w:spacing w:after="0" w:line="149" w:lineRule="exact"/>
        <w:rPr>
          <w:rFonts w:ascii="Times New Roman" w:cs="Times New Roman" w:eastAsia="Times New Roman" w:hAnsi="Times New Roman"/>
          <w:sz w:val="24"/>
          <w:szCs w:val="24"/>
          <w:color w:val="auto"/>
        </w:rPr>
      </w:pPr>
    </w:p>
    <w:p>
      <w:pPr>
        <w:ind w:left="1448" w:hanging="368"/>
        <w:spacing w:after="0" w:line="375" w:lineRule="auto"/>
        <w:tabs>
          <w:tab w:leader="none" w:pos="1448" w:val="left"/>
        </w:tabs>
        <w:numPr>
          <w:ilvl w:val="1"/>
          <w:numId w:val="13"/>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manufacturing of components and materials or any other utilities or facilities required by the infrastructure sector like energy saving devices and metering devices, etc.;</w:t>
      </w:r>
    </w:p>
    <w:p>
      <w:pPr>
        <w:ind w:left="1448" w:hanging="368"/>
        <w:spacing w:after="0"/>
        <w:tabs>
          <w:tab w:leader="none" w:pos="1448" w:val="left"/>
        </w:tabs>
        <w:numPr>
          <w:ilvl w:val="1"/>
          <w:numId w:val="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environment related infrastructure;</w:t>
      </w:r>
    </w:p>
    <w:p>
      <w:pPr>
        <w:spacing w:after="0" w:line="139" w:lineRule="exact"/>
        <w:rPr>
          <w:rFonts w:ascii="Times New Roman" w:cs="Times New Roman" w:eastAsia="Times New Roman" w:hAnsi="Times New Roman"/>
          <w:sz w:val="24"/>
          <w:szCs w:val="24"/>
          <w:color w:val="auto"/>
        </w:rPr>
      </w:pPr>
    </w:p>
    <w:p>
      <w:pPr>
        <w:ind w:left="1448" w:hanging="368"/>
        <w:spacing w:after="0"/>
        <w:tabs>
          <w:tab w:leader="none" w:pos="1448" w:val="left"/>
        </w:tabs>
        <w:numPr>
          <w:ilvl w:val="1"/>
          <w:numId w:val="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disaster management services;</w:t>
      </w:r>
    </w:p>
    <w:p>
      <w:pPr>
        <w:spacing w:after="0" w:line="136" w:lineRule="exact"/>
        <w:rPr>
          <w:rFonts w:ascii="Times New Roman" w:cs="Times New Roman" w:eastAsia="Times New Roman" w:hAnsi="Times New Roman"/>
          <w:sz w:val="24"/>
          <w:szCs w:val="24"/>
          <w:color w:val="auto"/>
        </w:rPr>
      </w:pPr>
    </w:p>
    <w:p>
      <w:pPr>
        <w:ind w:left="1448" w:hanging="368"/>
        <w:spacing w:after="0"/>
        <w:tabs>
          <w:tab w:leader="none" w:pos="1448" w:val="left"/>
        </w:tabs>
        <w:numPr>
          <w:ilvl w:val="1"/>
          <w:numId w:val="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preservation of monuments and icons;</w:t>
      </w:r>
    </w:p>
    <w:p>
      <w:pPr>
        <w:spacing w:after="0" w:line="139" w:lineRule="exact"/>
        <w:rPr>
          <w:rFonts w:ascii="Times New Roman" w:cs="Times New Roman" w:eastAsia="Times New Roman" w:hAnsi="Times New Roman"/>
          <w:sz w:val="24"/>
          <w:szCs w:val="24"/>
          <w:color w:val="auto"/>
        </w:rPr>
      </w:pPr>
    </w:p>
    <w:p>
      <w:pPr>
        <w:ind w:left="1448" w:hanging="368"/>
        <w:spacing w:after="0"/>
        <w:tabs>
          <w:tab w:leader="none" w:pos="1448" w:val="left"/>
        </w:tabs>
        <w:numPr>
          <w:ilvl w:val="1"/>
          <w:numId w:val="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emergency services (including medical, police, fire, and rescue);</w:t>
      </w:r>
    </w:p>
    <w:p>
      <w:pPr>
        <w:spacing w:after="0" w:line="150" w:lineRule="exact"/>
        <w:rPr>
          <w:sz w:val="20"/>
          <w:szCs w:val="20"/>
          <w:color w:val="auto"/>
        </w:rPr>
      </w:pPr>
    </w:p>
    <w:p>
      <w:pPr>
        <w:ind w:left="988" w:hanging="270"/>
        <w:spacing w:after="0" w:line="350" w:lineRule="auto"/>
        <w:rPr>
          <w:sz w:val="20"/>
          <w:szCs w:val="20"/>
          <w:color w:val="auto"/>
        </w:rPr>
      </w:pPr>
      <w:r>
        <w:rPr>
          <w:rFonts w:ascii="Times New Roman" w:cs="Times New Roman" w:eastAsia="Times New Roman" w:hAnsi="Times New Roman"/>
          <w:sz w:val="24"/>
          <w:szCs w:val="24"/>
          <w:color w:val="auto"/>
        </w:rPr>
        <w:t>xi) such other facility or service which, in the opinion of the board, constitutes infrastructure sector;</w:t>
      </w:r>
    </w:p>
    <w:p>
      <w:pPr>
        <w:spacing w:after="0" w:line="23" w:lineRule="exact"/>
        <w:rPr>
          <w:sz w:val="20"/>
          <w:szCs w:val="20"/>
          <w:color w:val="auto"/>
        </w:rPr>
      </w:pPr>
    </w:p>
    <w:p>
      <w:pPr>
        <w:jc w:val="both"/>
        <w:ind w:left="548" w:hanging="512"/>
        <w:spacing w:after="0" w:line="354" w:lineRule="auto"/>
        <w:tabs>
          <w:tab w:leader="none" w:pos="548" w:val="left"/>
        </w:tabs>
        <w:numPr>
          <w:ilvl w:val="0"/>
          <w:numId w:val="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“initial public offer” means an offer of specified securities by an unlisted issuer to the public for subscription and includes an offer for sale of specified securities to the public by any existing holders of such specified securities in an unlisted issuer;</w:t>
      </w:r>
    </w:p>
    <w:p>
      <w:pPr>
        <w:spacing w:after="0" w:line="2" w:lineRule="exact"/>
        <w:rPr>
          <w:rFonts w:ascii="Times New Roman" w:cs="Times New Roman" w:eastAsia="Times New Roman" w:hAnsi="Times New Roman"/>
          <w:sz w:val="24"/>
          <w:szCs w:val="24"/>
          <w:color w:val="auto"/>
        </w:rPr>
      </w:pPr>
    </w:p>
    <w:p>
      <w:pPr>
        <w:jc w:val="both"/>
        <w:ind w:left="548" w:hanging="512"/>
        <w:spacing w:after="0" w:line="311" w:lineRule="auto"/>
        <w:tabs>
          <w:tab w:leader="none" w:pos="548" w:val="left"/>
        </w:tabs>
        <w:numPr>
          <w:ilvl w:val="0"/>
          <w:numId w:val="14"/>
        </w:numPr>
        <w:rPr>
          <w:rFonts w:ascii="Times New Roman" w:cs="Times New Roman" w:eastAsia="Times New Roman" w:hAnsi="Times New Roman"/>
          <w:sz w:val="24"/>
          <w:szCs w:val="24"/>
          <w:color w:val="auto"/>
        </w:rPr>
      </w:pPr>
      <w:r>
        <w:rPr>
          <w:rFonts w:ascii="Times New Roman" w:cs="Times New Roman" w:eastAsia="Times New Roman" w:hAnsi="Times New Roman"/>
          <w:sz w:val="32"/>
          <w:szCs w:val="32"/>
          <w:color w:val="auto"/>
          <w:vertAlign w:val="superscript"/>
        </w:rPr>
        <w:t>1</w:t>
      </w:r>
      <w:r>
        <w:rPr>
          <w:rFonts w:ascii="Times New Roman" w:cs="Times New Roman" w:eastAsia="Times New Roman" w:hAnsi="Times New Roman"/>
          <w:sz w:val="24"/>
          <w:szCs w:val="24"/>
          <w:color w:val="auto"/>
        </w:rPr>
        <w:t>[“innovators growth platform” means the trading platform for listing and trading of specified securities of issuers that comply with the eligibility criteria specified in regulation 283;]</w:t>
      </w: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p>
      <w:pPr>
        <w:jc w:val="both"/>
        <w:ind w:left="8" w:hanging="8"/>
        <w:spacing w:after="0" w:line="220" w:lineRule="auto"/>
        <w:tabs>
          <w:tab w:leader="none" w:pos="130" w:val="left"/>
        </w:tabs>
        <w:numPr>
          <w:ilvl w:val="0"/>
          <w:numId w:val="15"/>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Securities and Exchange Board of India (Issue of Capital and Disclosure Requirements) (Second Amendment) Regulations, 2019, w-e-f 05.04.2019. Prior to its substitution, it read as “"institutional trading platform" means the trading platform for listing and trading of specified securities of issuers that comply with the eligibility criteria specified in regulation 288;”</w:t>
      </w:r>
    </w:p>
    <w:p>
      <w:pPr>
        <w:spacing w:after="0" w:line="302"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5</w:t>
      </w:r>
    </w:p>
    <w:p>
      <w:pPr>
        <w:sectPr>
          <w:pgSz w:w="11900" w:h="16836" w:orient="portrait"/>
          <w:cols w:equalWidth="0" w:num="1">
            <w:col w:w="9468"/>
          </w:cols>
          <w:pgMar w:left="1152" w:top="1156" w:right="1284" w:bottom="103" w:gutter="0" w:footer="0" w:header="0"/>
        </w:sectPr>
      </w:pPr>
    </w:p>
    <w:bookmarkStart w:id="5" w:name="page6"/>
    <w:bookmarkEnd w:id="5"/>
    <w:p>
      <w:pPr>
        <w:jc w:val="both"/>
        <w:ind w:left="548" w:hanging="512"/>
        <w:spacing w:after="0" w:line="332" w:lineRule="auto"/>
        <w:tabs>
          <w:tab w:leader="none" w:pos="548" w:val="left"/>
        </w:tabs>
        <w:numPr>
          <w:ilvl w:val="0"/>
          <w:numId w:val="1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“institutional investor” means (i) qualified institutional buyer; or (ii) family trust or intermediaries registered with the Board, with net worth of more than five hundred crore rupees, as per the last audited financial statements, for the purposes of listing and/or trading on </w:t>
      </w:r>
      <w:r>
        <w:rPr>
          <w:rFonts w:ascii="Times New Roman" w:cs="Times New Roman" w:eastAsia="Times New Roman" w:hAnsi="Times New Roman"/>
          <w:sz w:val="32"/>
          <w:szCs w:val="32"/>
          <w:color w:val="auto"/>
          <w:vertAlign w:val="superscript"/>
        </w:rPr>
        <w:t>2</w:t>
      </w:r>
      <w:r>
        <w:rPr>
          <w:rFonts w:ascii="Times New Roman" w:cs="Times New Roman" w:eastAsia="Times New Roman" w:hAnsi="Times New Roman"/>
          <w:sz w:val="24"/>
          <w:szCs w:val="24"/>
          <w:color w:val="auto"/>
        </w:rPr>
        <w:t>[innovators growth platform] in terms of Chapter X;</w:t>
      </w:r>
    </w:p>
    <w:p>
      <w:pPr>
        <w:spacing w:after="0" w:line="2" w:lineRule="exact"/>
        <w:rPr>
          <w:rFonts w:ascii="Times New Roman" w:cs="Times New Roman" w:eastAsia="Times New Roman" w:hAnsi="Times New Roman"/>
          <w:sz w:val="24"/>
          <w:szCs w:val="24"/>
          <w:color w:val="auto"/>
        </w:rPr>
      </w:pPr>
    </w:p>
    <w:p>
      <w:pPr>
        <w:ind w:left="548" w:hanging="512"/>
        <w:spacing w:after="0" w:line="348" w:lineRule="auto"/>
        <w:tabs>
          <w:tab w:leader="none" w:pos="548" w:val="left"/>
        </w:tabs>
        <w:numPr>
          <w:ilvl w:val="0"/>
          <w:numId w:val="1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“issue size” includes offer through offer document and promoters’ contribution brought in as part of the issue;</w:t>
      </w:r>
    </w:p>
    <w:p>
      <w:pPr>
        <w:spacing w:after="0" w:line="28" w:lineRule="exact"/>
        <w:rPr>
          <w:sz w:val="20"/>
          <w:szCs w:val="20"/>
          <w:color w:val="auto"/>
        </w:rPr>
      </w:pPr>
    </w:p>
    <w:p>
      <w:pPr>
        <w:jc w:val="both"/>
        <w:ind w:left="548" w:hanging="512"/>
        <w:spacing w:after="0" w:line="354" w:lineRule="auto"/>
        <w:tabs>
          <w:tab w:leader="none" w:pos="548" w:val="left"/>
        </w:tabs>
        <w:numPr>
          <w:ilvl w:val="0"/>
          <w:numId w:val="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“issuer” means a company or a body corporate authorized to issue specified securities under the relevant laws and whose specified securities are being issued and/or offered for sale in accordance with these regulations;</w:t>
      </w:r>
    </w:p>
    <w:p>
      <w:pPr>
        <w:spacing w:after="0" w:line="20" w:lineRule="exact"/>
        <w:rPr>
          <w:rFonts w:ascii="Times New Roman" w:cs="Times New Roman" w:eastAsia="Times New Roman" w:hAnsi="Times New Roman"/>
          <w:sz w:val="24"/>
          <w:szCs w:val="24"/>
          <w:color w:val="auto"/>
        </w:rPr>
      </w:pPr>
    </w:p>
    <w:p>
      <w:pPr>
        <w:jc w:val="both"/>
        <w:ind w:left="548" w:hanging="512"/>
        <w:spacing w:after="0" w:line="357" w:lineRule="auto"/>
        <w:tabs>
          <w:tab w:leader="none" w:pos="548" w:val="left"/>
        </w:tabs>
        <w:numPr>
          <w:ilvl w:val="0"/>
          <w:numId w:val="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“key managerial personnel” means the officers or personnel of the issuer who are members of its core management team (excluding board of directors) and includes members of the management one level below the executive directors of the issuer, functional heads and ‘key managerial personnel’ as defined under the Companies Act, 2013 or any other person whom the issuer may declare as a key managerial personnel;</w:t>
      </w:r>
    </w:p>
    <w:p>
      <w:pPr>
        <w:spacing w:after="0" w:line="18" w:lineRule="exact"/>
        <w:rPr>
          <w:rFonts w:ascii="Times New Roman" w:cs="Times New Roman" w:eastAsia="Times New Roman" w:hAnsi="Times New Roman"/>
          <w:sz w:val="24"/>
          <w:szCs w:val="24"/>
          <w:color w:val="auto"/>
        </w:rPr>
      </w:pPr>
    </w:p>
    <w:p>
      <w:pPr>
        <w:jc w:val="both"/>
        <w:ind w:left="548" w:hanging="512"/>
        <w:spacing w:after="0" w:line="356" w:lineRule="auto"/>
        <w:tabs>
          <w:tab w:leader="none" w:pos="548" w:val="left"/>
        </w:tabs>
        <w:numPr>
          <w:ilvl w:val="0"/>
          <w:numId w:val="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“lead manager” means a merchant banker registered with the Board and appointed by the issuer to manage the issue and in case of a book built issue, the lead manager(s) appointed by the issuer shall act as the book running lead manager(s) for the purposes of book building;</w:t>
      </w:r>
    </w:p>
    <w:p>
      <w:pPr>
        <w:spacing w:after="0" w:line="18" w:lineRule="exact"/>
        <w:rPr>
          <w:rFonts w:ascii="Times New Roman" w:cs="Times New Roman" w:eastAsia="Times New Roman" w:hAnsi="Times New Roman"/>
          <w:sz w:val="24"/>
          <w:szCs w:val="24"/>
          <w:color w:val="auto"/>
        </w:rPr>
      </w:pPr>
    </w:p>
    <w:p>
      <w:pPr>
        <w:ind w:left="548" w:hanging="512"/>
        <w:spacing w:after="0" w:line="348" w:lineRule="auto"/>
        <w:tabs>
          <w:tab w:leader="none" w:pos="548" w:val="left"/>
        </w:tabs>
        <w:numPr>
          <w:ilvl w:val="0"/>
          <w:numId w:val="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“listed issuer” means an issuer whose equity shares are listed on a recognised stock exchange having nationwide trading terminals;</w:t>
      </w:r>
    </w:p>
    <w:p>
      <w:pPr>
        <w:spacing w:after="0" w:line="27" w:lineRule="exact"/>
        <w:rPr>
          <w:rFonts w:ascii="Times New Roman" w:cs="Times New Roman" w:eastAsia="Times New Roman" w:hAnsi="Times New Roman"/>
          <w:sz w:val="24"/>
          <w:szCs w:val="24"/>
          <w:color w:val="auto"/>
        </w:rPr>
      </w:pPr>
    </w:p>
    <w:p>
      <w:pPr>
        <w:ind w:left="548" w:hanging="512"/>
        <w:spacing w:after="0" w:line="348" w:lineRule="auto"/>
        <w:tabs>
          <w:tab w:leader="none" w:pos="548" w:val="left"/>
        </w:tabs>
        <w:numPr>
          <w:ilvl w:val="0"/>
          <w:numId w:val="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“main board” means a recognised stock exchange having nationwide trading terminals, other than SME exchange;</w:t>
      </w:r>
    </w:p>
    <w:p>
      <w:pPr>
        <w:spacing w:after="0" w:line="27" w:lineRule="exact"/>
        <w:rPr>
          <w:rFonts w:ascii="Times New Roman" w:cs="Times New Roman" w:eastAsia="Times New Roman" w:hAnsi="Times New Roman"/>
          <w:sz w:val="24"/>
          <w:szCs w:val="24"/>
          <w:color w:val="auto"/>
        </w:rPr>
      </w:pPr>
    </w:p>
    <w:p>
      <w:pPr>
        <w:ind w:left="548" w:hanging="512"/>
        <w:spacing w:after="0" w:line="348" w:lineRule="auto"/>
        <w:tabs>
          <w:tab w:leader="none" w:pos="548" w:val="left"/>
        </w:tabs>
        <w:numPr>
          <w:ilvl w:val="0"/>
          <w:numId w:val="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“net offer” means an offer of specified securities to the public but does not include reservations and promoters’ contribution brought in as part of the issue;</w:t>
      </w:r>
    </w:p>
    <w:p>
      <w:pPr>
        <w:spacing w:after="0" w:line="28" w:lineRule="exact"/>
        <w:rPr>
          <w:rFonts w:ascii="Times New Roman" w:cs="Times New Roman" w:eastAsia="Times New Roman" w:hAnsi="Times New Roman"/>
          <w:sz w:val="24"/>
          <w:szCs w:val="24"/>
          <w:color w:val="auto"/>
        </w:rPr>
      </w:pPr>
    </w:p>
    <w:p>
      <w:pPr>
        <w:jc w:val="both"/>
        <w:ind w:left="548" w:hanging="512"/>
        <w:spacing w:after="0" w:line="354" w:lineRule="auto"/>
        <w:tabs>
          <w:tab w:leader="none" w:pos="548" w:val="left"/>
        </w:tabs>
        <w:numPr>
          <w:ilvl w:val="0"/>
          <w:numId w:val="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“net tangible assets” mean the sum of all net assets of the issuer, excluding intangible assets as defined in Accounting Standard 26 (AS 26) or Indian Accounting Standard (Ind AS) 38, as applicable, issued by the Institute of Chartered Accountants of India;</w:t>
      </w:r>
    </w:p>
    <w:p>
      <w:pPr>
        <w:spacing w:after="0" w:line="19" w:lineRule="exact"/>
        <w:rPr>
          <w:rFonts w:ascii="Times New Roman" w:cs="Times New Roman" w:eastAsia="Times New Roman" w:hAnsi="Times New Roman"/>
          <w:sz w:val="24"/>
          <w:szCs w:val="24"/>
          <w:color w:val="auto"/>
        </w:rPr>
      </w:pPr>
    </w:p>
    <w:p>
      <w:pPr>
        <w:jc w:val="both"/>
        <w:ind w:left="548" w:hanging="512"/>
        <w:spacing w:after="0" w:line="358" w:lineRule="auto"/>
        <w:tabs>
          <w:tab w:leader="none" w:pos="548" w:val="left"/>
        </w:tabs>
        <w:numPr>
          <w:ilvl w:val="0"/>
          <w:numId w:val="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“net worth” means the aggregate value of the paid-up share capital and all reserves created out of the profits and securities premium account and debit or credit balance of profit and loss account, after deducting the aggregate value of the accumulated losses, deferred expenditure and miscellaneous expenditure not written off, as per the audited balance sheet, but does not include reserves created out of revaluation of assets, write-back of depreciation and amalgamation;</w:t>
      </w:r>
    </w:p>
    <w:p>
      <w:pPr>
        <w:spacing w:after="0" w:line="339" w:lineRule="exact"/>
        <w:rPr>
          <w:sz w:val="20"/>
          <w:szCs w:val="20"/>
          <w:color w:val="auto"/>
        </w:rPr>
      </w:pPr>
    </w:p>
    <w:p>
      <w:pPr>
        <w:ind w:left="8" w:hanging="8"/>
        <w:spacing w:after="0" w:line="203" w:lineRule="auto"/>
        <w:tabs>
          <w:tab w:leader="none" w:pos="130" w:val="left"/>
        </w:tabs>
        <w:numPr>
          <w:ilvl w:val="0"/>
          <w:numId w:val="18"/>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Securities and Exchange Board of India (Issue of Capital and Disclosure Requirements) (Second Amendment) Regulations, 2019, w-e-f 05.04.2019. Prior to its substitution, it read as “institutional trading platform”.</w:t>
      </w:r>
    </w:p>
    <w:p>
      <w:pPr>
        <w:spacing w:after="0" w:line="30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6</w:t>
      </w:r>
    </w:p>
    <w:p>
      <w:pPr>
        <w:sectPr>
          <w:pgSz w:w="11900" w:h="16836" w:orient="portrait"/>
          <w:cols w:equalWidth="0" w:num="1">
            <w:col w:w="9468"/>
          </w:cols>
          <w:pgMar w:left="1152" w:top="1156" w:right="1284" w:bottom="103" w:gutter="0" w:footer="0" w:header="0"/>
        </w:sectPr>
      </w:pPr>
    </w:p>
    <w:bookmarkStart w:id="6" w:name="page7"/>
    <w:bookmarkEnd w:id="6"/>
    <w:p>
      <w:pPr>
        <w:jc w:val="both"/>
        <w:ind w:left="548" w:hanging="512"/>
        <w:spacing w:after="0" w:line="356" w:lineRule="auto"/>
        <w:tabs>
          <w:tab w:leader="none" w:pos="548" w:val="left"/>
        </w:tabs>
        <w:numPr>
          <w:ilvl w:val="0"/>
          <w:numId w:val="1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“nominated investor” means a qualified institutional buyer or private equity fund, who enters into an agreement with the lead manager(s) to subscribe to an issue, made in accordance with Chapter IX, in case of under-subscription or to receive or deliver the specified securities in the market-making process in such an issue;</w:t>
      </w:r>
    </w:p>
    <w:p>
      <w:pPr>
        <w:spacing w:after="0" w:line="18" w:lineRule="exact"/>
        <w:rPr>
          <w:rFonts w:ascii="Times New Roman" w:cs="Times New Roman" w:eastAsia="Times New Roman" w:hAnsi="Times New Roman"/>
          <w:sz w:val="24"/>
          <w:szCs w:val="24"/>
          <w:color w:val="auto"/>
        </w:rPr>
      </w:pPr>
    </w:p>
    <w:p>
      <w:pPr>
        <w:ind w:left="548"/>
        <w:spacing w:after="0" w:line="348"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Explanation</w:t>
      </w:r>
      <w:r>
        <w:rPr>
          <w:rFonts w:ascii="Times New Roman" w:cs="Times New Roman" w:eastAsia="Times New Roman" w:hAnsi="Times New Roman"/>
          <w:sz w:val="24"/>
          <w:szCs w:val="24"/>
          <w:color w:val="auto"/>
        </w:rPr>
        <w:t>: “private equity fund” means a fund registered with any regulatory authority or</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 fund established by any person registered with any regulatory authority;</w:t>
      </w:r>
    </w:p>
    <w:p>
      <w:pPr>
        <w:spacing w:after="0" w:line="27" w:lineRule="exact"/>
        <w:rPr>
          <w:rFonts w:ascii="Times New Roman" w:cs="Times New Roman" w:eastAsia="Times New Roman" w:hAnsi="Times New Roman"/>
          <w:sz w:val="24"/>
          <w:szCs w:val="24"/>
          <w:color w:val="auto"/>
        </w:rPr>
      </w:pPr>
    </w:p>
    <w:p>
      <w:pPr>
        <w:ind w:left="548" w:hanging="512"/>
        <w:spacing w:after="0" w:line="348" w:lineRule="auto"/>
        <w:tabs>
          <w:tab w:leader="none" w:pos="548" w:val="left"/>
        </w:tabs>
        <w:numPr>
          <w:ilvl w:val="0"/>
          <w:numId w:val="1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“non-institutional investor” means an investor other than a retail individual investor and qualified institutional buyer;</w:t>
      </w:r>
    </w:p>
    <w:p>
      <w:pPr>
        <w:spacing w:after="0" w:line="28" w:lineRule="exact"/>
        <w:rPr>
          <w:rFonts w:ascii="Times New Roman" w:cs="Times New Roman" w:eastAsia="Times New Roman" w:hAnsi="Times New Roman"/>
          <w:sz w:val="24"/>
          <w:szCs w:val="24"/>
          <w:color w:val="auto"/>
        </w:rPr>
      </w:pPr>
    </w:p>
    <w:p>
      <w:pPr>
        <w:jc w:val="both"/>
        <w:ind w:left="548" w:hanging="512"/>
        <w:spacing w:after="0" w:line="354" w:lineRule="auto"/>
        <w:tabs>
          <w:tab w:leader="none" w:pos="548" w:val="left"/>
        </w:tabs>
        <w:numPr>
          <w:ilvl w:val="0"/>
          <w:numId w:val="1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“offer document” means a red herring prospectus, prospectus or shelf prospectus, as applicable, referred to under the Companies Act, 2013, in case of a public issue, and a letter of offer in case of a rights issue;</w:t>
      </w:r>
    </w:p>
    <w:p>
      <w:pPr>
        <w:spacing w:after="0" w:line="7" w:lineRule="exact"/>
        <w:rPr>
          <w:rFonts w:ascii="Times New Roman" w:cs="Times New Roman" w:eastAsia="Times New Roman" w:hAnsi="Times New Roman"/>
          <w:sz w:val="24"/>
          <w:szCs w:val="24"/>
          <w:color w:val="auto"/>
        </w:rPr>
      </w:pPr>
    </w:p>
    <w:p>
      <w:pPr>
        <w:ind w:left="548" w:hanging="512"/>
        <w:spacing w:after="0"/>
        <w:tabs>
          <w:tab w:leader="none" w:pos="548" w:val="left"/>
        </w:tabs>
        <w:numPr>
          <w:ilvl w:val="0"/>
          <w:numId w:val="1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“offer through offer document” means net offer and reservations;</w:t>
      </w:r>
    </w:p>
    <w:p>
      <w:pPr>
        <w:spacing w:after="0" w:line="139" w:lineRule="exact"/>
        <w:rPr>
          <w:rFonts w:ascii="Times New Roman" w:cs="Times New Roman" w:eastAsia="Times New Roman" w:hAnsi="Times New Roman"/>
          <w:sz w:val="24"/>
          <w:szCs w:val="24"/>
          <w:color w:val="auto"/>
        </w:rPr>
      </w:pPr>
    </w:p>
    <w:p>
      <w:pPr>
        <w:ind w:left="728" w:hanging="692"/>
        <w:spacing w:after="0"/>
        <w:tabs>
          <w:tab w:leader="none" w:pos="728" w:val="left"/>
        </w:tabs>
        <w:numPr>
          <w:ilvl w:val="0"/>
          <w:numId w:val="1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“persons acting in concert” shall have the same meaning as assigned to it under regulation</w:t>
      </w:r>
    </w:p>
    <w:p>
      <w:pPr>
        <w:spacing w:after="0" w:line="149" w:lineRule="exact"/>
        <w:rPr>
          <w:sz w:val="20"/>
          <w:szCs w:val="20"/>
          <w:color w:val="auto"/>
        </w:rPr>
      </w:pPr>
    </w:p>
    <w:p>
      <w:pPr>
        <w:ind w:left="548"/>
        <w:spacing w:after="0" w:line="350" w:lineRule="auto"/>
        <w:rPr>
          <w:sz w:val="20"/>
          <w:szCs w:val="20"/>
          <w:color w:val="auto"/>
        </w:rPr>
      </w:pPr>
      <w:r>
        <w:rPr>
          <w:rFonts w:ascii="Times New Roman" w:cs="Times New Roman" w:eastAsia="Times New Roman" w:hAnsi="Times New Roman"/>
          <w:sz w:val="24"/>
          <w:szCs w:val="24"/>
          <w:color w:val="auto"/>
        </w:rPr>
        <w:t>2(1)(q) of the Securities and Exchange Board of India (Substantial Acquisition of Shares and Takeovers) Regulations, 2011;</w:t>
      </w:r>
    </w:p>
    <w:p>
      <w:pPr>
        <w:spacing w:after="0" w:line="23" w:lineRule="exact"/>
        <w:rPr>
          <w:sz w:val="20"/>
          <w:szCs w:val="20"/>
          <w:color w:val="auto"/>
        </w:rPr>
      </w:pPr>
    </w:p>
    <w:p>
      <w:pPr>
        <w:jc w:val="both"/>
        <w:ind w:left="548" w:hanging="512"/>
        <w:spacing w:after="0" w:line="357" w:lineRule="auto"/>
        <w:tabs>
          <w:tab w:leader="none" w:pos="548" w:val="left"/>
        </w:tabs>
        <w:numPr>
          <w:ilvl w:val="0"/>
          <w:numId w:val="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“preferential issue” means an issue of specified securities by a listed issuer to any select person or group of persons on a private placement basis in accordance with Chapter V of these regulations and does not include an offer of specified securities made through employee stock option scheme, employee stock purchase scheme or an issue of sweat equity shares or depository receipts issued in a country outside India or foreign securities;</w:t>
      </w:r>
    </w:p>
    <w:p>
      <w:pPr>
        <w:spacing w:after="0" w:line="6" w:lineRule="exact"/>
        <w:rPr>
          <w:rFonts w:ascii="Times New Roman" w:cs="Times New Roman" w:eastAsia="Times New Roman" w:hAnsi="Times New Roman"/>
          <w:sz w:val="24"/>
          <w:szCs w:val="24"/>
          <w:color w:val="auto"/>
        </w:rPr>
      </w:pPr>
    </w:p>
    <w:p>
      <w:pPr>
        <w:ind w:left="548" w:hanging="512"/>
        <w:spacing w:after="0"/>
        <w:tabs>
          <w:tab w:leader="none" w:pos="548" w:val="left"/>
        </w:tabs>
        <w:numPr>
          <w:ilvl w:val="0"/>
          <w:numId w:val="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“promoter” shall include a person:</w:t>
      </w:r>
    </w:p>
    <w:p>
      <w:pPr>
        <w:spacing w:after="0" w:line="149" w:lineRule="exact"/>
        <w:rPr>
          <w:rFonts w:ascii="Times New Roman" w:cs="Times New Roman" w:eastAsia="Times New Roman" w:hAnsi="Times New Roman"/>
          <w:sz w:val="24"/>
          <w:szCs w:val="24"/>
          <w:color w:val="auto"/>
        </w:rPr>
      </w:pPr>
    </w:p>
    <w:p>
      <w:pPr>
        <w:jc w:val="both"/>
        <w:ind w:left="1088" w:hanging="368"/>
        <w:spacing w:after="0" w:line="354" w:lineRule="auto"/>
        <w:tabs>
          <w:tab w:leader="none" w:pos="1088" w:val="left"/>
        </w:tabs>
        <w:numPr>
          <w:ilvl w:val="1"/>
          <w:numId w:val="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who has been named as such in a draft offer document or offer document or is identified by the issuer in the annual return referred to in section 92 of the Companies Act, 2013; or</w:t>
      </w:r>
    </w:p>
    <w:p>
      <w:pPr>
        <w:spacing w:after="0" w:line="22" w:lineRule="exact"/>
        <w:rPr>
          <w:rFonts w:ascii="Times New Roman" w:cs="Times New Roman" w:eastAsia="Times New Roman" w:hAnsi="Times New Roman"/>
          <w:sz w:val="24"/>
          <w:szCs w:val="24"/>
          <w:color w:val="auto"/>
        </w:rPr>
      </w:pPr>
    </w:p>
    <w:p>
      <w:pPr>
        <w:ind w:left="1088" w:hanging="368"/>
        <w:spacing w:after="0" w:line="348" w:lineRule="auto"/>
        <w:tabs>
          <w:tab w:leader="none" w:pos="1088" w:val="left"/>
        </w:tabs>
        <w:numPr>
          <w:ilvl w:val="1"/>
          <w:numId w:val="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who has control over the affairs of the issuer, directly or indirectly whether as a shareholder, director or otherwise; or</w:t>
      </w:r>
    </w:p>
    <w:p>
      <w:pPr>
        <w:spacing w:after="0" w:line="27" w:lineRule="exact"/>
        <w:rPr>
          <w:rFonts w:ascii="Times New Roman" w:cs="Times New Roman" w:eastAsia="Times New Roman" w:hAnsi="Times New Roman"/>
          <w:sz w:val="24"/>
          <w:szCs w:val="24"/>
          <w:color w:val="auto"/>
        </w:rPr>
      </w:pPr>
    </w:p>
    <w:p>
      <w:pPr>
        <w:ind w:left="1088" w:hanging="368"/>
        <w:spacing w:after="0" w:line="348" w:lineRule="auto"/>
        <w:tabs>
          <w:tab w:leader="none" w:pos="1088" w:val="left"/>
        </w:tabs>
        <w:numPr>
          <w:ilvl w:val="1"/>
          <w:numId w:val="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accordance with whose advice, directions or instructions the board of directors of the issuer is accustomed to act:</w:t>
      </w:r>
    </w:p>
    <w:p>
      <w:pPr>
        <w:spacing w:after="0" w:line="27" w:lineRule="exact"/>
        <w:rPr>
          <w:rFonts w:ascii="Times New Roman" w:cs="Times New Roman" w:eastAsia="Times New Roman" w:hAnsi="Times New Roman"/>
          <w:sz w:val="24"/>
          <w:szCs w:val="24"/>
          <w:color w:val="auto"/>
        </w:rPr>
      </w:pPr>
    </w:p>
    <w:p>
      <w:pPr>
        <w:ind w:left="1088"/>
        <w:spacing w:after="0" w:line="348"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nothing in sub-clause (iii) shall apply to a person who is acting merely in a professional capacity;</w:t>
      </w:r>
    </w:p>
    <w:p>
      <w:pPr>
        <w:spacing w:after="0" w:line="27" w:lineRule="exact"/>
        <w:rPr>
          <w:rFonts w:ascii="Times New Roman" w:cs="Times New Roman" w:eastAsia="Times New Roman" w:hAnsi="Times New Roman"/>
          <w:sz w:val="24"/>
          <w:szCs w:val="24"/>
          <w:color w:val="auto"/>
        </w:rPr>
      </w:pPr>
    </w:p>
    <w:p>
      <w:pPr>
        <w:jc w:val="both"/>
        <w:ind w:left="1088"/>
        <w:spacing w:after="0" w:line="325"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further that a financial institution, scheduled commercial bank, [foreign portfolio investor other than individuals, corporate bodies and family offices]</w:t>
      </w:r>
      <w:r>
        <w:rPr>
          <w:rFonts w:ascii="Times New Roman" w:cs="Times New Roman" w:eastAsia="Times New Roman" w:hAnsi="Times New Roman"/>
          <w:sz w:val="32"/>
          <w:szCs w:val="32"/>
          <w:color w:val="auto"/>
          <w:vertAlign w:val="superscript"/>
        </w:rPr>
        <w:t>3</w:t>
      </w:r>
      <w:r>
        <w:rPr>
          <w:rFonts w:ascii="Times New Roman" w:cs="Times New Roman" w:eastAsia="Times New Roman" w:hAnsi="Times New Roman"/>
          <w:sz w:val="24"/>
          <w:szCs w:val="24"/>
          <w:color w:val="auto"/>
        </w:rPr>
        <w:t>, mutual</w:t>
      </w:r>
    </w:p>
    <w:p>
      <w:pPr>
        <w:spacing w:after="0" w:line="200" w:lineRule="exact"/>
        <w:rPr>
          <w:sz w:val="20"/>
          <w:szCs w:val="20"/>
          <w:color w:val="auto"/>
        </w:rPr>
      </w:pPr>
    </w:p>
    <w:p>
      <w:pPr>
        <w:spacing w:after="0" w:line="263" w:lineRule="exact"/>
        <w:rPr>
          <w:sz w:val="20"/>
          <w:szCs w:val="20"/>
          <w:color w:val="auto"/>
        </w:rPr>
      </w:pPr>
    </w:p>
    <w:p>
      <w:pPr>
        <w:jc w:val="both"/>
        <w:ind w:left="8" w:hanging="8"/>
        <w:spacing w:after="0" w:line="215" w:lineRule="auto"/>
        <w:tabs>
          <w:tab w:leader="none" w:pos="147" w:val="left"/>
        </w:tabs>
        <w:numPr>
          <w:ilvl w:val="0"/>
          <w:numId w:val="21"/>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SEBI (Issue of Capital and Disclosure Requirements) (Fourth Amendment) Regulations, 2019 w.e.f. 23.09.2019. Prior to its substitution, it read as “foreign portfolio investor other than Category III foreign portfolio investor.”</w:t>
      </w:r>
    </w:p>
    <w:p>
      <w:pPr>
        <w:spacing w:after="0" w:line="298"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7</w:t>
      </w:r>
    </w:p>
    <w:p>
      <w:pPr>
        <w:sectPr>
          <w:pgSz w:w="11900" w:h="16836" w:orient="portrait"/>
          <w:cols w:equalWidth="0" w:num="1">
            <w:col w:w="9468"/>
          </w:cols>
          <w:pgMar w:left="1152" w:top="1156" w:right="1284" w:bottom="103" w:gutter="0" w:footer="0" w:header="0"/>
        </w:sectPr>
      </w:pPr>
    </w:p>
    <w:bookmarkStart w:id="7" w:name="page8"/>
    <w:bookmarkEnd w:id="7"/>
    <w:p>
      <w:pPr>
        <w:jc w:val="both"/>
        <w:ind w:left="1060"/>
        <w:spacing w:after="0" w:line="357" w:lineRule="auto"/>
        <w:rPr>
          <w:sz w:val="20"/>
          <w:szCs w:val="20"/>
          <w:color w:val="auto"/>
        </w:rPr>
      </w:pPr>
      <w:r>
        <w:rPr>
          <w:rFonts w:ascii="Times New Roman" w:cs="Times New Roman" w:eastAsia="Times New Roman" w:hAnsi="Times New Roman"/>
          <w:sz w:val="24"/>
          <w:szCs w:val="24"/>
          <w:color w:val="auto"/>
        </w:rPr>
        <w:t>fund, venture capital fund, alternative investment fund, foreign venture capital investor, insurance company registered with the Insurance Regulatory and Development Authority of India or any other category as specified by the Board from time to time, shall not be deemed to be a promoter merely by virtue of the fact that twenty per cent. or more of the equity share capital of the issuer is held by such person unless such person satisfy other requirements prescribed under these regulations;</w:t>
      </w:r>
    </w:p>
    <w:p>
      <w:pPr>
        <w:spacing w:after="0" w:line="9" w:lineRule="exact"/>
        <w:rPr>
          <w:sz w:val="20"/>
          <w:szCs w:val="20"/>
          <w:color w:val="auto"/>
        </w:rPr>
      </w:pPr>
    </w:p>
    <w:p>
      <w:pPr>
        <w:ind w:left="520" w:hanging="512"/>
        <w:spacing w:after="0"/>
        <w:tabs>
          <w:tab w:leader="none" w:pos="520" w:val="left"/>
        </w:tabs>
        <w:numPr>
          <w:ilvl w:val="0"/>
          <w:numId w:val="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“promoter group” includes:</w:t>
      </w:r>
    </w:p>
    <w:p>
      <w:pPr>
        <w:spacing w:after="0" w:line="136" w:lineRule="exact"/>
        <w:rPr>
          <w:rFonts w:ascii="Times New Roman" w:cs="Times New Roman" w:eastAsia="Times New Roman" w:hAnsi="Times New Roman"/>
          <w:sz w:val="24"/>
          <w:szCs w:val="24"/>
          <w:color w:val="auto"/>
        </w:rPr>
      </w:pPr>
    </w:p>
    <w:p>
      <w:pPr>
        <w:ind w:left="880" w:hanging="368"/>
        <w:spacing w:after="0"/>
        <w:tabs>
          <w:tab w:leader="none" w:pos="880" w:val="left"/>
        </w:tabs>
        <w:numPr>
          <w:ilvl w:val="1"/>
          <w:numId w:val="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promoter;</w:t>
      </w:r>
    </w:p>
    <w:p>
      <w:pPr>
        <w:spacing w:after="0" w:line="152" w:lineRule="exact"/>
        <w:rPr>
          <w:rFonts w:ascii="Times New Roman" w:cs="Times New Roman" w:eastAsia="Times New Roman" w:hAnsi="Times New Roman"/>
          <w:sz w:val="24"/>
          <w:szCs w:val="24"/>
          <w:color w:val="auto"/>
        </w:rPr>
      </w:pPr>
    </w:p>
    <w:p>
      <w:pPr>
        <w:ind w:left="880" w:hanging="368"/>
        <w:spacing w:after="0" w:line="348" w:lineRule="auto"/>
        <w:tabs>
          <w:tab w:leader="none" w:pos="880" w:val="left"/>
        </w:tabs>
        <w:numPr>
          <w:ilvl w:val="1"/>
          <w:numId w:val="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 immediate relative of the promoter (i.e. any spouse of that person, or any parent, brother, sister or child of the person or of the spouse); and</w:t>
      </w:r>
    </w:p>
    <w:p>
      <w:pPr>
        <w:spacing w:after="0" w:line="15" w:lineRule="exact"/>
        <w:rPr>
          <w:rFonts w:ascii="Times New Roman" w:cs="Times New Roman" w:eastAsia="Times New Roman" w:hAnsi="Times New Roman"/>
          <w:sz w:val="24"/>
          <w:szCs w:val="24"/>
          <w:color w:val="auto"/>
        </w:rPr>
      </w:pPr>
    </w:p>
    <w:p>
      <w:pPr>
        <w:ind w:left="880" w:hanging="368"/>
        <w:spacing w:after="0"/>
        <w:tabs>
          <w:tab w:leader="none" w:pos="880" w:val="left"/>
        </w:tabs>
        <w:numPr>
          <w:ilvl w:val="1"/>
          <w:numId w:val="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promoter is a body corporate:</w:t>
      </w:r>
    </w:p>
    <w:p>
      <w:pPr>
        <w:spacing w:after="0" w:line="136" w:lineRule="exact"/>
        <w:rPr>
          <w:rFonts w:ascii="Times New Roman" w:cs="Times New Roman" w:eastAsia="Times New Roman" w:hAnsi="Times New Roman"/>
          <w:sz w:val="24"/>
          <w:szCs w:val="24"/>
          <w:color w:val="auto"/>
        </w:rPr>
      </w:pPr>
    </w:p>
    <w:p>
      <w:pPr>
        <w:ind w:left="2140" w:hanging="728"/>
        <w:spacing w:after="0"/>
        <w:tabs>
          <w:tab w:leader="none" w:pos="2140" w:val="left"/>
        </w:tabs>
        <w:numPr>
          <w:ilvl w:val="2"/>
          <w:numId w:val="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subsidiary or holding company of such body corporate;</w:t>
      </w:r>
    </w:p>
    <w:p>
      <w:pPr>
        <w:spacing w:after="0" w:line="151" w:lineRule="exact"/>
        <w:rPr>
          <w:rFonts w:ascii="Times New Roman" w:cs="Times New Roman" w:eastAsia="Times New Roman" w:hAnsi="Times New Roman"/>
          <w:sz w:val="24"/>
          <w:szCs w:val="24"/>
          <w:color w:val="auto"/>
        </w:rPr>
      </w:pPr>
    </w:p>
    <w:p>
      <w:pPr>
        <w:jc w:val="both"/>
        <w:ind w:left="2140" w:hanging="728"/>
        <w:spacing w:after="0" w:line="354" w:lineRule="auto"/>
        <w:tabs>
          <w:tab w:leader="none" w:pos="2140" w:val="left"/>
        </w:tabs>
        <w:numPr>
          <w:ilvl w:val="2"/>
          <w:numId w:val="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body corporate in which the promoter holds twenty per cent. or more of the equity share capital; and/or any body corporate which holds twenty per cent. or more of the equity share capital of the promoter;</w:t>
      </w:r>
    </w:p>
    <w:p>
      <w:pPr>
        <w:spacing w:after="0" w:line="19" w:lineRule="exact"/>
        <w:rPr>
          <w:rFonts w:ascii="Times New Roman" w:cs="Times New Roman" w:eastAsia="Times New Roman" w:hAnsi="Times New Roman"/>
          <w:sz w:val="24"/>
          <w:szCs w:val="24"/>
          <w:color w:val="auto"/>
        </w:rPr>
      </w:pPr>
    </w:p>
    <w:p>
      <w:pPr>
        <w:jc w:val="both"/>
        <w:ind w:left="2140" w:hanging="728"/>
        <w:spacing w:after="0" w:line="358" w:lineRule="auto"/>
        <w:tabs>
          <w:tab w:leader="none" w:pos="2140" w:val="left"/>
        </w:tabs>
        <w:numPr>
          <w:ilvl w:val="2"/>
          <w:numId w:val="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body corporate in which a group of individuals or companies or combinations thereof acting in concert, which hold twenty per cent. or more of the equity share capital in that body corporate and such group of individuals or companies or combinations thereof also holds twenty per cent. or more of the equity share capital of the issuer and are also acting in concert; and</w:t>
      </w:r>
    </w:p>
    <w:p>
      <w:pPr>
        <w:spacing w:after="0" w:line="2" w:lineRule="exact"/>
        <w:rPr>
          <w:rFonts w:ascii="Times New Roman" w:cs="Times New Roman" w:eastAsia="Times New Roman" w:hAnsi="Times New Roman"/>
          <w:sz w:val="24"/>
          <w:szCs w:val="24"/>
          <w:color w:val="auto"/>
        </w:rPr>
      </w:pPr>
    </w:p>
    <w:p>
      <w:pPr>
        <w:ind w:left="880" w:hanging="368"/>
        <w:spacing w:after="0"/>
        <w:tabs>
          <w:tab w:leader="none" w:pos="880" w:val="left"/>
        </w:tabs>
        <w:numPr>
          <w:ilvl w:val="1"/>
          <w:numId w:val="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the promoter is an individual:</w:t>
      </w:r>
    </w:p>
    <w:p>
      <w:pPr>
        <w:spacing w:after="0" w:line="151" w:lineRule="exact"/>
        <w:rPr>
          <w:rFonts w:ascii="Times New Roman" w:cs="Times New Roman" w:eastAsia="Times New Roman" w:hAnsi="Times New Roman"/>
          <w:sz w:val="24"/>
          <w:szCs w:val="24"/>
          <w:color w:val="auto"/>
        </w:rPr>
      </w:pPr>
    </w:p>
    <w:p>
      <w:pPr>
        <w:jc w:val="both"/>
        <w:ind w:left="2140" w:hanging="728"/>
        <w:spacing w:after="0" w:line="356" w:lineRule="auto"/>
        <w:tabs>
          <w:tab w:leader="none" w:pos="2140" w:val="left"/>
        </w:tabs>
        <w:numPr>
          <w:ilvl w:val="2"/>
          <w:numId w:val="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body corporate in which twenty per cent. or more of the equity share capital is held by the promoter or an immediate relative of the promoter or a firm or Hindu Undivided Family in which the promoter or any one or more of their relative is a member;</w:t>
      </w:r>
    </w:p>
    <w:p>
      <w:pPr>
        <w:spacing w:after="0" w:line="19" w:lineRule="exact"/>
        <w:rPr>
          <w:rFonts w:ascii="Times New Roman" w:cs="Times New Roman" w:eastAsia="Times New Roman" w:hAnsi="Times New Roman"/>
          <w:sz w:val="24"/>
          <w:szCs w:val="24"/>
          <w:color w:val="auto"/>
        </w:rPr>
      </w:pPr>
    </w:p>
    <w:p>
      <w:pPr>
        <w:ind w:left="2140" w:hanging="728"/>
        <w:spacing w:after="0" w:line="348" w:lineRule="auto"/>
        <w:tabs>
          <w:tab w:leader="none" w:pos="2140" w:val="left"/>
        </w:tabs>
        <w:numPr>
          <w:ilvl w:val="2"/>
          <w:numId w:val="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body corporate in which a body corporate as provided in (A) above holds twenty per cent. or more, of the equity share capital; and</w:t>
      </w:r>
    </w:p>
    <w:p>
      <w:pPr>
        <w:spacing w:after="0" w:line="27" w:lineRule="exact"/>
        <w:rPr>
          <w:rFonts w:ascii="Times New Roman" w:cs="Times New Roman" w:eastAsia="Times New Roman" w:hAnsi="Times New Roman"/>
          <w:sz w:val="24"/>
          <w:szCs w:val="24"/>
          <w:color w:val="auto"/>
        </w:rPr>
      </w:pPr>
    </w:p>
    <w:p>
      <w:pPr>
        <w:jc w:val="both"/>
        <w:ind w:left="2140" w:hanging="728"/>
        <w:spacing w:after="0" w:line="354" w:lineRule="auto"/>
        <w:tabs>
          <w:tab w:leader="none" w:pos="2140" w:val="left"/>
        </w:tabs>
        <w:numPr>
          <w:ilvl w:val="2"/>
          <w:numId w:val="2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any Hindu Undivided Family or firm in which the aggregate share of the promoter and their relatives is equal to or more than twenty per cent. of the total capital;</w:t>
      </w:r>
    </w:p>
    <w:p>
      <w:pPr>
        <w:spacing w:after="0" w:line="20" w:lineRule="exact"/>
        <w:rPr>
          <w:rFonts w:ascii="Times New Roman" w:cs="Times New Roman" w:eastAsia="Times New Roman" w:hAnsi="Times New Roman"/>
          <w:sz w:val="24"/>
          <w:szCs w:val="24"/>
          <w:b w:val="1"/>
          <w:bCs w:val="1"/>
          <w:color w:val="auto"/>
        </w:rPr>
      </w:pPr>
    </w:p>
    <w:p>
      <w:pPr>
        <w:ind w:left="880" w:hanging="368"/>
        <w:spacing w:after="0" w:line="350" w:lineRule="auto"/>
        <w:tabs>
          <w:tab w:leader="none" w:pos="880" w:val="left"/>
        </w:tabs>
        <w:numPr>
          <w:ilvl w:val="1"/>
          <w:numId w:val="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all persons whose shareholding is aggregated under the heading "shareholding of the promoter group":</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jc w:val="center"/>
        <w:ind w:right="40"/>
        <w:spacing w:after="0"/>
        <w:rPr>
          <w:sz w:val="20"/>
          <w:szCs w:val="20"/>
          <w:color w:val="auto"/>
        </w:rPr>
      </w:pPr>
      <w:r>
        <w:rPr>
          <w:rFonts w:ascii="Times New Roman" w:cs="Times New Roman" w:eastAsia="Times New Roman" w:hAnsi="Times New Roman"/>
          <w:sz w:val="24"/>
          <w:szCs w:val="24"/>
          <w:color w:val="auto"/>
        </w:rPr>
        <w:t>8</w:t>
      </w:r>
    </w:p>
    <w:p>
      <w:pPr>
        <w:sectPr>
          <w:pgSz w:w="11900" w:h="16836" w:orient="portrait"/>
          <w:cols w:equalWidth="0" w:num="1">
            <w:col w:w="9440"/>
          </w:cols>
          <w:pgMar w:left="1180" w:top="1156" w:right="1284" w:bottom="103" w:gutter="0" w:footer="0" w:header="0"/>
        </w:sectPr>
      </w:pPr>
    </w:p>
    <w:bookmarkStart w:id="8" w:name="page9"/>
    <w:bookmarkEnd w:id="8"/>
    <w:p>
      <w:pPr>
        <w:jc w:val="both"/>
        <w:ind w:left="1448"/>
        <w:spacing w:after="0" w:line="342" w:lineRule="auto"/>
        <w:rPr>
          <w:sz w:val="20"/>
          <w:szCs w:val="20"/>
          <w:color w:val="auto"/>
        </w:rPr>
      </w:pPr>
      <w:r>
        <w:rPr>
          <w:rFonts w:ascii="Times New Roman" w:cs="Times New Roman" w:eastAsia="Times New Roman" w:hAnsi="Times New Roman"/>
          <w:sz w:val="24"/>
          <w:szCs w:val="24"/>
          <w:color w:val="auto"/>
        </w:rPr>
        <w:t>Provided that a financial institution, scheduled bank, [foreign portfolio investor other than individuals, corporate bodies and family offices]</w:t>
      </w:r>
      <w:r>
        <w:rPr>
          <w:rFonts w:ascii="Times New Roman" w:cs="Times New Roman" w:eastAsia="Times New Roman" w:hAnsi="Times New Roman"/>
          <w:sz w:val="32"/>
          <w:szCs w:val="32"/>
          <w:color w:val="auto"/>
          <w:vertAlign w:val="superscript"/>
        </w:rPr>
        <w:t>4</w:t>
      </w:r>
      <w:r>
        <w:rPr>
          <w:rFonts w:ascii="Times New Roman" w:cs="Times New Roman" w:eastAsia="Times New Roman" w:hAnsi="Times New Roman"/>
          <w:sz w:val="24"/>
          <w:szCs w:val="24"/>
          <w:color w:val="auto"/>
        </w:rPr>
        <w:t>, mutual fund, venture capital fund, alternative investment fund, foreign venture capital investor, insurance company registered with the Insurance Regulatory and Development Authority of India or any other category as specified by the Board from time to time, shall not be deemed to be promoter group merely by virtue of the fact that twenty per cent. or more of the equity share capital of the promoter is held by such person or entity:</w:t>
      </w:r>
    </w:p>
    <w:p>
      <w:pPr>
        <w:spacing w:after="0" w:line="36" w:lineRule="exact"/>
        <w:rPr>
          <w:sz w:val="20"/>
          <w:szCs w:val="20"/>
          <w:color w:val="auto"/>
        </w:rPr>
      </w:pPr>
    </w:p>
    <w:p>
      <w:pPr>
        <w:jc w:val="both"/>
        <w:ind w:left="1448"/>
        <w:spacing w:after="0" w:line="339" w:lineRule="auto"/>
        <w:rPr>
          <w:sz w:val="20"/>
          <w:szCs w:val="20"/>
          <w:color w:val="auto"/>
        </w:rPr>
      </w:pPr>
      <w:r>
        <w:rPr>
          <w:rFonts w:ascii="Times New Roman" w:cs="Times New Roman" w:eastAsia="Times New Roman" w:hAnsi="Times New Roman"/>
          <w:sz w:val="24"/>
          <w:szCs w:val="24"/>
          <w:color w:val="auto"/>
        </w:rPr>
        <w:t>Provided further that such financial institution, scheduled bank, [foreign portfolio investor other than individuals, corporate bodies and family offices]</w:t>
      </w:r>
      <w:r>
        <w:rPr>
          <w:rFonts w:ascii="Times New Roman" w:cs="Times New Roman" w:eastAsia="Times New Roman" w:hAnsi="Times New Roman"/>
          <w:sz w:val="32"/>
          <w:szCs w:val="32"/>
          <w:color w:val="auto"/>
          <w:vertAlign w:val="superscript"/>
        </w:rPr>
        <w:t>5</w:t>
      </w:r>
      <w:r>
        <w:rPr>
          <w:rFonts w:ascii="Times New Roman" w:cs="Times New Roman" w:eastAsia="Times New Roman" w:hAnsi="Times New Roman"/>
          <w:sz w:val="24"/>
          <w:szCs w:val="24"/>
          <w:color w:val="auto"/>
        </w:rPr>
        <w:t>, mutual fund, venture capital fund, alternative investment fund and foreign venture capital investor insurance company registered with the Insurance Regulatory and Development Authority of India or any other category as specified by the Board from time to time shall be treated as promoter group for the subsidiaries or companies promoted by them or for the mutual fund sponsored by them;</w:t>
      </w:r>
    </w:p>
    <w:p>
      <w:pPr>
        <w:spacing w:after="0" w:line="26" w:lineRule="exact"/>
        <w:rPr>
          <w:sz w:val="20"/>
          <w:szCs w:val="20"/>
          <w:color w:val="auto"/>
        </w:rPr>
      </w:pPr>
    </w:p>
    <w:p>
      <w:pPr>
        <w:ind w:left="548" w:hanging="512"/>
        <w:spacing w:after="0"/>
        <w:tabs>
          <w:tab w:leader="none" w:pos="548" w:val="left"/>
        </w:tabs>
        <w:numPr>
          <w:ilvl w:val="0"/>
          <w:numId w:val="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“public  financial  institution”  means  a  public  financial  institution  as  defined  under  the</w:t>
      </w:r>
    </w:p>
    <w:p>
      <w:pPr>
        <w:spacing w:after="0" w:line="139" w:lineRule="exact"/>
        <w:rPr>
          <w:rFonts w:ascii="Times New Roman" w:cs="Times New Roman" w:eastAsia="Times New Roman" w:hAnsi="Times New Roman"/>
          <w:sz w:val="24"/>
          <w:szCs w:val="24"/>
          <w:color w:val="auto"/>
        </w:rPr>
      </w:pPr>
    </w:p>
    <w:p>
      <w:pPr>
        <w:ind w:left="548"/>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Companies Act, 2013;</w:t>
      </w:r>
    </w:p>
    <w:p>
      <w:pPr>
        <w:spacing w:after="0" w:line="136" w:lineRule="exact"/>
        <w:rPr>
          <w:rFonts w:ascii="Times New Roman" w:cs="Times New Roman" w:eastAsia="Times New Roman" w:hAnsi="Times New Roman"/>
          <w:sz w:val="24"/>
          <w:szCs w:val="24"/>
          <w:color w:val="auto"/>
        </w:rPr>
      </w:pPr>
    </w:p>
    <w:p>
      <w:pPr>
        <w:ind w:left="548" w:hanging="512"/>
        <w:spacing w:after="0"/>
        <w:tabs>
          <w:tab w:leader="none" w:pos="548" w:val="left"/>
        </w:tabs>
        <w:numPr>
          <w:ilvl w:val="0"/>
          <w:numId w:val="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“public issue” means an initial public offer or a further public offer;</w:t>
      </w:r>
    </w:p>
    <w:p>
      <w:pPr>
        <w:spacing w:after="0" w:line="139" w:lineRule="exact"/>
        <w:rPr>
          <w:rFonts w:ascii="Times New Roman" w:cs="Times New Roman" w:eastAsia="Times New Roman" w:hAnsi="Times New Roman"/>
          <w:sz w:val="24"/>
          <w:szCs w:val="24"/>
          <w:color w:val="auto"/>
        </w:rPr>
      </w:pPr>
    </w:p>
    <w:p>
      <w:pPr>
        <w:ind w:left="548" w:hanging="512"/>
        <w:spacing w:after="0"/>
        <w:tabs>
          <w:tab w:leader="none" w:pos="548" w:val="left"/>
        </w:tabs>
        <w:numPr>
          <w:ilvl w:val="0"/>
          <w:numId w:val="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“qualified institutional buyer” means:</w:t>
      </w:r>
    </w:p>
    <w:p>
      <w:pPr>
        <w:spacing w:after="0" w:line="149" w:lineRule="exact"/>
        <w:rPr>
          <w:rFonts w:ascii="Times New Roman" w:cs="Times New Roman" w:eastAsia="Times New Roman" w:hAnsi="Times New Roman"/>
          <w:sz w:val="24"/>
          <w:szCs w:val="24"/>
          <w:color w:val="auto"/>
        </w:rPr>
      </w:pPr>
    </w:p>
    <w:p>
      <w:pPr>
        <w:ind w:left="1448" w:hanging="728"/>
        <w:spacing w:after="0" w:line="350" w:lineRule="auto"/>
        <w:tabs>
          <w:tab w:leader="none" w:pos="1448" w:val="left"/>
        </w:tabs>
        <w:numPr>
          <w:ilvl w:val="1"/>
          <w:numId w:val="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mutual fund, venture capital fund, alternative investment fund and foreign venture capital investor registered with the Board;</w:t>
      </w:r>
    </w:p>
    <w:p>
      <w:pPr>
        <w:spacing w:after="0" w:line="23" w:lineRule="exact"/>
        <w:rPr>
          <w:rFonts w:ascii="Times New Roman" w:cs="Times New Roman" w:eastAsia="Times New Roman" w:hAnsi="Times New Roman"/>
          <w:sz w:val="24"/>
          <w:szCs w:val="24"/>
          <w:color w:val="auto"/>
        </w:rPr>
      </w:pPr>
    </w:p>
    <w:p>
      <w:pPr>
        <w:ind w:left="1448" w:hanging="728"/>
        <w:spacing w:after="0" w:line="308" w:lineRule="auto"/>
        <w:tabs>
          <w:tab w:leader="none" w:pos="1508" w:val="left"/>
        </w:tabs>
        <w:numPr>
          <w:ilvl w:val="1"/>
          <w:numId w:val="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[foreign portfolio investor other than individuals, corporate bodies and family offices]</w:t>
      </w:r>
      <w:r>
        <w:rPr>
          <w:rFonts w:ascii="Times New Roman" w:cs="Times New Roman" w:eastAsia="Times New Roman" w:hAnsi="Times New Roman"/>
          <w:sz w:val="32"/>
          <w:szCs w:val="32"/>
          <w:color w:val="auto"/>
          <w:vertAlign w:val="superscript"/>
        </w:rPr>
        <w:t>6</w:t>
      </w:r>
      <w:r>
        <w:rPr>
          <w:rFonts w:ascii="Times New Roman" w:cs="Times New Roman" w:eastAsia="Times New Roman" w:hAnsi="Times New Roman"/>
          <w:sz w:val="24"/>
          <w:szCs w:val="24"/>
          <w:color w:val="auto"/>
        </w:rPr>
        <w:t>;</w:t>
      </w:r>
    </w:p>
    <w:p>
      <w:pPr>
        <w:ind w:left="1448" w:hanging="728"/>
        <w:spacing w:after="0"/>
        <w:tabs>
          <w:tab w:leader="none" w:pos="1448" w:val="left"/>
        </w:tabs>
        <w:numPr>
          <w:ilvl w:val="1"/>
          <w:numId w:val="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public financial institution;</w:t>
      </w:r>
    </w:p>
    <w:p>
      <w:pPr>
        <w:spacing w:after="0" w:line="139" w:lineRule="exact"/>
        <w:rPr>
          <w:rFonts w:ascii="Times New Roman" w:cs="Times New Roman" w:eastAsia="Times New Roman" w:hAnsi="Times New Roman"/>
          <w:sz w:val="24"/>
          <w:szCs w:val="24"/>
          <w:color w:val="auto"/>
        </w:rPr>
      </w:pPr>
    </w:p>
    <w:p>
      <w:pPr>
        <w:ind w:left="1448" w:hanging="728"/>
        <w:spacing w:after="0"/>
        <w:tabs>
          <w:tab w:leader="none" w:pos="1448" w:val="left"/>
        </w:tabs>
        <w:numPr>
          <w:ilvl w:val="1"/>
          <w:numId w:val="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scheduled commercial bank;</w:t>
      </w:r>
    </w:p>
    <w:p>
      <w:pPr>
        <w:spacing w:after="0" w:line="136" w:lineRule="exact"/>
        <w:rPr>
          <w:rFonts w:ascii="Times New Roman" w:cs="Times New Roman" w:eastAsia="Times New Roman" w:hAnsi="Times New Roman"/>
          <w:sz w:val="24"/>
          <w:szCs w:val="24"/>
          <w:color w:val="auto"/>
        </w:rPr>
      </w:pPr>
    </w:p>
    <w:p>
      <w:pPr>
        <w:ind w:left="1448" w:hanging="728"/>
        <w:spacing w:after="0"/>
        <w:tabs>
          <w:tab w:leader="none" w:pos="1448" w:val="left"/>
        </w:tabs>
        <w:numPr>
          <w:ilvl w:val="1"/>
          <w:numId w:val="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multilateral and bilateral development financial institution;</w:t>
      </w:r>
    </w:p>
    <w:p>
      <w:pPr>
        <w:spacing w:after="0" w:line="139" w:lineRule="exact"/>
        <w:rPr>
          <w:rFonts w:ascii="Times New Roman" w:cs="Times New Roman" w:eastAsia="Times New Roman" w:hAnsi="Times New Roman"/>
          <w:sz w:val="24"/>
          <w:szCs w:val="24"/>
          <w:color w:val="auto"/>
        </w:rPr>
      </w:pPr>
    </w:p>
    <w:p>
      <w:pPr>
        <w:ind w:left="1448" w:hanging="728"/>
        <w:spacing w:after="0"/>
        <w:tabs>
          <w:tab w:leader="none" w:pos="1448" w:val="left"/>
        </w:tabs>
        <w:numPr>
          <w:ilvl w:val="1"/>
          <w:numId w:val="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state industrial development corporation;</w:t>
      </w:r>
    </w:p>
    <w:p>
      <w:pPr>
        <w:spacing w:after="0" w:line="149" w:lineRule="exact"/>
        <w:rPr>
          <w:rFonts w:ascii="Times New Roman" w:cs="Times New Roman" w:eastAsia="Times New Roman" w:hAnsi="Times New Roman"/>
          <w:sz w:val="24"/>
          <w:szCs w:val="24"/>
          <w:color w:val="auto"/>
        </w:rPr>
      </w:pPr>
    </w:p>
    <w:p>
      <w:pPr>
        <w:ind w:left="1448" w:hanging="728"/>
        <w:spacing w:after="0" w:line="350" w:lineRule="auto"/>
        <w:tabs>
          <w:tab w:leader="none" w:pos="1448" w:val="left"/>
        </w:tabs>
        <w:numPr>
          <w:ilvl w:val="1"/>
          <w:numId w:val="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 insurance company registered with the Insurance Regulatory and Development Authority of India;</w:t>
      </w:r>
    </w:p>
    <w:p>
      <w:pPr>
        <w:spacing w:after="0" w:line="10" w:lineRule="exact"/>
        <w:rPr>
          <w:rFonts w:ascii="Times New Roman" w:cs="Times New Roman" w:eastAsia="Times New Roman" w:hAnsi="Times New Roman"/>
          <w:sz w:val="24"/>
          <w:szCs w:val="24"/>
          <w:color w:val="auto"/>
        </w:rPr>
      </w:pPr>
    </w:p>
    <w:p>
      <w:pPr>
        <w:ind w:left="1448" w:hanging="728"/>
        <w:spacing w:after="0"/>
        <w:tabs>
          <w:tab w:leader="none" w:pos="1448" w:val="left"/>
        </w:tabs>
        <w:numPr>
          <w:ilvl w:val="1"/>
          <w:numId w:val="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provident fund with minimum corpus of twenty five crore rupees;</w:t>
      </w:r>
    </w:p>
    <w:p>
      <w:pPr>
        <w:spacing w:after="0" w:line="200" w:lineRule="exact"/>
        <w:rPr>
          <w:sz w:val="20"/>
          <w:szCs w:val="20"/>
          <w:color w:val="auto"/>
        </w:rPr>
      </w:pPr>
    </w:p>
    <w:p>
      <w:pPr>
        <w:spacing w:after="0" w:line="368" w:lineRule="exact"/>
        <w:rPr>
          <w:sz w:val="20"/>
          <w:szCs w:val="20"/>
          <w:color w:val="auto"/>
        </w:rPr>
      </w:pPr>
    </w:p>
    <w:p>
      <w:pPr>
        <w:jc w:val="both"/>
        <w:ind w:left="8" w:hanging="8"/>
        <w:spacing w:after="0" w:line="214" w:lineRule="auto"/>
        <w:tabs>
          <w:tab w:leader="none" w:pos="147" w:val="left"/>
        </w:tabs>
        <w:numPr>
          <w:ilvl w:val="0"/>
          <w:numId w:val="24"/>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SEBI (Issue of Capital and Disclosure Requirements) (Fourth Amendment) Regulations, 2019 w.e.f.23.09.2019. Prior to its substitution, it read as “foreign portfolio investor other than Category III foreign portfolio investor.”</w:t>
      </w:r>
    </w:p>
    <w:p>
      <w:pPr>
        <w:ind w:left="108" w:hanging="108"/>
        <w:spacing w:after="0" w:line="184" w:lineRule="auto"/>
        <w:tabs>
          <w:tab w:leader="none" w:pos="108" w:val="left"/>
        </w:tabs>
        <w:numPr>
          <w:ilvl w:val="0"/>
          <w:numId w:val="24"/>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ibid</w:t>
      </w:r>
    </w:p>
    <w:p>
      <w:pPr>
        <w:spacing w:after="0" w:line="20" w:lineRule="exact"/>
        <w:rPr>
          <w:rFonts w:ascii="Times New Roman" w:cs="Times New Roman" w:eastAsia="Times New Roman" w:hAnsi="Times New Roman"/>
          <w:sz w:val="26"/>
          <w:szCs w:val="26"/>
          <w:color w:val="auto"/>
          <w:vertAlign w:val="superscript"/>
        </w:rPr>
      </w:pPr>
    </w:p>
    <w:p>
      <w:pPr>
        <w:jc w:val="both"/>
        <w:ind w:left="8" w:hanging="8"/>
        <w:spacing w:after="0" w:line="212" w:lineRule="auto"/>
        <w:tabs>
          <w:tab w:leader="none" w:pos="147" w:val="left"/>
        </w:tabs>
        <w:numPr>
          <w:ilvl w:val="0"/>
          <w:numId w:val="24"/>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SEBI (Issue of Capital and Disclosure Requirements) (Fourth Amendment) Regulations, 2019 w.e.f.23.09.2019. Prior to its substitution, it read as “foreign portfolio investor other than Category III foreign portfolio investor, registered with the Board.”</w:t>
      </w:r>
    </w:p>
    <w:p>
      <w:pPr>
        <w:spacing w:after="0" w:line="300"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9</w:t>
      </w:r>
    </w:p>
    <w:p>
      <w:pPr>
        <w:sectPr>
          <w:pgSz w:w="11900" w:h="16836" w:orient="portrait"/>
          <w:cols w:equalWidth="0" w:num="1">
            <w:col w:w="9468"/>
          </w:cols>
          <w:pgMar w:left="1152" w:top="1156" w:right="1284" w:bottom="103" w:gutter="0" w:footer="0" w:header="0"/>
        </w:sectPr>
      </w:pPr>
    </w:p>
    <w:bookmarkStart w:id="9" w:name="page10"/>
    <w:bookmarkEnd w:id="9"/>
    <w:p>
      <w:pPr>
        <w:ind w:left="1412" w:hanging="728"/>
        <w:spacing w:after="0"/>
        <w:tabs>
          <w:tab w:leader="none" w:pos="1412" w:val="left"/>
        </w:tabs>
        <w:numPr>
          <w:ilvl w:val="1"/>
          <w:numId w:val="2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pension fund with minimum corpus of twenty five crore rupees;</w:t>
      </w:r>
    </w:p>
    <w:p>
      <w:pPr>
        <w:spacing w:after="0" w:line="149" w:lineRule="exact"/>
        <w:rPr>
          <w:rFonts w:ascii="Times New Roman" w:cs="Times New Roman" w:eastAsia="Times New Roman" w:hAnsi="Times New Roman"/>
          <w:sz w:val="24"/>
          <w:szCs w:val="24"/>
          <w:color w:val="auto"/>
        </w:rPr>
      </w:pPr>
    </w:p>
    <w:p>
      <w:pPr>
        <w:ind w:left="1412" w:hanging="728"/>
        <w:spacing w:after="0" w:line="350" w:lineRule="auto"/>
        <w:tabs>
          <w:tab w:leader="none" w:pos="1412" w:val="left"/>
        </w:tabs>
        <w:numPr>
          <w:ilvl w:val="1"/>
          <w:numId w:val="2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National Investment Fund set up by resolution no. F. No. 2/3/2005-DDII dated November 23, 2005 of the Government of India published in the Gazette of India;</w:t>
      </w:r>
    </w:p>
    <w:p>
      <w:pPr>
        <w:spacing w:after="0" w:line="23" w:lineRule="exact"/>
        <w:rPr>
          <w:rFonts w:ascii="Times New Roman" w:cs="Times New Roman" w:eastAsia="Times New Roman" w:hAnsi="Times New Roman"/>
          <w:sz w:val="24"/>
          <w:szCs w:val="24"/>
          <w:color w:val="auto"/>
        </w:rPr>
      </w:pPr>
    </w:p>
    <w:p>
      <w:pPr>
        <w:ind w:left="1412" w:hanging="728"/>
        <w:spacing w:after="0" w:line="350" w:lineRule="auto"/>
        <w:tabs>
          <w:tab w:leader="none" w:pos="1412" w:val="left"/>
        </w:tabs>
        <w:numPr>
          <w:ilvl w:val="1"/>
          <w:numId w:val="2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insurance funds set up and managed by army, navy or air force of the Union of India; and</w:t>
      </w:r>
    </w:p>
    <w:p>
      <w:pPr>
        <w:spacing w:after="0" w:line="10" w:lineRule="exact"/>
        <w:rPr>
          <w:rFonts w:ascii="Times New Roman" w:cs="Times New Roman" w:eastAsia="Times New Roman" w:hAnsi="Times New Roman"/>
          <w:sz w:val="24"/>
          <w:szCs w:val="24"/>
          <w:color w:val="auto"/>
        </w:rPr>
      </w:pPr>
    </w:p>
    <w:p>
      <w:pPr>
        <w:ind w:left="1412" w:hanging="728"/>
        <w:spacing w:after="0"/>
        <w:tabs>
          <w:tab w:leader="none" w:pos="1412" w:val="left"/>
        </w:tabs>
        <w:numPr>
          <w:ilvl w:val="1"/>
          <w:numId w:val="2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insurance funds set up and managed by the Department of Posts, India; and</w:t>
      </w:r>
    </w:p>
    <w:p>
      <w:pPr>
        <w:spacing w:after="0" w:line="139" w:lineRule="exact"/>
        <w:rPr>
          <w:rFonts w:ascii="Times New Roman" w:cs="Times New Roman" w:eastAsia="Times New Roman" w:hAnsi="Times New Roman"/>
          <w:sz w:val="24"/>
          <w:szCs w:val="24"/>
          <w:color w:val="auto"/>
        </w:rPr>
      </w:pPr>
    </w:p>
    <w:p>
      <w:pPr>
        <w:ind w:left="1412" w:hanging="728"/>
        <w:spacing w:after="0"/>
        <w:tabs>
          <w:tab w:leader="none" w:pos="1412" w:val="left"/>
        </w:tabs>
        <w:numPr>
          <w:ilvl w:val="1"/>
          <w:numId w:val="2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systemically important non-banking financial companies.</w:t>
      </w:r>
    </w:p>
    <w:p>
      <w:pPr>
        <w:spacing w:after="0" w:line="149" w:lineRule="exact"/>
        <w:rPr>
          <w:rFonts w:ascii="Times New Roman" w:cs="Times New Roman" w:eastAsia="Times New Roman" w:hAnsi="Times New Roman"/>
          <w:sz w:val="24"/>
          <w:szCs w:val="24"/>
          <w:color w:val="auto"/>
        </w:rPr>
      </w:pPr>
    </w:p>
    <w:p>
      <w:pPr>
        <w:jc w:val="both"/>
        <w:ind w:left="512" w:hanging="512"/>
        <w:spacing w:after="0" w:line="357" w:lineRule="auto"/>
        <w:tabs>
          <w:tab w:leader="none" w:pos="512" w:val="left"/>
        </w:tabs>
        <w:numPr>
          <w:ilvl w:val="0"/>
          <w:numId w:val="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“qualified institutions placement” means issue of eligible securities by a listed issuer to qualified institutional buyers on a private placement basis and includes an offer for sale of specified securities by the promoters and/or promoter group on a private placement basis, in terms of these regulations;</w:t>
      </w:r>
    </w:p>
    <w:p>
      <w:pPr>
        <w:spacing w:after="0" w:line="2" w:lineRule="exact"/>
        <w:rPr>
          <w:rFonts w:ascii="Times New Roman" w:cs="Times New Roman" w:eastAsia="Times New Roman" w:hAnsi="Times New Roman"/>
          <w:sz w:val="24"/>
          <w:szCs w:val="24"/>
          <w:color w:val="auto"/>
        </w:rPr>
      </w:pPr>
    </w:p>
    <w:p>
      <w:pPr>
        <w:ind w:left="512" w:hanging="512"/>
        <w:spacing w:after="0"/>
        <w:tabs>
          <w:tab w:leader="none" w:pos="512" w:val="left"/>
        </w:tabs>
        <w:numPr>
          <w:ilvl w:val="0"/>
          <w:numId w:val="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“relative” means a relative as defined under the Companies Act, 2013.</w:t>
      </w:r>
    </w:p>
    <w:p>
      <w:pPr>
        <w:spacing w:after="0" w:line="151" w:lineRule="exact"/>
        <w:rPr>
          <w:rFonts w:ascii="Times New Roman" w:cs="Times New Roman" w:eastAsia="Times New Roman" w:hAnsi="Times New Roman"/>
          <w:sz w:val="24"/>
          <w:szCs w:val="24"/>
          <w:color w:val="auto"/>
        </w:rPr>
      </w:pPr>
    </w:p>
    <w:p>
      <w:pPr>
        <w:ind w:left="512" w:hanging="512"/>
        <w:spacing w:after="0" w:line="348" w:lineRule="auto"/>
        <w:tabs>
          <w:tab w:leader="none" w:pos="512" w:val="left"/>
        </w:tabs>
        <w:numPr>
          <w:ilvl w:val="0"/>
          <w:numId w:val="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“retail individual investor” means an individual investor who applies or bids for specified securities for a value of not more than two lakhs rupees;</w:t>
      </w:r>
    </w:p>
    <w:p>
      <w:pPr>
        <w:spacing w:after="0" w:line="15" w:lineRule="exact"/>
        <w:rPr>
          <w:rFonts w:ascii="Times New Roman" w:cs="Times New Roman" w:eastAsia="Times New Roman" w:hAnsi="Times New Roman"/>
          <w:sz w:val="24"/>
          <w:szCs w:val="24"/>
          <w:color w:val="auto"/>
        </w:rPr>
      </w:pPr>
    </w:p>
    <w:p>
      <w:pPr>
        <w:ind w:left="692" w:hanging="692"/>
        <w:spacing w:after="0"/>
        <w:tabs>
          <w:tab w:leader="none" w:pos="692" w:val="left"/>
        </w:tabs>
        <w:numPr>
          <w:ilvl w:val="0"/>
          <w:numId w:val="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“retail individual shareholder” means a shareholder who applies or bids for specified</w:t>
      </w:r>
    </w:p>
    <w:p>
      <w:pPr>
        <w:spacing w:after="0" w:line="137" w:lineRule="exact"/>
        <w:rPr>
          <w:sz w:val="20"/>
          <w:szCs w:val="20"/>
          <w:color w:val="auto"/>
        </w:rPr>
      </w:pPr>
    </w:p>
    <w:p>
      <w:pPr>
        <w:ind w:left="512"/>
        <w:spacing w:after="0"/>
        <w:rPr>
          <w:sz w:val="20"/>
          <w:szCs w:val="20"/>
          <w:color w:val="auto"/>
        </w:rPr>
      </w:pPr>
      <w:r>
        <w:rPr>
          <w:rFonts w:ascii="Times New Roman" w:cs="Times New Roman" w:eastAsia="Times New Roman" w:hAnsi="Times New Roman"/>
          <w:sz w:val="24"/>
          <w:szCs w:val="24"/>
          <w:color w:val="auto"/>
        </w:rPr>
        <w:t>securities for a value of not more than two lakhs rupees;</w:t>
      </w:r>
    </w:p>
    <w:p>
      <w:pPr>
        <w:spacing w:after="0" w:line="152" w:lineRule="exact"/>
        <w:rPr>
          <w:sz w:val="20"/>
          <w:szCs w:val="20"/>
          <w:color w:val="auto"/>
        </w:rPr>
      </w:pPr>
    </w:p>
    <w:p>
      <w:pPr>
        <w:ind w:left="512" w:hanging="512"/>
        <w:spacing w:after="0" w:line="348" w:lineRule="auto"/>
        <w:tabs>
          <w:tab w:leader="none" w:pos="512" w:val="left"/>
        </w:tabs>
        <w:numPr>
          <w:ilvl w:val="0"/>
          <w:numId w:val="2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“rights issue” means an offer of specified securities by a listed issuer to the shareholders of the issuer as on the record date fixed for the said purpose;</w:t>
      </w:r>
    </w:p>
    <w:p>
      <w:pPr>
        <w:spacing w:after="0" w:line="15" w:lineRule="exact"/>
        <w:rPr>
          <w:rFonts w:ascii="Times New Roman" w:cs="Times New Roman" w:eastAsia="Times New Roman" w:hAnsi="Times New Roman"/>
          <w:sz w:val="24"/>
          <w:szCs w:val="24"/>
          <w:color w:val="auto"/>
        </w:rPr>
      </w:pPr>
    </w:p>
    <w:p>
      <w:pPr>
        <w:ind w:left="512" w:hanging="512"/>
        <w:spacing w:after="0"/>
        <w:tabs>
          <w:tab w:leader="none" w:pos="512" w:val="left"/>
        </w:tabs>
        <w:numPr>
          <w:ilvl w:val="0"/>
          <w:numId w:val="2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“schedule” means schedule annexed to these regulations;</w:t>
      </w:r>
    </w:p>
    <w:p>
      <w:pPr>
        <w:spacing w:after="0" w:line="136" w:lineRule="exact"/>
        <w:rPr>
          <w:rFonts w:ascii="Times New Roman" w:cs="Times New Roman" w:eastAsia="Times New Roman" w:hAnsi="Times New Roman"/>
          <w:sz w:val="24"/>
          <w:szCs w:val="24"/>
          <w:color w:val="auto"/>
        </w:rPr>
      </w:pPr>
    </w:p>
    <w:p>
      <w:pPr>
        <w:ind w:left="512" w:hanging="512"/>
        <w:spacing w:after="0"/>
        <w:tabs>
          <w:tab w:leader="none" w:pos="512" w:val="left"/>
        </w:tabs>
        <w:numPr>
          <w:ilvl w:val="0"/>
          <w:numId w:val="2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“scheduled commercial bank” means scheduled commercial banks as included in the second</w:t>
      </w:r>
    </w:p>
    <w:p>
      <w:pPr>
        <w:spacing w:after="0" w:line="139" w:lineRule="exact"/>
        <w:rPr>
          <w:sz w:val="20"/>
          <w:szCs w:val="20"/>
          <w:color w:val="auto"/>
        </w:rPr>
      </w:pPr>
    </w:p>
    <w:p>
      <w:pPr>
        <w:ind w:left="512"/>
        <w:spacing w:after="0"/>
        <w:rPr>
          <w:sz w:val="20"/>
          <w:szCs w:val="20"/>
          <w:color w:val="auto"/>
        </w:rPr>
      </w:pPr>
      <w:r>
        <w:rPr>
          <w:rFonts w:ascii="Times New Roman" w:cs="Times New Roman" w:eastAsia="Times New Roman" w:hAnsi="Times New Roman"/>
          <w:sz w:val="24"/>
          <w:szCs w:val="24"/>
          <w:color w:val="auto"/>
        </w:rPr>
        <w:t>schedule to the Reserve Bank of India Act, 1934;</w:t>
      </w:r>
    </w:p>
    <w:p>
      <w:pPr>
        <w:spacing w:after="0" w:line="149" w:lineRule="exact"/>
        <w:rPr>
          <w:sz w:val="20"/>
          <w:szCs w:val="20"/>
          <w:color w:val="auto"/>
        </w:rPr>
      </w:pPr>
    </w:p>
    <w:p>
      <w:pPr>
        <w:ind w:left="512" w:hanging="512"/>
        <w:spacing w:after="0" w:line="350" w:lineRule="auto"/>
        <w:tabs>
          <w:tab w:leader="none" w:pos="512" w:val="left"/>
        </w:tabs>
        <w:numPr>
          <w:ilvl w:val="0"/>
          <w:numId w:val="2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“self-certified syndicate bank” means a banker to an issue registered with the Board, which offers the facility of ASBA;</w:t>
      </w:r>
    </w:p>
    <w:p>
      <w:pPr>
        <w:spacing w:after="0" w:line="23" w:lineRule="exact"/>
        <w:rPr>
          <w:rFonts w:ascii="Times New Roman" w:cs="Times New Roman" w:eastAsia="Times New Roman" w:hAnsi="Times New Roman"/>
          <w:sz w:val="24"/>
          <w:szCs w:val="24"/>
          <w:color w:val="auto"/>
        </w:rPr>
      </w:pPr>
    </w:p>
    <w:p>
      <w:pPr>
        <w:ind w:left="512" w:hanging="512"/>
        <w:spacing w:after="0" w:line="350" w:lineRule="auto"/>
        <w:tabs>
          <w:tab w:leader="none" w:pos="692" w:val="left"/>
        </w:tabs>
        <w:numPr>
          <w:ilvl w:val="0"/>
          <w:numId w:val="2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“selling shareholder(s)” means any shareholder of the issuer who is offering for sale the specified securities in a public issue in accordance with these Regulations;</w:t>
      </w:r>
    </w:p>
    <w:p>
      <w:pPr>
        <w:spacing w:after="0" w:line="23" w:lineRule="exact"/>
        <w:rPr>
          <w:rFonts w:ascii="Times New Roman" w:cs="Times New Roman" w:eastAsia="Times New Roman" w:hAnsi="Times New Roman"/>
          <w:sz w:val="24"/>
          <w:szCs w:val="24"/>
          <w:color w:val="auto"/>
        </w:rPr>
      </w:pPr>
    </w:p>
    <w:p>
      <w:pPr>
        <w:jc w:val="both"/>
        <w:ind w:left="512" w:hanging="512"/>
        <w:spacing w:after="0" w:line="357" w:lineRule="auto"/>
        <w:tabs>
          <w:tab w:leader="none" w:pos="512" w:val="left"/>
        </w:tabs>
        <w:numPr>
          <w:ilvl w:val="0"/>
          <w:numId w:val="2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“securities laws” means the Act, the Securities Contracts (Regulation) Act, 1956, the Depositories Act, 1996 and the rules and regulations made thereunder and the general or special orders, guidelines or circulars made or issued by the Board thereunder and the provisions of the Companies Act, 2013 or any previous company law and any subordinate legislation framed thereunder, which are administered by the Board ;</w:t>
      </w:r>
    </w:p>
    <w:p>
      <w:pPr>
        <w:spacing w:after="0" w:line="6" w:lineRule="exact"/>
        <w:rPr>
          <w:rFonts w:ascii="Times New Roman" w:cs="Times New Roman" w:eastAsia="Times New Roman" w:hAnsi="Times New Roman"/>
          <w:sz w:val="24"/>
          <w:szCs w:val="24"/>
          <w:color w:val="auto"/>
        </w:rPr>
      </w:pPr>
    </w:p>
    <w:p>
      <w:pPr>
        <w:ind w:left="692" w:hanging="692"/>
        <w:spacing w:after="0"/>
        <w:tabs>
          <w:tab w:leader="none" w:pos="692" w:val="left"/>
        </w:tabs>
        <w:numPr>
          <w:ilvl w:val="0"/>
          <w:numId w:val="2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“SME  exchange”  means  a  trading  platform  of  a  recognised  stock  exchange  having</w:t>
      </w:r>
    </w:p>
    <w:p>
      <w:pPr>
        <w:spacing w:after="0" w:line="149" w:lineRule="exact"/>
        <w:rPr>
          <w:sz w:val="20"/>
          <w:szCs w:val="20"/>
          <w:color w:val="auto"/>
        </w:rPr>
      </w:pPr>
    </w:p>
    <w:p>
      <w:pPr>
        <w:jc w:val="both"/>
        <w:ind w:left="512"/>
        <w:spacing w:after="0" w:line="354" w:lineRule="auto"/>
        <w:rPr>
          <w:sz w:val="20"/>
          <w:szCs w:val="20"/>
          <w:color w:val="auto"/>
        </w:rPr>
      </w:pPr>
      <w:r>
        <w:rPr>
          <w:rFonts w:ascii="Times New Roman" w:cs="Times New Roman" w:eastAsia="Times New Roman" w:hAnsi="Times New Roman"/>
          <w:sz w:val="24"/>
          <w:szCs w:val="24"/>
          <w:color w:val="auto"/>
        </w:rPr>
        <w:t>nationwide trading terminals permitted by the Board to list the specified securities issued in accordance with Chapter IX and includes a stock exchange granted recognition for this purpose but does not include the Main Board;</w:t>
      </w:r>
    </w:p>
    <w:p>
      <w:pPr>
        <w:spacing w:after="0" w:line="10" w:lineRule="exact"/>
        <w:rPr>
          <w:sz w:val="20"/>
          <w:szCs w:val="20"/>
          <w:color w:val="auto"/>
        </w:rPr>
      </w:pPr>
    </w:p>
    <w:p>
      <w:pPr>
        <w:ind w:left="512" w:hanging="512"/>
        <w:spacing w:after="0"/>
        <w:tabs>
          <w:tab w:leader="none" w:pos="512" w:val="left"/>
        </w:tabs>
        <w:numPr>
          <w:ilvl w:val="0"/>
          <w:numId w:val="2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“specified securities" means equity shares and convertible securities;</w:t>
      </w:r>
    </w:p>
    <w:p>
      <w:pPr>
        <w:spacing w:after="0" w:line="393" w:lineRule="exact"/>
        <w:rPr>
          <w:rFonts w:ascii="Times New Roman" w:cs="Times New Roman" w:eastAsia="Times New Roman" w:hAnsi="Times New Roman"/>
          <w:sz w:val="24"/>
          <w:szCs w:val="24"/>
          <w:color w:val="auto"/>
        </w:rPr>
      </w:pPr>
    </w:p>
    <w:p>
      <w:pPr>
        <w:ind w:left="4572"/>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10</w:t>
      </w:r>
    </w:p>
    <w:p>
      <w:pPr>
        <w:sectPr>
          <w:pgSz w:w="11900" w:h="16836" w:orient="portrait"/>
          <w:cols w:equalWidth="0" w:num="1">
            <w:col w:w="9432"/>
          </w:cols>
          <w:pgMar w:left="1188" w:top="1144" w:right="1284" w:bottom="103" w:gutter="0" w:footer="0" w:header="0"/>
        </w:sectPr>
      </w:pPr>
    </w:p>
    <w:bookmarkStart w:id="10" w:name="page11"/>
    <w:bookmarkEnd w:id="10"/>
    <w:p>
      <w:pPr>
        <w:ind w:left="720" w:hanging="810"/>
        <w:spacing w:after="0" w:line="286" w:lineRule="auto"/>
        <w:rPr>
          <w:sz w:val="20"/>
          <w:szCs w:val="20"/>
          <w:color w:val="auto"/>
        </w:rPr>
      </w:pPr>
      <w:r>
        <w:rPr>
          <w:rFonts w:ascii="Times New Roman" w:cs="Times New Roman" w:eastAsia="Times New Roman" w:hAnsi="Times New Roman"/>
          <w:sz w:val="32"/>
          <w:szCs w:val="32"/>
          <w:color w:val="auto"/>
          <w:vertAlign w:val="superscript"/>
        </w:rPr>
        <w:t>7</w:t>
      </w:r>
      <w:r>
        <w:rPr>
          <w:rFonts w:ascii="Times New Roman" w:cs="Times New Roman" w:eastAsia="Times New Roman" w:hAnsi="Times New Roman"/>
          <w:sz w:val="24"/>
          <w:szCs w:val="24"/>
          <w:color w:val="auto"/>
        </w:rPr>
        <w:t>[(eeea) “SR equity shares” means the equity shares of an issuer having superior voting rights compared to all other equity shares issued by that issuer.]</w:t>
      </w:r>
    </w:p>
    <w:p>
      <w:pPr>
        <w:spacing w:after="0" w:line="81" w:lineRule="exact"/>
        <w:rPr>
          <w:sz w:val="20"/>
          <w:szCs w:val="20"/>
          <w:color w:val="auto"/>
        </w:rPr>
      </w:pPr>
    </w:p>
    <w:p>
      <w:pPr>
        <w:ind w:left="540" w:hanging="512"/>
        <w:spacing w:after="0" w:line="348" w:lineRule="auto"/>
        <w:tabs>
          <w:tab w:leader="none" w:pos="540" w:val="left"/>
        </w:tabs>
        <w:numPr>
          <w:ilvl w:val="0"/>
          <w:numId w:val="3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“stabilising agent” means a merchant banker who is responsible for stabilising the price of equity shares under a green shoe option, in terms of these regulations;</w:t>
      </w:r>
    </w:p>
    <w:p>
      <w:pPr>
        <w:spacing w:after="0" w:line="27" w:lineRule="exact"/>
        <w:rPr>
          <w:rFonts w:ascii="Times New Roman" w:cs="Times New Roman" w:eastAsia="Times New Roman" w:hAnsi="Times New Roman"/>
          <w:sz w:val="24"/>
          <w:szCs w:val="24"/>
          <w:color w:val="auto"/>
        </w:rPr>
      </w:pPr>
    </w:p>
    <w:p>
      <w:pPr>
        <w:jc w:val="both"/>
        <w:ind w:left="540" w:hanging="512"/>
        <w:spacing w:after="0" w:line="356" w:lineRule="auto"/>
        <w:tabs>
          <w:tab w:leader="none" w:pos="720" w:val="left"/>
        </w:tabs>
        <w:numPr>
          <w:ilvl w:val="0"/>
          <w:numId w:val="3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“stock exchange” means any recognised stock exchange having nationwide trading terminals chosen by the issuer on which securities of an issuer are listed or proposed to be listed for the purpose of a particular issue of specified securities under these regulations, other than an SME exchange;</w:t>
      </w:r>
    </w:p>
    <w:p>
      <w:pPr>
        <w:spacing w:after="0" w:line="6" w:lineRule="exact"/>
        <w:rPr>
          <w:rFonts w:ascii="Times New Roman" w:cs="Times New Roman" w:eastAsia="Times New Roman" w:hAnsi="Times New Roman"/>
          <w:sz w:val="24"/>
          <w:szCs w:val="24"/>
          <w:color w:val="auto"/>
        </w:rPr>
      </w:pPr>
    </w:p>
    <w:p>
      <w:pPr>
        <w:ind w:left="720" w:hanging="692"/>
        <w:spacing w:after="0"/>
        <w:tabs>
          <w:tab w:leader="none" w:pos="720" w:val="left"/>
        </w:tabs>
        <w:numPr>
          <w:ilvl w:val="0"/>
          <w:numId w:val="3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“syndicate  member”  means  an  intermediary  registered  with  the  Board  and  who  is</w:t>
      </w:r>
    </w:p>
    <w:p>
      <w:pPr>
        <w:spacing w:after="0" w:line="149" w:lineRule="exact"/>
        <w:rPr>
          <w:sz w:val="20"/>
          <w:szCs w:val="20"/>
          <w:color w:val="auto"/>
        </w:rPr>
      </w:pPr>
    </w:p>
    <w:p>
      <w:pPr>
        <w:ind w:left="540"/>
        <w:spacing w:after="0" w:line="350" w:lineRule="auto"/>
        <w:rPr>
          <w:sz w:val="20"/>
          <w:szCs w:val="20"/>
          <w:color w:val="auto"/>
        </w:rPr>
      </w:pPr>
      <w:r>
        <w:rPr>
          <w:rFonts w:ascii="Times New Roman" w:cs="Times New Roman" w:eastAsia="Times New Roman" w:hAnsi="Times New Roman"/>
          <w:sz w:val="24"/>
          <w:szCs w:val="24"/>
          <w:color w:val="auto"/>
        </w:rPr>
        <w:t>permitted to accept bids, applications and place orders with respect to the issue and carry on the activity as an underwriter;</w:t>
      </w:r>
    </w:p>
    <w:p>
      <w:pPr>
        <w:spacing w:after="0" w:line="23" w:lineRule="exact"/>
        <w:rPr>
          <w:sz w:val="20"/>
          <w:szCs w:val="20"/>
          <w:color w:val="auto"/>
        </w:rPr>
      </w:pPr>
    </w:p>
    <w:p>
      <w:pPr>
        <w:jc w:val="both"/>
        <w:ind w:left="540" w:hanging="512"/>
        <w:spacing w:after="0" w:line="354" w:lineRule="auto"/>
        <w:tabs>
          <w:tab w:leader="none" w:pos="540" w:val="left"/>
        </w:tabs>
        <w:numPr>
          <w:ilvl w:val="0"/>
          <w:numId w:val="3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“systemically important non-banking financial companies” means a non-banking financial company registered with the Reserve Bank of India and recognised as systemically important non-banking financial company by the Reserve Bank of India;</w:t>
      </w:r>
    </w:p>
    <w:p>
      <w:pPr>
        <w:spacing w:after="0" w:line="9" w:lineRule="exact"/>
        <w:rPr>
          <w:rFonts w:ascii="Times New Roman" w:cs="Times New Roman" w:eastAsia="Times New Roman" w:hAnsi="Times New Roman"/>
          <w:sz w:val="24"/>
          <w:szCs w:val="24"/>
          <w:color w:val="auto"/>
        </w:rPr>
      </w:pPr>
    </w:p>
    <w:p>
      <w:pPr>
        <w:ind w:left="540" w:hanging="512"/>
        <w:spacing w:after="0"/>
        <w:tabs>
          <w:tab w:leader="none" w:pos="540" w:val="left"/>
        </w:tabs>
        <w:numPr>
          <w:ilvl w:val="0"/>
          <w:numId w:val="3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“unlisted issuer” means an issuer which is not a listed issuer;</w:t>
      </w:r>
    </w:p>
    <w:p>
      <w:pPr>
        <w:spacing w:after="0" w:line="136" w:lineRule="exact"/>
        <w:rPr>
          <w:rFonts w:ascii="Times New Roman" w:cs="Times New Roman" w:eastAsia="Times New Roman" w:hAnsi="Times New Roman"/>
          <w:sz w:val="24"/>
          <w:szCs w:val="24"/>
          <w:color w:val="auto"/>
        </w:rPr>
      </w:pPr>
    </w:p>
    <w:p>
      <w:pPr>
        <w:ind w:left="720" w:hanging="692"/>
        <w:spacing w:after="0"/>
        <w:tabs>
          <w:tab w:leader="none" w:pos="720" w:val="left"/>
        </w:tabs>
        <w:numPr>
          <w:ilvl w:val="0"/>
          <w:numId w:val="3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“valuer” means a person who is registered under section 247 of the Companies Act, 2013</w:t>
      </w:r>
    </w:p>
    <w:p>
      <w:pPr>
        <w:spacing w:after="0" w:line="140" w:lineRule="exact"/>
        <w:rPr>
          <w:sz w:val="20"/>
          <w:szCs w:val="20"/>
          <w:color w:val="auto"/>
        </w:rPr>
      </w:pPr>
    </w:p>
    <w:p>
      <w:pPr>
        <w:ind w:left="540"/>
        <w:spacing w:after="0"/>
        <w:rPr>
          <w:sz w:val="20"/>
          <w:szCs w:val="20"/>
          <w:color w:val="auto"/>
        </w:rPr>
      </w:pPr>
      <w:r>
        <w:rPr>
          <w:rFonts w:ascii="Times New Roman" w:cs="Times New Roman" w:eastAsia="Times New Roman" w:hAnsi="Times New Roman"/>
          <w:sz w:val="24"/>
          <w:szCs w:val="24"/>
          <w:color w:val="auto"/>
        </w:rPr>
        <w:t>and the relevant rules framed thereunder or as specified by the Board;</w:t>
      </w:r>
    </w:p>
    <w:p>
      <w:pPr>
        <w:spacing w:after="0" w:line="137" w:lineRule="exact"/>
        <w:rPr>
          <w:sz w:val="20"/>
          <w:szCs w:val="20"/>
          <w:color w:val="auto"/>
        </w:rPr>
      </w:pPr>
    </w:p>
    <w:p>
      <w:pPr>
        <w:ind w:left="600" w:hanging="572"/>
        <w:spacing w:after="0"/>
        <w:tabs>
          <w:tab w:leader="none" w:pos="600" w:val="left"/>
        </w:tabs>
        <w:numPr>
          <w:ilvl w:val="0"/>
          <w:numId w:val="3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“wilful defaulter” means a person or an issuer who or which is categorized as a wilful</w:t>
      </w:r>
    </w:p>
    <w:p>
      <w:pPr>
        <w:spacing w:after="0" w:line="151" w:lineRule="exact"/>
        <w:rPr>
          <w:sz w:val="20"/>
          <w:szCs w:val="20"/>
          <w:color w:val="auto"/>
        </w:rPr>
      </w:pPr>
    </w:p>
    <w:p>
      <w:pPr>
        <w:jc w:val="both"/>
        <w:ind w:left="540"/>
        <w:spacing w:after="0" w:line="354" w:lineRule="auto"/>
        <w:rPr>
          <w:sz w:val="20"/>
          <w:szCs w:val="20"/>
          <w:color w:val="auto"/>
        </w:rPr>
      </w:pPr>
      <w:r>
        <w:rPr>
          <w:rFonts w:ascii="Times New Roman" w:cs="Times New Roman" w:eastAsia="Times New Roman" w:hAnsi="Times New Roman"/>
          <w:sz w:val="24"/>
          <w:szCs w:val="24"/>
          <w:color w:val="auto"/>
        </w:rPr>
        <w:t>defaulter by any bank or financial institution (as defined under the Companies Act, 2013) or consortium thereof, in accordance with the guidelines on wilful defaulters issued by the Reserve Bank of India;</w:t>
      </w:r>
    </w:p>
    <w:p>
      <w:pPr>
        <w:spacing w:after="0" w:line="20" w:lineRule="exact"/>
        <w:rPr>
          <w:sz w:val="20"/>
          <w:szCs w:val="20"/>
          <w:color w:val="auto"/>
        </w:rPr>
      </w:pPr>
    </w:p>
    <w:p>
      <w:pPr>
        <w:ind w:left="540" w:hanging="512"/>
        <w:spacing w:after="0" w:line="350" w:lineRule="auto"/>
        <w:tabs>
          <w:tab w:leader="none" w:pos="1440" w:val="left"/>
        </w:tabs>
        <w:numPr>
          <w:ilvl w:val="0"/>
          <w:numId w:val="3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“working day” means all days on which commercial banks in the city as specified in the offer document are open for business;</w:t>
      </w:r>
    </w:p>
    <w:p>
      <w:pPr>
        <w:spacing w:after="0" w:line="200" w:lineRule="exact"/>
        <w:rPr>
          <w:sz w:val="20"/>
          <w:szCs w:val="20"/>
          <w:color w:val="auto"/>
        </w:rPr>
      </w:pPr>
    </w:p>
    <w:p>
      <w:pPr>
        <w:spacing w:after="0" w:line="227" w:lineRule="exact"/>
        <w:rPr>
          <w:sz w:val="20"/>
          <w:szCs w:val="20"/>
          <w:color w:val="auto"/>
        </w:rPr>
      </w:pPr>
    </w:p>
    <w:p>
      <w:pPr>
        <w:ind w:left="860" w:hanging="328"/>
        <w:spacing w:after="0"/>
        <w:tabs>
          <w:tab w:leader="none" w:pos="860" w:val="left"/>
        </w:tabs>
        <w:numPr>
          <w:ilvl w:val="0"/>
          <w:numId w:val="3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announcement of price band; and</w:t>
      </w:r>
    </w:p>
    <w:p>
      <w:pPr>
        <w:spacing w:after="0" w:line="136" w:lineRule="exact"/>
        <w:rPr>
          <w:rFonts w:ascii="Times New Roman" w:cs="Times New Roman" w:eastAsia="Times New Roman" w:hAnsi="Times New Roman"/>
          <w:sz w:val="24"/>
          <w:szCs w:val="24"/>
          <w:color w:val="auto"/>
        </w:rPr>
      </w:pPr>
    </w:p>
    <w:p>
      <w:pPr>
        <w:ind w:left="880" w:hanging="348"/>
        <w:spacing w:after="0"/>
        <w:tabs>
          <w:tab w:leader="none" w:pos="880" w:val="left"/>
        </w:tabs>
        <w:numPr>
          <w:ilvl w:val="0"/>
          <w:numId w:val="3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bid/issue period,</w:t>
      </w:r>
    </w:p>
    <w:p>
      <w:pPr>
        <w:spacing w:after="0" w:line="151" w:lineRule="exact"/>
        <w:rPr>
          <w:sz w:val="20"/>
          <w:szCs w:val="20"/>
          <w:color w:val="auto"/>
        </w:rPr>
      </w:pPr>
    </w:p>
    <w:p>
      <w:pPr>
        <w:ind w:left="540"/>
        <w:spacing w:after="0" w:line="348" w:lineRule="auto"/>
        <w:rPr>
          <w:sz w:val="20"/>
          <w:szCs w:val="20"/>
          <w:color w:val="auto"/>
        </w:rPr>
      </w:pPr>
      <w:r>
        <w:rPr>
          <w:rFonts w:ascii="Times New Roman" w:cs="Times New Roman" w:eastAsia="Times New Roman" w:hAnsi="Times New Roman"/>
          <w:sz w:val="24"/>
          <w:szCs w:val="24"/>
          <w:color w:val="auto"/>
        </w:rPr>
        <w:t>working day shall mean all days, excluding Saturdays, Sundays and public holidays, on which commercial banks in the city as notified in the offer document are open for business;</w:t>
      </w:r>
    </w:p>
    <w:p>
      <w:pPr>
        <w:spacing w:after="0" w:line="28" w:lineRule="exact"/>
        <w:rPr>
          <w:sz w:val="20"/>
          <w:szCs w:val="20"/>
          <w:color w:val="auto"/>
        </w:rPr>
      </w:pPr>
    </w:p>
    <w:p>
      <w:pPr>
        <w:jc w:val="both"/>
        <w:ind w:left="540" w:hanging="8"/>
        <w:spacing w:after="0" w:line="354" w:lineRule="auto"/>
        <w:tabs>
          <w:tab w:leader="none" w:pos="1015" w:val="left"/>
        </w:tabs>
        <w:numPr>
          <w:ilvl w:val="0"/>
          <w:numId w:val="3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time period between the bid/ issue closing date and the listing of the specified securities on the stock exchanges, working day shall mean all trading days of the stock exchanges, excluding Sundays and bank holidays, as per circulars issued by the Board.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spacing w:after="0" w:line="211" w:lineRule="auto"/>
        <w:rPr>
          <w:sz w:val="20"/>
          <w:szCs w:val="20"/>
          <w:color w:val="auto"/>
        </w:rPr>
      </w:pPr>
      <w:r>
        <w:rPr>
          <w:rFonts w:ascii="Times New Roman" w:cs="Times New Roman" w:eastAsia="Times New Roman" w:hAnsi="Times New Roman"/>
          <w:sz w:val="25"/>
          <w:szCs w:val="25"/>
          <w:color w:val="auto"/>
          <w:vertAlign w:val="superscript"/>
        </w:rPr>
        <w:t>7</w:t>
      </w:r>
      <w:r>
        <w:rPr>
          <w:rFonts w:ascii="Times New Roman" w:cs="Times New Roman" w:eastAsia="Times New Roman" w:hAnsi="Times New Roman"/>
          <w:sz w:val="20"/>
          <w:szCs w:val="20"/>
          <w:color w:val="auto"/>
        </w:rPr>
        <w:t xml:space="preserve"> Inserted by the SEBI (Issue of Capital and Disclosure Requirements) (Third Amendment) Regulations, 2019 w.e.f.29.07.2019.</w:t>
      </w:r>
    </w:p>
    <w:p>
      <w:pPr>
        <w:spacing w:after="0" w:line="30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11</w:t>
      </w:r>
    </w:p>
    <w:p>
      <w:pPr>
        <w:sectPr>
          <w:pgSz w:w="11900" w:h="16836" w:orient="portrait"/>
          <w:cols w:equalWidth="0" w:num="1">
            <w:col w:w="9460"/>
          </w:cols>
          <w:pgMar w:left="1160" w:top="1136" w:right="1284" w:bottom="103" w:gutter="0" w:footer="0" w:header="0"/>
        </w:sectPr>
      </w:pPr>
    </w:p>
    <w:bookmarkStart w:id="11" w:name="page12"/>
    <w:bookmarkEnd w:id="11"/>
    <w:p>
      <w:pPr>
        <w:jc w:val="both"/>
        <w:ind w:left="8" w:hanging="8"/>
        <w:spacing w:after="0" w:line="357" w:lineRule="auto"/>
        <w:tabs>
          <w:tab w:leader="none" w:pos="728" w:val="left"/>
        </w:tabs>
        <w:numPr>
          <w:ilvl w:val="0"/>
          <w:numId w:val="3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All other words and expressions used but not defined in these regulations, but defined in the Act or the Companies Act, 2013, the Securities Contracts (Regulation) Act, 1956, the Depositories Act, 1996 and/or the rules and regulations made thereunder shall have the same meaning as respectively assigned to them in such statutes or rules or regulations or any statutory modification or re-enactment thereto, as the case may be.</w:t>
      </w:r>
    </w:p>
    <w:p>
      <w:pPr>
        <w:spacing w:after="0" w:line="200" w:lineRule="exact"/>
        <w:rPr>
          <w:sz w:val="20"/>
          <w:szCs w:val="20"/>
          <w:color w:val="auto"/>
        </w:rPr>
      </w:pPr>
    </w:p>
    <w:p>
      <w:pPr>
        <w:spacing w:after="0" w:line="224"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Applicability of the regulations</w:t>
      </w:r>
    </w:p>
    <w:p>
      <w:pPr>
        <w:spacing w:after="0" w:line="132" w:lineRule="exact"/>
        <w:rPr>
          <w:sz w:val="20"/>
          <w:szCs w:val="20"/>
          <w:color w:val="auto"/>
        </w:rPr>
      </w:pPr>
    </w:p>
    <w:p>
      <w:pPr>
        <w:ind w:left="308" w:hanging="308"/>
        <w:spacing w:after="0"/>
        <w:tabs>
          <w:tab w:leader="none" w:pos="308" w:val="left"/>
        </w:tabs>
        <w:numPr>
          <w:ilvl w:val="0"/>
          <w:numId w:val="3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Unless otherwise provided, these regulations shall apply to the following:</w:t>
      </w:r>
    </w:p>
    <w:p>
      <w:pPr>
        <w:spacing w:after="0" w:line="139" w:lineRule="exact"/>
        <w:rPr>
          <w:rFonts w:ascii="Times New Roman" w:cs="Times New Roman" w:eastAsia="Times New Roman" w:hAnsi="Times New Roman"/>
          <w:sz w:val="24"/>
          <w:szCs w:val="24"/>
          <w:b w:val="1"/>
          <w:bCs w:val="1"/>
          <w:color w:val="auto"/>
        </w:rPr>
      </w:pPr>
    </w:p>
    <w:p>
      <w:pPr>
        <w:ind w:left="728" w:hanging="456"/>
        <w:spacing w:after="0"/>
        <w:tabs>
          <w:tab w:leader="none" w:pos="728" w:val="left"/>
        </w:tabs>
        <w:numPr>
          <w:ilvl w:val="1"/>
          <w:numId w:val="3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 initial public offer by an unlisted issuer;</w:t>
      </w:r>
    </w:p>
    <w:p>
      <w:pPr>
        <w:spacing w:after="0" w:line="129" w:lineRule="exact"/>
        <w:rPr>
          <w:rFonts w:ascii="Times New Roman" w:cs="Times New Roman" w:eastAsia="Times New Roman" w:hAnsi="Times New Roman"/>
          <w:sz w:val="24"/>
          <w:szCs w:val="24"/>
          <w:color w:val="auto"/>
        </w:rPr>
      </w:pPr>
    </w:p>
    <w:p>
      <w:pPr>
        <w:ind w:left="728" w:hanging="456"/>
        <w:spacing w:after="0" w:line="287" w:lineRule="auto"/>
        <w:tabs>
          <w:tab w:leader="none" w:pos="728" w:val="left"/>
        </w:tabs>
        <w:numPr>
          <w:ilvl w:val="1"/>
          <w:numId w:val="3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a rights issue by a listed issuer; where the aggregate value of the issue is </w:t>
      </w:r>
      <w:r>
        <w:rPr>
          <w:rFonts w:ascii="Times New Roman" w:cs="Times New Roman" w:eastAsia="Times New Roman" w:hAnsi="Times New Roman"/>
          <w:sz w:val="32"/>
          <w:szCs w:val="32"/>
          <w:color w:val="auto"/>
          <w:vertAlign w:val="superscript"/>
        </w:rPr>
        <w:t>8</w:t>
      </w:r>
      <w:r>
        <w:rPr>
          <w:rFonts w:ascii="Times New Roman" w:cs="Times New Roman" w:eastAsia="Times New Roman" w:hAnsi="Times New Roman"/>
          <w:sz w:val="24"/>
          <w:szCs w:val="24"/>
          <w:color w:val="auto"/>
        </w:rPr>
        <w:t>[fifty crore] rupees or more;</w:t>
      </w:r>
    </w:p>
    <w:p>
      <w:pPr>
        <w:spacing w:after="0" w:line="65" w:lineRule="exact"/>
        <w:rPr>
          <w:rFonts w:ascii="Times New Roman" w:cs="Times New Roman" w:eastAsia="Times New Roman" w:hAnsi="Times New Roman"/>
          <w:sz w:val="24"/>
          <w:szCs w:val="24"/>
          <w:color w:val="auto"/>
        </w:rPr>
      </w:pPr>
    </w:p>
    <w:p>
      <w:pPr>
        <w:ind w:left="728" w:hanging="456"/>
        <w:spacing w:after="0"/>
        <w:tabs>
          <w:tab w:leader="none" w:pos="728" w:val="left"/>
        </w:tabs>
        <w:numPr>
          <w:ilvl w:val="1"/>
          <w:numId w:val="3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further public offer by a listed issuer;</w:t>
      </w:r>
    </w:p>
    <w:p>
      <w:pPr>
        <w:spacing w:after="0" w:line="139" w:lineRule="exact"/>
        <w:rPr>
          <w:rFonts w:ascii="Times New Roman" w:cs="Times New Roman" w:eastAsia="Times New Roman" w:hAnsi="Times New Roman"/>
          <w:sz w:val="24"/>
          <w:szCs w:val="24"/>
          <w:color w:val="auto"/>
        </w:rPr>
      </w:pPr>
    </w:p>
    <w:p>
      <w:pPr>
        <w:ind w:left="788" w:hanging="516"/>
        <w:spacing w:after="0"/>
        <w:tabs>
          <w:tab w:leader="none" w:pos="788" w:val="left"/>
        </w:tabs>
        <w:numPr>
          <w:ilvl w:val="1"/>
          <w:numId w:val="3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preferential issue by a listed issuer;</w:t>
      </w:r>
    </w:p>
    <w:p>
      <w:pPr>
        <w:spacing w:after="0" w:line="136" w:lineRule="exact"/>
        <w:rPr>
          <w:rFonts w:ascii="Times New Roman" w:cs="Times New Roman" w:eastAsia="Times New Roman" w:hAnsi="Times New Roman"/>
          <w:sz w:val="24"/>
          <w:szCs w:val="24"/>
          <w:color w:val="auto"/>
        </w:rPr>
      </w:pPr>
    </w:p>
    <w:p>
      <w:pPr>
        <w:ind w:left="728" w:hanging="456"/>
        <w:spacing w:after="0"/>
        <w:tabs>
          <w:tab w:leader="none" w:pos="728" w:val="left"/>
        </w:tabs>
        <w:numPr>
          <w:ilvl w:val="1"/>
          <w:numId w:val="3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qualified institutions placement by a listed issuer;</w:t>
      </w:r>
    </w:p>
    <w:p>
      <w:pPr>
        <w:spacing w:after="0" w:line="139" w:lineRule="exact"/>
        <w:rPr>
          <w:rFonts w:ascii="Times New Roman" w:cs="Times New Roman" w:eastAsia="Times New Roman" w:hAnsi="Times New Roman"/>
          <w:sz w:val="24"/>
          <w:szCs w:val="24"/>
          <w:color w:val="auto"/>
        </w:rPr>
      </w:pPr>
    </w:p>
    <w:p>
      <w:pPr>
        <w:ind w:left="728" w:hanging="456"/>
        <w:spacing w:after="0"/>
        <w:tabs>
          <w:tab w:leader="none" w:pos="728" w:val="left"/>
        </w:tabs>
        <w:numPr>
          <w:ilvl w:val="1"/>
          <w:numId w:val="3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 initial public offer of Indian depository receipts;</w:t>
      </w:r>
    </w:p>
    <w:p>
      <w:pPr>
        <w:spacing w:after="0" w:line="136" w:lineRule="exact"/>
        <w:rPr>
          <w:rFonts w:ascii="Times New Roman" w:cs="Times New Roman" w:eastAsia="Times New Roman" w:hAnsi="Times New Roman"/>
          <w:sz w:val="24"/>
          <w:szCs w:val="24"/>
          <w:color w:val="auto"/>
        </w:rPr>
      </w:pPr>
    </w:p>
    <w:p>
      <w:pPr>
        <w:ind w:left="728" w:hanging="456"/>
        <w:spacing w:after="0"/>
        <w:tabs>
          <w:tab w:leader="none" w:pos="728" w:val="left"/>
        </w:tabs>
        <w:numPr>
          <w:ilvl w:val="1"/>
          <w:numId w:val="3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rights issue of Indian depository receipts;</w:t>
      </w:r>
    </w:p>
    <w:p>
      <w:pPr>
        <w:spacing w:after="0" w:line="139" w:lineRule="exact"/>
        <w:rPr>
          <w:rFonts w:ascii="Times New Roman" w:cs="Times New Roman" w:eastAsia="Times New Roman" w:hAnsi="Times New Roman"/>
          <w:sz w:val="24"/>
          <w:szCs w:val="24"/>
          <w:color w:val="auto"/>
        </w:rPr>
      </w:pPr>
    </w:p>
    <w:p>
      <w:pPr>
        <w:ind w:left="728" w:hanging="456"/>
        <w:spacing w:after="0"/>
        <w:tabs>
          <w:tab w:leader="none" w:pos="728" w:val="left"/>
        </w:tabs>
        <w:numPr>
          <w:ilvl w:val="1"/>
          <w:numId w:val="3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 initial public offer by a small and medium enterprise;</w:t>
      </w:r>
    </w:p>
    <w:p>
      <w:pPr>
        <w:spacing w:after="0" w:line="129" w:lineRule="exact"/>
        <w:rPr>
          <w:rFonts w:ascii="Times New Roman" w:cs="Times New Roman" w:eastAsia="Times New Roman" w:hAnsi="Times New Roman"/>
          <w:sz w:val="24"/>
          <w:szCs w:val="24"/>
          <w:color w:val="auto"/>
        </w:rPr>
      </w:pPr>
    </w:p>
    <w:p>
      <w:pPr>
        <w:ind w:left="728" w:hanging="456"/>
        <w:spacing w:after="0"/>
        <w:tabs>
          <w:tab w:leader="none" w:pos="728" w:val="left"/>
        </w:tabs>
        <w:numPr>
          <w:ilvl w:val="1"/>
          <w:numId w:val="3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a listing on the </w:t>
      </w:r>
      <w:r>
        <w:rPr>
          <w:rFonts w:ascii="Times New Roman" w:cs="Times New Roman" w:eastAsia="Times New Roman" w:hAnsi="Times New Roman"/>
          <w:sz w:val="32"/>
          <w:szCs w:val="32"/>
          <w:color w:val="auto"/>
          <w:vertAlign w:val="superscript"/>
        </w:rPr>
        <w:t>9</w:t>
      </w:r>
      <w:r>
        <w:rPr>
          <w:rFonts w:ascii="Times New Roman" w:cs="Times New Roman" w:eastAsia="Times New Roman" w:hAnsi="Times New Roman"/>
          <w:sz w:val="24"/>
          <w:szCs w:val="24"/>
          <w:color w:val="auto"/>
        </w:rPr>
        <w:t>[innovators growth platform] through an issue or without an issue; and</w:t>
      </w:r>
    </w:p>
    <w:p>
      <w:pPr>
        <w:spacing w:after="0" w:line="54" w:lineRule="exact"/>
        <w:rPr>
          <w:rFonts w:ascii="Times New Roman" w:cs="Times New Roman" w:eastAsia="Times New Roman" w:hAnsi="Times New Roman"/>
          <w:sz w:val="24"/>
          <w:szCs w:val="24"/>
          <w:color w:val="auto"/>
        </w:rPr>
      </w:pPr>
    </w:p>
    <w:p>
      <w:pPr>
        <w:ind w:left="728" w:hanging="456"/>
        <w:spacing w:after="0"/>
        <w:tabs>
          <w:tab w:leader="none" w:pos="728" w:val="left"/>
        </w:tabs>
        <w:numPr>
          <w:ilvl w:val="1"/>
          <w:numId w:val="3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bonus issue by a listed issuer.</w:t>
      </w:r>
    </w:p>
    <w:p>
      <w:pPr>
        <w:spacing w:after="0" w:line="129" w:lineRule="exact"/>
        <w:rPr>
          <w:sz w:val="20"/>
          <w:szCs w:val="20"/>
          <w:color w:val="auto"/>
        </w:rPr>
      </w:pPr>
    </w:p>
    <w:p>
      <w:pPr>
        <w:jc w:val="both"/>
        <w:ind w:left="8"/>
        <w:spacing w:after="0" w:line="311" w:lineRule="auto"/>
        <w:rPr>
          <w:sz w:val="20"/>
          <w:szCs w:val="20"/>
          <w:color w:val="auto"/>
        </w:rPr>
      </w:pPr>
      <w:r>
        <w:rPr>
          <w:rFonts w:ascii="Times New Roman" w:cs="Times New Roman" w:eastAsia="Times New Roman" w:hAnsi="Times New Roman"/>
          <w:sz w:val="24"/>
          <w:szCs w:val="24"/>
          <w:color w:val="auto"/>
        </w:rPr>
        <w:t xml:space="preserve">Provided that in case of rights issue of size less than </w:t>
      </w:r>
      <w:r>
        <w:rPr>
          <w:rFonts w:ascii="Times New Roman" w:cs="Times New Roman" w:eastAsia="Times New Roman" w:hAnsi="Times New Roman"/>
          <w:sz w:val="32"/>
          <w:szCs w:val="32"/>
          <w:color w:val="auto"/>
          <w:vertAlign w:val="superscript"/>
        </w:rPr>
        <w:t>10</w:t>
      </w:r>
      <w:r>
        <w:rPr>
          <w:rFonts w:ascii="Times New Roman" w:cs="Times New Roman" w:eastAsia="Times New Roman" w:hAnsi="Times New Roman"/>
          <w:sz w:val="24"/>
          <w:szCs w:val="24"/>
          <w:color w:val="auto"/>
        </w:rPr>
        <w:t>[fifty crores] rupees, the issuer shall prepare the letter of offer in accordance with requirements as specified in these regulations and file the same with the Board for information and dissemination on the Board’s website.</w:t>
      </w:r>
    </w:p>
    <w:p>
      <w:pPr>
        <w:spacing w:after="0" w:line="71" w:lineRule="exact"/>
        <w:rPr>
          <w:sz w:val="20"/>
          <w:szCs w:val="20"/>
          <w:color w:val="auto"/>
        </w:rPr>
      </w:pPr>
    </w:p>
    <w:p>
      <w:pPr>
        <w:jc w:val="both"/>
        <w:ind w:left="8"/>
        <w:spacing w:after="0" w:line="354" w:lineRule="auto"/>
        <w:rPr>
          <w:sz w:val="20"/>
          <w:szCs w:val="20"/>
          <w:color w:val="auto"/>
        </w:rPr>
      </w:pPr>
      <w:r>
        <w:rPr>
          <w:rFonts w:ascii="Times New Roman" w:cs="Times New Roman" w:eastAsia="Times New Roman" w:hAnsi="Times New Roman"/>
          <w:sz w:val="24"/>
          <w:szCs w:val="24"/>
          <w:color w:val="auto"/>
        </w:rPr>
        <w:t>Provided further that these regulations shall not apply to issue of securities under clause (b), (d) and (e) of sub-regulation (1) of regulation 9 of Securities and Exchange Board of India (Substantial Acquisition of Shares and Takeovers) Regulations, 2011.</w:t>
      </w:r>
    </w:p>
    <w:p>
      <w:pPr>
        <w:spacing w:after="0" w:line="200" w:lineRule="exact"/>
        <w:rPr>
          <w:sz w:val="20"/>
          <w:szCs w:val="20"/>
          <w:color w:val="auto"/>
        </w:rPr>
      </w:pPr>
    </w:p>
    <w:p>
      <w:pPr>
        <w:spacing w:after="0" w:line="228"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CHAPTER II - INITIAL PUBLIC OFFER ON MAIN BOARD</w:t>
      </w:r>
    </w:p>
    <w:p>
      <w:pPr>
        <w:spacing w:after="0" w:line="200" w:lineRule="exact"/>
        <w:rPr>
          <w:sz w:val="20"/>
          <w:szCs w:val="20"/>
          <w:color w:val="auto"/>
        </w:rPr>
      </w:pPr>
    </w:p>
    <w:p>
      <w:pPr>
        <w:spacing w:after="0" w:line="35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I: ELIGIBILITY REQUIREMENTS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ind w:left="8" w:hanging="8"/>
        <w:spacing w:after="0" w:line="202" w:lineRule="auto"/>
        <w:tabs>
          <w:tab w:leader="none" w:pos="147" w:val="left"/>
        </w:tabs>
        <w:numPr>
          <w:ilvl w:val="0"/>
          <w:numId w:val="38"/>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SEBI (Issue of Capital and Disclosure Requirements) (Fourth Amendment) Regulations, 2020 w.e.f. 28.09.2020. Prior to its substitution, it read as “ten crores”.</w:t>
      </w:r>
    </w:p>
    <w:p>
      <w:pPr>
        <w:spacing w:after="0" w:line="13" w:lineRule="exact"/>
        <w:rPr>
          <w:rFonts w:ascii="Times New Roman" w:cs="Times New Roman" w:eastAsia="Times New Roman" w:hAnsi="Times New Roman"/>
          <w:sz w:val="26"/>
          <w:szCs w:val="26"/>
          <w:color w:val="auto"/>
          <w:vertAlign w:val="superscript"/>
        </w:rPr>
      </w:pPr>
    </w:p>
    <w:p>
      <w:pPr>
        <w:ind w:left="8" w:hanging="8"/>
        <w:spacing w:after="0" w:line="203" w:lineRule="auto"/>
        <w:tabs>
          <w:tab w:leader="none" w:pos="130" w:val="left"/>
        </w:tabs>
        <w:numPr>
          <w:ilvl w:val="0"/>
          <w:numId w:val="38"/>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Securities and Exchange Board of India (Issue of Capital and Disclosure Requirements) (Second Amendment) Regulations, 2019, w-e-f 05.04.2019. Prior to its substitution, it read as “institutional trading platform”.</w:t>
      </w:r>
    </w:p>
    <w:p>
      <w:pPr>
        <w:spacing w:after="0" w:line="13" w:lineRule="exact"/>
        <w:rPr>
          <w:rFonts w:ascii="Times New Roman" w:cs="Times New Roman" w:eastAsia="Times New Roman" w:hAnsi="Times New Roman"/>
          <w:sz w:val="26"/>
          <w:szCs w:val="26"/>
          <w:color w:val="auto"/>
          <w:vertAlign w:val="superscript"/>
        </w:rPr>
      </w:pPr>
    </w:p>
    <w:p>
      <w:pPr>
        <w:ind w:left="8" w:hanging="8"/>
        <w:spacing w:after="0" w:line="203" w:lineRule="auto"/>
        <w:tabs>
          <w:tab w:leader="none" w:pos="207" w:val="left"/>
        </w:tabs>
        <w:numPr>
          <w:ilvl w:val="0"/>
          <w:numId w:val="38"/>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SEBI (Issue of Capital and Disclosure Requirements) (Fourth Amendment) Regulations, 2020 w.e.f. 28.09.2020. Prior to its substitution, it read as “ten crores”.</w:t>
      </w:r>
    </w:p>
    <w:p>
      <w:pPr>
        <w:spacing w:after="0" w:line="30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12</w:t>
      </w:r>
    </w:p>
    <w:p>
      <w:pPr>
        <w:sectPr>
          <w:pgSz w:w="11900" w:h="16836" w:orient="portrait"/>
          <w:cols w:equalWidth="0" w:num="1">
            <w:col w:w="9468"/>
          </w:cols>
          <w:pgMar w:left="1152" w:top="1156" w:right="1284" w:bottom="103" w:gutter="0" w:footer="0" w:header="0"/>
        </w:sectPr>
      </w:pPr>
    </w:p>
    <w:bookmarkStart w:id="12" w:name="page13"/>
    <w:bookmarkEnd w:id="12"/>
    <w:p>
      <w:pPr>
        <w:ind w:left="8"/>
        <w:spacing w:after="0"/>
        <w:rPr>
          <w:sz w:val="20"/>
          <w:szCs w:val="20"/>
          <w:color w:val="auto"/>
        </w:rPr>
      </w:pPr>
      <w:r>
        <w:rPr>
          <w:rFonts w:ascii="Times New Roman" w:cs="Times New Roman" w:eastAsia="Times New Roman" w:hAnsi="Times New Roman"/>
          <w:sz w:val="24"/>
          <w:szCs w:val="24"/>
          <w:b w:val="1"/>
          <w:bCs w:val="1"/>
          <w:color w:val="auto"/>
        </w:rPr>
        <w:t>Reference date</w:t>
      </w:r>
    </w:p>
    <w:p>
      <w:pPr>
        <w:spacing w:after="0" w:line="145" w:lineRule="exact"/>
        <w:rPr>
          <w:sz w:val="20"/>
          <w:szCs w:val="20"/>
          <w:color w:val="auto"/>
        </w:rPr>
      </w:pPr>
    </w:p>
    <w:p>
      <w:pPr>
        <w:jc w:val="both"/>
        <w:ind w:left="8" w:hanging="8"/>
        <w:spacing w:after="0" w:line="350" w:lineRule="auto"/>
        <w:tabs>
          <w:tab w:leader="none" w:pos="260" w:val="left"/>
        </w:tabs>
        <w:numPr>
          <w:ilvl w:val="0"/>
          <w:numId w:val="3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Unless otherwise provided in this Chapter, an issuer making an initial public offer of specified securities shall satisfy the conditions of this Chapter as on the date of filing of the draft offer</w:t>
      </w:r>
    </w:p>
    <w:p>
      <w:pPr>
        <w:spacing w:after="0" w:line="3" w:lineRule="exact"/>
        <w:rPr>
          <w:rFonts w:ascii="Times New Roman" w:cs="Times New Roman" w:eastAsia="Times New Roman" w:hAnsi="Times New Roman"/>
          <w:sz w:val="24"/>
          <w:szCs w:val="24"/>
          <w:b w:val="1"/>
          <w:bCs w:val="1"/>
          <w:color w:val="auto"/>
        </w:rPr>
      </w:pPr>
    </w:p>
    <w:p>
      <w:pPr>
        <w:ind w:left="8"/>
        <w:spacing w:after="0" w:line="287"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document with the Board and also as on the date of </w:t>
      </w:r>
      <w:r>
        <w:rPr>
          <w:rFonts w:ascii="Times New Roman" w:cs="Times New Roman" w:eastAsia="Times New Roman" w:hAnsi="Times New Roman"/>
          <w:sz w:val="32"/>
          <w:szCs w:val="32"/>
          <w:color w:val="auto"/>
          <w:vertAlign w:val="superscript"/>
        </w:rPr>
        <w:t>11</w:t>
      </w:r>
      <w:r>
        <w:rPr>
          <w:rFonts w:ascii="Times New Roman" w:cs="Times New Roman" w:eastAsia="Times New Roman" w:hAnsi="Times New Roman"/>
          <w:sz w:val="24"/>
          <w:szCs w:val="24"/>
          <w:color w:val="auto"/>
        </w:rPr>
        <w:t>[filing] the offer document with the Registrar of Companies.</w:t>
      </w:r>
    </w:p>
    <w:p>
      <w:pPr>
        <w:spacing w:after="0" w:line="200" w:lineRule="exact"/>
        <w:rPr>
          <w:sz w:val="20"/>
          <w:szCs w:val="20"/>
          <w:color w:val="auto"/>
        </w:rPr>
      </w:pPr>
    </w:p>
    <w:p>
      <w:pPr>
        <w:spacing w:after="0" w:line="286"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Entities not eligible to make an initial public offer</w:t>
      </w:r>
    </w:p>
    <w:p>
      <w:pPr>
        <w:spacing w:after="0" w:line="132" w:lineRule="exact"/>
        <w:rPr>
          <w:sz w:val="20"/>
          <w:szCs w:val="20"/>
          <w:color w:val="auto"/>
        </w:rPr>
      </w:pPr>
    </w:p>
    <w:p>
      <w:pPr>
        <w:ind w:left="248" w:hanging="248"/>
        <w:spacing w:after="0"/>
        <w:tabs>
          <w:tab w:leader="none" w:pos="248" w:val="left"/>
        </w:tabs>
        <w:numPr>
          <w:ilvl w:val="0"/>
          <w:numId w:val="4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An issuer shall not be eligible to make an initial public offer -</w:t>
      </w:r>
    </w:p>
    <w:p>
      <w:pPr>
        <w:spacing w:after="0" w:line="152" w:lineRule="exact"/>
        <w:rPr>
          <w:rFonts w:ascii="Times New Roman" w:cs="Times New Roman" w:eastAsia="Times New Roman" w:hAnsi="Times New Roman"/>
          <w:sz w:val="24"/>
          <w:szCs w:val="24"/>
          <w:b w:val="1"/>
          <w:bCs w:val="1"/>
          <w:color w:val="auto"/>
        </w:rPr>
      </w:pPr>
    </w:p>
    <w:p>
      <w:pPr>
        <w:ind w:left="728" w:hanging="368"/>
        <w:spacing w:after="0" w:line="348" w:lineRule="auto"/>
        <w:tabs>
          <w:tab w:leader="none" w:pos="728" w:val="left"/>
        </w:tabs>
        <w:numPr>
          <w:ilvl w:val="1"/>
          <w:numId w:val="4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issuer, any of its promoters, promoter group or directors or selling shareholders are debarred from accessing the capital market by the Board.</w:t>
      </w:r>
    </w:p>
    <w:p>
      <w:pPr>
        <w:spacing w:after="0" w:line="27" w:lineRule="exact"/>
        <w:rPr>
          <w:rFonts w:ascii="Times New Roman" w:cs="Times New Roman" w:eastAsia="Times New Roman" w:hAnsi="Times New Roman"/>
          <w:sz w:val="24"/>
          <w:szCs w:val="24"/>
          <w:color w:val="auto"/>
        </w:rPr>
      </w:pPr>
    </w:p>
    <w:p>
      <w:pPr>
        <w:ind w:left="728" w:hanging="368"/>
        <w:spacing w:after="0" w:line="348" w:lineRule="auto"/>
        <w:tabs>
          <w:tab w:leader="none" w:pos="728" w:val="left"/>
        </w:tabs>
        <w:numPr>
          <w:ilvl w:val="1"/>
          <w:numId w:val="4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any of the promoters or directors of the issuer is a promoter or director of any other company which is debarred from accessing the capital market by the Board.</w:t>
      </w:r>
    </w:p>
    <w:p>
      <w:pPr>
        <w:spacing w:after="0" w:line="15" w:lineRule="exact"/>
        <w:rPr>
          <w:rFonts w:ascii="Times New Roman" w:cs="Times New Roman" w:eastAsia="Times New Roman" w:hAnsi="Times New Roman"/>
          <w:sz w:val="24"/>
          <w:szCs w:val="24"/>
          <w:color w:val="auto"/>
        </w:rPr>
      </w:pPr>
    </w:p>
    <w:p>
      <w:pPr>
        <w:ind w:left="728" w:hanging="368"/>
        <w:spacing w:after="0"/>
        <w:tabs>
          <w:tab w:leader="none" w:pos="728" w:val="left"/>
        </w:tabs>
        <w:numPr>
          <w:ilvl w:val="1"/>
          <w:numId w:val="4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issuer or any of its promoters or directors is a wilful defaulter.</w:t>
      </w:r>
    </w:p>
    <w:p>
      <w:pPr>
        <w:spacing w:after="0" w:line="136" w:lineRule="exact"/>
        <w:rPr>
          <w:rFonts w:ascii="Times New Roman" w:cs="Times New Roman" w:eastAsia="Times New Roman" w:hAnsi="Times New Roman"/>
          <w:sz w:val="24"/>
          <w:szCs w:val="24"/>
          <w:color w:val="auto"/>
        </w:rPr>
      </w:pPr>
    </w:p>
    <w:p>
      <w:pPr>
        <w:ind w:left="728" w:hanging="368"/>
        <w:spacing w:after="0"/>
        <w:tabs>
          <w:tab w:leader="none" w:pos="728" w:val="left"/>
        </w:tabs>
        <w:numPr>
          <w:ilvl w:val="1"/>
          <w:numId w:val="4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any of its promoters or directors is a fugitive economic offender.</w:t>
      </w:r>
    </w:p>
    <w:p>
      <w:pPr>
        <w:spacing w:after="0" w:line="151" w:lineRule="exact"/>
        <w:rPr>
          <w:sz w:val="20"/>
          <w:szCs w:val="20"/>
          <w:color w:val="auto"/>
        </w:rPr>
      </w:pPr>
    </w:p>
    <w:p>
      <w:pPr>
        <w:jc w:val="both"/>
        <w:ind w:left="8"/>
        <w:spacing w:after="0" w:line="354" w:lineRule="auto"/>
        <w:rPr>
          <w:sz w:val="20"/>
          <w:szCs w:val="20"/>
          <w:color w:val="auto"/>
        </w:rPr>
      </w:pPr>
      <w:r>
        <w:rPr>
          <w:rFonts w:ascii="Times New Roman" w:cs="Times New Roman" w:eastAsia="Times New Roman" w:hAnsi="Times New Roman"/>
          <w:sz w:val="24"/>
          <w:szCs w:val="24"/>
          <w:b w:val="1"/>
          <w:bCs w:val="1"/>
          <w:color w:val="auto"/>
        </w:rPr>
        <w:t>Explanation</w:t>
      </w:r>
      <w:r>
        <w:rPr>
          <w:rFonts w:ascii="Times New Roman" w:cs="Times New Roman" w:eastAsia="Times New Roman" w:hAnsi="Times New Roman"/>
          <w:sz w:val="24"/>
          <w:szCs w:val="24"/>
          <w:color w:val="auto"/>
        </w:rPr>
        <w:t>: The restrictions under (a) and (b) above shall not apply to the persons or entities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mentioned therein, who were debarred in the past by the Board and the period of debarment is already over as on the date of filing of the draft offer document with the Board.</w:t>
      </w:r>
    </w:p>
    <w:p>
      <w:pPr>
        <w:spacing w:after="0" w:line="20" w:lineRule="exact"/>
        <w:rPr>
          <w:sz w:val="20"/>
          <w:szCs w:val="20"/>
          <w:color w:val="auto"/>
        </w:rPr>
      </w:pPr>
    </w:p>
    <w:p>
      <w:pPr>
        <w:jc w:val="both"/>
        <w:ind w:left="8" w:hanging="8"/>
        <w:spacing w:after="0" w:line="354" w:lineRule="auto"/>
        <w:tabs>
          <w:tab w:leader="none" w:pos="384" w:val="left"/>
        </w:tabs>
        <w:numPr>
          <w:ilvl w:val="0"/>
          <w:numId w:val="4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 issuer shall not be eligible to make an initial public offer if there are any outstanding convertible securities or any other right which would entitle any person with any option to receive equity shares of the issuer:</w:t>
      </w:r>
    </w:p>
    <w:p>
      <w:pPr>
        <w:spacing w:after="0" w:line="9" w:lineRule="exact"/>
        <w:rPr>
          <w:rFonts w:ascii="Times New Roman" w:cs="Times New Roman" w:eastAsia="Times New Roman" w:hAnsi="Times New Roman"/>
          <w:sz w:val="24"/>
          <w:szCs w:val="24"/>
          <w:color w:val="auto"/>
        </w:rPr>
      </w:pPr>
    </w:p>
    <w:p>
      <w:pPr>
        <w:ind w:left="8"/>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the provisions of this sub-regulation shall not apply to:</w:t>
      </w:r>
    </w:p>
    <w:p>
      <w:pPr>
        <w:spacing w:after="0" w:line="149" w:lineRule="exact"/>
        <w:rPr>
          <w:rFonts w:ascii="Times New Roman" w:cs="Times New Roman" w:eastAsia="Times New Roman" w:hAnsi="Times New Roman"/>
          <w:sz w:val="24"/>
          <w:szCs w:val="24"/>
          <w:color w:val="auto"/>
        </w:rPr>
      </w:pPr>
    </w:p>
    <w:p>
      <w:pPr>
        <w:jc w:val="both"/>
        <w:ind w:left="728" w:hanging="368"/>
        <w:spacing w:after="0" w:line="357" w:lineRule="auto"/>
        <w:tabs>
          <w:tab w:leader="none" w:pos="728" w:val="left"/>
        </w:tabs>
        <w:numPr>
          <w:ilvl w:val="1"/>
          <w:numId w:val="4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outstanding options granted to employees, whether currently an employee or not, pursuant to an employee stock option scheme in compliance with the Companies Act, 2013, the relevant Guidance Note or accounting standards, if any, issued by the Institute of Chartered Accountants of India or pursuant to the Companies Act, 2013, in this regard;</w:t>
      </w:r>
    </w:p>
    <w:p>
      <w:pPr>
        <w:spacing w:after="0" w:line="14" w:lineRule="exact"/>
        <w:rPr>
          <w:rFonts w:ascii="Times New Roman" w:cs="Times New Roman" w:eastAsia="Times New Roman" w:hAnsi="Times New Roman"/>
          <w:sz w:val="24"/>
          <w:szCs w:val="24"/>
          <w:color w:val="auto"/>
        </w:rPr>
      </w:pPr>
    </w:p>
    <w:p>
      <w:pPr>
        <w:jc w:val="both"/>
        <w:ind w:left="728" w:hanging="368"/>
        <w:spacing w:after="0" w:line="354" w:lineRule="auto"/>
        <w:tabs>
          <w:tab w:leader="none" w:pos="728" w:val="left"/>
        </w:tabs>
        <w:numPr>
          <w:ilvl w:val="1"/>
          <w:numId w:val="4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fully paid-up outstanding convertible securities which are required to be converted on or before the date of filing of the red herring prospectus (in case of book-built issues) or the prospectus (in case of fixed price issues), as the case may be.</w:t>
      </w:r>
    </w:p>
    <w:p>
      <w:pPr>
        <w:spacing w:after="0" w:line="200" w:lineRule="exact"/>
        <w:rPr>
          <w:sz w:val="20"/>
          <w:szCs w:val="20"/>
          <w:color w:val="auto"/>
        </w:rPr>
      </w:pPr>
    </w:p>
    <w:p>
      <w:pPr>
        <w:spacing w:after="0" w:line="22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Eligibility requirements for an initial public offer</w:t>
      </w:r>
    </w:p>
    <w:p>
      <w:pPr>
        <w:spacing w:after="0" w:line="134" w:lineRule="exact"/>
        <w:rPr>
          <w:sz w:val="20"/>
          <w:szCs w:val="20"/>
          <w:color w:val="auto"/>
        </w:rPr>
      </w:pPr>
    </w:p>
    <w:p>
      <w:pPr>
        <w:ind w:left="248" w:hanging="248"/>
        <w:spacing w:after="0"/>
        <w:tabs>
          <w:tab w:leader="none" w:pos="248" w:val="left"/>
        </w:tabs>
        <w:numPr>
          <w:ilvl w:val="0"/>
          <w:numId w:val="4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An issuer shall be eligible to make an initial public offer only if:</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8" w:hanging="8"/>
        <w:spacing w:after="0" w:line="203" w:lineRule="auto"/>
        <w:tabs>
          <w:tab w:leader="none" w:pos="188" w:val="left"/>
        </w:tabs>
        <w:numPr>
          <w:ilvl w:val="0"/>
          <w:numId w:val="43"/>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Securities and Exchange Board of India (Issue of Capital and Disclosure Requirements) (Seventh Amendment) Regulations, 2019, w-e-f 01.01.2020 for the word “registering”.</w:t>
      </w:r>
    </w:p>
    <w:p>
      <w:pPr>
        <w:spacing w:after="0" w:line="30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13</w:t>
      </w:r>
    </w:p>
    <w:p>
      <w:pPr>
        <w:sectPr>
          <w:pgSz w:w="11900" w:h="16836" w:orient="portrait"/>
          <w:cols w:equalWidth="0" w:num="1">
            <w:col w:w="9468"/>
          </w:cols>
          <w:pgMar w:left="1152" w:top="1149" w:right="1284" w:bottom="103" w:gutter="0" w:footer="0" w:header="0"/>
        </w:sectPr>
      </w:pPr>
    </w:p>
    <w:bookmarkStart w:id="13" w:name="page14"/>
    <w:bookmarkEnd w:id="13"/>
    <w:p>
      <w:pPr>
        <w:jc w:val="both"/>
        <w:ind w:left="728" w:hanging="512"/>
        <w:spacing w:after="0" w:line="354" w:lineRule="auto"/>
        <w:tabs>
          <w:tab w:leader="none" w:pos="728" w:val="left"/>
        </w:tabs>
        <w:numPr>
          <w:ilvl w:val="1"/>
          <w:numId w:val="44"/>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it has net tangible assets of at least three crore rupees, calculated on a restated and consolidated basis, in each of the preceding three full years (of twelve months each), of which not more than fifty per cent. are held in monetary assets:</w:t>
      </w:r>
    </w:p>
    <w:p>
      <w:pPr>
        <w:spacing w:after="0" w:line="20" w:lineRule="exact"/>
        <w:rPr>
          <w:rFonts w:ascii="Times New Roman" w:cs="Times New Roman" w:eastAsia="Times New Roman" w:hAnsi="Times New Roman"/>
          <w:sz w:val="22"/>
          <w:szCs w:val="22"/>
          <w:color w:val="auto"/>
        </w:rPr>
      </w:pPr>
    </w:p>
    <w:p>
      <w:pPr>
        <w:jc w:val="both"/>
        <w:ind w:left="728"/>
        <w:spacing w:after="0" w:line="354" w:lineRule="auto"/>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Provided that if more than fifty per cent. of the net tangible assets are held in monetary assets, the issuer has utilised or made firm commitments to utilise such excess monetary assets in its business or project;</w:t>
      </w:r>
    </w:p>
    <w:p>
      <w:pPr>
        <w:spacing w:after="0" w:line="22" w:lineRule="exact"/>
        <w:rPr>
          <w:rFonts w:ascii="Times New Roman" w:cs="Times New Roman" w:eastAsia="Times New Roman" w:hAnsi="Times New Roman"/>
          <w:sz w:val="22"/>
          <w:szCs w:val="22"/>
          <w:color w:val="auto"/>
        </w:rPr>
      </w:pPr>
    </w:p>
    <w:p>
      <w:pPr>
        <w:ind w:left="728"/>
        <w:spacing w:after="0" w:line="348" w:lineRule="auto"/>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Provided further that the limit of fifty per cent. on monetary assets shall not be applicable in case the initial public offer is made entirely through an offer for sale.</w:t>
      </w:r>
    </w:p>
    <w:p>
      <w:pPr>
        <w:spacing w:after="0" w:line="28" w:lineRule="exact"/>
        <w:rPr>
          <w:rFonts w:ascii="Times New Roman" w:cs="Times New Roman" w:eastAsia="Times New Roman" w:hAnsi="Times New Roman"/>
          <w:sz w:val="22"/>
          <w:szCs w:val="22"/>
          <w:color w:val="auto"/>
        </w:rPr>
      </w:pPr>
    </w:p>
    <w:p>
      <w:pPr>
        <w:jc w:val="both"/>
        <w:ind w:left="728" w:hanging="512"/>
        <w:spacing w:after="0" w:line="354" w:lineRule="auto"/>
        <w:tabs>
          <w:tab w:leader="none" w:pos="728" w:val="left"/>
        </w:tabs>
        <w:numPr>
          <w:ilvl w:val="1"/>
          <w:numId w:val="44"/>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it has an average operating profit of at least fifteen crore rupees, calculated on a restated and consolidated basis, during the preceding three years (of twelve months each), with operating profit in each of these preceding three years;</w:t>
      </w:r>
    </w:p>
    <w:p>
      <w:pPr>
        <w:spacing w:after="0" w:line="19" w:lineRule="exact"/>
        <w:rPr>
          <w:rFonts w:ascii="Times New Roman" w:cs="Times New Roman" w:eastAsia="Times New Roman" w:hAnsi="Times New Roman"/>
          <w:sz w:val="22"/>
          <w:szCs w:val="22"/>
          <w:color w:val="auto"/>
        </w:rPr>
      </w:pPr>
    </w:p>
    <w:p>
      <w:pPr>
        <w:ind w:left="728" w:hanging="512"/>
        <w:spacing w:after="0" w:line="350" w:lineRule="auto"/>
        <w:tabs>
          <w:tab w:leader="none" w:pos="728" w:val="left"/>
        </w:tabs>
        <w:numPr>
          <w:ilvl w:val="1"/>
          <w:numId w:val="44"/>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it has a net worth of at least one crore rupees in each of the preceding three full years (of twelve months each), calculated on a restated and consolidated basis;</w:t>
      </w:r>
    </w:p>
    <w:p>
      <w:pPr>
        <w:spacing w:after="0" w:line="23" w:lineRule="exact"/>
        <w:rPr>
          <w:rFonts w:ascii="Times New Roman" w:cs="Times New Roman" w:eastAsia="Times New Roman" w:hAnsi="Times New Roman"/>
          <w:sz w:val="22"/>
          <w:szCs w:val="22"/>
          <w:color w:val="auto"/>
        </w:rPr>
      </w:pPr>
    </w:p>
    <w:p>
      <w:pPr>
        <w:jc w:val="both"/>
        <w:ind w:left="728" w:hanging="512"/>
        <w:spacing w:after="0" w:line="354" w:lineRule="auto"/>
        <w:tabs>
          <w:tab w:leader="none" w:pos="728" w:val="left"/>
        </w:tabs>
        <w:numPr>
          <w:ilvl w:val="1"/>
          <w:numId w:val="44"/>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if it has changed its name within the last one year, at least fifty per cent. of the revenue, calculated on a restated and consolidated basis, for the preceding one full year has been earned by it from the activity indicated by its new name.</w:t>
      </w:r>
    </w:p>
    <w:p>
      <w:pPr>
        <w:spacing w:after="0" w:line="22" w:lineRule="exact"/>
        <w:rPr>
          <w:rFonts w:ascii="Times New Roman" w:cs="Times New Roman" w:eastAsia="Times New Roman" w:hAnsi="Times New Roman"/>
          <w:sz w:val="22"/>
          <w:szCs w:val="22"/>
          <w:color w:val="auto"/>
        </w:rPr>
      </w:pPr>
    </w:p>
    <w:p>
      <w:pPr>
        <w:jc w:val="both"/>
        <w:ind w:left="548" w:hanging="548"/>
        <w:spacing w:after="0" w:line="348" w:lineRule="auto"/>
        <w:tabs>
          <w:tab w:leader="none" w:pos="548" w:val="left"/>
        </w:tabs>
        <w:numPr>
          <w:ilvl w:val="0"/>
          <w:numId w:val="4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 issuer not satisfying the condition stipulated in sub-regulation (1) shall be eligible to make an initial public offer only if the issue is made through the book-building process and</w:t>
      </w:r>
    </w:p>
    <w:p>
      <w:pPr>
        <w:spacing w:after="0" w:line="28" w:lineRule="exact"/>
        <w:rPr>
          <w:sz w:val="20"/>
          <w:szCs w:val="20"/>
          <w:color w:val="auto"/>
        </w:rPr>
      </w:pPr>
    </w:p>
    <w:p>
      <w:pPr>
        <w:ind w:left="548"/>
        <w:spacing w:after="0" w:line="348" w:lineRule="auto"/>
        <w:rPr>
          <w:sz w:val="20"/>
          <w:szCs w:val="20"/>
          <w:color w:val="auto"/>
        </w:rPr>
      </w:pPr>
      <w:r>
        <w:rPr>
          <w:rFonts w:ascii="Times New Roman" w:cs="Times New Roman" w:eastAsia="Times New Roman" w:hAnsi="Times New Roman"/>
          <w:sz w:val="24"/>
          <w:szCs w:val="24"/>
          <w:color w:val="auto"/>
        </w:rPr>
        <w:t>the issuer undertakes to allot at least seventy five per cent. of the net offer to qualified institutional buyers and to refund the full subscription money if it fails to do so.</w:t>
      </w:r>
    </w:p>
    <w:p>
      <w:pPr>
        <w:spacing w:after="0" w:line="8" w:lineRule="exact"/>
        <w:rPr>
          <w:sz w:val="20"/>
          <w:szCs w:val="20"/>
          <w:color w:val="auto"/>
        </w:rPr>
      </w:pPr>
    </w:p>
    <w:p>
      <w:pPr>
        <w:jc w:val="both"/>
        <w:ind w:left="548" w:hanging="539"/>
        <w:spacing w:after="0" w:line="311" w:lineRule="auto"/>
        <w:rPr>
          <w:sz w:val="20"/>
          <w:szCs w:val="20"/>
          <w:color w:val="auto"/>
        </w:rPr>
      </w:pPr>
      <w:r>
        <w:rPr>
          <w:rFonts w:ascii="Times New Roman" w:cs="Times New Roman" w:eastAsia="Times New Roman" w:hAnsi="Times New Roman"/>
          <w:sz w:val="32"/>
          <w:szCs w:val="32"/>
          <w:color w:val="auto"/>
          <w:vertAlign w:val="superscript"/>
        </w:rPr>
        <w:t>12</w:t>
      </w:r>
      <w:r>
        <w:rPr>
          <w:rFonts w:ascii="Times New Roman" w:cs="Times New Roman" w:eastAsia="Times New Roman" w:hAnsi="Times New Roman"/>
          <w:sz w:val="24"/>
          <w:szCs w:val="24"/>
          <w:color w:val="auto"/>
        </w:rPr>
        <w:t>[(3) If an issuer has issued SR equity shares to its promoters/ founders, the said issuer shall be allowed to do an initial public offer of only ordinary shares for listing on the Main Board subject to compliance with the provisions of this Chapter and these clauses -</w:t>
      </w:r>
    </w:p>
    <w:p>
      <w:pPr>
        <w:spacing w:after="0" w:line="69" w:lineRule="exact"/>
        <w:rPr>
          <w:sz w:val="20"/>
          <w:szCs w:val="20"/>
          <w:color w:val="auto"/>
        </w:rPr>
      </w:pPr>
    </w:p>
    <w:p>
      <w:pPr>
        <w:jc w:val="both"/>
        <w:ind w:left="2708" w:hanging="456"/>
        <w:spacing w:after="0" w:line="356" w:lineRule="auto"/>
        <w:tabs>
          <w:tab w:leader="none" w:pos="2708" w:val="left"/>
        </w:tabs>
        <w:numPr>
          <w:ilvl w:val="0"/>
          <w:numId w:val="4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be intensive in the use of technology, information technology, intellectual property, data analytics, bio-technology or nano-technology to provide products, services or business platforms with substantial value addition.</w:t>
      </w:r>
    </w:p>
    <w:p>
      <w:pPr>
        <w:spacing w:after="0" w:line="18" w:lineRule="exact"/>
        <w:rPr>
          <w:rFonts w:ascii="Times New Roman" w:cs="Times New Roman" w:eastAsia="Times New Roman" w:hAnsi="Times New Roman"/>
          <w:sz w:val="24"/>
          <w:szCs w:val="24"/>
          <w:color w:val="auto"/>
        </w:rPr>
      </w:pPr>
    </w:p>
    <w:p>
      <w:pPr>
        <w:ind w:left="2708" w:hanging="456"/>
        <w:spacing w:after="0" w:line="350" w:lineRule="auto"/>
        <w:tabs>
          <w:tab w:leader="none" w:pos="2708" w:val="left"/>
        </w:tabs>
        <w:numPr>
          <w:ilvl w:val="0"/>
          <w:numId w:val="4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SR shareholder shall not be part of the promoter group whose collective net worth is more than rupees 500 crores:</w:t>
      </w:r>
    </w:p>
    <w:p>
      <w:pPr>
        <w:spacing w:after="0" w:line="23" w:lineRule="exact"/>
        <w:rPr>
          <w:rFonts w:ascii="Times New Roman" w:cs="Times New Roman" w:eastAsia="Times New Roman" w:hAnsi="Times New Roman"/>
          <w:sz w:val="24"/>
          <w:szCs w:val="24"/>
          <w:color w:val="auto"/>
        </w:rPr>
      </w:pPr>
    </w:p>
    <w:p>
      <w:pPr>
        <w:jc w:val="both"/>
        <w:ind w:left="2708"/>
        <w:spacing w:after="0" w:line="35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Explanation: While determining the collective net worth, the investment of SR shareholder in the shares of the issuer company shall not be considered.</w:t>
      </w:r>
    </w:p>
    <w:p>
      <w:pPr>
        <w:spacing w:after="0" w:line="10" w:lineRule="exact"/>
        <w:rPr>
          <w:rFonts w:ascii="Times New Roman" w:cs="Times New Roman" w:eastAsia="Times New Roman" w:hAnsi="Times New Roman"/>
          <w:sz w:val="24"/>
          <w:szCs w:val="24"/>
          <w:color w:val="auto"/>
        </w:rPr>
      </w:pPr>
    </w:p>
    <w:p>
      <w:pPr>
        <w:ind w:left="2708" w:hanging="456"/>
        <w:spacing w:after="0"/>
        <w:tabs>
          <w:tab w:leader="none" w:pos="2708" w:val="left"/>
        </w:tabs>
        <w:numPr>
          <w:ilvl w:val="0"/>
          <w:numId w:val="4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SR shares were issued only to the promoters/ founders who hold</w:t>
      </w:r>
    </w:p>
    <w:p>
      <w:pPr>
        <w:spacing w:after="0" w:line="200" w:lineRule="exact"/>
        <w:rPr>
          <w:sz w:val="20"/>
          <w:szCs w:val="20"/>
          <w:color w:val="auto"/>
        </w:rPr>
      </w:pPr>
    </w:p>
    <w:p>
      <w:pPr>
        <w:spacing w:after="0" w:line="267" w:lineRule="exact"/>
        <w:rPr>
          <w:sz w:val="20"/>
          <w:szCs w:val="20"/>
          <w:color w:val="auto"/>
        </w:rPr>
      </w:pPr>
    </w:p>
    <w:p>
      <w:pPr>
        <w:ind w:left="8"/>
        <w:spacing w:after="0" w:line="211" w:lineRule="auto"/>
        <w:rPr>
          <w:sz w:val="20"/>
          <w:szCs w:val="20"/>
          <w:color w:val="auto"/>
        </w:rPr>
      </w:pPr>
      <w:r>
        <w:rPr>
          <w:rFonts w:ascii="Times New Roman" w:cs="Times New Roman" w:eastAsia="Times New Roman" w:hAnsi="Times New Roman"/>
          <w:sz w:val="25"/>
          <w:szCs w:val="25"/>
          <w:color w:val="auto"/>
          <w:vertAlign w:val="superscript"/>
        </w:rPr>
        <w:t>12</w:t>
      </w:r>
      <w:r>
        <w:rPr>
          <w:rFonts w:ascii="Times New Roman" w:cs="Times New Roman" w:eastAsia="Times New Roman" w:hAnsi="Times New Roman"/>
          <w:sz w:val="20"/>
          <w:szCs w:val="20"/>
          <w:color w:val="auto"/>
        </w:rPr>
        <w:t xml:space="preserve"> Inserted by the SEBI (Issue of Capital and Disclosure Requirements) (Third Amendment) Regulations, 2019 w.e.f.29.07.2019.</w:t>
      </w:r>
    </w:p>
    <w:p>
      <w:pPr>
        <w:spacing w:after="0" w:line="300"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14</w:t>
      </w:r>
    </w:p>
    <w:p>
      <w:pPr>
        <w:sectPr>
          <w:pgSz w:w="11900" w:h="16836" w:orient="portrait"/>
          <w:cols w:equalWidth="0" w:num="1">
            <w:col w:w="9468"/>
          </w:cols>
          <w:pgMar w:left="1152" w:top="1156" w:right="1284" w:bottom="103" w:gutter="0" w:footer="0" w:header="0"/>
        </w:sectPr>
      </w:pPr>
    </w:p>
    <w:bookmarkStart w:id="14" w:name="page15"/>
    <w:bookmarkEnd w:id="14"/>
    <w:p>
      <w:pPr>
        <w:jc w:val="center"/>
        <w:ind w:right="-139"/>
        <w:spacing w:after="0"/>
        <w:rPr>
          <w:sz w:val="20"/>
          <w:szCs w:val="20"/>
          <w:color w:val="auto"/>
        </w:rPr>
      </w:pPr>
      <w:r>
        <w:rPr>
          <w:rFonts w:ascii="Times New Roman" w:cs="Times New Roman" w:eastAsia="Times New Roman" w:hAnsi="Times New Roman"/>
          <w:sz w:val="24"/>
          <w:szCs w:val="24"/>
          <w:color w:val="auto"/>
        </w:rPr>
        <w:t>an executive position in the issuer company;</w:t>
      </w:r>
    </w:p>
    <w:p>
      <w:pPr>
        <w:spacing w:after="0" w:line="149" w:lineRule="exact"/>
        <w:rPr>
          <w:sz w:val="20"/>
          <w:szCs w:val="20"/>
          <w:color w:val="auto"/>
        </w:rPr>
      </w:pPr>
    </w:p>
    <w:p>
      <w:pPr>
        <w:jc w:val="both"/>
        <w:ind w:left="2700" w:hanging="456"/>
        <w:spacing w:after="0" w:line="356" w:lineRule="auto"/>
        <w:tabs>
          <w:tab w:leader="none" w:pos="2700" w:val="left"/>
        </w:tabs>
        <w:numPr>
          <w:ilvl w:val="0"/>
          <w:numId w:val="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 of SR equity shares had been authorized by a special resolution passed at a general meeting of the shareholders of the issuer, where the notice calling for such general meeting specifically provided for -</w:t>
      </w:r>
    </w:p>
    <w:p>
      <w:pPr>
        <w:spacing w:after="0" w:line="6" w:lineRule="exact"/>
        <w:rPr>
          <w:rFonts w:ascii="Times New Roman" w:cs="Times New Roman" w:eastAsia="Times New Roman" w:hAnsi="Times New Roman"/>
          <w:sz w:val="24"/>
          <w:szCs w:val="24"/>
          <w:color w:val="auto"/>
        </w:rPr>
      </w:pPr>
    </w:p>
    <w:p>
      <w:pPr>
        <w:ind w:left="3600" w:hanging="636"/>
        <w:spacing w:after="0"/>
        <w:tabs>
          <w:tab w:leader="none" w:pos="3600" w:val="left"/>
        </w:tabs>
        <w:numPr>
          <w:ilvl w:val="1"/>
          <w:numId w:val="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size of issue of SR equity shares,</w:t>
      </w:r>
    </w:p>
    <w:p>
      <w:pPr>
        <w:spacing w:after="0" w:line="151" w:lineRule="exact"/>
        <w:rPr>
          <w:rFonts w:ascii="Times New Roman" w:cs="Times New Roman" w:eastAsia="Times New Roman" w:hAnsi="Times New Roman"/>
          <w:sz w:val="24"/>
          <w:szCs w:val="24"/>
          <w:color w:val="auto"/>
        </w:rPr>
      </w:pPr>
    </w:p>
    <w:p>
      <w:pPr>
        <w:ind w:left="3680" w:hanging="716"/>
        <w:spacing w:after="0" w:line="348" w:lineRule="auto"/>
        <w:tabs>
          <w:tab w:leader="none" w:pos="3589" w:val="left"/>
        </w:tabs>
        <w:numPr>
          <w:ilvl w:val="1"/>
          <w:numId w:val="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ratio of voting rights of SR equity shares vis-à-vis the ordinary shares,</w:t>
      </w:r>
    </w:p>
    <w:p>
      <w:pPr>
        <w:spacing w:after="0" w:line="16" w:lineRule="exact"/>
        <w:rPr>
          <w:rFonts w:ascii="Times New Roman" w:cs="Times New Roman" w:eastAsia="Times New Roman" w:hAnsi="Times New Roman"/>
          <w:sz w:val="24"/>
          <w:szCs w:val="24"/>
          <w:color w:val="auto"/>
        </w:rPr>
      </w:pPr>
    </w:p>
    <w:p>
      <w:pPr>
        <w:ind w:left="3600" w:hanging="636"/>
        <w:spacing w:after="0"/>
        <w:tabs>
          <w:tab w:leader="none" w:pos="3600" w:val="left"/>
        </w:tabs>
        <w:numPr>
          <w:ilvl w:val="1"/>
          <w:numId w:val="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rights as to differential dividends, if any</w:t>
      </w:r>
    </w:p>
    <w:p>
      <w:pPr>
        <w:spacing w:after="0" w:line="149" w:lineRule="exact"/>
        <w:rPr>
          <w:rFonts w:ascii="Times New Roman" w:cs="Times New Roman" w:eastAsia="Times New Roman" w:hAnsi="Times New Roman"/>
          <w:sz w:val="24"/>
          <w:szCs w:val="24"/>
          <w:color w:val="auto"/>
        </w:rPr>
      </w:pPr>
    </w:p>
    <w:p>
      <w:pPr>
        <w:ind w:left="3680" w:hanging="716"/>
        <w:spacing w:after="0" w:line="350" w:lineRule="auto"/>
        <w:tabs>
          <w:tab w:leader="none" w:pos="3589" w:val="left"/>
        </w:tabs>
        <w:numPr>
          <w:ilvl w:val="1"/>
          <w:numId w:val="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sunset provisions, which provide for a time frame for the validity of such SR equity shares,</w:t>
      </w:r>
    </w:p>
    <w:p>
      <w:pPr>
        <w:spacing w:after="0" w:line="23" w:lineRule="exact"/>
        <w:rPr>
          <w:rFonts w:ascii="Times New Roman" w:cs="Times New Roman" w:eastAsia="Times New Roman" w:hAnsi="Times New Roman"/>
          <w:sz w:val="24"/>
          <w:szCs w:val="24"/>
          <w:color w:val="auto"/>
        </w:rPr>
      </w:pPr>
    </w:p>
    <w:p>
      <w:pPr>
        <w:ind w:left="3680" w:hanging="716"/>
        <w:spacing w:after="0" w:line="350" w:lineRule="auto"/>
        <w:tabs>
          <w:tab w:leader="none" w:pos="3589" w:val="left"/>
        </w:tabs>
        <w:numPr>
          <w:ilvl w:val="1"/>
          <w:numId w:val="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matters in respect of which the SR equity shares would have the same voting right as that of the ordinary shares,</w:t>
      </w:r>
    </w:p>
    <w:p>
      <w:pPr>
        <w:spacing w:after="0" w:line="23" w:lineRule="exact"/>
        <w:rPr>
          <w:rFonts w:ascii="Times New Roman" w:cs="Times New Roman" w:eastAsia="Times New Roman" w:hAnsi="Times New Roman"/>
          <w:sz w:val="24"/>
          <w:szCs w:val="24"/>
          <w:color w:val="auto"/>
        </w:rPr>
      </w:pPr>
    </w:p>
    <w:p>
      <w:pPr>
        <w:ind w:left="2700" w:hanging="456"/>
        <w:spacing w:after="0" w:line="350" w:lineRule="auto"/>
        <w:tabs>
          <w:tab w:leader="none" w:pos="2700" w:val="left"/>
        </w:tabs>
        <w:numPr>
          <w:ilvl w:val="0"/>
          <w:numId w:val="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SR equity shares have been held for a period of atleast 6 months prior to the filing of the red herring prospectus;</w:t>
      </w:r>
    </w:p>
    <w:p>
      <w:pPr>
        <w:spacing w:after="0" w:line="23" w:lineRule="exact"/>
        <w:rPr>
          <w:rFonts w:ascii="Times New Roman" w:cs="Times New Roman" w:eastAsia="Times New Roman" w:hAnsi="Times New Roman"/>
          <w:sz w:val="24"/>
          <w:szCs w:val="24"/>
          <w:color w:val="auto"/>
        </w:rPr>
      </w:pPr>
    </w:p>
    <w:p>
      <w:pPr>
        <w:jc w:val="both"/>
        <w:ind w:left="2700" w:hanging="456"/>
        <w:spacing w:after="0" w:line="354" w:lineRule="auto"/>
        <w:tabs>
          <w:tab w:leader="none" w:pos="2700" w:val="left"/>
        </w:tabs>
        <w:numPr>
          <w:ilvl w:val="0"/>
          <w:numId w:val="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SR equity shares shall have voting rights in the ratio of a minimum of 2:1 upto a maximum of 10:1 compared to ordinary shares and such ratio shall be in whole numbers only;</w:t>
      </w:r>
    </w:p>
    <w:p>
      <w:pPr>
        <w:spacing w:after="0" w:line="22" w:lineRule="exact"/>
        <w:rPr>
          <w:rFonts w:ascii="Times New Roman" w:cs="Times New Roman" w:eastAsia="Times New Roman" w:hAnsi="Times New Roman"/>
          <w:sz w:val="24"/>
          <w:szCs w:val="24"/>
          <w:color w:val="auto"/>
        </w:rPr>
      </w:pPr>
    </w:p>
    <w:p>
      <w:pPr>
        <w:ind w:left="2700" w:hanging="456"/>
        <w:spacing w:after="0" w:line="348" w:lineRule="auto"/>
        <w:tabs>
          <w:tab w:leader="none" w:pos="2700" w:val="left"/>
        </w:tabs>
        <w:numPr>
          <w:ilvl w:val="0"/>
          <w:numId w:val="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SR equity shares shall have the same face value as the ordinary shares;</w:t>
      </w:r>
    </w:p>
    <w:p>
      <w:pPr>
        <w:spacing w:after="0" w:line="15" w:lineRule="exact"/>
        <w:rPr>
          <w:rFonts w:ascii="Times New Roman" w:cs="Times New Roman" w:eastAsia="Times New Roman" w:hAnsi="Times New Roman"/>
          <w:sz w:val="24"/>
          <w:szCs w:val="24"/>
          <w:color w:val="auto"/>
        </w:rPr>
      </w:pPr>
    </w:p>
    <w:p>
      <w:pPr>
        <w:ind w:left="2760" w:hanging="516"/>
        <w:spacing w:after="0"/>
        <w:tabs>
          <w:tab w:leader="none" w:pos="2760" w:val="left"/>
        </w:tabs>
        <w:numPr>
          <w:ilvl w:val="0"/>
          <w:numId w:val="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only have one class of SR equity shares;</w:t>
      </w:r>
    </w:p>
    <w:p>
      <w:pPr>
        <w:spacing w:after="0" w:line="149" w:lineRule="exact"/>
        <w:rPr>
          <w:rFonts w:ascii="Times New Roman" w:cs="Times New Roman" w:eastAsia="Times New Roman" w:hAnsi="Times New Roman"/>
          <w:sz w:val="24"/>
          <w:szCs w:val="24"/>
          <w:color w:val="auto"/>
        </w:rPr>
      </w:pPr>
    </w:p>
    <w:p>
      <w:pPr>
        <w:ind w:left="2700" w:hanging="456"/>
        <w:spacing w:after="0" w:line="350" w:lineRule="auto"/>
        <w:tabs>
          <w:tab w:leader="none" w:pos="2700" w:val="left"/>
        </w:tabs>
        <w:numPr>
          <w:ilvl w:val="0"/>
          <w:numId w:val="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SR equity shares shall be equivalent to ordinary equity shares in all respects, except for having superior voting rights.]</w:t>
      </w:r>
    </w:p>
    <w:p>
      <w:pPr>
        <w:spacing w:after="0" w:line="200" w:lineRule="exact"/>
        <w:rPr>
          <w:sz w:val="20"/>
          <w:szCs w:val="20"/>
          <w:color w:val="auto"/>
        </w:rPr>
      </w:pPr>
    </w:p>
    <w:p>
      <w:pPr>
        <w:spacing w:after="0" w:line="23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General conditions</w:t>
      </w:r>
    </w:p>
    <w:p>
      <w:pPr>
        <w:spacing w:after="0" w:line="13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7</w:t>
      </w:r>
      <w:r>
        <w:rPr>
          <w:rFonts w:ascii="Times New Roman" w:cs="Times New Roman" w:eastAsia="Times New Roman" w:hAnsi="Times New Roman"/>
          <w:sz w:val="24"/>
          <w:szCs w:val="24"/>
          <w:color w:val="auto"/>
        </w:rPr>
        <w:t>. (1) An issuer making an initial public offer shall ensure that:</w:t>
      </w:r>
    </w:p>
    <w:p>
      <w:pPr>
        <w:spacing w:after="0" w:line="151" w:lineRule="exact"/>
        <w:rPr>
          <w:sz w:val="20"/>
          <w:szCs w:val="20"/>
          <w:color w:val="auto"/>
        </w:rPr>
      </w:pPr>
    </w:p>
    <w:p>
      <w:pPr>
        <w:jc w:val="both"/>
        <w:ind w:left="720" w:hanging="368"/>
        <w:spacing w:after="0" w:line="354" w:lineRule="auto"/>
        <w:tabs>
          <w:tab w:leader="none" w:pos="720" w:val="left"/>
        </w:tabs>
        <w:numPr>
          <w:ilvl w:val="0"/>
          <w:numId w:val="4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it has made an application to one or more stock exchanges to seek an in-principle approval for listing of its specified securities on such stock exchanges and has chosen one of them as the designated stock exchange, in terms of </w:t>
      </w:r>
      <w:r>
        <w:rPr>
          <w:rFonts w:ascii="Times New Roman" w:cs="Times New Roman" w:eastAsia="Times New Roman" w:hAnsi="Times New Roman"/>
          <w:sz w:val="24"/>
          <w:szCs w:val="24"/>
          <w:b w:val="1"/>
          <w:bCs w:val="1"/>
          <w:color w:val="auto"/>
        </w:rPr>
        <w:t>Schedule XIX</w:t>
      </w:r>
      <w:r>
        <w:rPr>
          <w:rFonts w:ascii="Times New Roman" w:cs="Times New Roman" w:eastAsia="Times New Roman" w:hAnsi="Times New Roman"/>
          <w:sz w:val="24"/>
          <w:szCs w:val="24"/>
          <w:color w:val="auto"/>
        </w:rPr>
        <w:t>;</w:t>
      </w:r>
    </w:p>
    <w:p>
      <w:pPr>
        <w:spacing w:after="0" w:line="19" w:lineRule="exact"/>
        <w:rPr>
          <w:rFonts w:ascii="Times New Roman" w:cs="Times New Roman" w:eastAsia="Times New Roman" w:hAnsi="Times New Roman"/>
          <w:sz w:val="24"/>
          <w:szCs w:val="24"/>
          <w:color w:val="auto"/>
        </w:rPr>
      </w:pPr>
    </w:p>
    <w:p>
      <w:pPr>
        <w:ind w:left="720" w:hanging="368"/>
        <w:spacing w:after="0" w:line="350" w:lineRule="auto"/>
        <w:tabs>
          <w:tab w:leader="none" w:pos="720" w:val="left"/>
        </w:tabs>
        <w:numPr>
          <w:ilvl w:val="0"/>
          <w:numId w:val="4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 has entered into an agreement with a depository for dematerialisation of the specified securities already issued and proposed to be issued;</w:t>
      </w:r>
    </w:p>
    <w:p>
      <w:pPr>
        <w:spacing w:after="0" w:line="23" w:lineRule="exact"/>
        <w:rPr>
          <w:rFonts w:ascii="Times New Roman" w:cs="Times New Roman" w:eastAsia="Times New Roman" w:hAnsi="Times New Roman"/>
          <w:sz w:val="24"/>
          <w:szCs w:val="24"/>
          <w:color w:val="auto"/>
        </w:rPr>
      </w:pPr>
    </w:p>
    <w:p>
      <w:pPr>
        <w:ind w:left="720" w:hanging="368"/>
        <w:spacing w:after="0" w:line="350" w:lineRule="auto"/>
        <w:tabs>
          <w:tab w:leader="none" w:pos="720" w:val="left"/>
        </w:tabs>
        <w:numPr>
          <w:ilvl w:val="0"/>
          <w:numId w:val="4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all its specified securities held by the promoters are in dematerialised form prior to filing of the offer document;</w:t>
      </w:r>
    </w:p>
    <w:p>
      <w:pPr>
        <w:spacing w:after="0" w:line="23" w:lineRule="exact"/>
        <w:rPr>
          <w:rFonts w:ascii="Times New Roman" w:cs="Times New Roman" w:eastAsia="Times New Roman" w:hAnsi="Times New Roman"/>
          <w:sz w:val="24"/>
          <w:szCs w:val="24"/>
          <w:color w:val="auto"/>
        </w:rPr>
      </w:pPr>
    </w:p>
    <w:p>
      <w:pPr>
        <w:ind w:left="720" w:hanging="368"/>
        <w:spacing w:after="0" w:line="350" w:lineRule="auto"/>
        <w:tabs>
          <w:tab w:leader="none" w:pos="720" w:val="left"/>
        </w:tabs>
        <w:numPr>
          <w:ilvl w:val="0"/>
          <w:numId w:val="4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all its existing partly paid-up equity shares have either been fully paid-up or have been forfeited;</w:t>
      </w:r>
    </w:p>
    <w:p>
      <w:pPr>
        <w:spacing w:after="0" w:line="26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15</w:t>
      </w:r>
    </w:p>
    <w:p>
      <w:pPr>
        <w:sectPr>
          <w:pgSz w:w="11900" w:h="16836" w:orient="portrait"/>
          <w:cols w:equalWidth="0" w:num="1">
            <w:col w:w="9460"/>
          </w:cols>
          <w:pgMar w:left="1160" w:top="1144" w:right="1284" w:bottom="103" w:gutter="0" w:footer="0" w:header="0"/>
        </w:sectPr>
      </w:pPr>
    </w:p>
    <w:bookmarkStart w:id="15" w:name="page16"/>
    <w:bookmarkEnd w:id="15"/>
    <w:p>
      <w:pPr>
        <w:jc w:val="both"/>
        <w:ind w:left="728" w:hanging="368"/>
        <w:spacing w:after="0" w:line="356" w:lineRule="auto"/>
        <w:tabs>
          <w:tab w:leader="none" w:pos="728" w:val="left"/>
        </w:tabs>
        <w:numPr>
          <w:ilvl w:val="1"/>
          <w:numId w:val="4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 has made firm arrangements of finance through verifiable means towards seventy five per cent. of the stated means of finance for a specific project proposed to be funded from the issue proceeds, excluding the amount to be raised through the proposed public issue or through existing identifiable internal accruals.</w:t>
      </w:r>
    </w:p>
    <w:p>
      <w:pPr>
        <w:spacing w:after="0" w:line="18"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367" w:val="left"/>
        </w:tabs>
        <w:numPr>
          <w:ilvl w:val="0"/>
          <w:numId w:val="5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amount for general corporate purposes, as mentioned in objects of the issue in the draft offer document and the offer document shall not exceed twenty five per cent. of the amount being raised by the issuer.</w:t>
      </w:r>
    </w:p>
    <w:p>
      <w:pPr>
        <w:spacing w:after="0" w:line="200" w:lineRule="exact"/>
        <w:rPr>
          <w:sz w:val="20"/>
          <w:szCs w:val="20"/>
          <w:color w:val="auto"/>
        </w:rPr>
      </w:pPr>
    </w:p>
    <w:p>
      <w:pPr>
        <w:spacing w:after="0" w:line="22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 xml:space="preserve">Explanation: </w:t>
      </w:r>
      <w:r>
        <w:rPr>
          <w:rFonts w:ascii="Times New Roman" w:cs="Times New Roman" w:eastAsia="Times New Roman" w:hAnsi="Times New Roman"/>
          <w:sz w:val="24"/>
          <w:szCs w:val="24"/>
          <w:color w:val="auto"/>
        </w:rPr>
        <w:t>For the purposes of this regulation:</w:t>
      </w:r>
    </w:p>
    <w:p>
      <w:pPr>
        <w:spacing w:after="0" w:line="130" w:lineRule="exact"/>
        <w:rPr>
          <w:sz w:val="20"/>
          <w:szCs w:val="20"/>
          <w:color w:val="auto"/>
        </w:rPr>
      </w:pPr>
    </w:p>
    <w:p>
      <w:pPr>
        <w:ind w:left="508" w:hanging="508"/>
        <w:spacing w:after="0"/>
        <w:tabs>
          <w:tab w:leader="none" w:pos="508" w:val="left"/>
        </w:tabs>
        <w:numPr>
          <w:ilvl w:val="0"/>
          <w:numId w:val="51"/>
        </w:numPr>
        <w:rPr>
          <w:rFonts w:ascii="Calibri" w:cs="Calibri" w:eastAsia="Calibri" w:hAnsi="Calibri"/>
          <w:sz w:val="22"/>
          <w:szCs w:val="22"/>
          <w:color w:val="auto"/>
        </w:rPr>
      </w:pPr>
      <w:r>
        <w:rPr>
          <w:rFonts w:ascii="Times New Roman" w:cs="Times New Roman" w:eastAsia="Times New Roman" w:hAnsi="Times New Roman"/>
          <w:sz w:val="24"/>
          <w:szCs w:val="24"/>
          <w:color w:val="auto"/>
        </w:rPr>
        <w:t>“project” means the object for which monies are proposed to be raised to cover the objects of</w:t>
      </w:r>
    </w:p>
    <w:p>
      <w:pPr>
        <w:spacing w:after="0" w:line="139" w:lineRule="exact"/>
        <w:rPr>
          <w:sz w:val="20"/>
          <w:szCs w:val="20"/>
          <w:color w:val="auto"/>
        </w:rPr>
      </w:pPr>
    </w:p>
    <w:p>
      <w:pPr>
        <w:ind w:left="508"/>
        <w:spacing w:after="0"/>
        <w:rPr>
          <w:sz w:val="20"/>
          <w:szCs w:val="20"/>
          <w:color w:val="auto"/>
        </w:rPr>
      </w:pPr>
      <w:r>
        <w:rPr>
          <w:rFonts w:ascii="Times New Roman" w:cs="Times New Roman" w:eastAsia="Times New Roman" w:hAnsi="Times New Roman"/>
          <w:sz w:val="24"/>
          <w:szCs w:val="24"/>
          <w:color w:val="auto"/>
        </w:rPr>
        <w:t>the issue;</w:t>
      </w:r>
    </w:p>
    <w:p>
      <w:pPr>
        <w:spacing w:after="0" w:line="149" w:lineRule="exact"/>
        <w:rPr>
          <w:sz w:val="20"/>
          <w:szCs w:val="20"/>
          <w:color w:val="auto"/>
        </w:rPr>
      </w:pPr>
    </w:p>
    <w:p>
      <w:pPr>
        <w:jc w:val="both"/>
        <w:ind w:left="508" w:hanging="508"/>
        <w:spacing w:after="0" w:line="356" w:lineRule="auto"/>
        <w:tabs>
          <w:tab w:leader="none" w:pos="508" w:val="left"/>
        </w:tabs>
        <w:numPr>
          <w:ilvl w:val="0"/>
          <w:numId w:val="52"/>
        </w:numPr>
        <w:rPr>
          <w:rFonts w:ascii="Calibri" w:cs="Calibri" w:eastAsia="Calibri" w:hAnsi="Calibri"/>
          <w:sz w:val="22"/>
          <w:szCs w:val="22"/>
          <w:color w:val="auto"/>
        </w:rPr>
      </w:pPr>
      <w:r>
        <w:rPr>
          <w:rFonts w:ascii="Times New Roman" w:cs="Times New Roman" w:eastAsia="Times New Roman" w:hAnsi="Times New Roman"/>
          <w:sz w:val="24"/>
          <w:szCs w:val="24"/>
          <w:color w:val="auto"/>
        </w:rPr>
        <w:t>In case of an issuer which had been a partnership firm or a limited liability partnership, the track record of operating profit of the partnership firm or the limited liability partnership shall be considered only if the financial statements of the partnership business for the period during which the issuer was a partnership firm or a limited liability partnership, conform to and are revised in the format prescribed for companies under the Companies Act, 2013 and also comply with the following:</w:t>
      </w:r>
    </w:p>
    <w:p>
      <w:pPr>
        <w:spacing w:after="0" w:line="17" w:lineRule="exact"/>
        <w:rPr>
          <w:rFonts w:ascii="Calibri" w:cs="Calibri" w:eastAsia="Calibri" w:hAnsi="Calibri"/>
          <w:sz w:val="22"/>
          <w:szCs w:val="22"/>
          <w:color w:val="auto"/>
        </w:rPr>
      </w:pPr>
    </w:p>
    <w:p>
      <w:pPr>
        <w:ind w:left="1008" w:hanging="504"/>
        <w:spacing w:after="0" w:line="350" w:lineRule="auto"/>
        <w:tabs>
          <w:tab w:leader="none" w:pos="1008" w:val="left"/>
        </w:tabs>
        <w:numPr>
          <w:ilvl w:val="1"/>
          <w:numId w:val="52"/>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adequate disclosures are made in the financial statements as required to be made by the issuer as per schedule III of the Companies Act, 2013;</w:t>
      </w:r>
    </w:p>
    <w:p>
      <w:pPr>
        <w:spacing w:after="0" w:line="10" w:lineRule="exact"/>
        <w:rPr>
          <w:rFonts w:ascii="Times New Roman" w:cs="Times New Roman" w:eastAsia="Times New Roman" w:hAnsi="Times New Roman"/>
          <w:sz w:val="22"/>
          <w:szCs w:val="22"/>
          <w:color w:val="auto"/>
        </w:rPr>
      </w:pPr>
    </w:p>
    <w:p>
      <w:pPr>
        <w:ind w:left="1008" w:hanging="504"/>
        <w:spacing w:after="0"/>
        <w:tabs>
          <w:tab w:leader="none" w:pos="1008" w:val="left"/>
        </w:tabs>
        <w:numPr>
          <w:ilvl w:val="1"/>
          <w:numId w:val="52"/>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the financial statements are duly certified by the statutory auditor stating that:</w:t>
      </w:r>
    </w:p>
    <w:p>
      <w:pPr>
        <w:spacing w:after="0" w:line="151" w:lineRule="exact"/>
        <w:rPr>
          <w:rFonts w:ascii="Times New Roman" w:cs="Times New Roman" w:eastAsia="Times New Roman" w:hAnsi="Times New Roman"/>
          <w:sz w:val="22"/>
          <w:szCs w:val="22"/>
          <w:color w:val="auto"/>
        </w:rPr>
      </w:pPr>
    </w:p>
    <w:p>
      <w:pPr>
        <w:ind w:left="1508" w:hanging="500"/>
        <w:spacing w:after="0" w:line="348" w:lineRule="auto"/>
        <w:tabs>
          <w:tab w:leader="none" w:pos="1436" w:val="left"/>
        </w:tabs>
        <w:numPr>
          <w:ilvl w:val="2"/>
          <w:numId w:val="5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accounts and the disclosures made are in accordance with the provisions of schedule III of the Companies Act, 2013;</w:t>
      </w:r>
    </w:p>
    <w:p>
      <w:pPr>
        <w:spacing w:after="0" w:line="15" w:lineRule="exact"/>
        <w:rPr>
          <w:rFonts w:ascii="Times New Roman" w:cs="Times New Roman" w:eastAsia="Times New Roman" w:hAnsi="Times New Roman"/>
          <w:sz w:val="24"/>
          <w:szCs w:val="24"/>
          <w:color w:val="auto"/>
        </w:rPr>
      </w:pPr>
    </w:p>
    <w:p>
      <w:pPr>
        <w:ind w:left="1448" w:hanging="440"/>
        <w:spacing w:after="0"/>
        <w:tabs>
          <w:tab w:leader="none" w:pos="1448" w:val="left"/>
        </w:tabs>
        <w:numPr>
          <w:ilvl w:val="2"/>
          <w:numId w:val="5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applicable accounting standards have been followed;</w:t>
      </w:r>
    </w:p>
    <w:p>
      <w:pPr>
        <w:spacing w:after="0" w:line="137" w:lineRule="exact"/>
        <w:rPr>
          <w:rFonts w:ascii="Times New Roman" w:cs="Times New Roman" w:eastAsia="Times New Roman" w:hAnsi="Times New Roman"/>
          <w:sz w:val="24"/>
          <w:szCs w:val="24"/>
          <w:color w:val="auto"/>
        </w:rPr>
      </w:pPr>
    </w:p>
    <w:p>
      <w:pPr>
        <w:ind w:left="1448" w:hanging="440"/>
        <w:spacing w:after="0"/>
        <w:tabs>
          <w:tab w:leader="none" w:pos="1448" w:val="left"/>
        </w:tabs>
        <w:numPr>
          <w:ilvl w:val="2"/>
          <w:numId w:val="5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financial statements present a true and fair view of the firm’s accounts;</w:t>
      </w:r>
    </w:p>
    <w:p>
      <w:pPr>
        <w:spacing w:after="0" w:line="151" w:lineRule="exact"/>
        <w:rPr>
          <w:sz w:val="20"/>
          <w:szCs w:val="20"/>
          <w:color w:val="auto"/>
        </w:rPr>
      </w:pPr>
    </w:p>
    <w:p>
      <w:pPr>
        <w:jc w:val="both"/>
        <w:ind w:left="508" w:hanging="508"/>
        <w:spacing w:after="0" w:line="353" w:lineRule="auto"/>
        <w:tabs>
          <w:tab w:leader="none" w:pos="508" w:val="left"/>
        </w:tabs>
        <w:numPr>
          <w:ilvl w:val="0"/>
          <w:numId w:val="53"/>
        </w:numPr>
        <w:rPr>
          <w:rFonts w:ascii="Calibri" w:cs="Calibri" w:eastAsia="Calibri" w:hAnsi="Calibri"/>
          <w:sz w:val="22"/>
          <w:szCs w:val="22"/>
          <w:color w:val="auto"/>
        </w:rPr>
      </w:pPr>
      <w:r>
        <w:rPr>
          <w:rFonts w:ascii="Times New Roman" w:cs="Times New Roman" w:eastAsia="Times New Roman" w:hAnsi="Times New Roman"/>
          <w:sz w:val="24"/>
          <w:szCs w:val="24"/>
          <w:color w:val="auto"/>
        </w:rPr>
        <w:t>In case of an issuer formed out of a division of an existing company, the track record of distributable profits of the division spun-off shall be considered only if the requirements regarding financial statements as provided for partnership firms or limited liability partnerships in Explanation (II) are complied with.</w:t>
      </w:r>
    </w:p>
    <w:p>
      <w:pPr>
        <w:spacing w:after="0" w:line="200" w:lineRule="exact"/>
        <w:rPr>
          <w:sz w:val="20"/>
          <w:szCs w:val="20"/>
          <w:color w:val="auto"/>
        </w:rPr>
      </w:pPr>
    </w:p>
    <w:p>
      <w:pPr>
        <w:spacing w:after="0" w:line="22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Additional conditions for an offer for sale</w:t>
      </w:r>
    </w:p>
    <w:p>
      <w:pPr>
        <w:spacing w:after="0" w:line="147" w:lineRule="exact"/>
        <w:rPr>
          <w:sz w:val="20"/>
          <w:szCs w:val="20"/>
          <w:color w:val="auto"/>
        </w:rPr>
      </w:pPr>
    </w:p>
    <w:p>
      <w:pPr>
        <w:ind w:left="8"/>
        <w:spacing w:after="0" w:line="357" w:lineRule="auto"/>
        <w:rPr>
          <w:sz w:val="20"/>
          <w:szCs w:val="20"/>
          <w:color w:val="auto"/>
        </w:rPr>
      </w:pPr>
      <w:r>
        <w:rPr>
          <w:rFonts w:ascii="Times New Roman" w:cs="Times New Roman" w:eastAsia="Times New Roman" w:hAnsi="Times New Roman"/>
          <w:sz w:val="24"/>
          <w:szCs w:val="24"/>
          <w:b w:val="1"/>
          <w:bCs w:val="1"/>
          <w:color w:val="auto"/>
        </w:rPr>
        <w:t>8</w:t>
      </w:r>
      <w:r>
        <w:rPr>
          <w:rFonts w:ascii="Times New Roman" w:cs="Times New Roman" w:eastAsia="Times New Roman" w:hAnsi="Times New Roman"/>
          <w:sz w:val="24"/>
          <w:szCs w:val="24"/>
          <w:color w:val="auto"/>
        </w:rPr>
        <w:t>. Only such fully paid-up equity shares may be offered for sale to the public, which have been</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held by the sellers for a period of at least one year prior to the filing of the draft offer document: Provided that in case the equity shares received on conversion or exchange of fully paid-up compulsorily convertible securities including depository receipts are being offered for sale, the holding period of such convertible securities, including depository receipts, as well as that of</w:t>
      </w:r>
    </w:p>
    <w:p>
      <w:pPr>
        <w:spacing w:after="0" w:line="26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16</w:t>
      </w:r>
    </w:p>
    <w:p>
      <w:pPr>
        <w:sectPr>
          <w:pgSz w:w="11900" w:h="16836" w:orient="portrait"/>
          <w:cols w:equalWidth="0" w:num="1">
            <w:col w:w="9468"/>
          </w:cols>
          <w:pgMar w:left="1152" w:top="1156" w:right="1284" w:bottom="103" w:gutter="0" w:footer="0" w:header="0"/>
        </w:sectPr>
      </w:pPr>
    </w:p>
    <w:bookmarkStart w:id="16" w:name="page17"/>
    <w:bookmarkEnd w:id="16"/>
    <w:p>
      <w:pPr>
        <w:jc w:val="both"/>
        <w:ind w:left="8"/>
        <w:spacing w:after="0" w:line="348" w:lineRule="auto"/>
        <w:rPr>
          <w:sz w:val="20"/>
          <w:szCs w:val="20"/>
          <w:color w:val="auto"/>
        </w:rPr>
      </w:pPr>
      <w:r>
        <w:rPr>
          <w:rFonts w:ascii="Times New Roman" w:cs="Times New Roman" w:eastAsia="Times New Roman" w:hAnsi="Times New Roman"/>
          <w:sz w:val="24"/>
          <w:szCs w:val="24"/>
          <w:color w:val="auto"/>
        </w:rPr>
        <w:t>resultant equity shares together shall be considered for the purpose of calculation of one year period referred in this sub-regulation.</w:t>
      </w:r>
    </w:p>
    <w:p>
      <w:pPr>
        <w:spacing w:after="0" w:line="28" w:lineRule="exact"/>
        <w:rPr>
          <w:sz w:val="20"/>
          <w:szCs w:val="20"/>
          <w:color w:val="auto"/>
        </w:rPr>
      </w:pPr>
    </w:p>
    <w:p>
      <w:pPr>
        <w:jc w:val="both"/>
        <w:ind w:left="8"/>
        <w:spacing w:after="0" w:line="348" w:lineRule="auto"/>
        <w:rPr>
          <w:sz w:val="20"/>
          <w:szCs w:val="20"/>
          <w:color w:val="auto"/>
        </w:rPr>
      </w:pPr>
      <w:r>
        <w:rPr>
          <w:rFonts w:ascii="Times New Roman" w:cs="Times New Roman" w:eastAsia="Times New Roman" w:hAnsi="Times New Roman"/>
          <w:sz w:val="24"/>
          <w:szCs w:val="24"/>
          <w:color w:val="auto"/>
        </w:rPr>
        <w:t>Provided further that such holding period of one year shall be required to be complied with at the time of filing of the draft offer document.</w:t>
      </w:r>
    </w:p>
    <w:p>
      <w:pPr>
        <w:spacing w:after="0" w:line="28" w:lineRule="exact"/>
        <w:rPr>
          <w:sz w:val="20"/>
          <w:szCs w:val="20"/>
          <w:color w:val="auto"/>
        </w:rPr>
      </w:pPr>
    </w:p>
    <w:p>
      <w:pPr>
        <w:jc w:val="both"/>
        <w:ind w:left="8"/>
        <w:spacing w:after="0" w:line="357" w:lineRule="auto"/>
        <w:rPr>
          <w:sz w:val="20"/>
          <w:szCs w:val="20"/>
          <w:color w:val="auto"/>
        </w:rPr>
      </w:pPr>
      <w:r>
        <w:rPr>
          <w:rFonts w:ascii="Times New Roman" w:cs="Times New Roman" w:eastAsia="Times New Roman" w:hAnsi="Times New Roman"/>
          <w:sz w:val="24"/>
          <w:szCs w:val="24"/>
          <w:b w:val="1"/>
          <w:bCs w:val="1"/>
          <w:color w:val="auto"/>
        </w:rPr>
        <w:t>Explanation</w:t>
      </w:r>
      <w:r>
        <w:rPr>
          <w:rFonts w:ascii="Times New Roman" w:cs="Times New Roman" w:eastAsia="Times New Roman" w:hAnsi="Times New Roman"/>
          <w:sz w:val="24"/>
          <w:szCs w:val="24"/>
          <w:color w:val="auto"/>
        </w:rPr>
        <w:t>: If the equity shares arising out of the conversion or exchange of the fully paid-up</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compulsorily convertible securities are being offered for sale, the conversion or exchange should be completed prior to filing of the offer document (i.e. red herring prospectus in the case of a book built issue and prospectus in the case of a fixed price issue), provided full disclosures of the terms of conversion or exchange are made in the draft offer document.</w:t>
      </w:r>
    </w:p>
    <w:p>
      <w:pPr>
        <w:spacing w:after="0" w:line="17" w:lineRule="exact"/>
        <w:rPr>
          <w:sz w:val="20"/>
          <w:szCs w:val="20"/>
          <w:color w:val="auto"/>
        </w:rPr>
      </w:pPr>
    </w:p>
    <w:p>
      <w:pPr>
        <w:jc w:val="both"/>
        <w:ind w:left="8"/>
        <w:spacing w:after="0" w:line="350" w:lineRule="auto"/>
        <w:rPr>
          <w:sz w:val="20"/>
          <w:szCs w:val="20"/>
          <w:color w:val="auto"/>
        </w:rPr>
      </w:pPr>
      <w:r>
        <w:rPr>
          <w:rFonts w:ascii="Times New Roman" w:cs="Times New Roman" w:eastAsia="Times New Roman" w:hAnsi="Times New Roman"/>
          <w:sz w:val="24"/>
          <w:szCs w:val="24"/>
          <w:color w:val="auto"/>
        </w:rPr>
        <w:t>Provided further that the requirement of holding equity shares for a period of one year shall not apply:</w:t>
      </w:r>
    </w:p>
    <w:p>
      <w:pPr>
        <w:spacing w:after="0" w:line="23" w:lineRule="exact"/>
        <w:rPr>
          <w:sz w:val="20"/>
          <w:szCs w:val="20"/>
          <w:color w:val="auto"/>
        </w:rPr>
      </w:pPr>
    </w:p>
    <w:p>
      <w:pPr>
        <w:jc w:val="both"/>
        <w:ind w:left="368" w:hanging="368"/>
        <w:spacing w:after="0" w:line="354" w:lineRule="auto"/>
        <w:tabs>
          <w:tab w:leader="none" w:pos="368" w:val="left"/>
        </w:tabs>
        <w:numPr>
          <w:ilvl w:val="0"/>
          <w:numId w:val="54"/>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in case of an offer for sale of a government company or statutory authority or corporation or any special purpose vehicle set up and controlled by any one or more of them, which is engaged in the infrastructure sector;</w:t>
      </w:r>
    </w:p>
    <w:p>
      <w:pPr>
        <w:spacing w:after="0" w:line="22" w:lineRule="exact"/>
        <w:rPr>
          <w:rFonts w:ascii="Times New Roman" w:cs="Times New Roman" w:eastAsia="Times New Roman" w:hAnsi="Times New Roman"/>
          <w:sz w:val="22"/>
          <w:szCs w:val="22"/>
          <w:color w:val="auto"/>
        </w:rPr>
      </w:pPr>
    </w:p>
    <w:p>
      <w:pPr>
        <w:jc w:val="both"/>
        <w:ind w:left="368" w:hanging="368"/>
        <w:spacing w:after="0" w:line="357" w:lineRule="auto"/>
        <w:tabs>
          <w:tab w:leader="none" w:pos="368" w:val="left"/>
        </w:tabs>
        <w:numPr>
          <w:ilvl w:val="0"/>
          <w:numId w:val="54"/>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if the equity shares offered for sale were acquired pursuant to any scheme approved by a High Court under the sections 391 to 394 of Companies Act, 1956, or approved by a tribunal or the Central Government under the sections 230 to 234 of Companies Act, 2013, as applicable, in lieu of business and invested capital which had been in existence for a period of more than one year prior to approval of such scheme;</w:t>
      </w:r>
    </w:p>
    <w:p>
      <w:pPr>
        <w:spacing w:after="0" w:line="16" w:lineRule="exact"/>
        <w:rPr>
          <w:rFonts w:ascii="Times New Roman" w:cs="Times New Roman" w:eastAsia="Times New Roman" w:hAnsi="Times New Roman"/>
          <w:sz w:val="22"/>
          <w:szCs w:val="22"/>
          <w:color w:val="auto"/>
        </w:rPr>
      </w:pPr>
    </w:p>
    <w:p>
      <w:pPr>
        <w:jc w:val="both"/>
        <w:ind w:left="368" w:hanging="368"/>
        <w:spacing w:after="0" w:line="354" w:lineRule="auto"/>
        <w:tabs>
          <w:tab w:leader="none" w:pos="368" w:val="left"/>
        </w:tabs>
        <w:numPr>
          <w:ilvl w:val="0"/>
          <w:numId w:val="54"/>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if the equity shares offered for sale were issued under a bonus issue on securities held for a period of at least one year prior to the filing of the draft offer document with the Board and further subject to the following:</w:t>
      </w:r>
    </w:p>
    <w:p>
      <w:pPr>
        <w:spacing w:after="0" w:line="22" w:lineRule="exact"/>
        <w:rPr>
          <w:rFonts w:ascii="Times New Roman" w:cs="Times New Roman" w:eastAsia="Times New Roman" w:hAnsi="Times New Roman"/>
          <w:sz w:val="22"/>
          <w:szCs w:val="22"/>
          <w:color w:val="auto"/>
        </w:rPr>
      </w:pPr>
    </w:p>
    <w:p>
      <w:pPr>
        <w:jc w:val="both"/>
        <w:ind w:left="728" w:hanging="368"/>
        <w:spacing w:after="0" w:line="354" w:lineRule="auto"/>
        <w:tabs>
          <w:tab w:leader="none" w:pos="728" w:val="left"/>
        </w:tabs>
        <w:numPr>
          <w:ilvl w:val="1"/>
          <w:numId w:val="5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such specified securities being issued out of free reserves and share premium existing in the books of account as at the end of the financial year preceding the financial year in which the draft offer document is filed with the Board; and</w:t>
      </w:r>
    </w:p>
    <w:p>
      <w:pPr>
        <w:spacing w:after="0" w:line="20" w:lineRule="exact"/>
        <w:rPr>
          <w:rFonts w:ascii="Times New Roman" w:cs="Times New Roman" w:eastAsia="Times New Roman" w:hAnsi="Times New Roman"/>
          <w:sz w:val="24"/>
          <w:szCs w:val="24"/>
          <w:color w:val="auto"/>
        </w:rPr>
      </w:pPr>
    </w:p>
    <w:p>
      <w:pPr>
        <w:ind w:left="728" w:hanging="368"/>
        <w:spacing w:after="0" w:line="350" w:lineRule="auto"/>
        <w:tabs>
          <w:tab w:leader="none" w:pos="728" w:val="left"/>
        </w:tabs>
        <w:numPr>
          <w:ilvl w:val="1"/>
          <w:numId w:val="5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such equity shares not being issued by utilisation of revaluation reserves or unrealized profits of the issuer.</w:t>
      </w:r>
    </w:p>
    <w:p>
      <w:pPr>
        <w:spacing w:after="0" w:line="200" w:lineRule="exact"/>
        <w:rPr>
          <w:sz w:val="20"/>
          <w:szCs w:val="20"/>
          <w:color w:val="auto"/>
        </w:rPr>
      </w:pPr>
    </w:p>
    <w:p>
      <w:pPr>
        <w:spacing w:after="0" w:line="231"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II: ISSUE OF CONVERTIBLE DEBT INSTRUMENTS AND WARRANTS</w:t>
      </w:r>
    </w:p>
    <w:p>
      <w:pPr>
        <w:spacing w:after="0" w:line="200" w:lineRule="exact"/>
        <w:rPr>
          <w:sz w:val="20"/>
          <w:szCs w:val="20"/>
          <w:color w:val="auto"/>
        </w:rPr>
      </w:pPr>
    </w:p>
    <w:p>
      <w:pPr>
        <w:spacing w:after="0" w:line="35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Eligibility requirements for issue of convertible debt instruments</w:t>
      </w:r>
    </w:p>
    <w:p>
      <w:pPr>
        <w:spacing w:after="0" w:line="145" w:lineRule="exact"/>
        <w:rPr>
          <w:sz w:val="20"/>
          <w:szCs w:val="20"/>
          <w:color w:val="auto"/>
        </w:rPr>
      </w:pPr>
    </w:p>
    <w:p>
      <w:pPr>
        <w:ind w:left="8" w:hanging="8"/>
        <w:spacing w:after="0" w:line="350" w:lineRule="auto"/>
        <w:tabs>
          <w:tab w:leader="none" w:pos="389" w:val="left"/>
        </w:tabs>
        <w:numPr>
          <w:ilvl w:val="0"/>
          <w:numId w:val="5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An issuer shall be eligible to make an initial public offer of convertible debt instruments even without making a prior public issue of its equity shares and listing thereof.</w:t>
      </w:r>
    </w:p>
    <w:p>
      <w:pPr>
        <w:spacing w:after="0" w:line="23" w:lineRule="exact"/>
        <w:rPr>
          <w:rFonts w:ascii="Times New Roman" w:cs="Times New Roman" w:eastAsia="Times New Roman" w:hAnsi="Times New Roman"/>
          <w:sz w:val="24"/>
          <w:szCs w:val="24"/>
          <w:b w:val="1"/>
          <w:bCs w:val="1"/>
          <w:color w:val="auto"/>
        </w:rPr>
      </w:pPr>
    </w:p>
    <w:p>
      <w:pPr>
        <w:ind w:left="8" w:firstLine="60"/>
        <w:spacing w:after="0" w:line="350"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it is not in default of payment of interest or repayment of principal amount in respect of debt instruments issued by it to the public, if any, for a period of more than six months.</w:t>
      </w:r>
    </w:p>
    <w:p>
      <w:pPr>
        <w:spacing w:after="0" w:line="268"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17</w:t>
      </w:r>
    </w:p>
    <w:p>
      <w:pPr>
        <w:sectPr>
          <w:pgSz w:w="11900" w:h="16836" w:orient="portrait"/>
          <w:cols w:equalWidth="0" w:num="1">
            <w:col w:w="9468"/>
          </w:cols>
          <w:pgMar w:left="1152" w:top="1156" w:right="1284" w:bottom="103" w:gutter="0" w:footer="0" w:header="0"/>
        </w:sectPr>
      </w:pPr>
    </w:p>
    <w:bookmarkStart w:id="17" w:name="page18"/>
    <w:bookmarkEnd w:id="17"/>
    <w:p>
      <w:pPr>
        <w:spacing w:after="0" w:line="12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Additional requirements for issue of convertible debt instruments</w:t>
      </w:r>
    </w:p>
    <w:p>
      <w:pPr>
        <w:spacing w:after="0" w:line="147" w:lineRule="exact"/>
        <w:rPr>
          <w:sz w:val="20"/>
          <w:szCs w:val="20"/>
          <w:color w:val="auto"/>
        </w:rPr>
      </w:pPr>
    </w:p>
    <w:p>
      <w:pPr>
        <w:jc w:val="both"/>
        <w:ind w:left="8" w:hanging="8"/>
        <w:spacing w:after="0" w:line="354" w:lineRule="auto"/>
        <w:tabs>
          <w:tab w:leader="none" w:pos="404" w:val="left"/>
        </w:tabs>
        <w:numPr>
          <w:ilvl w:val="0"/>
          <w:numId w:val="5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In addition to other requirements laid down in these regulations, an issuer making an initial public offer of convertible debt instruments shall also comply with the following conditions:</w:t>
      </w:r>
    </w:p>
    <w:p>
      <w:pPr>
        <w:ind w:left="508" w:hanging="508"/>
        <w:spacing w:after="0"/>
        <w:tabs>
          <w:tab w:leader="none" w:pos="508" w:val="left"/>
        </w:tabs>
        <w:numPr>
          <w:ilvl w:val="0"/>
          <w:numId w:val="57"/>
        </w:numPr>
        <w:rPr>
          <w:rFonts w:ascii="Calibri" w:cs="Calibri" w:eastAsia="Calibri" w:hAnsi="Calibri"/>
          <w:sz w:val="22"/>
          <w:szCs w:val="22"/>
          <w:color w:val="auto"/>
        </w:rPr>
      </w:pPr>
      <w:r>
        <w:rPr>
          <w:rFonts w:ascii="Times New Roman" w:cs="Times New Roman" w:eastAsia="Times New Roman" w:hAnsi="Times New Roman"/>
          <w:sz w:val="24"/>
          <w:szCs w:val="24"/>
          <w:color w:val="auto"/>
        </w:rPr>
        <w:t>it has obtained credit rating from at least one credit rating agency;</w:t>
      </w:r>
    </w:p>
    <w:p>
      <w:pPr>
        <w:spacing w:after="0" w:line="151" w:lineRule="exact"/>
        <w:rPr>
          <w:rFonts w:ascii="Calibri" w:cs="Calibri" w:eastAsia="Calibri" w:hAnsi="Calibri"/>
          <w:sz w:val="22"/>
          <w:szCs w:val="22"/>
          <w:color w:val="auto"/>
        </w:rPr>
      </w:pPr>
    </w:p>
    <w:p>
      <w:pPr>
        <w:jc w:val="both"/>
        <w:ind w:left="508" w:hanging="508"/>
        <w:spacing w:after="0" w:line="350" w:lineRule="auto"/>
        <w:tabs>
          <w:tab w:leader="none" w:pos="508" w:val="left"/>
        </w:tabs>
        <w:numPr>
          <w:ilvl w:val="0"/>
          <w:numId w:val="57"/>
        </w:numPr>
        <w:rPr>
          <w:rFonts w:ascii="Calibri" w:cs="Calibri" w:eastAsia="Calibri" w:hAnsi="Calibri"/>
          <w:sz w:val="22"/>
          <w:szCs w:val="22"/>
          <w:color w:val="auto"/>
        </w:rPr>
      </w:pPr>
      <w:r>
        <w:rPr>
          <w:rFonts w:ascii="Times New Roman" w:cs="Times New Roman" w:eastAsia="Times New Roman" w:hAnsi="Times New Roman"/>
          <w:sz w:val="24"/>
          <w:szCs w:val="24"/>
          <w:color w:val="auto"/>
        </w:rPr>
        <w:t>it has appointed at least one debenture trustee in accordance with the provisions of the Companies Act, 2013 and the Securities and Exchange Board of India (Debenture Trustees) Regulations, 1993;</w:t>
      </w:r>
    </w:p>
    <w:p>
      <w:pPr>
        <w:spacing w:after="0" w:line="23" w:lineRule="exact"/>
        <w:rPr>
          <w:rFonts w:ascii="Calibri" w:cs="Calibri" w:eastAsia="Calibri" w:hAnsi="Calibri"/>
          <w:sz w:val="22"/>
          <w:szCs w:val="22"/>
          <w:color w:val="auto"/>
        </w:rPr>
      </w:pPr>
    </w:p>
    <w:p>
      <w:pPr>
        <w:ind w:left="508" w:hanging="508"/>
        <w:spacing w:after="0" w:line="344" w:lineRule="auto"/>
        <w:tabs>
          <w:tab w:leader="none" w:pos="508" w:val="left"/>
        </w:tabs>
        <w:numPr>
          <w:ilvl w:val="0"/>
          <w:numId w:val="57"/>
        </w:numPr>
        <w:rPr>
          <w:rFonts w:ascii="Calibri" w:cs="Calibri" w:eastAsia="Calibri" w:hAnsi="Calibri"/>
          <w:sz w:val="22"/>
          <w:szCs w:val="22"/>
          <w:color w:val="auto"/>
        </w:rPr>
      </w:pPr>
      <w:r>
        <w:rPr>
          <w:rFonts w:ascii="Times New Roman" w:cs="Times New Roman" w:eastAsia="Times New Roman" w:hAnsi="Times New Roman"/>
          <w:sz w:val="24"/>
          <w:szCs w:val="24"/>
          <w:color w:val="auto"/>
        </w:rPr>
        <w:t>it shall create a debenture redemption reserve in accordance with the provisions of the Companies Act, 2013 and rules made thereunder;</w:t>
      </w:r>
    </w:p>
    <w:p>
      <w:pPr>
        <w:spacing w:after="0" w:line="26" w:lineRule="exact"/>
        <w:rPr>
          <w:rFonts w:ascii="Calibri" w:cs="Calibri" w:eastAsia="Calibri" w:hAnsi="Calibri"/>
          <w:sz w:val="22"/>
          <w:szCs w:val="22"/>
          <w:color w:val="auto"/>
        </w:rPr>
      </w:pPr>
    </w:p>
    <w:p>
      <w:pPr>
        <w:ind w:left="508" w:hanging="508"/>
        <w:spacing w:after="0" w:line="344" w:lineRule="auto"/>
        <w:tabs>
          <w:tab w:leader="none" w:pos="508" w:val="left"/>
        </w:tabs>
        <w:numPr>
          <w:ilvl w:val="0"/>
          <w:numId w:val="57"/>
        </w:numPr>
        <w:rPr>
          <w:rFonts w:ascii="Calibri" w:cs="Calibri" w:eastAsia="Calibri" w:hAnsi="Calibri"/>
          <w:sz w:val="22"/>
          <w:szCs w:val="22"/>
          <w:color w:val="auto"/>
        </w:rPr>
      </w:pPr>
      <w:r>
        <w:rPr>
          <w:rFonts w:ascii="Times New Roman" w:cs="Times New Roman" w:eastAsia="Times New Roman" w:hAnsi="Times New Roman"/>
          <w:sz w:val="24"/>
          <w:szCs w:val="24"/>
          <w:color w:val="auto"/>
        </w:rPr>
        <w:t>if the issuer proposes to create a charge or security on its assets in respect of secured convertible debt instruments, it shall ensure that:</w:t>
      </w:r>
    </w:p>
    <w:p>
      <w:pPr>
        <w:spacing w:after="0" w:line="7" w:lineRule="exact"/>
        <w:rPr>
          <w:rFonts w:ascii="Calibri" w:cs="Calibri" w:eastAsia="Calibri" w:hAnsi="Calibri"/>
          <w:sz w:val="22"/>
          <w:szCs w:val="22"/>
          <w:color w:val="auto"/>
        </w:rPr>
      </w:pPr>
    </w:p>
    <w:p>
      <w:pPr>
        <w:ind w:left="1008" w:hanging="468"/>
        <w:spacing w:after="0"/>
        <w:tabs>
          <w:tab w:leader="none" w:pos="1008" w:val="left"/>
        </w:tabs>
        <w:numPr>
          <w:ilvl w:val="1"/>
          <w:numId w:val="57"/>
        </w:numPr>
        <w:rPr>
          <w:rFonts w:ascii="Calibri" w:cs="Calibri" w:eastAsia="Calibri" w:hAnsi="Calibri"/>
          <w:sz w:val="22"/>
          <w:szCs w:val="22"/>
          <w:color w:val="auto"/>
        </w:rPr>
      </w:pPr>
      <w:r>
        <w:rPr>
          <w:rFonts w:ascii="Times New Roman" w:cs="Times New Roman" w:eastAsia="Times New Roman" w:hAnsi="Times New Roman"/>
          <w:sz w:val="24"/>
          <w:szCs w:val="24"/>
          <w:color w:val="auto"/>
        </w:rPr>
        <w:t>such assets are sufficient to discharge the principal amount at all times;</w:t>
      </w:r>
    </w:p>
    <w:p>
      <w:pPr>
        <w:spacing w:after="0" w:line="132" w:lineRule="exact"/>
        <w:rPr>
          <w:rFonts w:ascii="Calibri" w:cs="Calibri" w:eastAsia="Calibri" w:hAnsi="Calibri"/>
          <w:sz w:val="22"/>
          <w:szCs w:val="22"/>
          <w:color w:val="auto"/>
        </w:rPr>
      </w:pPr>
    </w:p>
    <w:p>
      <w:pPr>
        <w:ind w:left="1008" w:hanging="468"/>
        <w:spacing w:after="0"/>
        <w:tabs>
          <w:tab w:leader="none" w:pos="1008" w:val="left"/>
        </w:tabs>
        <w:numPr>
          <w:ilvl w:val="1"/>
          <w:numId w:val="57"/>
        </w:numPr>
        <w:rPr>
          <w:rFonts w:ascii="Calibri" w:cs="Calibri" w:eastAsia="Calibri" w:hAnsi="Calibri"/>
          <w:sz w:val="22"/>
          <w:szCs w:val="22"/>
          <w:color w:val="auto"/>
        </w:rPr>
      </w:pPr>
      <w:r>
        <w:rPr>
          <w:rFonts w:ascii="Times New Roman" w:cs="Times New Roman" w:eastAsia="Times New Roman" w:hAnsi="Times New Roman"/>
          <w:sz w:val="24"/>
          <w:szCs w:val="24"/>
          <w:color w:val="auto"/>
        </w:rPr>
        <w:t>such assets are free from any encumbrance;</w:t>
      </w:r>
    </w:p>
    <w:p>
      <w:pPr>
        <w:spacing w:after="0" w:line="149" w:lineRule="exact"/>
        <w:rPr>
          <w:rFonts w:ascii="Calibri" w:cs="Calibri" w:eastAsia="Calibri" w:hAnsi="Calibri"/>
          <w:sz w:val="22"/>
          <w:szCs w:val="22"/>
          <w:color w:val="auto"/>
        </w:rPr>
      </w:pPr>
    </w:p>
    <w:p>
      <w:pPr>
        <w:jc w:val="both"/>
        <w:ind w:left="1008" w:hanging="468"/>
        <w:spacing w:after="0" w:line="355" w:lineRule="auto"/>
        <w:tabs>
          <w:tab w:leader="none" w:pos="1008" w:val="left"/>
        </w:tabs>
        <w:numPr>
          <w:ilvl w:val="1"/>
          <w:numId w:val="57"/>
        </w:numPr>
        <w:rPr>
          <w:rFonts w:ascii="Calibri" w:cs="Calibri" w:eastAsia="Calibri" w:hAnsi="Calibri"/>
          <w:sz w:val="22"/>
          <w:szCs w:val="22"/>
          <w:color w:val="auto"/>
        </w:rPr>
      </w:pPr>
      <w:r>
        <w:rPr>
          <w:rFonts w:ascii="Times New Roman" w:cs="Times New Roman" w:eastAsia="Times New Roman" w:hAnsi="Times New Roman"/>
          <w:sz w:val="24"/>
          <w:szCs w:val="24"/>
          <w:color w:val="auto"/>
        </w:rPr>
        <w:t>where security is already created on such assets in favour of any existing lender or security trustee or the issue of convertible debt instruments is proposed to be secured by creation of security on a leasehold land, the consent of such lender or security trustee or lessor for a second or pari passu charge has been obtained and submitted to the debenture trustee before the opening of the issue;</w:t>
      </w:r>
    </w:p>
    <w:p>
      <w:pPr>
        <w:spacing w:after="0" w:line="19" w:lineRule="exact"/>
        <w:rPr>
          <w:rFonts w:ascii="Calibri" w:cs="Calibri" w:eastAsia="Calibri" w:hAnsi="Calibri"/>
          <w:sz w:val="22"/>
          <w:szCs w:val="22"/>
          <w:color w:val="auto"/>
        </w:rPr>
      </w:pPr>
    </w:p>
    <w:p>
      <w:pPr>
        <w:jc w:val="both"/>
        <w:ind w:left="1008" w:hanging="468"/>
        <w:spacing w:after="0" w:line="342" w:lineRule="auto"/>
        <w:tabs>
          <w:tab w:leader="none" w:pos="1008" w:val="left"/>
        </w:tabs>
        <w:numPr>
          <w:ilvl w:val="1"/>
          <w:numId w:val="57"/>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security or asset cover shall be arrived at after reduction of the liabilities having a first or prior charge, in case the convertible debt instruments are secured by a second or</w:t>
      </w:r>
    </w:p>
    <w:p>
      <w:pPr>
        <w:spacing w:after="0" w:line="19" w:lineRule="exact"/>
        <w:rPr>
          <w:sz w:val="20"/>
          <w:szCs w:val="20"/>
          <w:color w:val="auto"/>
        </w:rPr>
      </w:pPr>
    </w:p>
    <w:p>
      <w:pPr>
        <w:ind w:left="1008"/>
        <w:spacing w:after="0"/>
        <w:rPr>
          <w:sz w:val="20"/>
          <w:szCs w:val="20"/>
          <w:color w:val="auto"/>
        </w:rPr>
      </w:pPr>
      <w:r>
        <w:rPr>
          <w:rFonts w:ascii="Times New Roman" w:cs="Times New Roman" w:eastAsia="Times New Roman" w:hAnsi="Times New Roman"/>
          <w:sz w:val="24"/>
          <w:szCs w:val="24"/>
          <w:color w:val="auto"/>
        </w:rPr>
        <w:t>subsequent charge.</w:t>
      </w:r>
    </w:p>
    <w:p>
      <w:pPr>
        <w:spacing w:after="0" w:line="137" w:lineRule="exact"/>
        <w:rPr>
          <w:sz w:val="20"/>
          <w:szCs w:val="20"/>
          <w:color w:val="auto"/>
        </w:rPr>
      </w:pPr>
    </w:p>
    <w:p>
      <w:pPr>
        <w:ind w:left="728" w:hanging="728"/>
        <w:spacing w:after="0"/>
        <w:tabs>
          <w:tab w:leader="none" w:pos="728" w:val="left"/>
        </w:tabs>
        <w:numPr>
          <w:ilvl w:val="0"/>
          <w:numId w:val="5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redeem the convertible debt instruments in terms of the offer document.</w:t>
      </w:r>
    </w:p>
    <w:p>
      <w:pPr>
        <w:spacing w:after="0" w:line="200" w:lineRule="exact"/>
        <w:rPr>
          <w:sz w:val="20"/>
          <w:szCs w:val="20"/>
          <w:color w:val="auto"/>
        </w:rPr>
      </w:pPr>
    </w:p>
    <w:p>
      <w:pPr>
        <w:spacing w:after="0" w:line="35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Conversion of optionally convertible debt instruments into equity shares</w:t>
      </w:r>
    </w:p>
    <w:p>
      <w:pPr>
        <w:spacing w:after="0" w:line="147" w:lineRule="exact"/>
        <w:rPr>
          <w:sz w:val="20"/>
          <w:szCs w:val="20"/>
          <w:color w:val="auto"/>
        </w:rPr>
      </w:pPr>
    </w:p>
    <w:p>
      <w:pPr>
        <w:jc w:val="both"/>
        <w:ind w:left="8" w:hanging="8"/>
        <w:spacing w:after="0" w:line="356" w:lineRule="auto"/>
        <w:tabs>
          <w:tab w:leader="none" w:pos="380" w:val="left"/>
        </w:tabs>
        <w:numPr>
          <w:ilvl w:val="0"/>
          <w:numId w:val="5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shall not convert its optionally convertible debt instruments into equity shares unless the holders of such convertible debt instruments have sent their positive consent to the issuer and non-receipt of reply to any notice sent by the issuer for this purpose shall not be construed as consent for conversion of any convertible debt instruments.</w:t>
      </w:r>
    </w:p>
    <w:p>
      <w:pPr>
        <w:spacing w:after="0" w:line="18" w:lineRule="exact"/>
        <w:rPr>
          <w:rFonts w:ascii="Times New Roman" w:cs="Times New Roman" w:eastAsia="Times New Roman" w:hAnsi="Times New Roman"/>
          <w:sz w:val="24"/>
          <w:szCs w:val="24"/>
          <w:b w:val="1"/>
          <w:bCs w:val="1"/>
          <w:color w:val="auto"/>
        </w:rPr>
      </w:pPr>
    </w:p>
    <w:p>
      <w:pPr>
        <w:jc w:val="both"/>
        <w:ind w:left="8" w:firstLine="52"/>
        <w:spacing w:after="0" w:line="357" w:lineRule="auto"/>
        <w:tabs>
          <w:tab w:leader="none" w:pos="428" w:val="left"/>
        </w:tabs>
        <w:numPr>
          <w:ilvl w:val="1"/>
          <w:numId w:val="5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Where the value of the convertible portion of any listed convertible debt instruments issued by an issuer exceeds ten crore rupees and the issuer has not determined the conversion price of such convertible debt instruments at the time of making the issue, the holders of such convertible debt instruments shall be given the option of not converting the convertible portion into equity shares:</w:t>
      </w:r>
    </w:p>
    <w:p>
      <w:pPr>
        <w:spacing w:after="0" w:line="26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18</w:t>
      </w:r>
    </w:p>
    <w:p>
      <w:pPr>
        <w:sectPr>
          <w:pgSz w:w="11900" w:h="16836" w:orient="portrait"/>
          <w:cols w:equalWidth="0" w:num="1">
            <w:col w:w="9468"/>
          </w:cols>
          <w:pgMar w:left="1152" w:top="1440" w:right="1284" w:bottom="103" w:gutter="0" w:footer="0" w:header="0"/>
        </w:sectPr>
      </w:pPr>
    </w:p>
    <w:bookmarkStart w:id="18" w:name="page19"/>
    <w:bookmarkEnd w:id="18"/>
    <w:p>
      <w:pPr>
        <w:jc w:val="both"/>
        <w:ind w:left="8"/>
        <w:spacing w:after="0" w:line="356" w:lineRule="auto"/>
        <w:rPr>
          <w:sz w:val="20"/>
          <w:szCs w:val="20"/>
          <w:color w:val="auto"/>
        </w:rPr>
      </w:pPr>
      <w:r>
        <w:rPr>
          <w:rFonts w:ascii="Times New Roman" w:cs="Times New Roman" w:eastAsia="Times New Roman" w:hAnsi="Times New Roman"/>
          <w:sz w:val="24"/>
          <w:szCs w:val="24"/>
          <w:color w:val="auto"/>
        </w:rPr>
        <w:t>Provided that where the upper limit on the price of such convertible debt instruments and justification thereon is determined and disclosed to the investors at the time of making the issue, it shall not be necessary to give such option to the holders of the convertible debt instruments for converting the convertible portion into equity share capital within the said upper limit.</w:t>
      </w:r>
    </w:p>
    <w:p>
      <w:pPr>
        <w:spacing w:after="0" w:line="19" w:lineRule="exact"/>
        <w:rPr>
          <w:sz w:val="20"/>
          <w:szCs w:val="20"/>
          <w:color w:val="auto"/>
        </w:rPr>
      </w:pPr>
    </w:p>
    <w:p>
      <w:pPr>
        <w:jc w:val="both"/>
        <w:ind w:left="8" w:hanging="8"/>
        <w:spacing w:after="0" w:line="357" w:lineRule="auto"/>
        <w:tabs>
          <w:tab w:leader="none" w:pos="363" w:val="left"/>
        </w:tabs>
        <w:numPr>
          <w:ilvl w:val="0"/>
          <w:numId w:val="6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Where an option is to be given to the holders of the convertible debt instruments in terms of sub-regulation (2) and if one or more of such holders do not exercise the option to convert the instruments into equity share capital at a price determined in the general meeting of the shareholders, the issuer shall redeem that part of the instruments within one month from the last date by which option is to be exercised, at a price which shall not be less than its face value.</w:t>
      </w:r>
    </w:p>
    <w:p>
      <w:pPr>
        <w:spacing w:after="0" w:line="16" w:lineRule="exact"/>
        <w:rPr>
          <w:rFonts w:ascii="Times New Roman" w:cs="Times New Roman" w:eastAsia="Times New Roman" w:hAnsi="Times New Roman"/>
          <w:sz w:val="24"/>
          <w:szCs w:val="24"/>
          <w:color w:val="auto"/>
        </w:rPr>
      </w:pPr>
    </w:p>
    <w:p>
      <w:pPr>
        <w:ind w:left="8" w:hanging="8"/>
        <w:spacing w:after="0" w:line="350" w:lineRule="auto"/>
        <w:tabs>
          <w:tab w:leader="none" w:pos="411" w:val="left"/>
        </w:tabs>
        <w:numPr>
          <w:ilvl w:val="0"/>
          <w:numId w:val="6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provision of sub-regulation (2) shall not apply if such redemption is as per the disclosures made in the offer document.</w:t>
      </w:r>
    </w:p>
    <w:p>
      <w:pPr>
        <w:spacing w:after="0" w:line="200" w:lineRule="exact"/>
        <w:rPr>
          <w:sz w:val="20"/>
          <w:szCs w:val="20"/>
          <w:color w:val="auto"/>
        </w:rPr>
      </w:pPr>
    </w:p>
    <w:p>
      <w:pPr>
        <w:spacing w:after="0" w:line="231"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Issue of convertible debt instruments for financing</w:t>
      </w:r>
    </w:p>
    <w:p>
      <w:pPr>
        <w:spacing w:after="0" w:line="144" w:lineRule="exact"/>
        <w:rPr>
          <w:sz w:val="20"/>
          <w:szCs w:val="20"/>
          <w:color w:val="auto"/>
        </w:rPr>
      </w:pPr>
    </w:p>
    <w:p>
      <w:pPr>
        <w:ind w:left="8" w:hanging="8"/>
        <w:spacing w:after="0" w:line="350" w:lineRule="auto"/>
        <w:tabs>
          <w:tab w:leader="none" w:pos="447" w:val="left"/>
        </w:tabs>
        <w:numPr>
          <w:ilvl w:val="0"/>
          <w:numId w:val="6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An issuer shall not issue convertible debt instruments for financing or for providing loans to or for acquiring shares of any person who is part of the promoter group or group companies:</w:t>
      </w:r>
    </w:p>
    <w:p>
      <w:pPr>
        <w:spacing w:after="0" w:line="23"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an issuer shall be eligible to issue fully convertible debt instruments for these purposes if the period of conversion of such debt instruments is less than eighteen months from the date of issue of such debt instruments.</w:t>
      </w:r>
    </w:p>
    <w:p>
      <w:pPr>
        <w:spacing w:after="0" w:line="200" w:lineRule="exact"/>
        <w:rPr>
          <w:sz w:val="20"/>
          <w:szCs w:val="20"/>
          <w:color w:val="auto"/>
        </w:rPr>
      </w:pPr>
    </w:p>
    <w:p>
      <w:pPr>
        <w:spacing w:after="0" w:line="22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Issue of warrants</w:t>
      </w:r>
    </w:p>
    <w:p>
      <w:pPr>
        <w:spacing w:after="0" w:line="134" w:lineRule="exact"/>
        <w:rPr>
          <w:sz w:val="20"/>
          <w:szCs w:val="20"/>
          <w:color w:val="auto"/>
        </w:rPr>
      </w:pPr>
    </w:p>
    <w:p>
      <w:pPr>
        <w:ind w:left="428" w:hanging="428"/>
        <w:spacing w:after="0"/>
        <w:tabs>
          <w:tab w:leader="none" w:pos="428" w:val="left"/>
        </w:tabs>
        <w:numPr>
          <w:ilvl w:val="0"/>
          <w:numId w:val="6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An issuer shall be eligible to issue warrants in an initial public offer subject to the following:</w:t>
      </w:r>
    </w:p>
    <w:p>
      <w:pPr>
        <w:spacing w:after="0" w:line="149" w:lineRule="exact"/>
        <w:rPr>
          <w:sz w:val="20"/>
          <w:szCs w:val="20"/>
          <w:color w:val="auto"/>
        </w:rPr>
      </w:pPr>
    </w:p>
    <w:p>
      <w:pPr>
        <w:ind w:left="368" w:hanging="368"/>
        <w:spacing w:after="0" w:line="350" w:lineRule="auto"/>
        <w:tabs>
          <w:tab w:leader="none" w:pos="368" w:val="left"/>
        </w:tabs>
        <w:numPr>
          <w:ilvl w:val="0"/>
          <w:numId w:val="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tenure of such warrants shall not exceed eighteen months from the date of their allotment in the initial public offer;</w:t>
      </w:r>
    </w:p>
    <w:p>
      <w:pPr>
        <w:spacing w:after="0" w:line="11" w:lineRule="exact"/>
        <w:rPr>
          <w:rFonts w:ascii="Times New Roman" w:cs="Times New Roman" w:eastAsia="Times New Roman" w:hAnsi="Times New Roman"/>
          <w:sz w:val="24"/>
          <w:szCs w:val="24"/>
          <w:color w:val="auto"/>
        </w:rPr>
      </w:pPr>
    </w:p>
    <w:p>
      <w:pPr>
        <w:ind w:left="368" w:hanging="368"/>
        <w:spacing w:after="0"/>
        <w:tabs>
          <w:tab w:leader="none" w:pos="368" w:val="left"/>
        </w:tabs>
        <w:numPr>
          <w:ilvl w:val="0"/>
          <w:numId w:val="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specified security may have one or more warrants attached to it;</w:t>
      </w:r>
    </w:p>
    <w:p>
      <w:pPr>
        <w:spacing w:after="0" w:line="151" w:lineRule="exact"/>
        <w:rPr>
          <w:rFonts w:ascii="Times New Roman" w:cs="Times New Roman" w:eastAsia="Times New Roman" w:hAnsi="Times New Roman"/>
          <w:sz w:val="24"/>
          <w:szCs w:val="24"/>
          <w:color w:val="auto"/>
        </w:rPr>
      </w:pPr>
    </w:p>
    <w:p>
      <w:pPr>
        <w:jc w:val="both"/>
        <w:ind w:left="368" w:hanging="368"/>
        <w:spacing w:after="0" w:line="354" w:lineRule="auto"/>
        <w:tabs>
          <w:tab w:leader="none" w:pos="368" w:val="left"/>
        </w:tabs>
        <w:numPr>
          <w:ilvl w:val="0"/>
          <w:numId w:val="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price or formula for determination of exercise price of the warrants shall be determined upfront and disclosed in the offer document and at least twenty-five per cent. of the consideration amount based on the exercise price shall also be received upfront;</w:t>
      </w:r>
    </w:p>
    <w:p>
      <w:pPr>
        <w:spacing w:after="0" w:line="19" w:lineRule="exact"/>
        <w:rPr>
          <w:rFonts w:ascii="Times New Roman" w:cs="Times New Roman" w:eastAsia="Times New Roman" w:hAnsi="Times New Roman"/>
          <w:sz w:val="24"/>
          <w:szCs w:val="24"/>
          <w:color w:val="auto"/>
        </w:rPr>
      </w:pPr>
    </w:p>
    <w:p>
      <w:pPr>
        <w:jc w:val="both"/>
        <w:ind w:left="368"/>
        <w:spacing w:after="0" w:line="35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in case the exercise price of warrants is based on a formula, twenty-five per cent. consideration amount based on the cap price of the price band determined for the linked equity shares or convertible securities shall be received upfront.</w:t>
      </w:r>
    </w:p>
    <w:p>
      <w:pPr>
        <w:spacing w:after="0" w:line="22" w:lineRule="exact"/>
        <w:rPr>
          <w:rFonts w:ascii="Times New Roman" w:cs="Times New Roman" w:eastAsia="Times New Roman" w:hAnsi="Times New Roman"/>
          <w:sz w:val="24"/>
          <w:szCs w:val="24"/>
          <w:color w:val="auto"/>
        </w:rPr>
      </w:pPr>
    </w:p>
    <w:p>
      <w:pPr>
        <w:jc w:val="both"/>
        <w:ind w:left="368" w:hanging="368"/>
        <w:spacing w:after="0" w:line="356" w:lineRule="auto"/>
        <w:tabs>
          <w:tab w:leader="none" w:pos="368" w:val="left"/>
        </w:tabs>
        <w:numPr>
          <w:ilvl w:val="0"/>
          <w:numId w:val="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the warrant holder does not exercise the option to take equity shares against any of the warrants held by the warrant holder, within three months from the date of payment of consideration, such consideration made in respect of such warrants shall be forfeited by the issuer.</w:t>
      </w: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19</w:t>
      </w:r>
    </w:p>
    <w:p>
      <w:pPr>
        <w:sectPr>
          <w:pgSz w:w="11900" w:h="16836" w:orient="portrait"/>
          <w:cols w:equalWidth="0" w:num="1">
            <w:col w:w="9468"/>
          </w:cols>
          <w:pgMar w:left="1152" w:top="1156" w:right="1284" w:bottom="103" w:gutter="0" w:footer="0" w:header="0"/>
        </w:sectPr>
      </w:pPr>
    </w:p>
    <w:bookmarkStart w:id="19" w:name="page20"/>
    <w:bookmarkEnd w:id="19"/>
    <w:p>
      <w:pPr>
        <w:ind w:left="8"/>
        <w:spacing w:after="0"/>
        <w:rPr>
          <w:sz w:val="20"/>
          <w:szCs w:val="20"/>
          <w:color w:val="auto"/>
        </w:rPr>
      </w:pPr>
      <w:r>
        <w:rPr>
          <w:rFonts w:ascii="Times New Roman" w:cs="Times New Roman" w:eastAsia="Times New Roman" w:hAnsi="Times New Roman"/>
          <w:sz w:val="24"/>
          <w:szCs w:val="24"/>
          <w:b w:val="1"/>
          <w:bCs w:val="1"/>
          <w:color w:val="auto"/>
        </w:rPr>
        <w:t>PART III: PROMOTERS’ CONTRIBUTION</w:t>
      </w:r>
    </w:p>
    <w:p>
      <w:pPr>
        <w:spacing w:after="0" w:line="200" w:lineRule="exact"/>
        <w:rPr>
          <w:sz w:val="20"/>
          <w:szCs w:val="20"/>
          <w:color w:val="auto"/>
        </w:rPr>
      </w:pPr>
    </w:p>
    <w:p>
      <w:pPr>
        <w:spacing w:after="0" w:line="35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Minimum promoters’ contribution</w:t>
      </w:r>
    </w:p>
    <w:p>
      <w:pPr>
        <w:spacing w:after="0" w:line="144" w:lineRule="exact"/>
        <w:rPr>
          <w:sz w:val="20"/>
          <w:szCs w:val="20"/>
          <w:color w:val="auto"/>
        </w:rPr>
      </w:pPr>
    </w:p>
    <w:p>
      <w:pPr>
        <w:ind w:left="8" w:hanging="8"/>
        <w:spacing w:after="0" w:line="358" w:lineRule="auto"/>
        <w:tabs>
          <w:tab w:leader="none" w:pos="368" w:val="left"/>
        </w:tabs>
        <w:numPr>
          <w:ilvl w:val="0"/>
          <w:numId w:val="6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promoters of the issuer shall hold at least twenty per cent. of the post-issue capital: Provided that in case the post-issue shareholding of the promoters is less than twenty per cent., alternative investment funds or foreign venture capital investors or scheduled commercial banks or public financial institutions or insurance companies registered with Insurance Regulatory and Development Authority of India may contribute to meet the shortfall in minimum contribution as specified for the promoters, subject to a maximum of ten per cent. of the post-issue capital without being identified as promoter(s).</w:t>
      </w:r>
    </w:p>
    <w:p>
      <w:pPr>
        <w:spacing w:after="0" w:line="18" w:lineRule="exact"/>
        <w:rPr>
          <w:sz w:val="20"/>
          <w:szCs w:val="20"/>
          <w:color w:val="auto"/>
        </w:rPr>
      </w:pPr>
    </w:p>
    <w:p>
      <w:pPr>
        <w:ind w:left="8"/>
        <w:spacing w:after="0" w:line="348" w:lineRule="auto"/>
        <w:rPr>
          <w:sz w:val="20"/>
          <w:szCs w:val="20"/>
          <w:color w:val="auto"/>
        </w:rPr>
      </w:pPr>
      <w:r>
        <w:rPr>
          <w:rFonts w:ascii="Times New Roman" w:cs="Times New Roman" w:eastAsia="Times New Roman" w:hAnsi="Times New Roman"/>
          <w:sz w:val="24"/>
          <w:szCs w:val="24"/>
          <w:color w:val="auto"/>
        </w:rPr>
        <w:t>Provided further that the requirement of minimum promoters’ contribution shall not apply in case an issuer does not have any identifiable promoter.</w:t>
      </w:r>
    </w:p>
    <w:p>
      <w:pPr>
        <w:spacing w:after="0" w:line="15" w:lineRule="exact"/>
        <w:rPr>
          <w:sz w:val="20"/>
          <w:szCs w:val="20"/>
          <w:color w:val="auto"/>
        </w:rPr>
      </w:pPr>
    </w:p>
    <w:p>
      <w:pPr>
        <w:ind w:left="348" w:hanging="348"/>
        <w:spacing w:after="0"/>
        <w:tabs>
          <w:tab w:leader="none" w:pos="348" w:val="left"/>
        </w:tabs>
        <w:numPr>
          <w:ilvl w:val="0"/>
          <w:numId w:val="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minimum promoters’ contribution shall be as follows:</w:t>
      </w:r>
    </w:p>
    <w:p>
      <w:pPr>
        <w:spacing w:after="0" w:line="136" w:lineRule="exact"/>
        <w:rPr>
          <w:rFonts w:ascii="Times New Roman" w:cs="Times New Roman" w:eastAsia="Times New Roman" w:hAnsi="Times New Roman"/>
          <w:sz w:val="24"/>
          <w:szCs w:val="24"/>
          <w:color w:val="auto"/>
        </w:rPr>
      </w:pPr>
    </w:p>
    <w:p>
      <w:pPr>
        <w:ind w:left="728" w:hanging="368"/>
        <w:spacing w:after="0"/>
        <w:tabs>
          <w:tab w:leader="none" w:pos="728" w:val="left"/>
        </w:tabs>
        <w:numPr>
          <w:ilvl w:val="1"/>
          <w:numId w:val="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promoters shall contribute twenty per cent. as stipulated in sub-regulation (1), as the</w:t>
      </w:r>
    </w:p>
    <w:p>
      <w:pPr>
        <w:spacing w:after="0" w:line="131" w:lineRule="exact"/>
        <w:rPr>
          <w:rFonts w:ascii="Times New Roman" w:cs="Times New Roman" w:eastAsia="Times New Roman" w:hAnsi="Times New Roman"/>
          <w:sz w:val="24"/>
          <w:szCs w:val="24"/>
          <w:color w:val="auto"/>
        </w:rPr>
      </w:pPr>
    </w:p>
    <w:p>
      <w:pPr>
        <w:ind w:left="728"/>
        <w:spacing w:after="0" w:line="285"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case may be, either by way of equity shares</w:t>
      </w:r>
      <w:r>
        <w:rPr>
          <w:rFonts w:ascii="Times New Roman" w:cs="Times New Roman" w:eastAsia="Times New Roman" w:hAnsi="Times New Roman"/>
          <w:sz w:val="32"/>
          <w:szCs w:val="32"/>
          <w:color w:val="auto"/>
          <w:vertAlign w:val="superscript"/>
        </w:rPr>
        <w:t>13</w:t>
      </w:r>
      <w:r>
        <w:rPr>
          <w:rFonts w:ascii="Times New Roman" w:cs="Times New Roman" w:eastAsia="Times New Roman" w:hAnsi="Times New Roman"/>
          <w:sz w:val="24"/>
          <w:szCs w:val="24"/>
          <w:color w:val="auto"/>
        </w:rPr>
        <w:t>[, including SR equity shares held, if any,] or by way of subscription to convertible securities:</w:t>
      </w:r>
    </w:p>
    <w:p>
      <w:pPr>
        <w:spacing w:after="0" w:line="83" w:lineRule="exact"/>
        <w:rPr>
          <w:rFonts w:ascii="Times New Roman" w:cs="Times New Roman" w:eastAsia="Times New Roman" w:hAnsi="Times New Roman"/>
          <w:sz w:val="24"/>
          <w:szCs w:val="24"/>
          <w:color w:val="auto"/>
        </w:rPr>
      </w:pPr>
    </w:p>
    <w:p>
      <w:pPr>
        <w:jc w:val="both"/>
        <w:ind w:left="1088"/>
        <w:spacing w:after="0" w:line="357"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Provided that </w:t>
      </w:r>
      <w:r>
        <w:rPr>
          <w:rFonts w:ascii="Times New Roman" w:cs="Times New Roman" w:eastAsia="Times New Roman" w:hAnsi="Times New Roman"/>
          <w:sz w:val="24"/>
          <w:szCs w:val="24"/>
          <w:color w:val="auto"/>
        </w:rPr>
        <w:t>if the price of the equity shares allotted pursuant to conversion is not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pre-determined and not disclosed in the offer document, the promoters shall contribute only by way of subscription to the convertible securities being issued in the public issue and shall undertake in writing to subscribe to the equity shares pursuant to conversion of such securities.</w:t>
      </w:r>
    </w:p>
    <w:p>
      <w:pPr>
        <w:spacing w:after="0" w:line="16" w:lineRule="exact"/>
        <w:rPr>
          <w:rFonts w:ascii="Times New Roman" w:cs="Times New Roman" w:eastAsia="Times New Roman" w:hAnsi="Times New Roman"/>
          <w:sz w:val="24"/>
          <w:szCs w:val="24"/>
          <w:color w:val="auto"/>
        </w:rPr>
      </w:pPr>
    </w:p>
    <w:p>
      <w:pPr>
        <w:jc w:val="both"/>
        <w:ind w:left="1088" w:hanging="368"/>
        <w:spacing w:after="0" w:line="350" w:lineRule="auto"/>
        <w:tabs>
          <w:tab w:leader="none" w:pos="1088" w:val="left"/>
        </w:tabs>
        <w:numPr>
          <w:ilvl w:val="2"/>
          <w:numId w:val="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any issue of convertible securities which are convertible or exchangeable on different dates and if the promoters’ contribution is by way of equity shares</w:t>
      </w:r>
    </w:p>
    <w:p>
      <w:pPr>
        <w:spacing w:after="0" w:line="23" w:lineRule="exact"/>
        <w:rPr>
          <w:rFonts w:ascii="Times New Roman" w:cs="Times New Roman" w:eastAsia="Times New Roman" w:hAnsi="Times New Roman"/>
          <w:sz w:val="24"/>
          <w:szCs w:val="24"/>
          <w:color w:val="auto"/>
        </w:rPr>
      </w:pPr>
    </w:p>
    <w:p>
      <w:pPr>
        <w:jc w:val="both"/>
        <w:ind w:left="1088"/>
        <w:spacing w:after="0" w:line="35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(conversion price being pre-determined), such contribution shall not be at a price lower than the weighted average price of the equity share capital arising out of conversion of such securities.</w:t>
      </w:r>
    </w:p>
    <w:p>
      <w:pPr>
        <w:spacing w:after="0" w:line="22" w:lineRule="exact"/>
        <w:rPr>
          <w:rFonts w:ascii="Times New Roman" w:cs="Times New Roman" w:eastAsia="Times New Roman" w:hAnsi="Times New Roman"/>
          <w:sz w:val="24"/>
          <w:szCs w:val="24"/>
          <w:color w:val="auto"/>
        </w:rPr>
      </w:pPr>
    </w:p>
    <w:p>
      <w:pPr>
        <w:jc w:val="both"/>
        <w:ind w:left="1088" w:hanging="368"/>
        <w:spacing w:after="0" w:line="357" w:lineRule="auto"/>
        <w:tabs>
          <w:tab w:leader="none" w:pos="1088" w:val="left"/>
        </w:tabs>
        <w:numPr>
          <w:ilvl w:val="2"/>
          <w:numId w:val="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subject to the provisions of clause (a) and (b) above, in case of an initial public offer of convertible debt instruments without a prior public issue of equity shares, the promoters shall bring in a contribution of at least twenty per cent. of the project cost in the form of equity shares, subject to contributing at least twenty per cent. of the issue size from their own funds in the form of equity shares: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ind w:left="8"/>
        <w:spacing w:after="0" w:line="211" w:lineRule="auto"/>
        <w:rPr>
          <w:sz w:val="20"/>
          <w:szCs w:val="20"/>
          <w:color w:val="auto"/>
        </w:rPr>
      </w:pPr>
      <w:r>
        <w:rPr>
          <w:rFonts w:ascii="Times New Roman" w:cs="Times New Roman" w:eastAsia="Times New Roman" w:hAnsi="Times New Roman"/>
          <w:sz w:val="25"/>
          <w:szCs w:val="25"/>
          <w:color w:val="auto"/>
          <w:vertAlign w:val="superscript"/>
        </w:rPr>
        <w:t>13</w:t>
      </w:r>
      <w:r>
        <w:rPr>
          <w:rFonts w:ascii="Times New Roman" w:cs="Times New Roman" w:eastAsia="Times New Roman" w:hAnsi="Times New Roman"/>
          <w:sz w:val="20"/>
          <w:szCs w:val="20"/>
          <w:color w:val="auto"/>
        </w:rPr>
        <w:t xml:space="preserve"> Inserted by the SEBI (Issue of Capital and Disclosure Requirements) (Third Amendment) Regulations, 2019 w.e.f.29.07.2019.</w:t>
      </w:r>
    </w:p>
    <w:p>
      <w:pPr>
        <w:spacing w:after="0" w:line="300"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20</w:t>
      </w:r>
    </w:p>
    <w:p>
      <w:pPr>
        <w:sectPr>
          <w:pgSz w:w="11900" w:h="16836" w:orient="portrait"/>
          <w:cols w:equalWidth="0" w:num="1">
            <w:col w:w="9468"/>
          </w:cols>
          <w:pgMar w:left="1152" w:top="1149" w:right="1284" w:bottom="103" w:gutter="0" w:footer="0" w:header="0"/>
        </w:sectPr>
      </w:pPr>
    </w:p>
    <w:bookmarkStart w:id="20" w:name="page21"/>
    <w:bookmarkEnd w:id="20"/>
    <w:p>
      <w:pPr>
        <w:jc w:val="both"/>
        <w:ind w:left="1088"/>
        <w:spacing w:after="0" w:line="354" w:lineRule="auto"/>
        <w:rPr>
          <w:sz w:val="20"/>
          <w:szCs w:val="20"/>
          <w:color w:val="auto"/>
        </w:rPr>
      </w:pPr>
      <w:r>
        <w:rPr>
          <w:rFonts w:ascii="Times New Roman" w:cs="Times New Roman" w:eastAsia="Times New Roman" w:hAnsi="Times New Roman"/>
          <w:sz w:val="24"/>
          <w:szCs w:val="24"/>
          <w:b w:val="1"/>
          <w:bCs w:val="1"/>
          <w:color w:val="auto"/>
        </w:rPr>
        <w:t xml:space="preserve">Provided that </w:t>
      </w:r>
      <w:r>
        <w:rPr>
          <w:rFonts w:ascii="Times New Roman" w:cs="Times New Roman" w:eastAsia="Times New Roman" w:hAnsi="Times New Roman"/>
          <w:sz w:val="24"/>
          <w:szCs w:val="24"/>
          <w:color w:val="auto"/>
        </w:rPr>
        <w:t>if the project is to be implemented in stages, the promoters’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contribution shall be with respect to total equity participation till the respective stage vis-à-vis the debt raised or proposed to be raised through the public issue.</w:t>
      </w:r>
    </w:p>
    <w:p>
      <w:pPr>
        <w:spacing w:after="0" w:line="20" w:lineRule="exact"/>
        <w:rPr>
          <w:sz w:val="20"/>
          <w:szCs w:val="20"/>
          <w:color w:val="auto"/>
        </w:rPr>
      </w:pPr>
    </w:p>
    <w:p>
      <w:pPr>
        <w:ind w:left="8" w:hanging="8"/>
        <w:spacing w:after="0" w:line="350" w:lineRule="auto"/>
        <w:tabs>
          <w:tab w:leader="none" w:pos="348" w:val="left"/>
        </w:tabs>
        <w:numPr>
          <w:ilvl w:val="0"/>
          <w:numId w:val="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promoters shall satisfy the requirements of this regulation at least one day prior to the date of opening of the issue.</w:t>
      </w:r>
    </w:p>
    <w:p>
      <w:pPr>
        <w:spacing w:after="0" w:line="10" w:lineRule="exact"/>
        <w:rPr>
          <w:rFonts w:ascii="Times New Roman" w:cs="Times New Roman" w:eastAsia="Times New Roman" w:hAnsi="Times New Roman"/>
          <w:sz w:val="24"/>
          <w:szCs w:val="24"/>
          <w:color w:val="auto"/>
        </w:rPr>
      </w:pPr>
    </w:p>
    <w:p>
      <w:pPr>
        <w:ind w:left="468" w:hanging="468"/>
        <w:spacing w:after="0"/>
        <w:tabs>
          <w:tab w:leader="none" w:pos="468" w:val="left"/>
        </w:tabs>
        <w:numPr>
          <w:ilvl w:val="0"/>
          <w:numId w:val="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the promoters have to subscribe to equity shares or convertible securities towards</w:t>
      </w:r>
    </w:p>
    <w:p>
      <w:pPr>
        <w:spacing w:after="0" w:line="151" w:lineRule="exact"/>
        <w:rPr>
          <w:sz w:val="20"/>
          <w:szCs w:val="20"/>
          <w:color w:val="auto"/>
        </w:rPr>
      </w:pPr>
    </w:p>
    <w:p>
      <w:pPr>
        <w:jc w:val="both"/>
        <w:ind w:left="8"/>
        <w:spacing w:after="0" w:line="354" w:lineRule="auto"/>
        <w:rPr>
          <w:sz w:val="20"/>
          <w:szCs w:val="20"/>
          <w:color w:val="auto"/>
        </w:rPr>
      </w:pPr>
      <w:r>
        <w:rPr>
          <w:rFonts w:ascii="Times New Roman" w:cs="Times New Roman" w:eastAsia="Times New Roman" w:hAnsi="Times New Roman"/>
          <w:sz w:val="24"/>
          <w:szCs w:val="24"/>
          <w:color w:val="auto"/>
        </w:rPr>
        <w:t>minimum promoters’ contribution, the amount of promoters’ contribution shall be kept in an escrow account with a scheduled commercial bank, which shall be released to the issuer along with the release of the issue proceeds:</w:t>
      </w:r>
    </w:p>
    <w:p>
      <w:pPr>
        <w:spacing w:after="0" w:line="20" w:lineRule="exact"/>
        <w:rPr>
          <w:sz w:val="20"/>
          <w:szCs w:val="20"/>
          <w:color w:val="auto"/>
        </w:rPr>
      </w:pPr>
    </w:p>
    <w:p>
      <w:pPr>
        <w:ind w:left="8"/>
        <w:spacing w:after="0" w:line="358" w:lineRule="auto"/>
        <w:rPr>
          <w:sz w:val="20"/>
          <w:szCs w:val="20"/>
          <w:color w:val="auto"/>
        </w:rPr>
      </w:pPr>
      <w:r>
        <w:rPr>
          <w:rFonts w:ascii="Times New Roman" w:cs="Times New Roman" w:eastAsia="Times New Roman" w:hAnsi="Times New Roman"/>
          <w:sz w:val="24"/>
          <w:szCs w:val="24"/>
          <w:color w:val="auto"/>
        </w:rPr>
        <w:t>Provided that where the promoters’ contribution has already been brought in and utilised, the issuer shall give the cash flow statement disclosing the use of such funds in the offer document; Provided further that where the minimum promoters’ contribution is more than one hundred crore rupees and the initial public offer is for partly paid shares, the promoters shall bring in at least one hundred crore rupees before the date of opening of the issue and the remaining amount may be brought on a pro-rata basis before the calls are made to the public.</w:t>
      </w:r>
    </w:p>
    <w:p>
      <w:pPr>
        <w:spacing w:after="0" w:line="200" w:lineRule="exact"/>
        <w:rPr>
          <w:sz w:val="20"/>
          <w:szCs w:val="20"/>
          <w:color w:val="auto"/>
        </w:rPr>
      </w:pPr>
    </w:p>
    <w:p>
      <w:pPr>
        <w:spacing w:after="0" w:line="217" w:lineRule="exact"/>
        <w:rPr>
          <w:sz w:val="20"/>
          <w:szCs w:val="20"/>
          <w:color w:val="auto"/>
        </w:rPr>
      </w:pPr>
    </w:p>
    <w:p>
      <w:pPr>
        <w:ind w:left="508" w:hanging="508"/>
        <w:spacing w:after="0"/>
        <w:tabs>
          <w:tab w:leader="none" w:pos="508" w:val="left"/>
        </w:tabs>
        <w:numPr>
          <w:ilvl w:val="0"/>
          <w:numId w:val="6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Promoters’ contribution shall be computed on the basis of the post-issue expanded capital:</w:t>
      </w:r>
    </w:p>
    <w:p>
      <w:pPr>
        <w:spacing w:after="0" w:line="136" w:lineRule="exact"/>
        <w:rPr>
          <w:rFonts w:ascii="Times New Roman" w:cs="Times New Roman" w:eastAsia="Times New Roman" w:hAnsi="Times New Roman"/>
          <w:sz w:val="24"/>
          <w:szCs w:val="24"/>
          <w:color w:val="auto"/>
        </w:rPr>
      </w:pPr>
    </w:p>
    <w:p>
      <w:pPr>
        <w:ind w:left="1008" w:hanging="504"/>
        <w:spacing w:after="0"/>
        <w:tabs>
          <w:tab w:leader="none" w:pos="1008" w:val="left"/>
        </w:tabs>
        <w:numPr>
          <w:ilvl w:val="1"/>
          <w:numId w:val="6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assuming full proposed conversion of convertible securities into equity shares;</w:t>
      </w:r>
    </w:p>
    <w:p>
      <w:pPr>
        <w:spacing w:after="0" w:line="151" w:lineRule="exact"/>
        <w:rPr>
          <w:rFonts w:ascii="Times New Roman" w:cs="Times New Roman" w:eastAsia="Times New Roman" w:hAnsi="Times New Roman"/>
          <w:sz w:val="24"/>
          <w:szCs w:val="24"/>
          <w:color w:val="auto"/>
        </w:rPr>
      </w:pPr>
    </w:p>
    <w:p>
      <w:pPr>
        <w:jc w:val="both"/>
        <w:ind w:left="1008" w:hanging="504"/>
        <w:spacing w:after="0" w:line="348" w:lineRule="auto"/>
        <w:tabs>
          <w:tab w:leader="none" w:pos="1008" w:val="left"/>
        </w:tabs>
        <w:numPr>
          <w:ilvl w:val="1"/>
          <w:numId w:val="6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assuming exercise of all vested options, where any employee stock options are outstanding at the time of initial public offer in terms of proviso (a) to sub-regulation</w:t>
      </w:r>
    </w:p>
    <w:p>
      <w:pPr>
        <w:spacing w:after="0" w:line="15" w:lineRule="exact"/>
        <w:rPr>
          <w:sz w:val="20"/>
          <w:szCs w:val="20"/>
          <w:color w:val="auto"/>
        </w:rPr>
      </w:pPr>
    </w:p>
    <w:p>
      <w:pPr>
        <w:ind w:left="1008"/>
        <w:spacing w:after="0"/>
        <w:rPr>
          <w:sz w:val="20"/>
          <w:szCs w:val="20"/>
          <w:color w:val="auto"/>
        </w:rPr>
      </w:pPr>
      <w:r>
        <w:rPr>
          <w:rFonts w:ascii="Times New Roman" w:cs="Times New Roman" w:eastAsia="Times New Roman" w:hAnsi="Times New Roman"/>
          <w:sz w:val="24"/>
          <w:szCs w:val="24"/>
          <w:color w:val="auto"/>
        </w:rPr>
        <w:t>(2) of regulation 5.</w:t>
      </w:r>
    </w:p>
    <w:p>
      <w:pPr>
        <w:spacing w:after="0" w:line="136" w:lineRule="exact"/>
        <w:rPr>
          <w:sz w:val="20"/>
          <w:szCs w:val="20"/>
          <w:color w:val="auto"/>
        </w:rPr>
      </w:pPr>
    </w:p>
    <w:p>
      <w:pPr>
        <w:ind w:left="508" w:hanging="508"/>
        <w:spacing w:after="0"/>
        <w:tabs>
          <w:tab w:leader="none" w:pos="508" w:val="left"/>
        </w:tabs>
        <w:numPr>
          <w:ilvl w:val="0"/>
          <w:numId w:val="6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For computation of “weighted average price”:</w:t>
      </w:r>
    </w:p>
    <w:p>
      <w:pPr>
        <w:spacing w:after="0" w:line="151" w:lineRule="exact"/>
        <w:rPr>
          <w:rFonts w:ascii="Times New Roman" w:cs="Times New Roman" w:eastAsia="Times New Roman" w:hAnsi="Times New Roman"/>
          <w:sz w:val="24"/>
          <w:szCs w:val="24"/>
          <w:color w:val="auto"/>
        </w:rPr>
      </w:pPr>
    </w:p>
    <w:p>
      <w:pPr>
        <w:ind w:left="1008" w:hanging="504"/>
        <w:spacing w:after="0" w:line="348" w:lineRule="auto"/>
        <w:tabs>
          <w:tab w:leader="none" w:pos="1008" w:val="left"/>
        </w:tabs>
        <w:numPr>
          <w:ilvl w:val="1"/>
          <w:numId w:val="6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“weight” means the number of equity shares arising out of conversion of such specified securities into equity shares at various stages;</w:t>
      </w:r>
    </w:p>
    <w:p>
      <w:pPr>
        <w:spacing w:after="0" w:line="28" w:lineRule="exact"/>
        <w:rPr>
          <w:rFonts w:ascii="Times New Roman" w:cs="Times New Roman" w:eastAsia="Times New Roman" w:hAnsi="Times New Roman"/>
          <w:sz w:val="24"/>
          <w:szCs w:val="24"/>
          <w:color w:val="auto"/>
        </w:rPr>
      </w:pPr>
    </w:p>
    <w:p>
      <w:pPr>
        <w:ind w:left="1008" w:hanging="504"/>
        <w:spacing w:after="0" w:line="348" w:lineRule="auto"/>
        <w:tabs>
          <w:tab w:leader="none" w:pos="1008" w:val="left"/>
        </w:tabs>
        <w:numPr>
          <w:ilvl w:val="1"/>
          <w:numId w:val="6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“price” means the price of equity shares on conversion arrived at after taking into account the predetermined conversion price at various stages.</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Securities ineligible for minimum promoters’ contribution</w:t>
      </w:r>
    </w:p>
    <w:p>
      <w:pPr>
        <w:spacing w:after="0" w:line="147" w:lineRule="exact"/>
        <w:rPr>
          <w:sz w:val="20"/>
          <w:szCs w:val="20"/>
          <w:color w:val="auto"/>
        </w:rPr>
      </w:pPr>
    </w:p>
    <w:p>
      <w:pPr>
        <w:ind w:left="8" w:hanging="8"/>
        <w:spacing w:after="0" w:line="348" w:lineRule="auto"/>
        <w:tabs>
          <w:tab w:leader="none" w:pos="437" w:val="left"/>
        </w:tabs>
        <w:numPr>
          <w:ilvl w:val="0"/>
          <w:numId w:val="6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For the computation of minimum promoters’ contribution, the following specified securities shall not be eligible:</w:t>
      </w:r>
    </w:p>
    <w:p>
      <w:pPr>
        <w:spacing w:after="0" w:line="15" w:lineRule="exact"/>
        <w:rPr>
          <w:rFonts w:ascii="Times New Roman" w:cs="Times New Roman" w:eastAsia="Times New Roman" w:hAnsi="Times New Roman"/>
          <w:sz w:val="24"/>
          <w:szCs w:val="24"/>
          <w:b w:val="1"/>
          <w:bCs w:val="1"/>
          <w:color w:val="auto"/>
        </w:rPr>
      </w:pPr>
    </w:p>
    <w:p>
      <w:pPr>
        <w:ind w:left="1228" w:hanging="508"/>
        <w:spacing w:after="0"/>
        <w:tabs>
          <w:tab w:leader="none" w:pos="1228" w:val="left"/>
        </w:tabs>
        <w:numPr>
          <w:ilvl w:val="1"/>
          <w:numId w:val="6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specified securities acquired during the preceding three years, if these are:</w:t>
      </w:r>
    </w:p>
    <w:p>
      <w:pPr>
        <w:spacing w:after="0" w:line="149" w:lineRule="exact"/>
        <w:rPr>
          <w:rFonts w:ascii="Times New Roman" w:cs="Times New Roman" w:eastAsia="Times New Roman" w:hAnsi="Times New Roman"/>
          <w:sz w:val="24"/>
          <w:szCs w:val="24"/>
          <w:color w:val="auto"/>
        </w:rPr>
      </w:pPr>
    </w:p>
    <w:p>
      <w:pPr>
        <w:ind w:left="1728" w:hanging="504"/>
        <w:spacing w:after="0" w:line="350" w:lineRule="auto"/>
        <w:tabs>
          <w:tab w:leader="none" w:pos="2088" w:val="left"/>
        </w:tabs>
        <w:numPr>
          <w:ilvl w:val="2"/>
          <w:numId w:val="6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acquired for consideration other than cash and revaluation of assets or capitalisation of intangible assets is involved in such transaction; or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21</w:t>
      </w:r>
    </w:p>
    <w:p>
      <w:pPr>
        <w:sectPr>
          <w:pgSz w:w="11900" w:h="16836" w:orient="portrait"/>
          <w:cols w:equalWidth="0" w:num="1">
            <w:col w:w="9468"/>
          </w:cols>
          <w:pgMar w:left="1152" w:top="1156" w:right="1284" w:bottom="103" w:gutter="0" w:footer="0" w:header="0"/>
        </w:sectPr>
      </w:pPr>
    </w:p>
    <w:bookmarkStart w:id="21" w:name="page22"/>
    <w:bookmarkEnd w:id="21"/>
    <w:p>
      <w:pPr>
        <w:jc w:val="both"/>
        <w:ind w:left="1440" w:hanging="504"/>
        <w:spacing w:after="0" w:line="354" w:lineRule="auto"/>
        <w:tabs>
          <w:tab w:leader="none" w:pos="1440" w:val="left"/>
        </w:tabs>
        <w:numPr>
          <w:ilvl w:val="1"/>
          <w:numId w:val="7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resulting from a bonus issue by utilisation of revaluation reserves or unrealised profits of the issuer or from bonus issue against equity shares which are ineligible for minimum promoters’ contribution;</w:t>
      </w:r>
    </w:p>
    <w:p>
      <w:pPr>
        <w:spacing w:after="0" w:line="20" w:lineRule="exact"/>
        <w:rPr>
          <w:rFonts w:ascii="Times New Roman" w:cs="Times New Roman" w:eastAsia="Times New Roman" w:hAnsi="Times New Roman"/>
          <w:sz w:val="24"/>
          <w:szCs w:val="24"/>
          <w:color w:val="auto"/>
        </w:rPr>
      </w:pPr>
    </w:p>
    <w:p>
      <w:pPr>
        <w:jc w:val="both"/>
        <w:ind w:left="940" w:hanging="508"/>
        <w:spacing w:after="0" w:line="358" w:lineRule="auto"/>
        <w:tabs>
          <w:tab w:leader="none" w:pos="940" w:val="left"/>
        </w:tabs>
        <w:numPr>
          <w:ilvl w:val="0"/>
          <w:numId w:val="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specified securities acquired by the promoters and alternative investment funds or foreign venture capital investors or scheduled commercial banks or public financial institutions or insurance companies registered with Insurance Regulatory and Development Authority of India, during the preceding one year at a price lower than the price at which specified securities are being offered to the public in the initial public offer:</w:t>
      </w:r>
    </w:p>
    <w:p>
      <w:pPr>
        <w:spacing w:after="0" w:line="2" w:lineRule="exact"/>
        <w:rPr>
          <w:rFonts w:ascii="Times New Roman" w:cs="Times New Roman" w:eastAsia="Times New Roman" w:hAnsi="Times New Roman"/>
          <w:sz w:val="24"/>
          <w:szCs w:val="24"/>
          <w:color w:val="auto"/>
        </w:rPr>
      </w:pPr>
    </w:p>
    <w:p>
      <w:pPr>
        <w:ind w:left="1000"/>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nothing contained in this clause shall apply:</w:t>
      </w:r>
    </w:p>
    <w:p>
      <w:pPr>
        <w:spacing w:after="0" w:line="151" w:lineRule="exact"/>
        <w:rPr>
          <w:rFonts w:ascii="Times New Roman" w:cs="Times New Roman" w:eastAsia="Times New Roman" w:hAnsi="Times New Roman"/>
          <w:sz w:val="24"/>
          <w:szCs w:val="24"/>
          <w:color w:val="auto"/>
        </w:rPr>
      </w:pPr>
    </w:p>
    <w:p>
      <w:pPr>
        <w:jc w:val="both"/>
        <w:ind w:left="1440" w:hanging="504"/>
        <w:spacing w:after="0" w:line="348" w:lineRule="auto"/>
        <w:tabs>
          <w:tab w:leader="none" w:pos="1873" w:val="left"/>
        </w:tabs>
        <w:numPr>
          <w:ilvl w:val="1"/>
          <w:numId w:val="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promoters and alternative investment funds, as applicable, pay to the issuer the difference between the price at which the specified securities are</w:t>
      </w:r>
    </w:p>
    <w:p>
      <w:pPr>
        <w:spacing w:after="0" w:line="28" w:lineRule="exact"/>
        <w:rPr>
          <w:sz w:val="20"/>
          <w:szCs w:val="20"/>
          <w:color w:val="auto"/>
        </w:rPr>
      </w:pPr>
    </w:p>
    <w:p>
      <w:pPr>
        <w:ind w:left="1440"/>
        <w:spacing w:after="0" w:line="348" w:lineRule="auto"/>
        <w:rPr>
          <w:sz w:val="20"/>
          <w:szCs w:val="20"/>
          <w:color w:val="auto"/>
        </w:rPr>
      </w:pPr>
      <w:r>
        <w:rPr>
          <w:rFonts w:ascii="Times New Roman" w:cs="Times New Roman" w:eastAsia="Times New Roman" w:hAnsi="Times New Roman"/>
          <w:sz w:val="24"/>
          <w:szCs w:val="24"/>
          <w:color w:val="auto"/>
        </w:rPr>
        <w:t>offered in the initial public offer and the price at which the specified securities had been acquired;</w:t>
      </w:r>
    </w:p>
    <w:p>
      <w:pPr>
        <w:spacing w:after="0" w:line="28" w:lineRule="exact"/>
        <w:rPr>
          <w:sz w:val="20"/>
          <w:szCs w:val="20"/>
          <w:color w:val="auto"/>
        </w:rPr>
      </w:pPr>
    </w:p>
    <w:p>
      <w:pPr>
        <w:jc w:val="both"/>
        <w:ind w:left="1440" w:hanging="504"/>
        <w:spacing w:after="0" w:line="357" w:lineRule="auto"/>
        <w:tabs>
          <w:tab w:leader="none" w:pos="1440" w:val="left"/>
        </w:tabs>
        <w:numPr>
          <w:ilvl w:val="1"/>
          <w:numId w:val="7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such specified securities are acquired in terms of the scheme under sections 391 to 394 of the Companies Act, 1956 or sections 230 to 234 of the Companies Act, 2013, as approved by a High Court or a tribunal or the Central Government, as applicable, by the promoters in lieu of business and invested capital that had been in existence for a period of more than one year prior to such approval;</w:t>
      </w:r>
    </w:p>
    <w:p>
      <w:pPr>
        <w:spacing w:after="0" w:line="21" w:lineRule="exact"/>
        <w:rPr>
          <w:rFonts w:ascii="Times New Roman" w:cs="Times New Roman" w:eastAsia="Times New Roman" w:hAnsi="Times New Roman"/>
          <w:sz w:val="24"/>
          <w:szCs w:val="24"/>
          <w:color w:val="auto"/>
        </w:rPr>
      </w:pPr>
    </w:p>
    <w:p>
      <w:pPr>
        <w:jc w:val="both"/>
        <w:ind w:left="1440" w:hanging="504"/>
        <w:spacing w:after="0" w:line="354" w:lineRule="auto"/>
        <w:tabs>
          <w:tab w:leader="none" w:pos="1440" w:val="left"/>
        </w:tabs>
        <w:numPr>
          <w:ilvl w:val="1"/>
          <w:numId w:val="7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to an initial public offer by a government company, statutory authority or corporation or any special purpose vehicle set up by any of them, which is engaged in the infrastructure sector;</w:t>
      </w:r>
    </w:p>
    <w:p>
      <w:pPr>
        <w:spacing w:after="0" w:line="20" w:lineRule="exact"/>
        <w:rPr>
          <w:rFonts w:ascii="Times New Roman" w:cs="Times New Roman" w:eastAsia="Times New Roman" w:hAnsi="Times New Roman"/>
          <w:sz w:val="24"/>
          <w:szCs w:val="24"/>
          <w:color w:val="auto"/>
        </w:rPr>
      </w:pPr>
    </w:p>
    <w:p>
      <w:pPr>
        <w:jc w:val="both"/>
        <w:ind w:left="940" w:hanging="508"/>
        <w:spacing w:after="0" w:line="358" w:lineRule="auto"/>
        <w:tabs>
          <w:tab w:leader="none" w:pos="940" w:val="left"/>
        </w:tabs>
        <w:numPr>
          <w:ilvl w:val="0"/>
          <w:numId w:val="7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specified securities allotted to the promoters and alternative investment funds during the preceding one year at a price less than the issue price, against funds brought in by them during that period, in case of an issuer formed by conversion of one or more partnership firms or limited liability partnerships, where the partners of the erstwhile partnership firms or limited liability partnerships are the promoters of the issuer and there is no change in the management:</w:t>
      </w:r>
    </w:p>
    <w:p>
      <w:pPr>
        <w:spacing w:after="0" w:line="14" w:lineRule="exact"/>
        <w:rPr>
          <w:rFonts w:ascii="Times New Roman" w:cs="Times New Roman" w:eastAsia="Times New Roman" w:hAnsi="Times New Roman"/>
          <w:sz w:val="24"/>
          <w:szCs w:val="24"/>
          <w:color w:val="auto"/>
        </w:rPr>
      </w:pPr>
    </w:p>
    <w:p>
      <w:pPr>
        <w:jc w:val="both"/>
        <w:ind w:left="940"/>
        <w:spacing w:after="0" w:line="35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specified securities, allotted to the promoters against the capital existing in such firms for a period of more than one year on a continuous basis, shall be eligible;</w:t>
      </w:r>
    </w:p>
    <w:p>
      <w:pPr>
        <w:spacing w:after="0" w:line="10" w:lineRule="exact"/>
        <w:rPr>
          <w:rFonts w:ascii="Times New Roman" w:cs="Times New Roman" w:eastAsia="Times New Roman" w:hAnsi="Times New Roman"/>
          <w:sz w:val="24"/>
          <w:szCs w:val="24"/>
          <w:color w:val="auto"/>
        </w:rPr>
      </w:pPr>
    </w:p>
    <w:p>
      <w:pPr>
        <w:ind w:left="940" w:hanging="508"/>
        <w:spacing w:after="0"/>
        <w:tabs>
          <w:tab w:leader="none" w:pos="940" w:val="left"/>
        </w:tabs>
        <w:numPr>
          <w:ilvl w:val="0"/>
          <w:numId w:val="7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specified securities pledged with any creditor.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22</w:t>
      </w:r>
    </w:p>
    <w:p>
      <w:pPr>
        <w:sectPr>
          <w:pgSz w:w="11900" w:h="16836" w:orient="portrait"/>
          <w:cols w:equalWidth="0" w:num="1">
            <w:col w:w="9180"/>
          </w:cols>
          <w:pgMar w:left="1440" w:top="1156" w:right="1284" w:bottom="103" w:gutter="0" w:footer="0" w:header="0"/>
        </w:sectPr>
      </w:pPr>
    </w:p>
    <w:bookmarkStart w:id="22" w:name="page23"/>
    <w:bookmarkEnd w:id="22"/>
    <w:p>
      <w:pPr>
        <w:ind w:left="788" w:hanging="788"/>
        <w:spacing w:after="0"/>
        <w:tabs>
          <w:tab w:leader="none" w:pos="788" w:val="left"/>
        </w:tabs>
        <w:numPr>
          <w:ilvl w:val="0"/>
          <w:numId w:val="7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Specified securities referred to in clauses (a) and (c) of sub-regulation (1) shall be eligible</w:t>
      </w:r>
    </w:p>
    <w:p>
      <w:pPr>
        <w:spacing w:after="0" w:line="149" w:lineRule="exact"/>
        <w:rPr>
          <w:sz w:val="20"/>
          <w:szCs w:val="20"/>
          <w:color w:val="auto"/>
        </w:rPr>
      </w:pPr>
    </w:p>
    <w:p>
      <w:pPr>
        <w:jc w:val="both"/>
        <w:ind w:left="8"/>
        <w:spacing w:after="0" w:line="356" w:lineRule="auto"/>
        <w:rPr>
          <w:sz w:val="20"/>
          <w:szCs w:val="20"/>
          <w:color w:val="auto"/>
        </w:rPr>
      </w:pPr>
      <w:r>
        <w:rPr>
          <w:rFonts w:ascii="Times New Roman" w:cs="Times New Roman" w:eastAsia="Times New Roman" w:hAnsi="Times New Roman"/>
          <w:sz w:val="24"/>
          <w:szCs w:val="24"/>
          <w:color w:val="auto"/>
        </w:rPr>
        <w:t>for the computation of promoters’ contribution if such securities are acquired pursuant to a scheme which has been approved by a High Court under the sections 391 to 394 of the Companies Act, 1956 or approved by a tribunal or the Central Government under sections 230 to 234 of the Companies Act, 2013.</w:t>
      </w:r>
    </w:p>
    <w:p>
      <w:pPr>
        <w:spacing w:after="0" w:line="200" w:lineRule="exact"/>
        <w:rPr>
          <w:sz w:val="20"/>
          <w:szCs w:val="20"/>
          <w:color w:val="auto"/>
        </w:rPr>
      </w:pPr>
    </w:p>
    <w:p>
      <w:pPr>
        <w:spacing w:after="0" w:line="226"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IV: LOCK-IN AND RESTRICTIONS ON TRANSFERABILITY</w:t>
      </w:r>
    </w:p>
    <w:p>
      <w:pPr>
        <w:spacing w:after="0" w:line="200" w:lineRule="exact"/>
        <w:rPr>
          <w:sz w:val="20"/>
          <w:szCs w:val="20"/>
          <w:color w:val="auto"/>
        </w:rPr>
      </w:pPr>
    </w:p>
    <w:p>
      <w:pPr>
        <w:spacing w:after="0" w:line="35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Lock-in of specified securities held by the promoters</w:t>
      </w:r>
    </w:p>
    <w:p>
      <w:pPr>
        <w:spacing w:after="0" w:line="136" w:lineRule="exact"/>
        <w:rPr>
          <w:sz w:val="20"/>
          <w:szCs w:val="20"/>
          <w:color w:val="auto"/>
        </w:rPr>
      </w:pPr>
    </w:p>
    <w:p>
      <w:pPr>
        <w:jc w:val="both"/>
        <w:ind w:left="8"/>
        <w:spacing w:after="0" w:line="277" w:lineRule="auto"/>
        <w:rPr>
          <w:sz w:val="20"/>
          <w:szCs w:val="20"/>
          <w:color w:val="auto"/>
        </w:rPr>
      </w:pPr>
      <w:r>
        <w:rPr>
          <w:rFonts w:ascii="Times New Roman" w:cs="Times New Roman" w:eastAsia="Times New Roman" w:hAnsi="Times New Roman"/>
          <w:sz w:val="24"/>
          <w:szCs w:val="24"/>
          <w:b w:val="1"/>
          <w:bCs w:val="1"/>
          <w:color w:val="auto"/>
        </w:rPr>
        <w:t xml:space="preserve">16. </w:t>
      </w:r>
      <w:r>
        <w:rPr>
          <w:rFonts w:ascii="Times New Roman" w:cs="Times New Roman" w:eastAsia="Times New Roman" w:hAnsi="Times New Roman"/>
          <w:sz w:val="32"/>
          <w:szCs w:val="32"/>
          <w:b w:val="1"/>
          <w:bCs w:val="1"/>
          <w:color w:val="auto"/>
          <w:vertAlign w:val="superscript"/>
        </w:rPr>
        <w:t>14</w:t>
      </w:r>
      <w:r>
        <w:rPr>
          <w:rFonts w:ascii="Times New Roman" w:cs="Times New Roman" w:eastAsia="Times New Roman" w:hAnsi="Times New Roman"/>
          <w:sz w:val="24"/>
          <w:szCs w:val="24"/>
          <w:color w:val="auto"/>
        </w:rPr>
        <w:t>[(1)] The specified securities held by the promoters shall not be transferable (hereinafter</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referred to as “lock-in”) for the periods as stipulated hereunder:</w:t>
      </w:r>
    </w:p>
    <w:p>
      <w:pPr>
        <w:spacing w:after="0" w:line="93" w:lineRule="exact"/>
        <w:rPr>
          <w:sz w:val="20"/>
          <w:szCs w:val="20"/>
          <w:color w:val="auto"/>
        </w:rPr>
      </w:pPr>
    </w:p>
    <w:p>
      <w:pPr>
        <w:jc w:val="both"/>
        <w:ind w:left="548" w:hanging="548"/>
        <w:spacing w:after="0" w:line="355" w:lineRule="auto"/>
        <w:tabs>
          <w:tab w:leader="none" w:pos="548" w:val="left"/>
        </w:tabs>
        <w:numPr>
          <w:ilvl w:val="0"/>
          <w:numId w:val="75"/>
        </w:numPr>
        <w:rPr>
          <w:rFonts w:ascii="Calibri" w:cs="Calibri" w:eastAsia="Calibri" w:hAnsi="Calibri"/>
          <w:sz w:val="22"/>
          <w:szCs w:val="22"/>
          <w:color w:val="auto"/>
        </w:rPr>
      </w:pPr>
      <w:r>
        <w:rPr>
          <w:rFonts w:ascii="Times New Roman" w:cs="Times New Roman" w:eastAsia="Times New Roman" w:hAnsi="Times New Roman"/>
          <w:sz w:val="24"/>
          <w:szCs w:val="24"/>
          <w:color w:val="auto"/>
        </w:rPr>
        <w:t>minimum promoters’ contribution including contribution made by alternative investment funds or foreign venture capital investors or scheduled commercial banks or public financial institutions or insurance companies registered with Insurance Regulatory and Development Authority of India referred to in proviso to sub-regulation (1) of regulation 14, shall be locked-in for a period of three years from the date of commencement of commercial</w:t>
      </w:r>
    </w:p>
    <w:p>
      <w:pPr>
        <w:spacing w:after="0" w:line="8" w:lineRule="exact"/>
        <w:rPr>
          <w:sz w:val="20"/>
          <w:szCs w:val="20"/>
          <w:color w:val="auto"/>
        </w:rPr>
      </w:pPr>
    </w:p>
    <w:p>
      <w:pPr>
        <w:ind w:left="548"/>
        <w:spacing w:after="0"/>
        <w:rPr>
          <w:sz w:val="20"/>
          <w:szCs w:val="20"/>
          <w:color w:val="auto"/>
        </w:rPr>
      </w:pPr>
      <w:r>
        <w:rPr>
          <w:rFonts w:ascii="Times New Roman" w:cs="Times New Roman" w:eastAsia="Times New Roman" w:hAnsi="Times New Roman"/>
          <w:sz w:val="24"/>
          <w:szCs w:val="24"/>
          <w:color w:val="auto"/>
        </w:rPr>
        <w:t>production or date of allotment in the initial public offer, whichever is later;</w:t>
      </w:r>
    </w:p>
    <w:p>
      <w:pPr>
        <w:spacing w:after="0" w:line="137" w:lineRule="exact"/>
        <w:rPr>
          <w:sz w:val="20"/>
          <w:szCs w:val="20"/>
          <w:color w:val="auto"/>
        </w:rPr>
      </w:pPr>
    </w:p>
    <w:p>
      <w:pPr>
        <w:ind w:left="548" w:hanging="548"/>
        <w:spacing w:after="0"/>
        <w:tabs>
          <w:tab w:leader="none" w:pos="548" w:val="left"/>
        </w:tabs>
        <w:numPr>
          <w:ilvl w:val="0"/>
          <w:numId w:val="7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promoters’ holding in excess of minimum promoters’ contribution shall be locked-in for a</w:t>
      </w:r>
    </w:p>
    <w:p>
      <w:pPr>
        <w:spacing w:after="0" w:line="139" w:lineRule="exact"/>
        <w:rPr>
          <w:sz w:val="20"/>
          <w:szCs w:val="20"/>
          <w:color w:val="auto"/>
        </w:rPr>
      </w:pPr>
    </w:p>
    <w:p>
      <w:pPr>
        <w:ind w:left="548"/>
        <w:spacing w:after="0"/>
        <w:rPr>
          <w:sz w:val="20"/>
          <w:szCs w:val="20"/>
          <w:color w:val="auto"/>
        </w:rPr>
      </w:pPr>
      <w:r>
        <w:rPr>
          <w:rFonts w:ascii="Times New Roman" w:cs="Times New Roman" w:eastAsia="Times New Roman" w:hAnsi="Times New Roman"/>
          <w:sz w:val="24"/>
          <w:szCs w:val="24"/>
          <w:color w:val="auto"/>
        </w:rPr>
        <w:t>period of one year from the date of allotment in the initial public offer.</w:t>
      </w:r>
    </w:p>
    <w:p>
      <w:pPr>
        <w:spacing w:after="0" w:line="149" w:lineRule="exact"/>
        <w:rPr>
          <w:sz w:val="20"/>
          <w:szCs w:val="20"/>
          <w:color w:val="auto"/>
        </w:rPr>
      </w:pPr>
    </w:p>
    <w:p>
      <w:pPr>
        <w:jc w:val="both"/>
        <w:ind w:left="8"/>
        <w:spacing w:after="0" w:line="356" w:lineRule="auto"/>
        <w:rPr>
          <w:sz w:val="20"/>
          <w:szCs w:val="20"/>
          <w:color w:val="auto"/>
        </w:rPr>
      </w:pPr>
      <w:r>
        <w:rPr>
          <w:rFonts w:ascii="Times New Roman" w:cs="Times New Roman" w:eastAsia="Times New Roman" w:hAnsi="Times New Roman"/>
          <w:sz w:val="24"/>
          <w:szCs w:val="24"/>
          <w:b w:val="1"/>
          <w:bCs w:val="1"/>
          <w:color w:val="auto"/>
        </w:rPr>
        <w:t xml:space="preserve">Explanation: </w:t>
      </w:r>
      <w:r>
        <w:rPr>
          <w:rFonts w:ascii="Times New Roman" w:cs="Times New Roman" w:eastAsia="Times New Roman" w:hAnsi="Times New Roman"/>
          <w:sz w:val="24"/>
          <w:szCs w:val="24"/>
          <w:color w:val="auto"/>
        </w:rPr>
        <w:t>For the purposes of this clause, the expression "date of commencement of</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commercial production" means the last date of the month in which commercial production of the project in respect of which the funds raised are proposed to be utilised as stated in the offer document, is expected to commence.</w:t>
      </w:r>
    </w:p>
    <w:p>
      <w:pPr>
        <w:spacing w:after="0" w:line="200" w:lineRule="exact"/>
        <w:rPr>
          <w:sz w:val="20"/>
          <w:szCs w:val="20"/>
          <w:color w:val="auto"/>
        </w:rPr>
      </w:pPr>
    </w:p>
    <w:p>
      <w:pPr>
        <w:spacing w:after="0" w:line="214" w:lineRule="exact"/>
        <w:rPr>
          <w:sz w:val="20"/>
          <w:szCs w:val="20"/>
          <w:color w:val="auto"/>
        </w:rPr>
      </w:pPr>
    </w:p>
    <w:p>
      <w:pPr>
        <w:jc w:val="both"/>
        <w:ind w:left="8"/>
        <w:spacing w:after="0" w:line="311" w:lineRule="auto"/>
        <w:rPr>
          <w:sz w:val="20"/>
          <w:szCs w:val="20"/>
          <w:color w:val="auto"/>
        </w:rPr>
      </w:pPr>
      <w:r>
        <w:rPr>
          <w:rFonts w:ascii="Times New Roman" w:cs="Times New Roman" w:eastAsia="Times New Roman" w:hAnsi="Times New Roman"/>
          <w:sz w:val="32"/>
          <w:szCs w:val="32"/>
          <w:color w:val="auto"/>
          <w:vertAlign w:val="superscript"/>
        </w:rPr>
        <w:t>15</w:t>
      </w:r>
      <w:r>
        <w:rPr>
          <w:rFonts w:ascii="Times New Roman" w:cs="Times New Roman" w:eastAsia="Times New Roman" w:hAnsi="Times New Roman"/>
          <w:sz w:val="24"/>
          <w:szCs w:val="24"/>
          <w:color w:val="auto"/>
        </w:rPr>
        <w:t>[(2) The SR equity shares shall be under lock-in until conversion into equity shares having voting rights same as that of ordinary shares or shall be locked-in for a period specified in sub-regulations (1), whichever is later.]</w:t>
      </w:r>
    </w:p>
    <w:p>
      <w:pPr>
        <w:spacing w:after="0" w:line="29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Lock-in of specified securities held by persons other than the promoters</w:t>
      </w:r>
    </w:p>
    <w:p>
      <w:pPr>
        <w:spacing w:after="0" w:line="144" w:lineRule="exact"/>
        <w:rPr>
          <w:sz w:val="20"/>
          <w:szCs w:val="20"/>
          <w:color w:val="auto"/>
        </w:rPr>
      </w:pPr>
    </w:p>
    <w:p>
      <w:pPr>
        <w:ind w:left="8" w:hanging="8"/>
        <w:spacing w:after="0" w:line="350" w:lineRule="auto"/>
        <w:tabs>
          <w:tab w:leader="none" w:pos="452" w:val="left"/>
        </w:tabs>
        <w:numPr>
          <w:ilvl w:val="0"/>
          <w:numId w:val="7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entire pre-issue capital held by persons other than the promoters shall be locked-in for a period of one year from the date of allotment in the initial public offer:</w:t>
      </w:r>
    </w:p>
    <w:p>
      <w:pPr>
        <w:spacing w:after="0" w:line="11" w:lineRule="exact"/>
        <w:rPr>
          <w:rFonts w:ascii="Times New Roman" w:cs="Times New Roman" w:eastAsia="Times New Roman" w:hAnsi="Times New Roman"/>
          <w:sz w:val="24"/>
          <w:szCs w:val="24"/>
          <w:b w:val="1"/>
          <w:bCs w:val="1"/>
          <w:color w:val="auto"/>
        </w:rPr>
      </w:pPr>
    </w:p>
    <w:p>
      <w:pPr>
        <w:ind w:left="8"/>
        <w:spacing w:after="0"/>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nothing contained in this regulation shall apply to:</w:t>
      </w: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ind w:left="8" w:hanging="8"/>
        <w:spacing w:after="0" w:line="203" w:lineRule="auto"/>
        <w:tabs>
          <w:tab w:leader="none" w:pos="200" w:val="left"/>
        </w:tabs>
        <w:numPr>
          <w:ilvl w:val="0"/>
          <w:numId w:val="78"/>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Re-numbered by the SEBI (Issue of Capital and Disclosure Requirements) (Third Amendment) Regulations, 2019 w.e.f.29.07.2019.</w:t>
      </w:r>
    </w:p>
    <w:p>
      <w:pPr>
        <w:spacing w:after="0" w:line="13" w:lineRule="exact"/>
        <w:rPr>
          <w:rFonts w:ascii="Times New Roman" w:cs="Times New Roman" w:eastAsia="Times New Roman" w:hAnsi="Times New Roman"/>
          <w:sz w:val="26"/>
          <w:szCs w:val="26"/>
          <w:color w:val="auto"/>
          <w:vertAlign w:val="superscript"/>
        </w:rPr>
      </w:pPr>
    </w:p>
    <w:p>
      <w:pPr>
        <w:ind w:left="8" w:hanging="8"/>
        <w:spacing w:after="0" w:line="203" w:lineRule="auto"/>
        <w:tabs>
          <w:tab w:leader="none" w:pos="231" w:val="left"/>
        </w:tabs>
        <w:numPr>
          <w:ilvl w:val="0"/>
          <w:numId w:val="78"/>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Inserted by the SEBI (Issue of Capital and Disclosure Requirements) (Third Amendment) Regulations, 2019 w.e.f.29.07.2019.</w:t>
      </w:r>
    </w:p>
    <w:p>
      <w:pPr>
        <w:spacing w:after="0" w:line="30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23</w:t>
      </w:r>
    </w:p>
    <w:p>
      <w:pPr>
        <w:sectPr>
          <w:pgSz w:w="11900" w:h="16836" w:orient="portrait"/>
          <w:cols w:equalWidth="0" w:num="1">
            <w:col w:w="9468"/>
          </w:cols>
          <w:pgMar w:left="1152" w:top="1144" w:right="1284" w:bottom="103" w:gutter="0" w:footer="0" w:header="0"/>
        </w:sectPr>
      </w:pPr>
    </w:p>
    <w:bookmarkStart w:id="23" w:name="page24"/>
    <w:bookmarkEnd w:id="23"/>
    <w:p>
      <w:pPr>
        <w:jc w:val="both"/>
        <w:ind w:left="508" w:hanging="508"/>
        <w:spacing w:after="0" w:line="356" w:lineRule="auto"/>
        <w:tabs>
          <w:tab w:leader="none" w:pos="568" w:val="left"/>
        </w:tabs>
        <w:numPr>
          <w:ilvl w:val="0"/>
          <w:numId w:val="79"/>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 xml:space="preserve">equity shares allotted to employees, whether currently an employee or not, under an employee stock option or employee stock purchase scheme of the issuer prior to the initial public offer, if the issuer has made full disclosures with respect to such options or scheme in accordance with </w:t>
      </w:r>
      <w:r>
        <w:rPr>
          <w:rFonts w:ascii="Times New Roman" w:cs="Times New Roman" w:eastAsia="Times New Roman" w:hAnsi="Times New Roman"/>
          <w:sz w:val="24"/>
          <w:szCs w:val="24"/>
          <w:b w:val="1"/>
          <w:bCs w:val="1"/>
          <w:color w:val="auto"/>
        </w:rPr>
        <w:t>Part A</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 VI</w:t>
      </w:r>
      <w:r>
        <w:rPr>
          <w:rFonts w:ascii="Times New Roman" w:cs="Times New Roman" w:eastAsia="Times New Roman" w:hAnsi="Times New Roman"/>
          <w:sz w:val="24"/>
          <w:szCs w:val="24"/>
          <w:color w:val="auto"/>
        </w:rPr>
        <w:t>;</w:t>
      </w:r>
    </w:p>
    <w:p>
      <w:pPr>
        <w:spacing w:after="0" w:line="18" w:lineRule="exact"/>
        <w:rPr>
          <w:rFonts w:ascii="Times New Roman" w:cs="Times New Roman" w:eastAsia="Times New Roman" w:hAnsi="Times New Roman"/>
          <w:sz w:val="22"/>
          <w:szCs w:val="22"/>
          <w:color w:val="auto"/>
        </w:rPr>
      </w:pPr>
    </w:p>
    <w:p>
      <w:pPr>
        <w:jc w:val="both"/>
        <w:ind w:left="508" w:hanging="508"/>
        <w:spacing w:after="0" w:line="356" w:lineRule="auto"/>
        <w:tabs>
          <w:tab w:leader="none" w:pos="568" w:val="left"/>
        </w:tabs>
        <w:numPr>
          <w:ilvl w:val="0"/>
          <w:numId w:val="79"/>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equity shares held by an employee stock option trust or transferred to the employees by an employee stock option trust pursuant to exercise of options by the employees, whether currently employees or not, in accordance with the employee stock option plan or employee stock purchase scheme.</w:t>
      </w:r>
    </w:p>
    <w:p>
      <w:pPr>
        <w:spacing w:after="0" w:line="19" w:lineRule="exact"/>
        <w:rPr>
          <w:rFonts w:ascii="Times New Roman" w:cs="Times New Roman" w:eastAsia="Times New Roman" w:hAnsi="Times New Roman"/>
          <w:sz w:val="22"/>
          <w:szCs w:val="22"/>
          <w:color w:val="auto"/>
        </w:rPr>
      </w:pPr>
    </w:p>
    <w:p>
      <w:pPr>
        <w:jc w:val="both"/>
        <w:ind w:left="508"/>
        <w:spacing w:after="0" w:line="354" w:lineRule="auto"/>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Provided that the equity shares allotted to the employees shall be subject to the provisions of lock-in as specified under the Securities and Exchange Board of India (Share Based Employee Benefits) Regulations, 2014.</w:t>
      </w:r>
    </w:p>
    <w:p>
      <w:pPr>
        <w:spacing w:after="0" w:line="19" w:lineRule="exact"/>
        <w:rPr>
          <w:rFonts w:ascii="Times New Roman" w:cs="Times New Roman" w:eastAsia="Times New Roman" w:hAnsi="Times New Roman"/>
          <w:sz w:val="22"/>
          <w:szCs w:val="22"/>
          <w:color w:val="auto"/>
        </w:rPr>
      </w:pPr>
    </w:p>
    <w:p>
      <w:pPr>
        <w:ind w:left="508" w:hanging="508"/>
        <w:spacing w:after="0" w:line="350" w:lineRule="auto"/>
        <w:tabs>
          <w:tab w:leader="none" w:pos="568" w:val="left"/>
        </w:tabs>
        <w:numPr>
          <w:ilvl w:val="0"/>
          <w:numId w:val="79"/>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equity shares held by a venture capital fund or alternative investment fund of category I or Category II or a foreign venture capital investor:</w:t>
      </w:r>
    </w:p>
    <w:p>
      <w:pPr>
        <w:spacing w:after="0" w:line="23" w:lineRule="exact"/>
        <w:rPr>
          <w:rFonts w:ascii="Times New Roman" w:cs="Times New Roman" w:eastAsia="Times New Roman" w:hAnsi="Times New Roman"/>
          <w:sz w:val="22"/>
          <w:szCs w:val="22"/>
          <w:color w:val="auto"/>
        </w:rPr>
      </w:pPr>
    </w:p>
    <w:p>
      <w:pPr>
        <w:jc w:val="both"/>
        <w:ind w:left="508"/>
        <w:spacing w:after="0" w:line="354" w:lineRule="auto"/>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Provided that such equity shares shall be locked in for a period of at least one year from the date of purchase by the venture capital fund or alternative investment fund or foreign venture capital investor.</w:t>
      </w:r>
    </w:p>
    <w:p>
      <w:pPr>
        <w:spacing w:after="0" w:line="22" w:lineRule="exact"/>
        <w:rPr>
          <w:sz w:val="20"/>
          <w:szCs w:val="20"/>
          <w:color w:val="auto"/>
        </w:rPr>
      </w:pPr>
    </w:p>
    <w:p>
      <w:pPr>
        <w:jc w:val="both"/>
        <w:ind w:left="8"/>
        <w:spacing w:after="0" w:line="357" w:lineRule="auto"/>
        <w:rPr>
          <w:sz w:val="20"/>
          <w:szCs w:val="20"/>
          <w:color w:val="auto"/>
        </w:rPr>
      </w:pPr>
      <w:r>
        <w:rPr>
          <w:rFonts w:ascii="Times New Roman" w:cs="Times New Roman" w:eastAsia="Times New Roman" w:hAnsi="Times New Roman"/>
          <w:sz w:val="24"/>
          <w:szCs w:val="24"/>
          <w:b w:val="1"/>
          <w:bCs w:val="1"/>
          <w:color w:val="auto"/>
        </w:rPr>
        <w:t>Explanation</w:t>
      </w:r>
      <w:r>
        <w:rPr>
          <w:rFonts w:ascii="Times New Roman" w:cs="Times New Roman" w:eastAsia="Times New Roman" w:hAnsi="Times New Roman"/>
          <w:sz w:val="24"/>
          <w:szCs w:val="24"/>
          <w:color w:val="auto"/>
        </w:rPr>
        <w:t>: For the purpose of clause (c), in case such equity shares have resulted pursuant to</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conversion of fully paid-up compulsorily convertible securities, the holding period of such convertible securities as well as that of resultant equity shares together shall be considered for the purpose of calculation of one year period and convertible securities shall be deemed to be fully paid-up, if the entire consideration payable thereon has been paid and no further consideration is payable at the time of their conversion.</w:t>
      </w:r>
    </w:p>
    <w:p>
      <w:pPr>
        <w:spacing w:after="0" w:line="200" w:lineRule="exact"/>
        <w:rPr>
          <w:sz w:val="20"/>
          <w:szCs w:val="20"/>
          <w:color w:val="auto"/>
        </w:rPr>
      </w:pPr>
    </w:p>
    <w:p>
      <w:pPr>
        <w:spacing w:after="0" w:line="22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Lock-in of specified securities lent to stabilising agent under the green shoe option</w:t>
      </w:r>
    </w:p>
    <w:p>
      <w:pPr>
        <w:spacing w:after="0" w:line="147" w:lineRule="exact"/>
        <w:rPr>
          <w:sz w:val="20"/>
          <w:szCs w:val="20"/>
          <w:color w:val="auto"/>
        </w:rPr>
      </w:pPr>
    </w:p>
    <w:p>
      <w:pPr>
        <w:jc w:val="both"/>
        <w:ind w:left="8" w:hanging="8"/>
        <w:spacing w:after="0" w:line="356" w:lineRule="auto"/>
        <w:tabs>
          <w:tab w:leader="none" w:pos="562" w:val="left"/>
        </w:tabs>
        <w:numPr>
          <w:ilvl w:val="0"/>
          <w:numId w:val="8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lock-in provisions shall not apply with respect to the specified securities lent to stabilising agent for the purpose of green shoe option, during the period starting from the date of lending of such specified securities and ending on the date on which they are returned to the lender in terms of sub-regulation (5) or (6) of regulation 57:</w:t>
      </w:r>
    </w:p>
    <w:p>
      <w:pPr>
        <w:spacing w:after="0" w:line="18" w:lineRule="exact"/>
        <w:rPr>
          <w:rFonts w:ascii="Times New Roman" w:cs="Times New Roman" w:eastAsia="Times New Roman" w:hAnsi="Times New Roman"/>
          <w:sz w:val="24"/>
          <w:szCs w:val="24"/>
          <w:b w:val="1"/>
          <w:bCs w:val="1"/>
          <w:color w:val="auto"/>
        </w:rPr>
      </w:pPr>
    </w:p>
    <w:p>
      <w:pPr>
        <w:ind w:left="8"/>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the specified securities shall be locked-in for the remaining period from the date on which they are returned to the lender.</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Lock-in of party-paid securities</w:t>
      </w:r>
    </w:p>
    <w:p>
      <w:pPr>
        <w:spacing w:after="0" w:line="147" w:lineRule="exact"/>
        <w:rPr>
          <w:sz w:val="20"/>
          <w:szCs w:val="20"/>
          <w:color w:val="auto"/>
        </w:rPr>
      </w:pPr>
    </w:p>
    <w:p>
      <w:pPr>
        <w:jc w:val="both"/>
        <w:ind w:left="8" w:hanging="8"/>
        <w:spacing w:after="0" w:line="348" w:lineRule="auto"/>
        <w:tabs>
          <w:tab w:leader="none" w:pos="507" w:val="left"/>
        </w:tabs>
        <w:numPr>
          <w:ilvl w:val="0"/>
          <w:numId w:val="8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If the specified securities which are subject to lock-in are partly paid-up and the amount called-up on such specified securities is less than the amount called-up on the specified securities</w:t>
      </w: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24</w:t>
      </w:r>
    </w:p>
    <w:p>
      <w:pPr>
        <w:sectPr>
          <w:pgSz w:w="11900" w:h="16836" w:orient="portrait"/>
          <w:cols w:equalWidth="0" w:num="1">
            <w:col w:w="9468"/>
          </w:cols>
          <w:pgMar w:left="1152" w:top="1156" w:right="1284" w:bottom="103" w:gutter="0" w:footer="0" w:header="0"/>
        </w:sectPr>
      </w:pPr>
    </w:p>
    <w:bookmarkStart w:id="24" w:name="page25"/>
    <w:bookmarkEnd w:id="24"/>
    <w:p>
      <w:pPr>
        <w:ind w:left="8"/>
        <w:spacing w:after="0" w:line="348" w:lineRule="auto"/>
        <w:rPr>
          <w:sz w:val="20"/>
          <w:szCs w:val="20"/>
          <w:color w:val="auto"/>
        </w:rPr>
      </w:pPr>
      <w:r>
        <w:rPr>
          <w:rFonts w:ascii="Times New Roman" w:cs="Times New Roman" w:eastAsia="Times New Roman" w:hAnsi="Times New Roman"/>
          <w:sz w:val="24"/>
          <w:szCs w:val="24"/>
          <w:color w:val="auto"/>
        </w:rPr>
        <w:t>issued to the public, the lock-in shall end only on the expiry of three years after such specified securities have become pari passu with the specified securities issued to the public.</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Inscription or recording of non-transferability</w:t>
      </w:r>
    </w:p>
    <w:p>
      <w:pPr>
        <w:spacing w:after="0" w:line="134" w:lineRule="exact"/>
        <w:rPr>
          <w:sz w:val="20"/>
          <w:szCs w:val="20"/>
          <w:color w:val="auto"/>
        </w:rPr>
      </w:pPr>
    </w:p>
    <w:p>
      <w:pPr>
        <w:ind w:left="568" w:hanging="568"/>
        <w:spacing w:after="0"/>
        <w:tabs>
          <w:tab w:leader="none" w:pos="568" w:val="left"/>
        </w:tabs>
        <w:numPr>
          <w:ilvl w:val="0"/>
          <w:numId w:val="8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certificates  of  specified  securities  which  are  subject  to  lock-in  shall  contain  the</w:t>
      </w:r>
    </w:p>
    <w:p>
      <w:pPr>
        <w:spacing w:after="0" w:line="149" w:lineRule="exact"/>
        <w:rPr>
          <w:sz w:val="20"/>
          <w:szCs w:val="20"/>
          <w:color w:val="auto"/>
        </w:rPr>
      </w:pPr>
    </w:p>
    <w:p>
      <w:pPr>
        <w:ind w:left="8"/>
        <w:spacing w:after="0" w:line="350" w:lineRule="auto"/>
        <w:rPr>
          <w:sz w:val="20"/>
          <w:szCs w:val="20"/>
          <w:color w:val="auto"/>
        </w:rPr>
      </w:pPr>
      <w:r>
        <w:rPr>
          <w:rFonts w:ascii="Times New Roman" w:cs="Times New Roman" w:eastAsia="Times New Roman" w:hAnsi="Times New Roman"/>
          <w:sz w:val="24"/>
          <w:szCs w:val="24"/>
          <w:color w:val="auto"/>
        </w:rPr>
        <w:t>inscription “non-transferable” and specify the lock-in period and in case such specified securities are dematerialised, the issuer shall ensure that the lock-in is recorded by the depository.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Pledge of locked-in specified securities</w:t>
      </w:r>
    </w:p>
    <w:p>
      <w:pPr>
        <w:spacing w:after="0" w:line="124" w:lineRule="exact"/>
        <w:rPr>
          <w:sz w:val="20"/>
          <w:szCs w:val="20"/>
          <w:color w:val="auto"/>
        </w:rPr>
      </w:pPr>
    </w:p>
    <w:p>
      <w:pPr>
        <w:jc w:val="both"/>
        <w:ind w:left="8" w:hanging="8"/>
        <w:spacing w:after="0" w:line="326" w:lineRule="auto"/>
        <w:tabs>
          <w:tab w:leader="none" w:pos="437" w:val="left"/>
        </w:tabs>
        <w:numPr>
          <w:ilvl w:val="0"/>
          <w:numId w:val="8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Specified securities</w:t>
      </w:r>
      <w:r>
        <w:rPr>
          <w:rFonts w:ascii="Times New Roman" w:cs="Times New Roman" w:eastAsia="Times New Roman" w:hAnsi="Times New Roman"/>
          <w:sz w:val="32"/>
          <w:szCs w:val="32"/>
          <w:color w:val="auto"/>
          <w:vertAlign w:val="superscript"/>
        </w:rPr>
        <w:t>16</w:t>
      </w:r>
      <w:r>
        <w:rPr>
          <w:rFonts w:ascii="Times New Roman" w:cs="Times New Roman" w:eastAsia="Times New Roman" w:hAnsi="Times New Roman"/>
          <w:sz w:val="24"/>
          <w:szCs w:val="24"/>
          <w:color w:val="auto"/>
        </w:rPr>
        <w:t>[, except SR equity shares,] held by the promoters and locked-in may be pledged as a collateral security for a loan granted by a scheduled commercial bank or a public financial institution or a systemically important non-banking finance company or a housing finance company, subject to the following:</w:t>
      </w:r>
    </w:p>
    <w:p>
      <w:pPr>
        <w:spacing w:after="0" w:line="52" w:lineRule="exact"/>
        <w:rPr>
          <w:sz w:val="20"/>
          <w:szCs w:val="20"/>
          <w:color w:val="auto"/>
        </w:rPr>
      </w:pPr>
    </w:p>
    <w:p>
      <w:pPr>
        <w:jc w:val="both"/>
        <w:ind w:left="548" w:hanging="548"/>
        <w:spacing w:after="0" w:line="353" w:lineRule="auto"/>
        <w:tabs>
          <w:tab w:leader="none" w:pos="548" w:val="left"/>
        </w:tabs>
        <w:numPr>
          <w:ilvl w:val="0"/>
          <w:numId w:val="84"/>
        </w:numPr>
        <w:rPr>
          <w:rFonts w:ascii="Calibri" w:cs="Calibri" w:eastAsia="Calibri" w:hAnsi="Calibri"/>
          <w:sz w:val="22"/>
          <w:szCs w:val="22"/>
          <w:color w:val="auto"/>
        </w:rPr>
      </w:pPr>
      <w:r>
        <w:rPr>
          <w:rFonts w:ascii="Times New Roman" w:cs="Times New Roman" w:eastAsia="Times New Roman" w:hAnsi="Times New Roman"/>
          <w:sz w:val="24"/>
          <w:szCs w:val="24"/>
          <w:color w:val="auto"/>
        </w:rPr>
        <w:t>if the specified securities are locked-in in terms of clause (a) of regulation 16, the loan has been granted to the issuer company or its subsidiary(ies) for the purpose of financing one or more of the objects of the issue and pledge of specified securities is one of the terms of sanction of the loan;</w:t>
      </w:r>
    </w:p>
    <w:p>
      <w:pPr>
        <w:spacing w:after="0" w:line="2" w:lineRule="exact"/>
        <w:rPr>
          <w:rFonts w:ascii="Calibri" w:cs="Calibri" w:eastAsia="Calibri" w:hAnsi="Calibri"/>
          <w:sz w:val="22"/>
          <w:szCs w:val="22"/>
          <w:color w:val="auto"/>
        </w:rPr>
      </w:pPr>
    </w:p>
    <w:p>
      <w:pPr>
        <w:ind w:left="548" w:hanging="548"/>
        <w:spacing w:after="0"/>
        <w:tabs>
          <w:tab w:leader="none" w:pos="548" w:val="left"/>
        </w:tabs>
        <w:numPr>
          <w:ilvl w:val="0"/>
          <w:numId w:val="84"/>
        </w:numPr>
        <w:rPr>
          <w:rFonts w:ascii="Calibri" w:cs="Calibri" w:eastAsia="Calibri" w:hAnsi="Calibri"/>
          <w:sz w:val="22"/>
          <w:szCs w:val="22"/>
          <w:color w:val="auto"/>
        </w:rPr>
      </w:pPr>
      <w:r>
        <w:rPr>
          <w:rFonts w:ascii="Times New Roman" w:cs="Times New Roman" w:eastAsia="Times New Roman" w:hAnsi="Times New Roman"/>
          <w:sz w:val="24"/>
          <w:szCs w:val="24"/>
          <w:color w:val="auto"/>
        </w:rPr>
        <w:t>if the specified securities are locked-in in terms of clause (b) of regulation 16 and the pledge</w:t>
      </w:r>
    </w:p>
    <w:p>
      <w:pPr>
        <w:spacing w:after="0" w:line="139" w:lineRule="exact"/>
        <w:rPr>
          <w:sz w:val="20"/>
          <w:szCs w:val="20"/>
          <w:color w:val="auto"/>
        </w:rPr>
      </w:pPr>
    </w:p>
    <w:p>
      <w:pPr>
        <w:ind w:left="548"/>
        <w:spacing w:after="0"/>
        <w:rPr>
          <w:sz w:val="20"/>
          <w:szCs w:val="20"/>
          <w:color w:val="auto"/>
        </w:rPr>
      </w:pPr>
      <w:r>
        <w:rPr>
          <w:rFonts w:ascii="Times New Roman" w:cs="Times New Roman" w:eastAsia="Times New Roman" w:hAnsi="Times New Roman"/>
          <w:sz w:val="24"/>
          <w:szCs w:val="24"/>
          <w:color w:val="auto"/>
        </w:rPr>
        <w:t>of specified securities is one of the terms of sanction of the loan.</w:t>
      </w:r>
    </w:p>
    <w:p>
      <w:pPr>
        <w:spacing w:after="0" w:line="149" w:lineRule="exact"/>
        <w:rPr>
          <w:sz w:val="20"/>
          <w:szCs w:val="20"/>
          <w:color w:val="auto"/>
        </w:rPr>
      </w:pPr>
    </w:p>
    <w:p>
      <w:pPr>
        <w:jc w:val="both"/>
        <w:ind w:left="8"/>
        <w:spacing w:after="0" w:line="354" w:lineRule="auto"/>
        <w:rPr>
          <w:sz w:val="20"/>
          <w:szCs w:val="20"/>
          <w:color w:val="auto"/>
        </w:rPr>
      </w:pPr>
      <w:r>
        <w:rPr>
          <w:rFonts w:ascii="Times New Roman" w:cs="Times New Roman" w:eastAsia="Times New Roman" w:hAnsi="Times New Roman"/>
          <w:sz w:val="24"/>
          <w:szCs w:val="24"/>
          <w:color w:val="auto"/>
        </w:rPr>
        <w:t>Provided that such lock-in shall continue pursuant to the invocation of the pledge and such transferee shall not be eligible to transfer the specified securities till the lock-in period stipulated in these regulations has expired.</w:t>
      </w:r>
    </w:p>
    <w:p>
      <w:pPr>
        <w:spacing w:after="0" w:line="200" w:lineRule="exact"/>
        <w:rPr>
          <w:sz w:val="20"/>
          <w:szCs w:val="20"/>
          <w:color w:val="auto"/>
        </w:rPr>
      </w:pPr>
    </w:p>
    <w:p>
      <w:pPr>
        <w:spacing w:after="0" w:line="22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Transferability of locked-in specified securities</w:t>
      </w:r>
    </w:p>
    <w:p>
      <w:pPr>
        <w:spacing w:after="0" w:line="134" w:lineRule="exact"/>
        <w:rPr>
          <w:sz w:val="20"/>
          <w:szCs w:val="20"/>
          <w:color w:val="auto"/>
        </w:rPr>
      </w:pPr>
    </w:p>
    <w:p>
      <w:pPr>
        <w:ind w:left="448" w:hanging="448"/>
        <w:spacing w:after="0"/>
        <w:tabs>
          <w:tab w:leader="none" w:pos="448" w:val="left"/>
        </w:tabs>
        <w:numPr>
          <w:ilvl w:val="0"/>
          <w:numId w:val="8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Subject to the provisions of Securities and Exchange Board of India (Substantial Acquisition</w:t>
      </w:r>
    </w:p>
    <w:p>
      <w:pPr>
        <w:spacing w:after="0" w:line="129" w:lineRule="exact"/>
        <w:rPr>
          <w:rFonts w:ascii="Times New Roman" w:cs="Times New Roman" w:eastAsia="Times New Roman" w:hAnsi="Times New Roman"/>
          <w:sz w:val="24"/>
          <w:szCs w:val="24"/>
          <w:b w:val="1"/>
          <w:bCs w:val="1"/>
          <w:color w:val="auto"/>
        </w:rPr>
      </w:pPr>
    </w:p>
    <w:p>
      <w:pPr>
        <w:jc w:val="both"/>
        <w:ind w:left="8"/>
        <w:spacing w:after="0" w:line="326"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of shares and Takeovers) Regulations, 2011, the specified securities</w:t>
      </w:r>
      <w:r>
        <w:rPr>
          <w:rFonts w:ascii="Times New Roman" w:cs="Times New Roman" w:eastAsia="Times New Roman" w:hAnsi="Times New Roman"/>
          <w:sz w:val="32"/>
          <w:szCs w:val="32"/>
          <w:color w:val="auto"/>
          <w:vertAlign w:val="superscript"/>
        </w:rPr>
        <w:t>17</w:t>
      </w:r>
      <w:r>
        <w:rPr>
          <w:rFonts w:ascii="Times New Roman" w:cs="Times New Roman" w:eastAsia="Times New Roman" w:hAnsi="Times New Roman"/>
          <w:sz w:val="24"/>
          <w:szCs w:val="24"/>
          <w:color w:val="auto"/>
        </w:rPr>
        <w:t>[, except SR equity shares,] held by the promoters and locked-in as per regulation 16, may be transferred to another promoter or any person of the promoter group or a new promoter and the specified securities held by persons other than the promoters and locked-in as per regulation 17, may be transferred to any</w:t>
      </w: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ind w:left="8"/>
        <w:spacing w:after="0" w:line="211" w:lineRule="auto"/>
        <w:rPr>
          <w:sz w:val="20"/>
          <w:szCs w:val="20"/>
          <w:color w:val="auto"/>
        </w:rPr>
      </w:pPr>
      <w:r>
        <w:rPr>
          <w:rFonts w:ascii="Times New Roman" w:cs="Times New Roman" w:eastAsia="Times New Roman" w:hAnsi="Times New Roman"/>
          <w:sz w:val="25"/>
          <w:szCs w:val="25"/>
          <w:color w:val="auto"/>
          <w:vertAlign w:val="superscript"/>
        </w:rPr>
        <w:t>16</w:t>
      </w:r>
      <w:r>
        <w:rPr>
          <w:rFonts w:ascii="Times New Roman" w:cs="Times New Roman" w:eastAsia="Times New Roman" w:hAnsi="Times New Roman"/>
          <w:sz w:val="20"/>
          <w:szCs w:val="20"/>
          <w:color w:val="auto"/>
        </w:rPr>
        <w:t xml:space="preserve"> Inserted by the SEBI (Issue of Capital and Disclosure Requirements) (Third Amendment) Regulations, 2019 w.e.f.29.07.2019.</w:t>
      </w:r>
    </w:p>
    <w:p>
      <w:pPr>
        <w:spacing w:after="0" w:line="6" w:lineRule="exact"/>
        <w:rPr>
          <w:sz w:val="20"/>
          <w:szCs w:val="20"/>
          <w:color w:val="auto"/>
        </w:rPr>
      </w:pPr>
    </w:p>
    <w:p>
      <w:pPr>
        <w:ind w:left="8"/>
        <w:spacing w:after="0" w:line="211" w:lineRule="auto"/>
        <w:rPr>
          <w:sz w:val="20"/>
          <w:szCs w:val="20"/>
          <w:color w:val="auto"/>
        </w:rPr>
      </w:pPr>
      <w:r>
        <w:rPr>
          <w:rFonts w:ascii="Times New Roman" w:cs="Times New Roman" w:eastAsia="Times New Roman" w:hAnsi="Times New Roman"/>
          <w:sz w:val="25"/>
          <w:szCs w:val="25"/>
          <w:color w:val="auto"/>
          <w:vertAlign w:val="superscript"/>
        </w:rPr>
        <w:t>17</w:t>
      </w:r>
      <w:r>
        <w:rPr>
          <w:rFonts w:ascii="Times New Roman" w:cs="Times New Roman" w:eastAsia="Times New Roman" w:hAnsi="Times New Roman"/>
          <w:sz w:val="20"/>
          <w:szCs w:val="20"/>
          <w:color w:val="auto"/>
        </w:rPr>
        <w:t xml:space="preserve"> Inserted by the SEBI (Issue of Capital and Disclosure Requirements) (Third Amendment) Regulations, 2019 w.e.f.29.07.2019.</w:t>
      </w:r>
    </w:p>
    <w:p>
      <w:pPr>
        <w:spacing w:after="0" w:line="300"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25</w:t>
      </w:r>
    </w:p>
    <w:p>
      <w:pPr>
        <w:sectPr>
          <w:pgSz w:w="11900" w:h="16836" w:orient="portrait"/>
          <w:cols w:equalWidth="0" w:num="1">
            <w:col w:w="9468"/>
          </w:cols>
          <w:pgMar w:left="1152" w:top="1156" w:right="1284" w:bottom="103" w:gutter="0" w:footer="0" w:header="0"/>
        </w:sectPr>
      </w:pPr>
    </w:p>
    <w:bookmarkStart w:id="25" w:name="page26"/>
    <w:bookmarkEnd w:id="25"/>
    <w:p>
      <w:pPr>
        <w:jc w:val="both"/>
        <w:ind w:left="8"/>
        <w:spacing w:after="0" w:line="348" w:lineRule="auto"/>
        <w:rPr>
          <w:sz w:val="20"/>
          <w:szCs w:val="20"/>
          <w:color w:val="auto"/>
        </w:rPr>
      </w:pPr>
      <w:r>
        <w:rPr>
          <w:rFonts w:ascii="Times New Roman" w:cs="Times New Roman" w:eastAsia="Times New Roman" w:hAnsi="Times New Roman"/>
          <w:sz w:val="24"/>
          <w:szCs w:val="24"/>
          <w:color w:val="auto"/>
        </w:rPr>
        <w:t>other person holding the specified securities which are locked-in along with the securities proposed to be transferred:</w:t>
      </w:r>
    </w:p>
    <w:p>
      <w:pPr>
        <w:spacing w:after="0" w:line="28" w:lineRule="exact"/>
        <w:rPr>
          <w:sz w:val="20"/>
          <w:szCs w:val="20"/>
          <w:color w:val="auto"/>
        </w:rPr>
      </w:pPr>
    </w:p>
    <w:p>
      <w:pPr>
        <w:jc w:val="both"/>
        <w:ind w:left="8"/>
        <w:spacing w:after="0" w:line="354" w:lineRule="auto"/>
        <w:rPr>
          <w:sz w:val="20"/>
          <w:szCs w:val="20"/>
          <w:color w:val="auto"/>
        </w:rPr>
      </w:pPr>
      <w:r>
        <w:rPr>
          <w:rFonts w:ascii="Times New Roman" w:cs="Times New Roman" w:eastAsia="Times New Roman" w:hAnsi="Times New Roman"/>
          <w:sz w:val="24"/>
          <w:szCs w:val="24"/>
          <w:color w:val="auto"/>
        </w:rPr>
        <w:t>Provided that the lock-in on such specified securities shall continue for the remaining period with the transferee and such transferee shall not be eligible to transfer them till the lock-in period stipulated in these regulations has expired.</w:t>
      </w:r>
    </w:p>
    <w:p>
      <w:pPr>
        <w:spacing w:after="0" w:line="200" w:lineRule="exact"/>
        <w:rPr>
          <w:sz w:val="20"/>
          <w:szCs w:val="20"/>
          <w:color w:val="auto"/>
        </w:rPr>
      </w:pPr>
    </w:p>
    <w:p>
      <w:pPr>
        <w:spacing w:after="0" w:line="240" w:lineRule="exact"/>
        <w:rPr>
          <w:sz w:val="20"/>
          <w:szCs w:val="20"/>
          <w:color w:val="auto"/>
        </w:rPr>
      </w:pPr>
    </w:p>
    <w:p>
      <w:pPr>
        <w:ind w:left="8" w:right="300"/>
        <w:spacing w:after="0" w:line="348" w:lineRule="auto"/>
        <w:rPr>
          <w:sz w:val="20"/>
          <w:szCs w:val="20"/>
          <w:color w:val="auto"/>
        </w:rPr>
      </w:pPr>
      <w:r>
        <w:rPr>
          <w:rFonts w:ascii="Times New Roman" w:cs="Times New Roman" w:eastAsia="Times New Roman" w:hAnsi="Times New Roman"/>
          <w:sz w:val="24"/>
          <w:szCs w:val="24"/>
          <w:b w:val="1"/>
          <w:bCs w:val="1"/>
          <w:color w:val="auto"/>
        </w:rPr>
        <w:t>PART V: APPOINTMENT OF LEAD MANAGERS, OTHER INTERMEDIARIES AND COMPLIANCE OFFICER</w:t>
      </w:r>
    </w:p>
    <w:p>
      <w:pPr>
        <w:spacing w:after="0" w:line="23" w:lineRule="exact"/>
        <w:rPr>
          <w:sz w:val="20"/>
          <w:szCs w:val="20"/>
          <w:color w:val="auto"/>
        </w:rPr>
      </w:pPr>
    </w:p>
    <w:p>
      <w:pPr>
        <w:ind w:left="8" w:hanging="8"/>
        <w:spacing w:after="0" w:line="348" w:lineRule="auto"/>
        <w:tabs>
          <w:tab w:leader="none" w:pos="401" w:val="left"/>
        </w:tabs>
        <w:numPr>
          <w:ilvl w:val="0"/>
          <w:numId w:val="8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shall appoint one or more merchant bankers, which are registered with the Board, as lead manager(s) to the issue.</w:t>
      </w:r>
    </w:p>
    <w:p>
      <w:pPr>
        <w:spacing w:after="0" w:line="28" w:lineRule="exact"/>
        <w:rPr>
          <w:sz w:val="20"/>
          <w:szCs w:val="20"/>
          <w:color w:val="auto"/>
        </w:rPr>
      </w:pPr>
    </w:p>
    <w:p>
      <w:pPr>
        <w:jc w:val="both"/>
        <w:ind w:left="8" w:hanging="8"/>
        <w:spacing w:after="0" w:line="356" w:lineRule="auto"/>
        <w:tabs>
          <w:tab w:leader="none" w:pos="492" w:val="left"/>
        </w:tabs>
        <w:numPr>
          <w:ilvl w:val="0"/>
          <w:numId w:val="8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Where the issue is managed by more than one lead manager, the rights, obligations and responsibilities, relating </w:t>
      </w:r>
      <w:r>
        <w:rPr>
          <w:rFonts w:ascii="Times New Roman" w:cs="Times New Roman" w:eastAsia="Times New Roman" w:hAnsi="Times New Roman"/>
          <w:sz w:val="24"/>
          <w:szCs w:val="24"/>
          <w:i w:val="1"/>
          <w:iCs w:val="1"/>
          <w:color w:val="auto"/>
        </w:rPr>
        <w:t>inter alia</w:t>
      </w:r>
      <w:r>
        <w:rPr>
          <w:rFonts w:ascii="Times New Roman" w:cs="Times New Roman" w:eastAsia="Times New Roman" w:hAnsi="Times New Roman"/>
          <w:sz w:val="24"/>
          <w:szCs w:val="24"/>
          <w:color w:val="auto"/>
        </w:rPr>
        <w:t xml:space="preserve"> to disclosures, allotment, refund and underwriting obligations, if any, of each lead manager shall be predetermined and be disclosed in the draft offer document and the offer document as specified in </w:t>
      </w:r>
      <w:r>
        <w:rPr>
          <w:rFonts w:ascii="Times New Roman" w:cs="Times New Roman" w:eastAsia="Times New Roman" w:hAnsi="Times New Roman"/>
          <w:sz w:val="24"/>
          <w:szCs w:val="24"/>
          <w:b w:val="1"/>
          <w:bCs w:val="1"/>
          <w:color w:val="auto"/>
        </w:rPr>
        <w:t>Schedule I</w:t>
      </w:r>
      <w:r>
        <w:rPr>
          <w:rFonts w:ascii="Times New Roman" w:cs="Times New Roman" w:eastAsia="Times New Roman" w:hAnsi="Times New Roman"/>
          <w:sz w:val="24"/>
          <w:szCs w:val="24"/>
          <w:color w:val="auto"/>
        </w:rPr>
        <w:t>.</w:t>
      </w:r>
    </w:p>
    <w:p>
      <w:pPr>
        <w:spacing w:after="0" w:line="18" w:lineRule="exact"/>
        <w:rPr>
          <w:rFonts w:ascii="Times New Roman" w:cs="Times New Roman" w:eastAsia="Times New Roman" w:hAnsi="Times New Roman"/>
          <w:sz w:val="24"/>
          <w:szCs w:val="24"/>
          <w:color w:val="auto"/>
        </w:rPr>
      </w:pPr>
    </w:p>
    <w:p>
      <w:pPr>
        <w:jc w:val="both"/>
        <w:ind w:left="8" w:hanging="8"/>
        <w:spacing w:after="0" w:line="356" w:lineRule="auto"/>
        <w:tabs>
          <w:tab w:leader="none" w:pos="516" w:val="left"/>
        </w:tabs>
        <w:numPr>
          <w:ilvl w:val="0"/>
          <w:numId w:val="8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At least one lead manager to the issue shall not be an associate (as defined under the Securities and Exchange Board of India (Merchant Bankers) Regulations, 1992) of the issuer and if any of the lead manager is an associate of the issuer, it shall disclose itself as an associate of the issuer and its role shall be limited to marketing of the issue.</w:t>
      </w:r>
    </w:p>
    <w:p>
      <w:pPr>
        <w:spacing w:after="0" w:line="18"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420" w:val="left"/>
        </w:tabs>
        <w:numPr>
          <w:ilvl w:val="0"/>
          <w:numId w:val="8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in consultation with the lead manager(s), appoint other intermediaries which are registered with the Board after the lead manager(s) have independently assessed the capability of other intermediaries to carry out their obligations.</w:t>
      </w:r>
    </w:p>
    <w:p>
      <w:pPr>
        <w:spacing w:after="0" w:line="7" w:lineRule="exact"/>
        <w:rPr>
          <w:rFonts w:ascii="Times New Roman" w:cs="Times New Roman" w:eastAsia="Times New Roman" w:hAnsi="Times New Roman"/>
          <w:sz w:val="24"/>
          <w:szCs w:val="24"/>
          <w:color w:val="auto"/>
        </w:rPr>
      </w:pPr>
    </w:p>
    <w:p>
      <w:pPr>
        <w:ind w:left="428" w:hanging="428"/>
        <w:spacing w:after="0"/>
        <w:tabs>
          <w:tab w:leader="none" w:pos="428" w:val="left"/>
        </w:tabs>
        <w:numPr>
          <w:ilvl w:val="0"/>
          <w:numId w:val="8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enter into an agreement with the lead manager(s) in the format specified in</w:t>
      </w:r>
    </w:p>
    <w:p>
      <w:pPr>
        <w:spacing w:after="0" w:line="151" w:lineRule="exact"/>
        <w:rPr>
          <w:sz w:val="20"/>
          <w:szCs w:val="20"/>
          <w:color w:val="auto"/>
        </w:rPr>
      </w:pPr>
    </w:p>
    <w:p>
      <w:pPr>
        <w:jc w:val="both"/>
        <w:ind w:left="8"/>
        <w:spacing w:after="0" w:line="348" w:lineRule="auto"/>
        <w:rPr>
          <w:sz w:val="20"/>
          <w:szCs w:val="20"/>
          <w:color w:val="auto"/>
        </w:rPr>
      </w:pPr>
      <w:r>
        <w:rPr>
          <w:rFonts w:ascii="Times New Roman" w:cs="Times New Roman" w:eastAsia="Times New Roman" w:hAnsi="Times New Roman"/>
          <w:sz w:val="24"/>
          <w:szCs w:val="24"/>
          <w:b w:val="1"/>
          <w:bCs w:val="1"/>
          <w:color w:val="auto"/>
        </w:rPr>
        <w:t xml:space="preserve">Schedule II </w:t>
      </w:r>
      <w:r>
        <w:rPr>
          <w:rFonts w:ascii="Times New Roman" w:cs="Times New Roman" w:eastAsia="Times New Roman" w:hAnsi="Times New Roman"/>
          <w:sz w:val="24"/>
          <w:szCs w:val="24"/>
          <w:color w:val="auto"/>
        </w:rPr>
        <w:t>and enter into agreements with other intermediaries as required under the respective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regulations applicable to the intermediary concerned:</w:t>
      </w:r>
    </w:p>
    <w:p>
      <w:pPr>
        <w:spacing w:after="0" w:line="28" w:lineRule="exact"/>
        <w:rPr>
          <w:sz w:val="20"/>
          <w:szCs w:val="20"/>
          <w:color w:val="auto"/>
        </w:rPr>
      </w:pPr>
    </w:p>
    <w:p>
      <w:pPr>
        <w:jc w:val="both"/>
        <w:ind w:left="8"/>
        <w:spacing w:after="0" w:line="357" w:lineRule="auto"/>
        <w:rPr>
          <w:sz w:val="20"/>
          <w:szCs w:val="20"/>
          <w:color w:val="auto"/>
        </w:rPr>
      </w:pPr>
      <w:r>
        <w:rPr>
          <w:rFonts w:ascii="Times New Roman" w:cs="Times New Roman" w:eastAsia="Times New Roman" w:hAnsi="Times New Roman"/>
          <w:sz w:val="24"/>
          <w:szCs w:val="24"/>
          <w:color w:val="auto"/>
        </w:rPr>
        <w:t>Provided that such agreements may include such other clauses as the issuer and the intermediaries may deem fit without diminishing or limiting in any way the liabilities and obligations of the lead manager(s), other intermediaries and the issuer under the Act, the Companies Act, 2013 or the Companies Act, 1956 (to the extent applicable), the Securities Contracts (Regulation) Act, 1956, the Depositories Act, 1996 and the rules and regulations made thereunder or any statutory modification or statutory enactment thereof:</w:t>
      </w:r>
    </w:p>
    <w:p>
      <w:pPr>
        <w:spacing w:after="0" w:line="21" w:lineRule="exact"/>
        <w:rPr>
          <w:sz w:val="20"/>
          <w:szCs w:val="20"/>
          <w:color w:val="auto"/>
        </w:rPr>
      </w:pPr>
    </w:p>
    <w:p>
      <w:pPr>
        <w:jc w:val="both"/>
        <w:ind w:left="8"/>
        <w:spacing w:after="0" w:line="348" w:lineRule="auto"/>
        <w:rPr>
          <w:sz w:val="20"/>
          <w:szCs w:val="20"/>
          <w:color w:val="auto"/>
        </w:rPr>
      </w:pPr>
      <w:r>
        <w:rPr>
          <w:rFonts w:ascii="Times New Roman" w:cs="Times New Roman" w:eastAsia="Times New Roman" w:hAnsi="Times New Roman"/>
          <w:sz w:val="24"/>
          <w:szCs w:val="24"/>
          <w:color w:val="auto"/>
        </w:rPr>
        <w:t>Provided further that in case of ASBA process, the issuer shall take cognisance of the deemed agreement of the issuer with the self-certified syndicate banks.</w:t>
      </w:r>
    </w:p>
    <w:p>
      <w:pPr>
        <w:spacing w:after="0" w:line="28" w:lineRule="exact"/>
        <w:rPr>
          <w:sz w:val="20"/>
          <w:szCs w:val="20"/>
          <w:color w:val="auto"/>
        </w:rPr>
      </w:pPr>
    </w:p>
    <w:p>
      <w:pPr>
        <w:jc w:val="both"/>
        <w:ind w:left="8" w:hanging="8"/>
        <w:spacing w:after="0" w:line="354" w:lineRule="auto"/>
        <w:tabs>
          <w:tab w:leader="none" w:pos="521" w:val="left"/>
        </w:tabs>
        <w:numPr>
          <w:ilvl w:val="0"/>
          <w:numId w:val="8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The issuer shall, in case of an issue made through the book building process, appoint syndicate member(s) and in the case of any other issue, appoint bankers to issue, at centres in the manner specified in </w:t>
      </w:r>
      <w:r>
        <w:rPr>
          <w:rFonts w:ascii="Times New Roman" w:cs="Times New Roman" w:eastAsia="Times New Roman" w:hAnsi="Times New Roman"/>
          <w:sz w:val="24"/>
          <w:szCs w:val="24"/>
          <w:b w:val="1"/>
          <w:bCs w:val="1"/>
          <w:color w:val="auto"/>
        </w:rPr>
        <w:t>Schedule XII</w:t>
      </w:r>
      <w:r>
        <w:rPr>
          <w:rFonts w:ascii="Times New Roman" w:cs="Times New Roman" w:eastAsia="Times New Roman" w:hAnsi="Times New Roman"/>
          <w:sz w:val="24"/>
          <w:szCs w:val="24"/>
          <w:color w:val="auto"/>
        </w:rPr>
        <w:t>.</w:t>
      </w:r>
    </w:p>
    <w:p>
      <w:pPr>
        <w:spacing w:after="0" w:line="264"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26</w:t>
      </w:r>
    </w:p>
    <w:p>
      <w:pPr>
        <w:sectPr>
          <w:pgSz w:w="11900" w:h="16836" w:orient="portrait"/>
          <w:cols w:equalWidth="0" w:num="1">
            <w:col w:w="9468"/>
          </w:cols>
          <w:pgMar w:left="1152" w:top="1156" w:right="1284" w:bottom="103" w:gutter="0" w:footer="0" w:header="0"/>
        </w:sectPr>
      </w:pPr>
    </w:p>
    <w:bookmarkStart w:id="26" w:name="page27"/>
    <w:bookmarkEnd w:id="26"/>
    <w:p>
      <w:pPr>
        <w:ind w:left="8" w:hanging="8"/>
        <w:spacing w:after="0" w:line="348" w:lineRule="auto"/>
        <w:tabs>
          <w:tab w:leader="none" w:pos="528" w:val="left"/>
        </w:tabs>
        <w:numPr>
          <w:ilvl w:val="0"/>
          <w:numId w:val="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appoint a registrar to the issue, registered with the Board, which has connectivity with all the depositories:</w:t>
      </w:r>
    </w:p>
    <w:p>
      <w:pPr>
        <w:spacing w:after="0" w:line="28" w:lineRule="exact"/>
        <w:rPr>
          <w:rFonts w:ascii="Times New Roman" w:cs="Times New Roman" w:eastAsia="Times New Roman" w:hAnsi="Times New Roman"/>
          <w:sz w:val="24"/>
          <w:szCs w:val="24"/>
          <w:color w:val="auto"/>
        </w:rPr>
      </w:pPr>
    </w:p>
    <w:p>
      <w:pPr>
        <w:ind w:left="8"/>
        <w:spacing w:after="0" w:line="35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if the issuer itself is a registrar, it shall not appoint itself as registrar to the issue; Provided further that the lead manager shall not act as a registrar to the issue in which it is also handling the post-issue responsibilities.</w:t>
      </w:r>
    </w:p>
    <w:p>
      <w:pPr>
        <w:spacing w:after="0" w:line="7" w:lineRule="exact"/>
        <w:rPr>
          <w:rFonts w:ascii="Times New Roman" w:cs="Times New Roman" w:eastAsia="Times New Roman" w:hAnsi="Times New Roman"/>
          <w:sz w:val="24"/>
          <w:szCs w:val="24"/>
          <w:color w:val="auto"/>
        </w:rPr>
      </w:pPr>
    </w:p>
    <w:p>
      <w:pPr>
        <w:ind w:left="468" w:hanging="468"/>
        <w:spacing w:after="0"/>
        <w:tabs>
          <w:tab w:leader="none" w:pos="468" w:val="left"/>
        </w:tabs>
        <w:numPr>
          <w:ilvl w:val="0"/>
          <w:numId w:val="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appoint a compliance officer who shall be responsible for monitoring the</w:t>
      </w:r>
    </w:p>
    <w:p>
      <w:pPr>
        <w:spacing w:after="0" w:line="139"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compliance of the securities laws and for redressal of investors’ grievances.</w:t>
      </w:r>
    </w:p>
    <w:p>
      <w:pPr>
        <w:spacing w:after="0" w:line="200" w:lineRule="exact"/>
        <w:rPr>
          <w:sz w:val="20"/>
          <w:szCs w:val="20"/>
          <w:color w:val="auto"/>
        </w:rPr>
      </w:pPr>
    </w:p>
    <w:p>
      <w:pPr>
        <w:spacing w:after="0" w:line="35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VI: DISCLOSURES IN AND FILING OF OFFER DOCUMENTS</w:t>
      </w:r>
    </w:p>
    <w:p>
      <w:pPr>
        <w:spacing w:after="0" w:line="200" w:lineRule="exact"/>
        <w:rPr>
          <w:sz w:val="20"/>
          <w:szCs w:val="20"/>
          <w:color w:val="auto"/>
        </w:rPr>
      </w:pPr>
    </w:p>
    <w:p>
      <w:pPr>
        <w:spacing w:after="0" w:line="35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Disclosures in the draft offer document and offer document</w:t>
      </w:r>
    </w:p>
    <w:p>
      <w:pPr>
        <w:spacing w:after="0" w:line="144" w:lineRule="exact"/>
        <w:rPr>
          <w:sz w:val="20"/>
          <w:szCs w:val="20"/>
          <w:color w:val="auto"/>
        </w:rPr>
      </w:pPr>
    </w:p>
    <w:p>
      <w:pPr>
        <w:ind w:left="8" w:hanging="8"/>
        <w:spacing w:after="0" w:line="350" w:lineRule="auto"/>
        <w:tabs>
          <w:tab w:leader="none" w:pos="370" w:val="left"/>
        </w:tabs>
        <w:numPr>
          <w:ilvl w:val="0"/>
          <w:numId w:val="9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draft offer document and offer document shall contain all material disclosures which are true and adequate to enable the applicants to take an informed investment decision.</w:t>
      </w:r>
    </w:p>
    <w:p>
      <w:pPr>
        <w:spacing w:after="0" w:line="23" w:lineRule="exact"/>
        <w:rPr>
          <w:sz w:val="20"/>
          <w:szCs w:val="20"/>
          <w:color w:val="auto"/>
        </w:rPr>
      </w:pPr>
    </w:p>
    <w:p>
      <w:pPr>
        <w:ind w:left="8" w:hanging="8"/>
        <w:spacing w:after="0" w:line="350" w:lineRule="auto"/>
        <w:tabs>
          <w:tab w:leader="none" w:pos="492" w:val="left"/>
        </w:tabs>
        <w:numPr>
          <w:ilvl w:val="0"/>
          <w:numId w:val="9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Without prejudice to the generality of sub-regulation (1), the red-herring prospectus, and prospectus shall contain:</w:t>
      </w:r>
    </w:p>
    <w:p>
      <w:pPr>
        <w:spacing w:after="0" w:line="10" w:lineRule="exact"/>
        <w:rPr>
          <w:rFonts w:ascii="Times New Roman" w:cs="Times New Roman" w:eastAsia="Times New Roman" w:hAnsi="Times New Roman"/>
          <w:sz w:val="24"/>
          <w:szCs w:val="24"/>
          <w:color w:val="auto"/>
        </w:rPr>
      </w:pPr>
    </w:p>
    <w:p>
      <w:pPr>
        <w:ind w:left="728" w:hanging="368"/>
        <w:spacing w:after="0"/>
        <w:tabs>
          <w:tab w:leader="none" w:pos="728" w:val="left"/>
        </w:tabs>
        <w:numPr>
          <w:ilvl w:val="1"/>
          <w:numId w:val="9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disclosures specified in the Companies Act, 2013 and;</w:t>
      </w:r>
    </w:p>
    <w:p>
      <w:pPr>
        <w:spacing w:after="0" w:line="139" w:lineRule="exact"/>
        <w:rPr>
          <w:rFonts w:ascii="Times New Roman" w:cs="Times New Roman" w:eastAsia="Times New Roman" w:hAnsi="Times New Roman"/>
          <w:sz w:val="24"/>
          <w:szCs w:val="24"/>
          <w:color w:val="auto"/>
        </w:rPr>
      </w:pPr>
    </w:p>
    <w:p>
      <w:pPr>
        <w:ind w:left="728" w:hanging="368"/>
        <w:spacing w:after="0"/>
        <w:tabs>
          <w:tab w:leader="none" w:pos="728" w:val="left"/>
        </w:tabs>
        <w:numPr>
          <w:ilvl w:val="1"/>
          <w:numId w:val="9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disclosures specified in </w:t>
      </w:r>
      <w:r>
        <w:rPr>
          <w:rFonts w:ascii="Times New Roman" w:cs="Times New Roman" w:eastAsia="Times New Roman" w:hAnsi="Times New Roman"/>
          <w:sz w:val="24"/>
          <w:szCs w:val="24"/>
          <w:b w:val="1"/>
          <w:bCs w:val="1"/>
          <w:color w:val="auto"/>
        </w:rPr>
        <w:t>Part A</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 VI</w:t>
      </w:r>
      <w:r>
        <w:rPr>
          <w:rFonts w:ascii="Times New Roman" w:cs="Times New Roman" w:eastAsia="Times New Roman" w:hAnsi="Times New Roman"/>
          <w:sz w:val="24"/>
          <w:szCs w:val="24"/>
          <w:color w:val="auto"/>
        </w:rPr>
        <w:t xml:space="preserve"> .</w:t>
      </w:r>
    </w:p>
    <w:p>
      <w:pPr>
        <w:spacing w:after="0" w:line="149"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370" w:val="left"/>
        </w:tabs>
        <w:numPr>
          <w:ilvl w:val="0"/>
          <w:numId w:val="9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 shall exercise due diligence and satisfy themselves about all aspects of the issue including the veracity and adequacy of disclosure in the draft offer document and the offer document.</w:t>
      </w:r>
    </w:p>
    <w:p>
      <w:pPr>
        <w:spacing w:after="0" w:line="22"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425" w:val="left"/>
        </w:tabs>
        <w:numPr>
          <w:ilvl w:val="0"/>
          <w:numId w:val="9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 shall call upon the issuer, its promoters and its directors or in case of an offer for sale, also the selling shareholders, to fulfil their obligations as disclosed by them in the draft offer document and the offer document and as required in terms of these regulations.</w:t>
      </w:r>
    </w:p>
    <w:p>
      <w:pPr>
        <w:spacing w:after="0" w:line="20"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420" w:val="left"/>
        </w:tabs>
        <w:numPr>
          <w:ilvl w:val="0"/>
          <w:numId w:val="9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 shall ensure that the information contained in the draft offer document and offer document and the particulars as per restated audited financial statements in the offer document are not more than six months old from the issue opening date.</w:t>
      </w:r>
    </w:p>
    <w:p>
      <w:pPr>
        <w:spacing w:after="0" w:line="200" w:lineRule="exact"/>
        <w:rPr>
          <w:sz w:val="20"/>
          <w:szCs w:val="20"/>
          <w:color w:val="auto"/>
        </w:rPr>
      </w:pPr>
    </w:p>
    <w:p>
      <w:pPr>
        <w:spacing w:after="0" w:line="22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Filing of the draft offer document and offer document</w:t>
      </w:r>
    </w:p>
    <w:p>
      <w:pPr>
        <w:spacing w:after="0" w:line="147" w:lineRule="exact"/>
        <w:rPr>
          <w:sz w:val="20"/>
          <w:szCs w:val="20"/>
          <w:color w:val="auto"/>
        </w:rPr>
      </w:pPr>
    </w:p>
    <w:p>
      <w:pPr>
        <w:jc w:val="both"/>
        <w:ind w:left="8" w:hanging="8"/>
        <w:spacing w:after="0" w:line="356" w:lineRule="auto"/>
        <w:tabs>
          <w:tab w:leader="none" w:pos="384" w:val="left"/>
        </w:tabs>
        <w:numPr>
          <w:ilvl w:val="0"/>
          <w:numId w:val="9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(1) Prior to making an initial public offer, the issuer shall file three copies of the draft offer document with the concerned regional office of the Board under the jurisdiction of which the registered office of the issuer company is located, in accordance with </w:t>
      </w:r>
      <w:r>
        <w:rPr>
          <w:rFonts w:ascii="Times New Roman" w:cs="Times New Roman" w:eastAsia="Times New Roman" w:hAnsi="Times New Roman"/>
          <w:sz w:val="24"/>
          <w:szCs w:val="24"/>
          <w:b w:val="1"/>
          <w:bCs w:val="1"/>
          <w:color w:val="auto"/>
        </w:rPr>
        <w:t>Schedule IV</w:t>
      </w:r>
      <w:r>
        <w:rPr>
          <w:rFonts w:ascii="Times New Roman" w:cs="Times New Roman" w:eastAsia="Times New Roman" w:hAnsi="Times New Roman"/>
          <w:sz w:val="24"/>
          <w:szCs w:val="24"/>
          <w:color w:val="auto"/>
        </w:rPr>
        <w:t xml:space="preserve">, along with fees as specified in </w:t>
      </w:r>
      <w:r>
        <w:rPr>
          <w:rFonts w:ascii="Times New Roman" w:cs="Times New Roman" w:eastAsia="Times New Roman" w:hAnsi="Times New Roman"/>
          <w:sz w:val="24"/>
          <w:szCs w:val="24"/>
          <w:b w:val="1"/>
          <w:bCs w:val="1"/>
          <w:color w:val="auto"/>
        </w:rPr>
        <w:t>Schedule III</w:t>
      </w:r>
      <w:r>
        <w:rPr>
          <w:rFonts w:ascii="Times New Roman" w:cs="Times New Roman" w:eastAsia="Times New Roman" w:hAnsi="Times New Roman"/>
          <w:sz w:val="24"/>
          <w:szCs w:val="24"/>
          <w:color w:val="auto"/>
        </w:rPr>
        <w:t>, through the lead manager(s).</w:t>
      </w:r>
    </w:p>
    <w:p>
      <w:pPr>
        <w:spacing w:after="0" w:line="19" w:lineRule="exact"/>
        <w:rPr>
          <w:sz w:val="20"/>
          <w:szCs w:val="20"/>
          <w:color w:val="auto"/>
        </w:rPr>
      </w:pPr>
    </w:p>
    <w:p>
      <w:pPr>
        <w:ind w:left="8" w:hanging="8"/>
        <w:spacing w:after="0" w:line="348" w:lineRule="auto"/>
        <w:tabs>
          <w:tab w:leader="none" w:pos="507" w:val="left"/>
        </w:tabs>
        <w:numPr>
          <w:ilvl w:val="0"/>
          <w:numId w:val="9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 shall submit the following to the Board along with the draft offer document:</w:t>
      </w: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27</w:t>
      </w:r>
    </w:p>
    <w:p>
      <w:pPr>
        <w:sectPr>
          <w:pgSz w:w="11900" w:h="16836" w:orient="portrait"/>
          <w:cols w:equalWidth="0" w:num="1">
            <w:col w:w="9468"/>
          </w:cols>
          <w:pgMar w:left="1152" w:top="1156" w:right="1284" w:bottom="103" w:gutter="0" w:footer="0" w:header="0"/>
        </w:sectPr>
      </w:pPr>
    </w:p>
    <w:bookmarkStart w:id="27" w:name="page28"/>
    <w:bookmarkEnd w:id="27"/>
    <w:p>
      <w:pPr>
        <w:ind w:left="728" w:hanging="368"/>
        <w:spacing w:after="0" w:line="348" w:lineRule="auto"/>
        <w:tabs>
          <w:tab w:leader="none" w:pos="728" w:val="left"/>
        </w:tabs>
        <w:numPr>
          <w:ilvl w:val="1"/>
          <w:numId w:val="9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certificate, confirming that an agreement has been entered into between the issuer and the lead manager(s);</w:t>
      </w:r>
    </w:p>
    <w:p>
      <w:pPr>
        <w:spacing w:after="0" w:line="15" w:lineRule="exact"/>
        <w:rPr>
          <w:rFonts w:ascii="Times New Roman" w:cs="Times New Roman" w:eastAsia="Times New Roman" w:hAnsi="Times New Roman"/>
          <w:sz w:val="24"/>
          <w:szCs w:val="24"/>
          <w:color w:val="auto"/>
        </w:rPr>
      </w:pPr>
    </w:p>
    <w:p>
      <w:pPr>
        <w:ind w:left="728" w:hanging="368"/>
        <w:spacing w:after="0"/>
        <w:tabs>
          <w:tab w:leader="none" w:pos="728" w:val="left"/>
        </w:tabs>
        <w:numPr>
          <w:ilvl w:val="1"/>
          <w:numId w:val="9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a due diligence certificate as per Form A of </w:t>
      </w:r>
      <w:r>
        <w:rPr>
          <w:rFonts w:ascii="Times New Roman" w:cs="Times New Roman" w:eastAsia="Times New Roman" w:hAnsi="Times New Roman"/>
          <w:sz w:val="24"/>
          <w:szCs w:val="24"/>
          <w:b w:val="1"/>
          <w:bCs w:val="1"/>
          <w:color w:val="auto"/>
        </w:rPr>
        <w:t>Schedule V</w:t>
      </w:r>
      <w:r>
        <w:rPr>
          <w:rFonts w:ascii="Times New Roman" w:cs="Times New Roman" w:eastAsia="Times New Roman" w:hAnsi="Times New Roman"/>
          <w:sz w:val="24"/>
          <w:szCs w:val="24"/>
          <w:color w:val="auto"/>
        </w:rPr>
        <w:t>;</w:t>
      </w:r>
    </w:p>
    <w:p>
      <w:pPr>
        <w:spacing w:after="0" w:line="149" w:lineRule="exact"/>
        <w:rPr>
          <w:rFonts w:ascii="Times New Roman" w:cs="Times New Roman" w:eastAsia="Times New Roman" w:hAnsi="Times New Roman"/>
          <w:sz w:val="24"/>
          <w:szCs w:val="24"/>
          <w:color w:val="auto"/>
        </w:rPr>
      </w:pPr>
    </w:p>
    <w:p>
      <w:pPr>
        <w:ind w:left="728" w:hanging="368"/>
        <w:spacing w:after="0" w:line="350" w:lineRule="auto"/>
        <w:tabs>
          <w:tab w:leader="none" w:pos="728" w:val="left"/>
        </w:tabs>
        <w:numPr>
          <w:ilvl w:val="1"/>
          <w:numId w:val="9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in case of an issue of convertible debt instruments, a due diligence certificate from the debenture trustee as per Form B of </w:t>
      </w:r>
      <w:r>
        <w:rPr>
          <w:rFonts w:ascii="Times New Roman" w:cs="Times New Roman" w:eastAsia="Times New Roman" w:hAnsi="Times New Roman"/>
          <w:sz w:val="24"/>
          <w:szCs w:val="24"/>
          <w:b w:val="1"/>
          <w:bCs w:val="1"/>
          <w:color w:val="auto"/>
        </w:rPr>
        <w:t>Schedule V</w:t>
      </w:r>
      <w:r>
        <w:rPr>
          <w:rFonts w:ascii="Times New Roman" w:cs="Times New Roman" w:eastAsia="Times New Roman" w:hAnsi="Times New Roman"/>
          <w:sz w:val="24"/>
          <w:szCs w:val="24"/>
          <w:color w:val="auto"/>
        </w:rPr>
        <w:t>;</w:t>
      </w:r>
    </w:p>
    <w:p>
      <w:pPr>
        <w:spacing w:after="0" w:line="23" w:lineRule="exact"/>
        <w:rPr>
          <w:rFonts w:ascii="Times New Roman" w:cs="Times New Roman" w:eastAsia="Times New Roman" w:hAnsi="Times New Roman"/>
          <w:sz w:val="24"/>
          <w:szCs w:val="24"/>
          <w:color w:val="auto"/>
        </w:rPr>
      </w:pPr>
    </w:p>
    <w:p>
      <w:pPr>
        <w:jc w:val="both"/>
        <w:ind w:left="8" w:hanging="8"/>
        <w:spacing w:after="0" w:line="358" w:lineRule="auto"/>
        <w:tabs>
          <w:tab w:leader="none" w:pos="497" w:val="left"/>
        </w:tabs>
        <w:numPr>
          <w:ilvl w:val="0"/>
          <w:numId w:val="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also file the draft offer document with the stock exchange(s) where the specified securities are proposed to be listed, and submit to the stock exchange(s), the Permanent Account Number, bank account number and passport number of its promoters where they are individuals, and Permanent Account Number, bank account number, company registration number or equivalent and the address of the Registrar of Companies with which the promoter is registered, where the promoter is a body corporate.</w:t>
      </w:r>
    </w:p>
    <w:p>
      <w:pPr>
        <w:spacing w:after="0" w:line="200" w:lineRule="exact"/>
        <w:rPr>
          <w:rFonts w:ascii="Times New Roman" w:cs="Times New Roman" w:eastAsia="Times New Roman" w:hAnsi="Times New Roman"/>
          <w:sz w:val="24"/>
          <w:szCs w:val="24"/>
          <w:color w:val="auto"/>
        </w:rPr>
      </w:pPr>
    </w:p>
    <w:p>
      <w:pPr>
        <w:spacing w:after="0" w:line="229" w:lineRule="exact"/>
        <w:rPr>
          <w:rFonts w:ascii="Times New Roman" w:cs="Times New Roman" w:eastAsia="Times New Roman" w:hAnsi="Times New Roman"/>
          <w:sz w:val="24"/>
          <w:szCs w:val="24"/>
          <w:color w:val="auto"/>
        </w:rPr>
      </w:pPr>
    </w:p>
    <w:p>
      <w:pPr>
        <w:ind w:left="8" w:hanging="8"/>
        <w:spacing w:after="0" w:line="348" w:lineRule="auto"/>
        <w:tabs>
          <w:tab w:leader="none" w:pos="468" w:val="left"/>
        </w:tabs>
        <w:numPr>
          <w:ilvl w:val="0"/>
          <w:numId w:val="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Board may specify changes or issue observations, if any, on the draft offer document within thirty days from the later of the following dates:</w:t>
      </w:r>
    </w:p>
    <w:p>
      <w:pPr>
        <w:spacing w:after="0" w:line="15" w:lineRule="exact"/>
        <w:rPr>
          <w:rFonts w:ascii="Times New Roman" w:cs="Times New Roman" w:eastAsia="Times New Roman" w:hAnsi="Times New Roman"/>
          <w:sz w:val="24"/>
          <w:szCs w:val="24"/>
          <w:color w:val="auto"/>
        </w:rPr>
      </w:pPr>
    </w:p>
    <w:p>
      <w:pPr>
        <w:ind w:left="728" w:hanging="368"/>
        <w:spacing w:after="0"/>
        <w:tabs>
          <w:tab w:leader="none" w:pos="728" w:val="left"/>
        </w:tabs>
        <w:numPr>
          <w:ilvl w:val="1"/>
          <w:numId w:val="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date of receipt of the draft offer document under sub-regulation (1); or</w:t>
      </w:r>
    </w:p>
    <w:p>
      <w:pPr>
        <w:spacing w:after="0" w:line="149" w:lineRule="exact"/>
        <w:rPr>
          <w:rFonts w:ascii="Times New Roman" w:cs="Times New Roman" w:eastAsia="Times New Roman" w:hAnsi="Times New Roman"/>
          <w:sz w:val="24"/>
          <w:szCs w:val="24"/>
          <w:color w:val="auto"/>
        </w:rPr>
      </w:pPr>
    </w:p>
    <w:p>
      <w:pPr>
        <w:ind w:left="728" w:hanging="368"/>
        <w:spacing w:after="0" w:line="350" w:lineRule="auto"/>
        <w:tabs>
          <w:tab w:leader="none" w:pos="728" w:val="left"/>
        </w:tabs>
        <w:numPr>
          <w:ilvl w:val="1"/>
          <w:numId w:val="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date of receipt of satisfactory reply from the lead manager(s), where the Board has sought any clarification or additional information from them; or</w:t>
      </w:r>
    </w:p>
    <w:p>
      <w:pPr>
        <w:spacing w:after="0" w:line="23" w:lineRule="exact"/>
        <w:rPr>
          <w:rFonts w:ascii="Times New Roman" w:cs="Times New Roman" w:eastAsia="Times New Roman" w:hAnsi="Times New Roman"/>
          <w:sz w:val="24"/>
          <w:szCs w:val="24"/>
          <w:color w:val="auto"/>
        </w:rPr>
      </w:pPr>
    </w:p>
    <w:p>
      <w:pPr>
        <w:ind w:left="728" w:hanging="368"/>
        <w:spacing w:after="0" w:line="350" w:lineRule="auto"/>
        <w:tabs>
          <w:tab w:leader="none" w:pos="728" w:val="left"/>
        </w:tabs>
        <w:numPr>
          <w:ilvl w:val="1"/>
          <w:numId w:val="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date of receipt of clarification or information from any regulator or agency, where the Board has sought any clarification or information from such regulator or agency; or</w:t>
      </w:r>
    </w:p>
    <w:p>
      <w:pPr>
        <w:spacing w:after="0" w:line="10" w:lineRule="exact"/>
        <w:rPr>
          <w:rFonts w:ascii="Times New Roman" w:cs="Times New Roman" w:eastAsia="Times New Roman" w:hAnsi="Times New Roman"/>
          <w:sz w:val="24"/>
          <w:szCs w:val="24"/>
          <w:color w:val="auto"/>
        </w:rPr>
      </w:pPr>
    </w:p>
    <w:p>
      <w:pPr>
        <w:ind w:left="728" w:hanging="368"/>
        <w:spacing w:after="0"/>
        <w:tabs>
          <w:tab w:leader="none" w:pos="728" w:val="left"/>
        </w:tabs>
        <w:numPr>
          <w:ilvl w:val="1"/>
          <w:numId w:val="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date of receipt of a copy of in-principle approval letter issued by the stock exchange(s).</w:t>
      </w:r>
    </w:p>
    <w:p>
      <w:pPr>
        <w:spacing w:after="0" w:line="151" w:lineRule="exact"/>
        <w:rPr>
          <w:rFonts w:ascii="Times New Roman" w:cs="Times New Roman" w:eastAsia="Times New Roman" w:hAnsi="Times New Roman"/>
          <w:sz w:val="24"/>
          <w:szCs w:val="24"/>
          <w:color w:val="auto"/>
        </w:rPr>
      </w:pPr>
    </w:p>
    <w:p>
      <w:pPr>
        <w:jc w:val="both"/>
        <w:ind w:left="8" w:hanging="8"/>
        <w:spacing w:after="0" w:line="353" w:lineRule="auto"/>
        <w:tabs>
          <w:tab w:leader="none" w:pos="470" w:val="left"/>
        </w:tabs>
        <w:numPr>
          <w:ilvl w:val="0"/>
          <w:numId w:val="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Board specifies any changes or issues observations on the draft offer document, the issuer and lead manager(s) shall carry out such changes in the draft offer document and shall submit to the Board an updated draft offer document complying with the observations issued by</w:t>
      </w:r>
    </w:p>
    <w:p>
      <w:pPr>
        <w:spacing w:after="0" w:line="3" w:lineRule="exact"/>
        <w:rPr>
          <w:rFonts w:ascii="Times New Roman" w:cs="Times New Roman" w:eastAsia="Times New Roman" w:hAnsi="Times New Roman"/>
          <w:sz w:val="24"/>
          <w:szCs w:val="24"/>
          <w:color w:val="auto"/>
        </w:rPr>
      </w:pPr>
    </w:p>
    <w:p>
      <w:pPr>
        <w:ind w:left="8"/>
        <w:spacing w:after="0" w:line="288"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the Board and highlighting all changes made in the draft offer document and before </w:t>
      </w:r>
      <w:r>
        <w:rPr>
          <w:rFonts w:ascii="Times New Roman" w:cs="Times New Roman" w:eastAsia="Times New Roman" w:hAnsi="Times New Roman"/>
          <w:sz w:val="32"/>
          <w:szCs w:val="32"/>
          <w:color w:val="auto"/>
          <w:vertAlign w:val="superscript"/>
        </w:rPr>
        <w:t>18</w:t>
      </w:r>
      <w:r>
        <w:rPr>
          <w:rFonts w:ascii="Times New Roman" w:cs="Times New Roman" w:eastAsia="Times New Roman" w:hAnsi="Times New Roman"/>
          <w:sz w:val="24"/>
          <w:szCs w:val="24"/>
          <w:color w:val="auto"/>
        </w:rPr>
        <w:t>[***] filing the offer documents with the Registrar of Companies or an appropriate authority, as applicable.</w:t>
      </w:r>
    </w:p>
    <w:p>
      <w:pPr>
        <w:spacing w:after="0" w:line="63" w:lineRule="exact"/>
        <w:rPr>
          <w:rFonts w:ascii="Times New Roman" w:cs="Times New Roman" w:eastAsia="Times New Roman" w:hAnsi="Times New Roman"/>
          <w:sz w:val="24"/>
          <w:szCs w:val="24"/>
          <w:color w:val="auto"/>
        </w:rPr>
      </w:pPr>
    </w:p>
    <w:p>
      <w:pPr>
        <w:ind w:left="468" w:hanging="468"/>
        <w:spacing w:after="0"/>
        <w:tabs>
          <w:tab w:leader="none" w:pos="468" w:val="left"/>
        </w:tabs>
        <w:numPr>
          <w:ilvl w:val="0"/>
          <w:numId w:val="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there are any changes in the draft offer document in relation to the matters specified in</w:t>
      </w:r>
    </w:p>
    <w:p>
      <w:pPr>
        <w:spacing w:after="0" w:line="151" w:lineRule="exact"/>
        <w:rPr>
          <w:sz w:val="20"/>
          <w:szCs w:val="20"/>
          <w:color w:val="auto"/>
        </w:rPr>
      </w:pPr>
    </w:p>
    <w:p>
      <w:pPr>
        <w:ind w:left="8"/>
        <w:spacing w:after="0" w:line="348" w:lineRule="auto"/>
        <w:rPr>
          <w:sz w:val="20"/>
          <w:szCs w:val="20"/>
          <w:color w:val="auto"/>
        </w:rPr>
      </w:pPr>
      <w:r>
        <w:rPr>
          <w:rFonts w:ascii="Times New Roman" w:cs="Times New Roman" w:eastAsia="Times New Roman" w:hAnsi="Times New Roman"/>
          <w:sz w:val="24"/>
          <w:szCs w:val="24"/>
          <w:b w:val="1"/>
          <w:bCs w:val="1"/>
          <w:color w:val="auto"/>
        </w:rPr>
        <w:t>Schedule XVI</w:t>
      </w:r>
      <w:r>
        <w:rPr>
          <w:rFonts w:ascii="Times New Roman" w:cs="Times New Roman" w:eastAsia="Times New Roman" w:hAnsi="Times New Roman"/>
          <w:sz w:val="24"/>
          <w:szCs w:val="24"/>
          <w:color w:val="auto"/>
        </w:rPr>
        <w:t>, an updated offer document or a fresh draft offer document, as the case may be,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 xml:space="preserve">shall be filed with the Board along with fees specified in </w:t>
      </w:r>
      <w:r>
        <w:rPr>
          <w:rFonts w:ascii="Times New Roman" w:cs="Times New Roman" w:eastAsia="Times New Roman" w:hAnsi="Times New Roman"/>
          <w:sz w:val="24"/>
          <w:szCs w:val="24"/>
          <w:b w:val="1"/>
          <w:bCs w:val="1"/>
          <w:color w:val="auto"/>
        </w:rPr>
        <w:t>Schedule III</w:t>
      </w:r>
      <w:r>
        <w:rPr>
          <w:rFonts w:ascii="Times New Roman" w:cs="Times New Roman" w:eastAsia="Times New Roman" w:hAnsi="Times New Roman"/>
          <w:sz w:val="24"/>
          <w:szCs w:val="24"/>
          <w:color w:val="auto"/>
        </w:rPr>
        <w:t>.</w:t>
      </w:r>
    </w:p>
    <w:p>
      <w:pPr>
        <w:spacing w:after="0" w:line="15" w:lineRule="exact"/>
        <w:rPr>
          <w:sz w:val="20"/>
          <w:szCs w:val="20"/>
          <w:color w:val="auto"/>
        </w:rPr>
      </w:pPr>
    </w:p>
    <w:p>
      <w:pPr>
        <w:ind w:left="468" w:hanging="468"/>
        <w:spacing w:after="0"/>
        <w:tabs>
          <w:tab w:leader="none" w:pos="468" w:val="left"/>
        </w:tabs>
        <w:numPr>
          <w:ilvl w:val="0"/>
          <w:numId w:val="9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Copy of the offer documents shall also be filed with the Board and the stock exchange(s)</w:t>
      </w:r>
    </w:p>
    <w:p>
      <w:pPr>
        <w:spacing w:after="0" w:line="129" w:lineRule="exact"/>
        <w:rPr>
          <w:rFonts w:ascii="Times New Roman" w:cs="Times New Roman" w:eastAsia="Times New Roman" w:hAnsi="Times New Roman"/>
          <w:sz w:val="24"/>
          <w:szCs w:val="24"/>
          <w:color w:val="auto"/>
        </w:rPr>
      </w:pPr>
    </w:p>
    <w:p>
      <w:pPr>
        <w:ind w:left="8"/>
        <w:spacing w:after="0" w:line="287"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through the lead manager(s) promptly after </w:t>
      </w:r>
      <w:r>
        <w:rPr>
          <w:rFonts w:ascii="Times New Roman" w:cs="Times New Roman" w:eastAsia="Times New Roman" w:hAnsi="Times New Roman"/>
          <w:sz w:val="32"/>
          <w:szCs w:val="32"/>
          <w:color w:val="auto"/>
          <w:vertAlign w:val="superscript"/>
        </w:rPr>
        <w:t>19</w:t>
      </w:r>
      <w:r>
        <w:rPr>
          <w:rFonts w:ascii="Times New Roman" w:cs="Times New Roman" w:eastAsia="Times New Roman" w:hAnsi="Times New Roman"/>
          <w:sz w:val="24"/>
          <w:szCs w:val="24"/>
          <w:color w:val="auto"/>
        </w:rPr>
        <w:t>[filing] the offer documents with Registrar of Companies.</w:t>
      </w: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ind w:left="8" w:hanging="8"/>
        <w:spacing w:after="0" w:line="203" w:lineRule="auto"/>
        <w:tabs>
          <w:tab w:leader="none" w:pos="216" w:val="left"/>
        </w:tabs>
        <w:numPr>
          <w:ilvl w:val="0"/>
          <w:numId w:val="97"/>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Word “registering or” omitted by the Securities and Exchange Board of India (Issue of Capital and Disclosure Requirements) (Seventh Amendment) Regulations, 2019, w-e-f 01.01.2020.</w:t>
      </w:r>
    </w:p>
    <w:p>
      <w:pPr>
        <w:spacing w:after="0" w:line="13" w:lineRule="exact"/>
        <w:rPr>
          <w:rFonts w:ascii="Times New Roman" w:cs="Times New Roman" w:eastAsia="Times New Roman" w:hAnsi="Times New Roman"/>
          <w:sz w:val="26"/>
          <w:szCs w:val="26"/>
          <w:color w:val="auto"/>
          <w:vertAlign w:val="superscript"/>
        </w:rPr>
      </w:pPr>
    </w:p>
    <w:p>
      <w:pPr>
        <w:ind w:left="8" w:hanging="8"/>
        <w:spacing w:after="0" w:line="203" w:lineRule="auto"/>
        <w:tabs>
          <w:tab w:leader="none" w:pos="188" w:val="left"/>
        </w:tabs>
        <w:numPr>
          <w:ilvl w:val="0"/>
          <w:numId w:val="97"/>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Securities and Exchange Board of India (Issue of Capital and Disclosure Requirements) (Seventh Amendment) Regulations, 2019, w-e-f 01.01.2020 for the word “registering”.</w:t>
      </w:r>
    </w:p>
    <w:p>
      <w:pPr>
        <w:spacing w:after="0" w:line="30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28</w:t>
      </w:r>
    </w:p>
    <w:p>
      <w:pPr>
        <w:sectPr>
          <w:pgSz w:w="11900" w:h="16836" w:orient="portrait"/>
          <w:cols w:equalWidth="0" w:num="1">
            <w:col w:w="9468"/>
          </w:cols>
          <w:pgMar w:left="1152" w:top="1156" w:right="1284" w:bottom="103" w:gutter="0" w:footer="0" w:header="0"/>
        </w:sectPr>
      </w:pPr>
    </w:p>
    <w:bookmarkStart w:id="28" w:name="page29"/>
    <w:bookmarkEnd w:id="28"/>
    <w:p>
      <w:pPr>
        <w:ind w:left="8" w:hanging="8"/>
        <w:spacing w:after="0" w:line="348" w:lineRule="auto"/>
        <w:tabs>
          <w:tab w:leader="none" w:pos="413" w:val="left"/>
        </w:tabs>
        <w:numPr>
          <w:ilvl w:val="0"/>
          <w:numId w:val="9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draft offer document and the offer document shall also be furnished to the Board in a soft copy.</w:t>
      </w:r>
    </w:p>
    <w:p>
      <w:pPr>
        <w:spacing w:after="0" w:line="28"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478" w:val="left"/>
        </w:tabs>
        <w:numPr>
          <w:ilvl w:val="0"/>
          <w:numId w:val="9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 shall submit the following documents to the Board after issuance of observations by the Board or after expiry of the period stipulated in sub-regulation (4) of regulation 25 if the Board has not issued observations:</w:t>
      </w:r>
    </w:p>
    <w:p>
      <w:pPr>
        <w:spacing w:after="0" w:line="20" w:lineRule="exact"/>
        <w:rPr>
          <w:sz w:val="20"/>
          <w:szCs w:val="20"/>
          <w:color w:val="auto"/>
        </w:rPr>
      </w:pPr>
    </w:p>
    <w:p>
      <w:pPr>
        <w:ind w:left="548" w:hanging="548"/>
        <w:spacing w:after="0" w:line="350" w:lineRule="auto"/>
        <w:tabs>
          <w:tab w:leader="none" w:pos="548" w:val="left"/>
        </w:tabs>
        <w:numPr>
          <w:ilvl w:val="0"/>
          <w:numId w:val="99"/>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a statement certifying that all changes, suggestions and observations made by the Board have been incorporated in the offer document;</w:t>
      </w:r>
    </w:p>
    <w:p>
      <w:pPr>
        <w:spacing w:after="0" w:line="3" w:lineRule="exact"/>
        <w:rPr>
          <w:rFonts w:ascii="Times New Roman" w:cs="Times New Roman" w:eastAsia="Times New Roman" w:hAnsi="Times New Roman"/>
          <w:sz w:val="22"/>
          <w:szCs w:val="22"/>
          <w:color w:val="auto"/>
        </w:rPr>
      </w:pPr>
    </w:p>
    <w:p>
      <w:pPr>
        <w:ind w:left="548" w:hanging="548"/>
        <w:spacing w:after="0" w:line="288" w:lineRule="auto"/>
        <w:tabs>
          <w:tab w:leader="none" w:pos="548" w:val="left"/>
        </w:tabs>
        <w:numPr>
          <w:ilvl w:val="0"/>
          <w:numId w:val="99"/>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 xml:space="preserve">a due diligence certificate as per </w:t>
      </w:r>
      <w:r>
        <w:rPr>
          <w:rFonts w:ascii="Times New Roman" w:cs="Times New Roman" w:eastAsia="Times New Roman" w:hAnsi="Times New Roman"/>
          <w:sz w:val="24"/>
          <w:szCs w:val="24"/>
          <w:b w:val="1"/>
          <w:bCs w:val="1"/>
          <w:color w:val="auto"/>
        </w:rPr>
        <w:t>Form C</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 V</w:t>
      </w:r>
      <w:r>
        <w:rPr>
          <w:rFonts w:ascii="Times New Roman" w:cs="Times New Roman" w:eastAsia="Times New Roman" w:hAnsi="Times New Roman"/>
          <w:sz w:val="24"/>
          <w:szCs w:val="24"/>
          <w:color w:val="auto"/>
        </w:rPr>
        <w:t xml:space="preserve">, at the time of </w:t>
      </w:r>
      <w:r>
        <w:rPr>
          <w:rFonts w:ascii="Times New Roman" w:cs="Times New Roman" w:eastAsia="Times New Roman" w:hAnsi="Times New Roman"/>
          <w:sz w:val="32"/>
          <w:szCs w:val="32"/>
          <w:color w:val="auto"/>
          <w:vertAlign w:val="superscript"/>
        </w:rPr>
        <w:t>20</w:t>
      </w:r>
      <w:r>
        <w:rPr>
          <w:rFonts w:ascii="Times New Roman" w:cs="Times New Roman" w:eastAsia="Times New Roman" w:hAnsi="Times New Roman"/>
          <w:sz w:val="24"/>
          <w:szCs w:val="24"/>
          <w:color w:val="auto"/>
        </w:rPr>
        <w:t>[filing] of the offer document;</w:t>
      </w:r>
    </w:p>
    <w:p>
      <w:pPr>
        <w:spacing w:after="0" w:line="75" w:lineRule="exact"/>
        <w:rPr>
          <w:rFonts w:ascii="Times New Roman" w:cs="Times New Roman" w:eastAsia="Times New Roman" w:hAnsi="Times New Roman"/>
          <w:sz w:val="22"/>
          <w:szCs w:val="22"/>
          <w:color w:val="auto"/>
        </w:rPr>
      </w:pPr>
    </w:p>
    <w:p>
      <w:pPr>
        <w:jc w:val="both"/>
        <w:ind w:left="548" w:hanging="548"/>
        <w:spacing w:after="0" w:line="354" w:lineRule="auto"/>
        <w:tabs>
          <w:tab w:leader="none" w:pos="548" w:val="left"/>
        </w:tabs>
        <w:numPr>
          <w:ilvl w:val="0"/>
          <w:numId w:val="99"/>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a copy of the resolution passed by the board of directors of the issuer for allotting specified securities to promoter(s) towards amount received against promoters’ contribution, before opening of the issue;</w:t>
      </w:r>
    </w:p>
    <w:p>
      <w:pPr>
        <w:spacing w:after="0" w:line="22" w:lineRule="exact"/>
        <w:rPr>
          <w:rFonts w:ascii="Times New Roman" w:cs="Times New Roman" w:eastAsia="Times New Roman" w:hAnsi="Times New Roman"/>
          <w:sz w:val="22"/>
          <w:szCs w:val="22"/>
          <w:color w:val="auto"/>
        </w:rPr>
      </w:pPr>
    </w:p>
    <w:p>
      <w:pPr>
        <w:jc w:val="both"/>
        <w:ind w:left="548" w:hanging="548"/>
        <w:spacing w:after="0" w:line="357" w:lineRule="auto"/>
        <w:tabs>
          <w:tab w:leader="none" w:pos="548" w:val="left"/>
        </w:tabs>
        <w:numPr>
          <w:ilvl w:val="0"/>
          <w:numId w:val="99"/>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a certificate from a statutory auditor, before opening of the issue, certifying that promoters’ contribution has been received in accordance with these regulations, accompanying therewith the names and addresses of the promoters who have contributed to the promoters’ contribution and the amount paid and credited to the issuer’s bank account by each of them towards such contribution;</w:t>
      </w:r>
    </w:p>
    <w:p>
      <w:pPr>
        <w:spacing w:after="0" w:line="16" w:lineRule="exact"/>
        <w:rPr>
          <w:rFonts w:ascii="Times New Roman" w:cs="Times New Roman" w:eastAsia="Times New Roman" w:hAnsi="Times New Roman"/>
          <w:sz w:val="22"/>
          <w:szCs w:val="22"/>
          <w:color w:val="auto"/>
        </w:rPr>
      </w:pPr>
    </w:p>
    <w:p>
      <w:pPr>
        <w:jc w:val="both"/>
        <w:ind w:left="548" w:hanging="548"/>
        <w:spacing w:after="0" w:line="354" w:lineRule="auto"/>
        <w:tabs>
          <w:tab w:leader="none" w:pos="548" w:val="left"/>
        </w:tabs>
        <w:numPr>
          <w:ilvl w:val="0"/>
          <w:numId w:val="99"/>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 xml:space="preserve">a due diligence certificate as per </w:t>
      </w:r>
      <w:r>
        <w:rPr>
          <w:rFonts w:ascii="Times New Roman" w:cs="Times New Roman" w:eastAsia="Times New Roman" w:hAnsi="Times New Roman"/>
          <w:sz w:val="24"/>
          <w:szCs w:val="24"/>
          <w:b w:val="1"/>
          <w:bCs w:val="1"/>
          <w:color w:val="auto"/>
        </w:rPr>
        <w:t>Form D</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 V</w:t>
      </w:r>
      <w:r>
        <w:rPr>
          <w:rFonts w:ascii="Times New Roman" w:cs="Times New Roman" w:eastAsia="Times New Roman" w:hAnsi="Times New Roman"/>
          <w:sz w:val="24"/>
          <w:szCs w:val="24"/>
          <w:color w:val="auto"/>
        </w:rPr>
        <w:t xml:space="preserve">, in the event the issuer has made a disclosure of any material development by issuing a public notice pursuant to para 4 of </w:t>
      </w:r>
      <w:r>
        <w:rPr>
          <w:rFonts w:ascii="Times New Roman" w:cs="Times New Roman" w:eastAsia="Times New Roman" w:hAnsi="Times New Roman"/>
          <w:sz w:val="24"/>
          <w:szCs w:val="24"/>
          <w:b w:val="1"/>
          <w:bCs w:val="1"/>
          <w:color w:val="auto"/>
        </w:rPr>
        <w:t xml:space="preserve">Schedule </w:t>
      </w:r>
      <w:r>
        <w:rPr>
          <w:rFonts w:ascii="Times New Roman" w:cs="Times New Roman" w:eastAsia="Times New Roman" w:hAnsi="Times New Roman"/>
          <w:sz w:val="24"/>
          <w:szCs w:val="24"/>
          <w:color w:val="auto"/>
        </w:rPr>
        <w:t>IX.</w:t>
      </w:r>
    </w:p>
    <w:p>
      <w:pPr>
        <w:spacing w:after="0" w:line="200" w:lineRule="exact"/>
        <w:rPr>
          <w:sz w:val="20"/>
          <w:szCs w:val="20"/>
          <w:color w:val="auto"/>
        </w:rPr>
      </w:pPr>
    </w:p>
    <w:p>
      <w:pPr>
        <w:spacing w:after="0" w:line="22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Draft offer document and offer document to be available to the public</w:t>
      </w:r>
    </w:p>
    <w:p>
      <w:pPr>
        <w:spacing w:after="0" w:line="147" w:lineRule="exact"/>
        <w:rPr>
          <w:sz w:val="20"/>
          <w:szCs w:val="20"/>
          <w:color w:val="auto"/>
        </w:rPr>
      </w:pPr>
    </w:p>
    <w:p>
      <w:pPr>
        <w:jc w:val="both"/>
        <w:ind w:left="8" w:hanging="8"/>
        <w:spacing w:after="0" w:line="356" w:lineRule="auto"/>
        <w:tabs>
          <w:tab w:leader="none" w:pos="375" w:val="left"/>
        </w:tabs>
        <w:numPr>
          <w:ilvl w:val="0"/>
          <w:numId w:val="10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draft offer document filed with the Board shall be made public for comments, if any, for a period of at least twenty one days from the date of filing, by hosting it on the websites of the Board, stock exchanges where specified securities are proposed to be listed and lead manager(s) associated with the issue.</w:t>
      </w:r>
    </w:p>
    <w:p>
      <w:pPr>
        <w:spacing w:after="0" w:line="19" w:lineRule="exact"/>
        <w:rPr>
          <w:sz w:val="20"/>
          <w:szCs w:val="20"/>
          <w:color w:val="auto"/>
        </w:rPr>
      </w:pPr>
    </w:p>
    <w:p>
      <w:pPr>
        <w:jc w:val="both"/>
        <w:ind w:left="8" w:hanging="8"/>
        <w:spacing w:after="0" w:line="358" w:lineRule="auto"/>
        <w:tabs>
          <w:tab w:leader="none" w:pos="449" w:val="left"/>
        </w:tabs>
        <w:numPr>
          <w:ilvl w:val="0"/>
          <w:numId w:val="10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within two days of filing the draft offer document with the Board, make a public announcement in one English national daily newspaper with wide circulation, one Hindi national daily newspaper with wide circulation and one regional language newspaper with wide circulation at the place where the registered office of the issuer is situated, disclosing the fact of filing of the draft offer document with the Board and inviting the public to provide their comments to the Board, the issuer or the lead manager(s) in respect of the disclosures made in the draft offer document.</w:t>
      </w:r>
    </w:p>
    <w:p>
      <w:pPr>
        <w:spacing w:after="0" w:line="340" w:lineRule="exact"/>
        <w:rPr>
          <w:sz w:val="20"/>
          <w:szCs w:val="20"/>
          <w:color w:val="auto"/>
        </w:rPr>
      </w:pPr>
    </w:p>
    <w:p>
      <w:pPr>
        <w:ind w:left="8" w:hanging="8"/>
        <w:spacing w:after="0" w:line="203" w:lineRule="auto"/>
        <w:tabs>
          <w:tab w:leader="none" w:pos="188" w:val="left"/>
        </w:tabs>
        <w:numPr>
          <w:ilvl w:val="0"/>
          <w:numId w:val="102"/>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Securities and Exchange Board of India (Issue of Capital and Disclosure Requirements) (Seventh Amendment) Regulations, 2019, w-e-f 01.01.2020 for the word “registering”.</w:t>
      </w:r>
    </w:p>
    <w:p>
      <w:pPr>
        <w:spacing w:after="0" w:line="30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29</w:t>
      </w:r>
    </w:p>
    <w:p>
      <w:pPr>
        <w:sectPr>
          <w:pgSz w:w="11900" w:h="16836" w:orient="portrait"/>
          <w:cols w:equalWidth="0" w:num="1">
            <w:col w:w="9468"/>
          </w:cols>
          <w:pgMar w:left="1152" w:top="1156" w:right="1284" w:bottom="103" w:gutter="0" w:footer="0" w:header="0"/>
        </w:sectPr>
      </w:pPr>
    </w:p>
    <w:bookmarkStart w:id="29" w:name="page30"/>
    <w:bookmarkEnd w:id="29"/>
    <w:p>
      <w:pPr>
        <w:jc w:val="both"/>
        <w:ind w:left="8" w:hanging="8"/>
        <w:spacing w:after="0" w:line="356" w:lineRule="auto"/>
        <w:tabs>
          <w:tab w:leader="none" w:pos="420" w:val="left"/>
        </w:tabs>
        <w:numPr>
          <w:ilvl w:val="0"/>
          <w:numId w:val="10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 shall, after expiry of the period stipulated in sub-regulation (1), file with the Board, details of the comments received by them or the issuer from the public, on the draft offer document, during that period and the consequential changes, if any, that are required to be made in the draft offer document.</w:t>
      </w:r>
    </w:p>
    <w:p>
      <w:pPr>
        <w:spacing w:after="0" w:line="18"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454" w:val="left"/>
        </w:tabs>
        <w:numPr>
          <w:ilvl w:val="0"/>
          <w:numId w:val="10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and the lead manager(s) shall ensure that the offer documents are hosted on the websites as required under these regulations and its contents are the same as the versions as filed with the Registrar of Companies, Board and the stock exchanges, as applicable.</w:t>
      </w:r>
    </w:p>
    <w:p>
      <w:pPr>
        <w:spacing w:after="0" w:line="19" w:lineRule="exact"/>
        <w:rPr>
          <w:rFonts w:ascii="Times New Roman" w:cs="Times New Roman" w:eastAsia="Times New Roman" w:hAnsi="Times New Roman"/>
          <w:sz w:val="24"/>
          <w:szCs w:val="24"/>
          <w:color w:val="auto"/>
        </w:rPr>
      </w:pPr>
    </w:p>
    <w:p>
      <w:pPr>
        <w:ind w:left="8" w:hanging="8"/>
        <w:spacing w:after="0" w:line="376" w:lineRule="auto"/>
        <w:tabs>
          <w:tab w:leader="none" w:pos="411" w:val="left"/>
        </w:tabs>
        <w:numPr>
          <w:ilvl w:val="0"/>
          <w:numId w:val="103"/>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The lead manager(s) and the stock exchanges shall provide copies of the offer document to the public as and when requested and may charge a reasonable sum for providing a copy of the same.</w:t>
      </w:r>
    </w:p>
    <w:p>
      <w:pPr>
        <w:spacing w:after="0" w:line="200" w:lineRule="exact"/>
        <w:rPr>
          <w:sz w:val="20"/>
          <w:szCs w:val="20"/>
          <w:color w:val="auto"/>
        </w:rPr>
      </w:pPr>
    </w:p>
    <w:p>
      <w:pPr>
        <w:spacing w:after="0" w:line="20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VII - PRICING</w:t>
      </w:r>
    </w:p>
    <w:p>
      <w:pPr>
        <w:spacing w:after="0" w:line="200" w:lineRule="exact"/>
        <w:rPr>
          <w:sz w:val="20"/>
          <w:szCs w:val="20"/>
          <w:color w:val="auto"/>
        </w:rPr>
      </w:pPr>
    </w:p>
    <w:p>
      <w:pPr>
        <w:spacing w:after="0" w:line="35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Face value of equity shares</w:t>
      </w:r>
    </w:p>
    <w:p>
      <w:pPr>
        <w:spacing w:after="0" w:line="144" w:lineRule="exact"/>
        <w:rPr>
          <w:sz w:val="20"/>
          <w:szCs w:val="20"/>
          <w:color w:val="auto"/>
        </w:rPr>
      </w:pPr>
    </w:p>
    <w:p>
      <w:pPr>
        <w:jc w:val="both"/>
        <w:ind w:left="8" w:hanging="8"/>
        <w:spacing w:after="0" w:line="354" w:lineRule="auto"/>
        <w:tabs>
          <w:tab w:leader="none" w:pos="418" w:val="left"/>
        </w:tabs>
        <w:numPr>
          <w:ilvl w:val="0"/>
          <w:numId w:val="10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disclosure about the face value of equity shares shall be made in the draft offer document, offer document, advertisements and application forms, along with the price band or the issue price in identical font size.</w:t>
      </w:r>
    </w:p>
    <w:p>
      <w:pPr>
        <w:spacing w:after="0" w:line="200" w:lineRule="exact"/>
        <w:rPr>
          <w:sz w:val="20"/>
          <w:szCs w:val="20"/>
          <w:color w:val="auto"/>
        </w:rPr>
      </w:pPr>
    </w:p>
    <w:p>
      <w:pPr>
        <w:spacing w:after="0" w:line="22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Pricing</w:t>
      </w:r>
    </w:p>
    <w:p>
      <w:pPr>
        <w:spacing w:after="0" w:line="147" w:lineRule="exact"/>
        <w:rPr>
          <w:sz w:val="20"/>
          <w:szCs w:val="20"/>
          <w:color w:val="auto"/>
        </w:rPr>
      </w:pPr>
    </w:p>
    <w:p>
      <w:pPr>
        <w:jc w:val="both"/>
        <w:ind w:left="8" w:hanging="8"/>
        <w:spacing w:after="0" w:line="354" w:lineRule="auto"/>
        <w:tabs>
          <w:tab w:leader="none" w:pos="363" w:val="left"/>
        </w:tabs>
        <w:numPr>
          <w:ilvl w:val="0"/>
          <w:numId w:val="10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may determine the price of equity shares, and in case of convertible securities, the coupon rate and the conversion price, in consultation with the lead manager(s) or through the book building process, as the case may be.</w:t>
      </w:r>
    </w:p>
    <w:p>
      <w:pPr>
        <w:spacing w:after="0" w:line="200" w:lineRule="exact"/>
        <w:rPr>
          <w:sz w:val="20"/>
          <w:szCs w:val="20"/>
          <w:color w:val="auto"/>
        </w:rPr>
      </w:pPr>
    </w:p>
    <w:p>
      <w:pPr>
        <w:spacing w:after="0" w:line="235" w:lineRule="exact"/>
        <w:rPr>
          <w:sz w:val="20"/>
          <w:szCs w:val="20"/>
          <w:color w:val="auto"/>
        </w:rPr>
      </w:pPr>
    </w:p>
    <w:p>
      <w:pPr>
        <w:ind w:left="8" w:hanging="8"/>
        <w:spacing w:after="0" w:line="348" w:lineRule="auto"/>
        <w:tabs>
          <w:tab w:leader="none" w:pos="377" w:val="left"/>
        </w:tabs>
        <w:numPr>
          <w:ilvl w:val="0"/>
          <w:numId w:val="10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The issuer shall undertake the book building process in the manner specified in </w:t>
      </w:r>
      <w:r>
        <w:rPr>
          <w:rFonts w:ascii="Times New Roman" w:cs="Times New Roman" w:eastAsia="Times New Roman" w:hAnsi="Times New Roman"/>
          <w:sz w:val="24"/>
          <w:szCs w:val="24"/>
          <w:b w:val="1"/>
          <w:bCs w:val="1"/>
          <w:color w:val="auto"/>
        </w:rPr>
        <w:t>Schedule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XIII</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234"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Price and price band</w:t>
      </w:r>
    </w:p>
    <w:p>
      <w:pPr>
        <w:spacing w:after="0" w:line="147" w:lineRule="exact"/>
        <w:rPr>
          <w:sz w:val="20"/>
          <w:szCs w:val="20"/>
          <w:color w:val="auto"/>
        </w:rPr>
      </w:pPr>
    </w:p>
    <w:p>
      <w:pPr>
        <w:jc w:val="both"/>
        <w:ind w:left="8" w:hanging="8"/>
        <w:spacing w:after="0" w:line="366" w:lineRule="auto"/>
        <w:tabs>
          <w:tab w:leader="none" w:pos="360" w:val="left"/>
        </w:tabs>
        <w:numPr>
          <w:ilvl w:val="0"/>
          <w:numId w:val="107"/>
        </w:numPr>
        <w:rPr>
          <w:rFonts w:ascii="Times New Roman" w:cs="Times New Roman" w:eastAsia="Times New Roman" w:hAnsi="Times New Roman"/>
          <w:sz w:val="23"/>
          <w:szCs w:val="23"/>
          <w:b w:val="1"/>
          <w:bCs w:val="1"/>
          <w:color w:val="auto"/>
        </w:rPr>
      </w:pPr>
      <w:r>
        <w:rPr>
          <w:rFonts w:ascii="Times New Roman" w:cs="Times New Roman" w:eastAsia="Times New Roman" w:hAnsi="Times New Roman"/>
          <w:sz w:val="23"/>
          <w:szCs w:val="23"/>
          <w:color w:val="auto"/>
        </w:rPr>
        <w:t>(1) The issuer may mention a price or a price band in the offer document (in case of a fixed price issue) and a floor price or a price band in the red herring prospectus (in case of a book built issue)</w:t>
      </w:r>
    </w:p>
    <w:p>
      <w:pPr>
        <w:spacing w:after="0" w:line="1" w:lineRule="exact"/>
        <w:rPr>
          <w:rFonts w:ascii="Times New Roman" w:cs="Times New Roman" w:eastAsia="Times New Roman" w:hAnsi="Times New Roman"/>
          <w:sz w:val="23"/>
          <w:szCs w:val="23"/>
          <w:b w:val="1"/>
          <w:bCs w:val="1"/>
          <w:color w:val="auto"/>
        </w:rPr>
      </w:pPr>
    </w:p>
    <w:p>
      <w:pPr>
        <w:ind w:left="8"/>
        <w:spacing w:after="0" w:line="285" w:lineRule="auto"/>
        <w:rPr>
          <w:rFonts w:ascii="Times New Roman" w:cs="Times New Roman" w:eastAsia="Times New Roman" w:hAnsi="Times New Roman"/>
          <w:sz w:val="23"/>
          <w:szCs w:val="23"/>
          <w:b w:val="1"/>
          <w:bCs w:val="1"/>
          <w:color w:val="auto"/>
        </w:rPr>
      </w:pPr>
      <w:r>
        <w:rPr>
          <w:rFonts w:ascii="Times New Roman" w:cs="Times New Roman" w:eastAsia="Times New Roman" w:hAnsi="Times New Roman"/>
          <w:sz w:val="24"/>
          <w:szCs w:val="24"/>
          <w:color w:val="auto"/>
        </w:rPr>
        <w:t xml:space="preserve">and determine the price at a later date before </w:t>
      </w:r>
      <w:r>
        <w:rPr>
          <w:rFonts w:ascii="Times New Roman" w:cs="Times New Roman" w:eastAsia="Times New Roman" w:hAnsi="Times New Roman"/>
          <w:sz w:val="32"/>
          <w:szCs w:val="32"/>
          <w:color w:val="auto"/>
          <w:vertAlign w:val="superscript"/>
        </w:rPr>
        <w:t>21</w:t>
      </w:r>
      <w:r>
        <w:rPr>
          <w:rFonts w:ascii="Times New Roman" w:cs="Times New Roman" w:eastAsia="Times New Roman" w:hAnsi="Times New Roman"/>
          <w:sz w:val="24"/>
          <w:szCs w:val="24"/>
          <w:color w:val="auto"/>
        </w:rPr>
        <w:t>[filing] the prospectus with the Registrar of Companies: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ind w:left="8" w:hanging="8"/>
        <w:spacing w:after="0" w:line="203" w:lineRule="auto"/>
        <w:tabs>
          <w:tab w:leader="none" w:pos="188" w:val="left"/>
        </w:tabs>
        <w:numPr>
          <w:ilvl w:val="0"/>
          <w:numId w:val="108"/>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Securities and Exchange Board of India (Issue of Capital and Disclosure Requirements) (Seventh Amendment) Regulations, 2019, w-e-f 01.01.2020 for the word “registering”.</w:t>
      </w:r>
    </w:p>
    <w:p>
      <w:pPr>
        <w:spacing w:after="0" w:line="30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30</w:t>
      </w:r>
    </w:p>
    <w:p>
      <w:pPr>
        <w:sectPr>
          <w:pgSz w:w="11900" w:h="16836" w:orient="portrait"/>
          <w:cols w:equalWidth="0" w:num="1">
            <w:col w:w="9468"/>
          </w:cols>
          <w:pgMar w:left="1152" w:top="1156" w:right="1284" w:bottom="103" w:gutter="0" w:footer="0" w:header="0"/>
        </w:sectPr>
      </w:pPr>
    </w:p>
    <w:bookmarkStart w:id="30" w:name="page31"/>
    <w:bookmarkEnd w:id="30"/>
    <w:p>
      <w:pPr>
        <w:ind w:left="8"/>
        <w:spacing w:after="0" w:line="286" w:lineRule="auto"/>
        <w:rPr>
          <w:sz w:val="20"/>
          <w:szCs w:val="20"/>
          <w:color w:val="auto"/>
        </w:rPr>
      </w:pPr>
      <w:r>
        <w:rPr>
          <w:rFonts w:ascii="Times New Roman" w:cs="Times New Roman" w:eastAsia="Times New Roman" w:hAnsi="Times New Roman"/>
          <w:sz w:val="24"/>
          <w:szCs w:val="24"/>
          <w:color w:val="auto"/>
        </w:rPr>
        <w:t xml:space="preserve">Provided that the prospectus </w:t>
      </w:r>
      <w:r>
        <w:rPr>
          <w:rFonts w:ascii="Times New Roman" w:cs="Times New Roman" w:eastAsia="Times New Roman" w:hAnsi="Times New Roman"/>
          <w:sz w:val="32"/>
          <w:szCs w:val="32"/>
          <w:color w:val="auto"/>
          <w:vertAlign w:val="superscript"/>
        </w:rPr>
        <w:t>22</w:t>
      </w:r>
      <w:r>
        <w:rPr>
          <w:rFonts w:ascii="Times New Roman" w:cs="Times New Roman" w:eastAsia="Times New Roman" w:hAnsi="Times New Roman"/>
          <w:sz w:val="24"/>
          <w:szCs w:val="24"/>
          <w:color w:val="auto"/>
        </w:rPr>
        <w:t>[filed] with the Registrar of Companies shall contain only one price or the specific coupon rate, as the case may be.</w:t>
      </w:r>
    </w:p>
    <w:p>
      <w:pPr>
        <w:spacing w:after="0" w:line="81" w:lineRule="exact"/>
        <w:rPr>
          <w:sz w:val="20"/>
          <w:szCs w:val="20"/>
          <w:color w:val="auto"/>
        </w:rPr>
      </w:pPr>
    </w:p>
    <w:p>
      <w:pPr>
        <w:ind w:left="8" w:hanging="8"/>
        <w:spacing w:after="0" w:line="348" w:lineRule="auto"/>
        <w:tabs>
          <w:tab w:leader="none" w:pos="358" w:val="left"/>
        </w:tabs>
        <w:numPr>
          <w:ilvl w:val="0"/>
          <w:numId w:val="10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cap on the price band, and the coupon rate in case of convertible debt instruments, shall be less than or equal to one hundred and twenty per cent. of the floor price.</w:t>
      </w:r>
    </w:p>
    <w:p>
      <w:pPr>
        <w:spacing w:after="0" w:line="27" w:lineRule="exact"/>
        <w:rPr>
          <w:rFonts w:ascii="Times New Roman" w:cs="Times New Roman" w:eastAsia="Times New Roman" w:hAnsi="Times New Roman"/>
          <w:sz w:val="24"/>
          <w:szCs w:val="24"/>
          <w:color w:val="auto"/>
        </w:rPr>
      </w:pPr>
    </w:p>
    <w:p>
      <w:pPr>
        <w:ind w:left="8" w:hanging="8"/>
        <w:spacing w:after="0" w:line="348" w:lineRule="auto"/>
        <w:tabs>
          <w:tab w:leader="none" w:pos="509" w:val="left"/>
        </w:tabs>
        <w:numPr>
          <w:ilvl w:val="0"/>
          <w:numId w:val="10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floor price or the final price shall not be less than the face value of the specified securities.</w:t>
      </w:r>
    </w:p>
    <w:p>
      <w:pPr>
        <w:spacing w:after="0" w:line="27" w:lineRule="exact"/>
        <w:rPr>
          <w:rFonts w:ascii="Times New Roman" w:cs="Times New Roman" w:eastAsia="Times New Roman" w:hAnsi="Times New Roman"/>
          <w:sz w:val="24"/>
          <w:szCs w:val="24"/>
          <w:color w:val="auto"/>
        </w:rPr>
      </w:pPr>
    </w:p>
    <w:p>
      <w:pPr>
        <w:jc w:val="both"/>
        <w:ind w:left="8" w:hanging="8"/>
        <w:spacing w:after="0" w:line="356" w:lineRule="auto"/>
        <w:tabs>
          <w:tab w:leader="none" w:pos="394" w:val="left"/>
        </w:tabs>
        <w:numPr>
          <w:ilvl w:val="0"/>
          <w:numId w:val="10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Where the issuer opts not to make the disclosure of the floor price or price band in the red herring prospectus, the issuer shall announce the floor price or the price band at least two working days before the opening of the issue in the same newspapers in which the pre-issue advertisement was released or together with the pre-issue advertisement in the format prescribed under Part A of</w:t>
      </w:r>
    </w:p>
    <w:p>
      <w:pPr>
        <w:spacing w:after="0" w:line="200" w:lineRule="exact"/>
        <w:rPr>
          <w:sz w:val="20"/>
          <w:szCs w:val="20"/>
          <w:color w:val="auto"/>
        </w:rPr>
      </w:pPr>
    </w:p>
    <w:p>
      <w:pPr>
        <w:spacing w:after="0" w:line="232" w:lineRule="exact"/>
        <w:rPr>
          <w:sz w:val="20"/>
          <w:szCs w:val="20"/>
          <w:color w:val="auto"/>
        </w:rPr>
      </w:pPr>
    </w:p>
    <w:p>
      <w:pPr>
        <w:jc w:val="both"/>
        <w:ind w:left="8" w:hanging="8"/>
        <w:spacing w:after="0" w:line="350" w:lineRule="auto"/>
        <w:tabs>
          <w:tab w:leader="none" w:pos="485" w:val="left"/>
        </w:tabs>
        <w:numPr>
          <w:ilvl w:val="0"/>
          <w:numId w:val="1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announcement referred to in sub-regulation (4) shall contain relevant financial ratios computed for both upper and lower end of the price band and also a statement drawing attention</w:t>
      </w:r>
    </w:p>
    <w:p>
      <w:pPr>
        <w:spacing w:after="0" w:line="11"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of the investors to the section titled “basis of issue price” of the offer document.</w:t>
      </w:r>
    </w:p>
    <w:p>
      <w:pPr>
        <w:spacing w:after="0" w:line="151" w:lineRule="exact"/>
        <w:rPr>
          <w:sz w:val="20"/>
          <w:szCs w:val="20"/>
          <w:color w:val="auto"/>
        </w:rPr>
      </w:pPr>
    </w:p>
    <w:p>
      <w:pPr>
        <w:jc w:val="both"/>
        <w:ind w:left="8" w:hanging="8"/>
        <w:spacing w:after="0" w:line="356" w:lineRule="auto"/>
        <w:tabs>
          <w:tab w:leader="none" w:pos="439" w:val="left"/>
        </w:tabs>
        <w:numPr>
          <w:ilvl w:val="0"/>
          <w:numId w:val="1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announcement referred to in sub-regulation (4) and the relevant financial ratios referred to in sub-regulation (5) shall be disclosed on the websites of the stock exchange(s) and shall also be pre-filled in the application forms to be made available on the websites of the stock exchange(s).</w:t>
      </w:r>
    </w:p>
    <w:p>
      <w:pPr>
        <w:spacing w:after="0" w:line="200" w:lineRule="exact"/>
        <w:rPr>
          <w:sz w:val="20"/>
          <w:szCs w:val="20"/>
          <w:color w:val="auto"/>
        </w:rPr>
      </w:pPr>
    </w:p>
    <w:p>
      <w:pPr>
        <w:spacing w:after="0" w:line="224"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Differential pricing</w:t>
      </w:r>
    </w:p>
    <w:p>
      <w:pPr>
        <w:spacing w:after="0" w:line="134" w:lineRule="exact"/>
        <w:rPr>
          <w:sz w:val="20"/>
          <w:szCs w:val="20"/>
          <w:color w:val="auto"/>
        </w:rPr>
      </w:pPr>
    </w:p>
    <w:p>
      <w:pPr>
        <w:ind w:left="348" w:hanging="348"/>
        <w:spacing w:after="0"/>
        <w:tabs>
          <w:tab w:leader="none" w:pos="348" w:val="left"/>
        </w:tabs>
        <w:numPr>
          <w:ilvl w:val="0"/>
          <w:numId w:val="11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may offer its specified securities at different prices, subject to the following:</w:t>
      </w:r>
    </w:p>
    <w:p>
      <w:pPr>
        <w:spacing w:after="0" w:line="149" w:lineRule="exact"/>
        <w:rPr>
          <w:sz w:val="20"/>
          <w:szCs w:val="20"/>
          <w:color w:val="auto"/>
        </w:rPr>
      </w:pPr>
    </w:p>
    <w:p>
      <w:pPr>
        <w:jc w:val="both"/>
        <w:ind w:left="548" w:hanging="548"/>
        <w:spacing w:after="0" w:line="357" w:lineRule="auto"/>
        <w:tabs>
          <w:tab w:leader="none" w:pos="548" w:val="left"/>
        </w:tabs>
        <w:numPr>
          <w:ilvl w:val="0"/>
          <w:numId w:val="113"/>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retail individual investors or retail individual shareholders or employees entitled for reservation made under regulation 33 may be offered specified securities at a price not lower than by more than ten per cent. of the price at which net offer is made to other categories of applicants, excluding anchor investors;</w:t>
      </w:r>
    </w:p>
    <w:p>
      <w:pPr>
        <w:spacing w:after="0" w:line="14" w:lineRule="exact"/>
        <w:rPr>
          <w:rFonts w:ascii="Times New Roman" w:cs="Times New Roman" w:eastAsia="Times New Roman" w:hAnsi="Times New Roman"/>
          <w:sz w:val="22"/>
          <w:szCs w:val="22"/>
          <w:color w:val="auto"/>
        </w:rPr>
      </w:pPr>
    </w:p>
    <w:p>
      <w:pPr>
        <w:ind w:left="548" w:hanging="548"/>
        <w:spacing w:after="0" w:line="350" w:lineRule="auto"/>
        <w:tabs>
          <w:tab w:leader="none" w:pos="548" w:val="left"/>
        </w:tabs>
        <w:numPr>
          <w:ilvl w:val="0"/>
          <w:numId w:val="113"/>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in case of a book built issue, the price of the specified securities offered to the anchor investors shall not be lower than the price offered to other applicants;</w:t>
      </w:r>
    </w:p>
    <w:p>
      <w:pPr>
        <w:spacing w:after="0" w:line="23" w:lineRule="exact"/>
        <w:rPr>
          <w:rFonts w:ascii="Times New Roman" w:cs="Times New Roman" w:eastAsia="Times New Roman" w:hAnsi="Times New Roman"/>
          <w:sz w:val="22"/>
          <w:szCs w:val="22"/>
          <w:color w:val="auto"/>
        </w:rPr>
      </w:pPr>
    </w:p>
    <w:p>
      <w:pPr>
        <w:jc w:val="both"/>
        <w:ind w:left="548" w:hanging="548"/>
        <w:spacing w:after="0" w:line="354" w:lineRule="auto"/>
        <w:tabs>
          <w:tab w:leader="none" w:pos="548" w:val="left"/>
        </w:tabs>
        <w:numPr>
          <w:ilvl w:val="0"/>
          <w:numId w:val="113"/>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 xml:space="preserve">In case the issuer opts for the alternate method of book building in terms of </w:t>
      </w:r>
      <w:r>
        <w:rPr>
          <w:rFonts w:ascii="Times New Roman" w:cs="Times New Roman" w:eastAsia="Times New Roman" w:hAnsi="Times New Roman"/>
          <w:sz w:val="24"/>
          <w:szCs w:val="24"/>
          <w:b w:val="1"/>
          <w:bCs w:val="1"/>
          <w:color w:val="auto"/>
        </w:rPr>
        <w:t>Part D</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 XIII</w:t>
      </w:r>
      <w:r>
        <w:rPr>
          <w:rFonts w:ascii="Times New Roman" w:cs="Times New Roman" w:eastAsia="Times New Roman" w:hAnsi="Times New Roman"/>
          <w:sz w:val="24"/>
          <w:szCs w:val="24"/>
          <w:color w:val="auto"/>
        </w:rPr>
        <w:t>, the issuer may offer the specified securities to its employees at a price not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lower than by more than ten per cent. of the floor price.</w:t>
      </w:r>
    </w:p>
    <w:p>
      <w:pPr>
        <w:spacing w:after="0" w:line="10"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(2) Discount, if any, shall be expressed in rupee terms in the offer document.</w:t>
      </w:r>
    </w:p>
    <w:p>
      <w:pPr>
        <w:spacing w:after="0" w:line="200" w:lineRule="exact"/>
        <w:rPr>
          <w:sz w:val="20"/>
          <w:szCs w:val="20"/>
          <w:color w:val="auto"/>
        </w:rPr>
      </w:pPr>
    </w:p>
    <w:p>
      <w:pPr>
        <w:spacing w:after="0" w:line="35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VIII: ISSUANCE CONDITIONS AND PROCEDURE</w:t>
      </w:r>
    </w:p>
    <w:p>
      <w:pPr>
        <w:spacing w:after="0" w:line="200" w:lineRule="exact"/>
        <w:rPr>
          <w:sz w:val="20"/>
          <w:szCs w:val="20"/>
          <w:color w:val="auto"/>
        </w:rPr>
      </w:pPr>
    </w:p>
    <w:p>
      <w:pPr>
        <w:spacing w:after="0" w:line="269" w:lineRule="exact"/>
        <w:rPr>
          <w:sz w:val="20"/>
          <w:szCs w:val="20"/>
          <w:color w:val="auto"/>
        </w:rPr>
      </w:pPr>
    </w:p>
    <w:p>
      <w:pPr>
        <w:ind w:left="8" w:hanging="8"/>
        <w:spacing w:after="0" w:line="203" w:lineRule="auto"/>
        <w:tabs>
          <w:tab w:leader="none" w:pos="188" w:val="left"/>
        </w:tabs>
        <w:numPr>
          <w:ilvl w:val="0"/>
          <w:numId w:val="114"/>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Securities and Exchange Board of India (Issue of Capital and Disclosure Requirements) (Seventh Amendment) Regulations, 2019, w-e-f 01.01.2020 for the word “registered”.</w:t>
      </w:r>
    </w:p>
    <w:p>
      <w:pPr>
        <w:spacing w:after="0" w:line="30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31</w:t>
      </w:r>
    </w:p>
    <w:p>
      <w:pPr>
        <w:sectPr>
          <w:pgSz w:w="11900" w:h="16836" w:orient="portrait"/>
          <w:cols w:equalWidth="0" w:num="1">
            <w:col w:w="9468"/>
          </w:cols>
          <w:pgMar w:left="1152" w:top="1136" w:right="1284" w:bottom="103" w:gutter="0" w:footer="0" w:header="0"/>
        </w:sectPr>
      </w:pPr>
    </w:p>
    <w:bookmarkStart w:id="31" w:name="page32"/>
    <w:bookmarkEnd w:id="31"/>
    <w:p>
      <w:pPr>
        <w:spacing w:after="0" w:line="12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Minimum offer to public</w:t>
      </w:r>
    </w:p>
    <w:p>
      <w:pPr>
        <w:spacing w:after="0" w:line="147" w:lineRule="exact"/>
        <w:rPr>
          <w:sz w:val="20"/>
          <w:szCs w:val="20"/>
          <w:color w:val="auto"/>
        </w:rPr>
      </w:pPr>
    </w:p>
    <w:p>
      <w:pPr>
        <w:ind w:left="8" w:hanging="8"/>
        <w:spacing w:after="0" w:line="348" w:lineRule="auto"/>
        <w:tabs>
          <w:tab w:leader="none" w:pos="370" w:val="left"/>
        </w:tabs>
        <w:numPr>
          <w:ilvl w:val="0"/>
          <w:numId w:val="11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minimum offer to the public shall be subject to the provisions of clause (b) of sub-rule (2) of rule 19 of Securities Contracts (Regulations) Rules, 1957.</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Allocation in the net offer</w:t>
      </w:r>
    </w:p>
    <w:p>
      <w:pPr>
        <w:spacing w:after="0" w:line="147" w:lineRule="exact"/>
        <w:rPr>
          <w:sz w:val="20"/>
          <w:szCs w:val="20"/>
          <w:color w:val="auto"/>
        </w:rPr>
      </w:pPr>
    </w:p>
    <w:p>
      <w:pPr>
        <w:ind w:left="8" w:hanging="8"/>
        <w:spacing w:after="0" w:line="348" w:lineRule="auto"/>
        <w:tabs>
          <w:tab w:leader="none" w:pos="375" w:val="left"/>
        </w:tabs>
        <w:numPr>
          <w:ilvl w:val="0"/>
          <w:numId w:val="11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In an issue made through the book building process under sub-regulation (1) of regulation 6 the allocation in the net offer category shall be as follows:</w:t>
      </w:r>
    </w:p>
    <w:p>
      <w:pPr>
        <w:spacing w:after="0" w:line="16" w:lineRule="exact"/>
        <w:rPr>
          <w:rFonts w:ascii="Times New Roman" w:cs="Times New Roman" w:eastAsia="Times New Roman" w:hAnsi="Times New Roman"/>
          <w:sz w:val="24"/>
          <w:szCs w:val="24"/>
          <w:b w:val="1"/>
          <w:bCs w:val="1"/>
          <w:color w:val="auto"/>
        </w:rPr>
      </w:pPr>
    </w:p>
    <w:p>
      <w:pPr>
        <w:ind w:left="8"/>
        <w:spacing w:after="0"/>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 not less than thirty five per cent. to retail individual investors;</w:t>
      </w:r>
    </w:p>
    <w:p>
      <w:pPr>
        <w:spacing w:after="0" w:line="136" w:lineRule="exact"/>
        <w:rPr>
          <w:rFonts w:ascii="Times New Roman" w:cs="Times New Roman" w:eastAsia="Times New Roman" w:hAnsi="Times New Roman"/>
          <w:sz w:val="24"/>
          <w:szCs w:val="24"/>
          <w:b w:val="1"/>
          <w:bCs w:val="1"/>
          <w:color w:val="auto"/>
        </w:rPr>
      </w:pPr>
    </w:p>
    <w:p>
      <w:pPr>
        <w:ind w:left="8"/>
        <w:spacing w:after="0"/>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(b) not less than fifteen per cent. to non-institutional investors;</w:t>
      </w:r>
    </w:p>
    <w:p>
      <w:pPr>
        <w:spacing w:after="0" w:line="151" w:lineRule="exact"/>
        <w:rPr>
          <w:rFonts w:ascii="Times New Roman" w:cs="Times New Roman" w:eastAsia="Times New Roman" w:hAnsi="Times New Roman"/>
          <w:sz w:val="24"/>
          <w:szCs w:val="24"/>
          <w:b w:val="1"/>
          <w:bCs w:val="1"/>
          <w:color w:val="auto"/>
        </w:rPr>
      </w:pPr>
    </w:p>
    <w:p>
      <w:pPr>
        <w:ind w:left="8"/>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(c) not more than fifty per cent. to qualified institutional buyers, five per cent. of which shall be allocated to mutual funds:</w:t>
      </w:r>
    </w:p>
    <w:p>
      <w:pPr>
        <w:spacing w:after="0" w:line="27" w:lineRule="exact"/>
        <w:rPr>
          <w:rFonts w:ascii="Times New Roman" w:cs="Times New Roman" w:eastAsia="Times New Roman" w:hAnsi="Times New Roman"/>
          <w:sz w:val="24"/>
          <w:szCs w:val="24"/>
          <w:b w:val="1"/>
          <w:bCs w:val="1"/>
          <w:color w:val="auto"/>
        </w:rPr>
      </w:pPr>
    </w:p>
    <w:p>
      <w:pPr>
        <w:ind w:left="8"/>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the unsubscribed portion in either of the categories specified in clauses (a) or (b) may be allocated to applicants in any other category:</w:t>
      </w:r>
    </w:p>
    <w:p>
      <w:pPr>
        <w:spacing w:after="0" w:line="27" w:lineRule="exact"/>
        <w:rPr>
          <w:rFonts w:ascii="Times New Roman" w:cs="Times New Roman" w:eastAsia="Times New Roman" w:hAnsi="Times New Roman"/>
          <w:sz w:val="24"/>
          <w:szCs w:val="24"/>
          <w:b w:val="1"/>
          <w:bCs w:val="1"/>
          <w:color w:val="auto"/>
        </w:rPr>
      </w:pPr>
    </w:p>
    <w:p>
      <w:pPr>
        <w:ind w:left="8"/>
        <w:spacing w:after="0" w:line="373"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3"/>
          <w:szCs w:val="23"/>
          <w:color w:val="auto"/>
        </w:rPr>
        <w:t>Provided further that in addition to five per cent. allocation available in terms of clause (c), mutual funds shall be eligible for allocation under the balance available for qualified institutional buyers.</w:t>
      </w:r>
    </w:p>
    <w:p>
      <w:pPr>
        <w:spacing w:after="0" w:line="6" w:lineRule="exact"/>
        <w:rPr>
          <w:rFonts w:ascii="Times New Roman" w:cs="Times New Roman" w:eastAsia="Times New Roman" w:hAnsi="Times New Roman"/>
          <w:sz w:val="24"/>
          <w:szCs w:val="24"/>
          <w:b w:val="1"/>
          <w:bCs w:val="1"/>
          <w:color w:val="auto"/>
        </w:rPr>
      </w:pPr>
    </w:p>
    <w:p>
      <w:pPr>
        <w:ind w:left="8"/>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In an issue made through the book building process under sub-regulation (2) of regulation 6, the allocation in the net offer category shall be as follows:</w:t>
      </w:r>
    </w:p>
    <w:p>
      <w:pPr>
        <w:spacing w:after="0" w:line="15" w:lineRule="exact"/>
        <w:rPr>
          <w:rFonts w:ascii="Times New Roman" w:cs="Times New Roman" w:eastAsia="Times New Roman" w:hAnsi="Times New Roman"/>
          <w:sz w:val="24"/>
          <w:szCs w:val="24"/>
          <w:b w:val="1"/>
          <w:bCs w:val="1"/>
          <w:color w:val="auto"/>
        </w:rPr>
      </w:pPr>
    </w:p>
    <w:p>
      <w:pPr>
        <w:ind w:left="8"/>
        <w:spacing w:after="0"/>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 not more than ten per cent. to retail individual investors;</w:t>
      </w:r>
    </w:p>
    <w:p>
      <w:pPr>
        <w:spacing w:after="0" w:line="136" w:lineRule="exact"/>
        <w:rPr>
          <w:rFonts w:ascii="Times New Roman" w:cs="Times New Roman" w:eastAsia="Times New Roman" w:hAnsi="Times New Roman"/>
          <w:sz w:val="24"/>
          <w:szCs w:val="24"/>
          <w:b w:val="1"/>
          <w:bCs w:val="1"/>
          <w:color w:val="auto"/>
        </w:rPr>
      </w:pPr>
    </w:p>
    <w:p>
      <w:pPr>
        <w:ind w:left="8"/>
        <w:spacing w:after="0"/>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(b) not more than fifteen per cent. to non-institutional investors;</w:t>
      </w:r>
    </w:p>
    <w:p>
      <w:pPr>
        <w:spacing w:after="0" w:line="151" w:lineRule="exact"/>
        <w:rPr>
          <w:rFonts w:ascii="Times New Roman" w:cs="Times New Roman" w:eastAsia="Times New Roman" w:hAnsi="Times New Roman"/>
          <w:sz w:val="24"/>
          <w:szCs w:val="24"/>
          <w:b w:val="1"/>
          <w:bCs w:val="1"/>
          <w:color w:val="auto"/>
        </w:rPr>
      </w:pPr>
    </w:p>
    <w:p>
      <w:pPr>
        <w:ind w:left="8"/>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(c) not less than seventy five per cent. to qualified institutional buyers, five per cent. of which shall be allocated to mutual funds</w:t>
      </w:r>
    </w:p>
    <w:p>
      <w:pPr>
        <w:spacing w:after="0" w:line="27" w:lineRule="exact"/>
        <w:rPr>
          <w:rFonts w:ascii="Times New Roman" w:cs="Times New Roman" w:eastAsia="Times New Roman" w:hAnsi="Times New Roman"/>
          <w:sz w:val="24"/>
          <w:szCs w:val="24"/>
          <w:b w:val="1"/>
          <w:bCs w:val="1"/>
          <w:color w:val="auto"/>
        </w:rPr>
      </w:pPr>
    </w:p>
    <w:p>
      <w:pPr>
        <w:ind w:left="8"/>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the unsubscribed portion in either of the categories specified in clauses (a) or (b) may be allocated to applicants in the other category:</w:t>
      </w:r>
    </w:p>
    <w:p>
      <w:pPr>
        <w:spacing w:after="0" w:line="28" w:lineRule="exact"/>
        <w:rPr>
          <w:rFonts w:ascii="Times New Roman" w:cs="Times New Roman" w:eastAsia="Times New Roman" w:hAnsi="Times New Roman"/>
          <w:sz w:val="24"/>
          <w:szCs w:val="24"/>
          <w:b w:val="1"/>
          <w:bCs w:val="1"/>
          <w:color w:val="auto"/>
        </w:rPr>
      </w:pPr>
    </w:p>
    <w:p>
      <w:pPr>
        <w:ind w:left="8"/>
        <w:spacing w:after="0" w:line="373"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3"/>
          <w:szCs w:val="23"/>
          <w:color w:val="auto"/>
        </w:rPr>
        <w:t>Provided further that in addition to five per cent. allocation available in terms of clause (c), mutual funds shall be eligible for allocation under the balance available for qualified institutional buyers.</w:t>
      </w:r>
    </w:p>
    <w:p>
      <w:pPr>
        <w:spacing w:after="0" w:line="5"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(3) In an issue made through the book building process, the issuer may allocate up to sixty per cent. of the portion available for allocation to qualified institutional buyers to anchor investors in accordance with the conditions specified in this regard in </w:t>
      </w:r>
      <w:r>
        <w:rPr>
          <w:rFonts w:ascii="Times New Roman" w:cs="Times New Roman" w:eastAsia="Times New Roman" w:hAnsi="Times New Roman"/>
          <w:sz w:val="24"/>
          <w:szCs w:val="24"/>
          <w:b w:val="1"/>
          <w:bCs w:val="1"/>
          <w:color w:val="auto"/>
        </w:rPr>
        <w:t>Schedule XIII</w:t>
      </w:r>
      <w:r>
        <w:rPr>
          <w:rFonts w:ascii="Times New Roman" w:cs="Times New Roman" w:eastAsia="Times New Roman" w:hAnsi="Times New Roman"/>
          <w:sz w:val="24"/>
          <w:szCs w:val="24"/>
          <w:color w:val="auto"/>
        </w:rPr>
        <w:t>.</w:t>
      </w:r>
    </w:p>
    <w:p>
      <w:pPr>
        <w:spacing w:after="0" w:line="20" w:lineRule="exact"/>
        <w:rPr>
          <w:sz w:val="20"/>
          <w:szCs w:val="20"/>
          <w:color w:val="auto"/>
        </w:rPr>
      </w:pPr>
    </w:p>
    <w:p>
      <w:pPr>
        <w:ind w:left="8" w:hanging="8"/>
        <w:spacing w:after="0" w:line="350" w:lineRule="auto"/>
        <w:tabs>
          <w:tab w:leader="none" w:pos="449" w:val="left"/>
        </w:tabs>
        <w:numPr>
          <w:ilvl w:val="0"/>
          <w:numId w:val="1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an issue made other than through the book building process, the allocation in the net offer category shall be made as follows:</w:t>
      </w:r>
    </w:p>
    <w:p>
      <w:pPr>
        <w:spacing w:after="0" w:line="11" w:lineRule="exact"/>
        <w:rPr>
          <w:sz w:val="20"/>
          <w:szCs w:val="20"/>
          <w:color w:val="auto"/>
        </w:rPr>
      </w:pPr>
    </w:p>
    <w:p>
      <w:pPr>
        <w:ind w:left="508" w:hanging="508"/>
        <w:spacing w:after="0"/>
        <w:tabs>
          <w:tab w:leader="none" w:pos="508" w:val="left"/>
        </w:tabs>
        <w:numPr>
          <w:ilvl w:val="0"/>
          <w:numId w:val="1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minimum fifty per cent. to retail individual investors; and</w:t>
      </w:r>
    </w:p>
    <w:p>
      <w:pPr>
        <w:spacing w:after="0" w:line="139" w:lineRule="exact"/>
        <w:rPr>
          <w:rFonts w:ascii="Times New Roman" w:cs="Times New Roman" w:eastAsia="Times New Roman" w:hAnsi="Times New Roman"/>
          <w:sz w:val="24"/>
          <w:szCs w:val="24"/>
          <w:color w:val="auto"/>
        </w:rPr>
      </w:pPr>
    </w:p>
    <w:p>
      <w:pPr>
        <w:ind w:left="508" w:hanging="508"/>
        <w:spacing w:after="0"/>
        <w:tabs>
          <w:tab w:leader="none" w:pos="508" w:val="left"/>
        </w:tabs>
        <w:numPr>
          <w:ilvl w:val="0"/>
          <w:numId w:val="1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remaining to:</w:t>
      </w:r>
    </w:p>
    <w:p>
      <w:pPr>
        <w:spacing w:after="0" w:line="136" w:lineRule="exact"/>
        <w:rPr>
          <w:rFonts w:ascii="Times New Roman" w:cs="Times New Roman" w:eastAsia="Times New Roman" w:hAnsi="Times New Roman"/>
          <w:sz w:val="24"/>
          <w:szCs w:val="24"/>
          <w:color w:val="auto"/>
        </w:rPr>
      </w:pPr>
    </w:p>
    <w:p>
      <w:pPr>
        <w:ind w:left="1008" w:hanging="504"/>
        <w:spacing w:after="0"/>
        <w:tabs>
          <w:tab w:leader="none" w:pos="1008" w:val="left"/>
        </w:tabs>
        <w:numPr>
          <w:ilvl w:val="1"/>
          <w:numId w:val="1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individual applicants other than retail individual investors; and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32</w:t>
      </w:r>
    </w:p>
    <w:p>
      <w:pPr>
        <w:sectPr>
          <w:pgSz w:w="11900" w:h="16836" w:orient="portrait"/>
          <w:cols w:equalWidth="0" w:num="1">
            <w:col w:w="9468"/>
          </w:cols>
          <w:pgMar w:left="1152" w:top="1440" w:right="1284" w:bottom="103" w:gutter="0" w:footer="0" w:header="0"/>
        </w:sectPr>
      </w:pPr>
    </w:p>
    <w:bookmarkStart w:id="32" w:name="page33"/>
    <w:bookmarkEnd w:id="32"/>
    <w:p>
      <w:pPr>
        <w:ind w:left="1008" w:hanging="504"/>
        <w:spacing w:after="0" w:line="348" w:lineRule="auto"/>
        <w:tabs>
          <w:tab w:leader="none" w:pos="1008" w:val="left"/>
        </w:tabs>
        <w:numPr>
          <w:ilvl w:val="0"/>
          <w:numId w:val="11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other investors including corporate bodies or institutions, irrespective of the number of specified securities applied for;</w:t>
      </w:r>
    </w:p>
    <w:p>
      <w:pPr>
        <w:spacing w:after="0" w:line="28" w:lineRule="exact"/>
        <w:rPr>
          <w:sz w:val="20"/>
          <w:szCs w:val="20"/>
          <w:color w:val="auto"/>
        </w:rPr>
      </w:pPr>
    </w:p>
    <w:p>
      <w:pPr>
        <w:ind w:left="508"/>
        <w:spacing w:after="0" w:line="348" w:lineRule="auto"/>
        <w:rPr>
          <w:sz w:val="20"/>
          <w:szCs w:val="20"/>
          <w:color w:val="auto"/>
        </w:rPr>
      </w:pPr>
      <w:r>
        <w:rPr>
          <w:rFonts w:ascii="Times New Roman" w:cs="Times New Roman" w:eastAsia="Times New Roman" w:hAnsi="Times New Roman"/>
          <w:sz w:val="24"/>
          <w:szCs w:val="24"/>
          <w:color w:val="auto"/>
        </w:rPr>
        <w:t>Provided that the unsubscribed portion in either of the categories specified in clauses (a) or (b) may be allocated to applicants in the other category.</w:t>
      </w:r>
    </w:p>
    <w:p>
      <w:pPr>
        <w:spacing w:after="0" w:line="28" w:lineRule="exact"/>
        <w:rPr>
          <w:sz w:val="20"/>
          <w:szCs w:val="20"/>
          <w:color w:val="auto"/>
        </w:rPr>
      </w:pPr>
    </w:p>
    <w:p>
      <w:pPr>
        <w:jc w:val="both"/>
        <w:ind w:left="8"/>
        <w:spacing w:after="0" w:line="354" w:lineRule="auto"/>
        <w:rPr>
          <w:sz w:val="20"/>
          <w:szCs w:val="20"/>
          <w:color w:val="auto"/>
        </w:rPr>
      </w:pPr>
      <w:r>
        <w:rPr>
          <w:rFonts w:ascii="Times New Roman" w:cs="Times New Roman" w:eastAsia="Times New Roman" w:hAnsi="Times New Roman"/>
          <w:sz w:val="24"/>
          <w:szCs w:val="24"/>
          <w:b w:val="1"/>
          <w:bCs w:val="1"/>
          <w:color w:val="auto"/>
        </w:rPr>
        <w:t>Explanation</w:t>
      </w:r>
      <w:r>
        <w:rPr>
          <w:rFonts w:ascii="Times New Roman" w:cs="Times New Roman" w:eastAsia="Times New Roman" w:hAnsi="Times New Roman"/>
          <w:sz w:val="24"/>
          <w:szCs w:val="24"/>
          <w:color w:val="auto"/>
        </w:rPr>
        <w:t>: For the purpose of sub-regulation (4), if the retail individual investor category is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entitled to more than fifty per cent. of the issue size on a proportionate basis, the retail individual investors shall be allocated that higher percentage.</w:t>
      </w:r>
    </w:p>
    <w:p>
      <w:pPr>
        <w:spacing w:after="0" w:line="200" w:lineRule="exact"/>
        <w:rPr>
          <w:sz w:val="20"/>
          <w:szCs w:val="20"/>
          <w:color w:val="auto"/>
        </w:rPr>
      </w:pPr>
    </w:p>
    <w:p>
      <w:pPr>
        <w:spacing w:after="0" w:line="22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Reservation on a competitive basis</w:t>
      </w:r>
    </w:p>
    <w:p>
      <w:pPr>
        <w:spacing w:after="0" w:line="132" w:lineRule="exact"/>
        <w:rPr>
          <w:sz w:val="20"/>
          <w:szCs w:val="20"/>
          <w:color w:val="auto"/>
        </w:rPr>
      </w:pPr>
    </w:p>
    <w:p>
      <w:pPr>
        <w:ind w:left="388" w:hanging="388"/>
        <w:spacing w:after="0"/>
        <w:tabs>
          <w:tab w:leader="none" w:pos="388" w:val="left"/>
        </w:tabs>
        <w:numPr>
          <w:ilvl w:val="0"/>
          <w:numId w:val="12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may make reservations on a competitive basis out of the issue size excluding</w:t>
      </w:r>
    </w:p>
    <w:p>
      <w:pPr>
        <w:spacing w:after="0" w:line="139"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promoters’ contribution in favour of the following categories of persons:</w:t>
      </w:r>
    </w:p>
    <w:p>
      <w:pPr>
        <w:spacing w:after="0" w:line="137" w:lineRule="exact"/>
        <w:rPr>
          <w:sz w:val="20"/>
          <w:szCs w:val="20"/>
          <w:color w:val="auto"/>
        </w:rPr>
      </w:pPr>
    </w:p>
    <w:p>
      <w:pPr>
        <w:ind w:left="548" w:hanging="512"/>
        <w:spacing w:after="0"/>
        <w:tabs>
          <w:tab w:leader="none" w:pos="548" w:val="left"/>
        </w:tabs>
        <w:numPr>
          <w:ilvl w:val="1"/>
          <w:numId w:val="121"/>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employees;</w:t>
      </w:r>
    </w:p>
    <w:p>
      <w:pPr>
        <w:spacing w:after="0" w:line="151" w:lineRule="exact"/>
        <w:rPr>
          <w:rFonts w:ascii="Times New Roman" w:cs="Times New Roman" w:eastAsia="Times New Roman" w:hAnsi="Times New Roman"/>
          <w:sz w:val="22"/>
          <w:szCs w:val="22"/>
          <w:color w:val="auto"/>
        </w:rPr>
      </w:pPr>
    </w:p>
    <w:p>
      <w:pPr>
        <w:ind w:left="548" w:hanging="512"/>
        <w:spacing w:after="0" w:line="348" w:lineRule="auto"/>
        <w:tabs>
          <w:tab w:leader="none" w:pos="548" w:val="left"/>
        </w:tabs>
        <w:numPr>
          <w:ilvl w:val="1"/>
          <w:numId w:val="121"/>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shareholders (other than promoters and promoter group) of listed subsidiaries or listed promoter companies.</w:t>
      </w:r>
    </w:p>
    <w:p>
      <w:pPr>
        <w:spacing w:after="0" w:line="27" w:lineRule="exact"/>
        <w:rPr>
          <w:rFonts w:ascii="Times New Roman" w:cs="Times New Roman" w:eastAsia="Times New Roman" w:hAnsi="Times New Roman"/>
          <w:sz w:val="22"/>
          <w:szCs w:val="22"/>
          <w:color w:val="auto"/>
        </w:rPr>
      </w:pPr>
    </w:p>
    <w:p>
      <w:pPr>
        <w:jc w:val="both"/>
        <w:ind w:left="548"/>
        <w:spacing w:after="0" w:line="356" w:lineRule="auto"/>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Provided that the issuer shall not make any reservation for the lead manager(s), registrar, syndicate member(s), their promoters, directors and employees and for the group or associate companies (as defined under the Companies Act, 2013) of the lead manager(s), registrar and syndicate member(s) and their promoters, directors and employees.</w:t>
      </w:r>
    </w:p>
    <w:p>
      <w:pPr>
        <w:spacing w:after="0" w:line="6" w:lineRule="exact"/>
        <w:rPr>
          <w:rFonts w:ascii="Times New Roman" w:cs="Times New Roman" w:eastAsia="Times New Roman" w:hAnsi="Times New Roman"/>
          <w:sz w:val="22"/>
          <w:szCs w:val="22"/>
          <w:color w:val="auto"/>
        </w:rPr>
      </w:pPr>
    </w:p>
    <w:p>
      <w:pPr>
        <w:ind w:left="328" w:hanging="328"/>
        <w:spacing w:after="0"/>
        <w:tabs>
          <w:tab w:leader="none" w:pos="328" w:val="left"/>
        </w:tabs>
        <w:numPr>
          <w:ilvl w:val="0"/>
          <w:numId w:val="1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reservations on a competitive basis shall be subject to the following conditions:</w:t>
      </w:r>
    </w:p>
    <w:p>
      <w:pPr>
        <w:spacing w:after="0" w:line="149" w:lineRule="exact"/>
        <w:rPr>
          <w:rFonts w:ascii="Times New Roman" w:cs="Times New Roman" w:eastAsia="Times New Roman" w:hAnsi="Times New Roman"/>
          <w:sz w:val="24"/>
          <w:szCs w:val="24"/>
          <w:color w:val="auto"/>
        </w:rPr>
      </w:pPr>
    </w:p>
    <w:p>
      <w:pPr>
        <w:jc w:val="both"/>
        <w:ind w:left="548" w:hanging="512"/>
        <w:spacing w:after="0" w:line="354" w:lineRule="auto"/>
        <w:tabs>
          <w:tab w:leader="none" w:pos="605" w:val="left"/>
        </w:tabs>
        <w:numPr>
          <w:ilvl w:val="1"/>
          <w:numId w:val="122"/>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the aggregate of reservations for employees shall not exceed five per cent. of the post-issue capital of the issuer and the value of allotment to any employee shall not exceed two lakhs rupees:</w:t>
      </w:r>
    </w:p>
    <w:p>
      <w:pPr>
        <w:spacing w:after="0" w:line="22" w:lineRule="exact"/>
        <w:rPr>
          <w:rFonts w:ascii="Times New Roman" w:cs="Times New Roman" w:eastAsia="Times New Roman" w:hAnsi="Times New Roman"/>
          <w:sz w:val="22"/>
          <w:szCs w:val="22"/>
          <w:color w:val="auto"/>
        </w:rPr>
      </w:pPr>
    </w:p>
    <w:p>
      <w:pPr>
        <w:jc w:val="both"/>
        <w:ind w:left="548"/>
        <w:spacing w:after="0" w:line="354" w:lineRule="auto"/>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Provided that in the event of under-subscription in the employee reservation portion, the unsubscribed portion may be allotted on a proportionate basis, for a value in excess of two lakhs rupees, subject to the total allotment to an employee not exceeding five lakhs rupees.</w:t>
      </w:r>
    </w:p>
    <w:p>
      <w:pPr>
        <w:spacing w:after="0" w:line="7" w:lineRule="exact"/>
        <w:rPr>
          <w:rFonts w:ascii="Times New Roman" w:cs="Times New Roman" w:eastAsia="Times New Roman" w:hAnsi="Times New Roman"/>
          <w:sz w:val="22"/>
          <w:szCs w:val="22"/>
          <w:color w:val="auto"/>
        </w:rPr>
      </w:pPr>
    </w:p>
    <w:p>
      <w:pPr>
        <w:ind w:left="548" w:hanging="512"/>
        <w:spacing w:after="0"/>
        <w:tabs>
          <w:tab w:leader="none" w:pos="548" w:val="left"/>
        </w:tabs>
        <w:numPr>
          <w:ilvl w:val="1"/>
          <w:numId w:val="122"/>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reservation for shareholders shall not exceed ten per cent. of the issue size;</w:t>
      </w:r>
    </w:p>
    <w:p>
      <w:pPr>
        <w:spacing w:after="0" w:line="151" w:lineRule="exact"/>
        <w:rPr>
          <w:rFonts w:ascii="Times New Roman" w:cs="Times New Roman" w:eastAsia="Times New Roman" w:hAnsi="Times New Roman"/>
          <w:sz w:val="22"/>
          <w:szCs w:val="22"/>
          <w:color w:val="auto"/>
        </w:rPr>
      </w:pPr>
    </w:p>
    <w:p>
      <w:pPr>
        <w:jc w:val="both"/>
        <w:ind w:left="548" w:hanging="512"/>
        <w:spacing w:after="0" w:line="354" w:lineRule="auto"/>
        <w:tabs>
          <w:tab w:leader="none" w:pos="548" w:val="left"/>
        </w:tabs>
        <w:numPr>
          <w:ilvl w:val="1"/>
          <w:numId w:val="122"/>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no further application for subscription in the net offer can be made by persons (except an employee and retail individual shareholder) in favour of whom reservation on a competitive basis is made;</w:t>
      </w:r>
    </w:p>
    <w:p>
      <w:pPr>
        <w:spacing w:after="0" w:line="19" w:lineRule="exact"/>
        <w:rPr>
          <w:rFonts w:ascii="Times New Roman" w:cs="Times New Roman" w:eastAsia="Times New Roman" w:hAnsi="Times New Roman"/>
          <w:sz w:val="22"/>
          <w:szCs w:val="22"/>
          <w:color w:val="auto"/>
        </w:rPr>
      </w:pPr>
    </w:p>
    <w:p>
      <w:pPr>
        <w:jc w:val="both"/>
        <w:ind w:left="548" w:hanging="512"/>
        <w:spacing w:after="0" w:line="354" w:lineRule="auto"/>
        <w:tabs>
          <w:tab w:leader="none" w:pos="548" w:val="left"/>
        </w:tabs>
        <w:numPr>
          <w:ilvl w:val="1"/>
          <w:numId w:val="122"/>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any unsubscribed portion in any reserved category may be added to any other reserved category and the unsubscribed portion, if any, after such inter-se adjustments among the reserved categories shall be added to the net offer category;</w:t>
      </w:r>
    </w:p>
    <w:p>
      <w:pPr>
        <w:spacing w:after="0" w:line="22" w:lineRule="exact"/>
        <w:rPr>
          <w:rFonts w:ascii="Times New Roman" w:cs="Times New Roman" w:eastAsia="Times New Roman" w:hAnsi="Times New Roman"/>
          <w:sz w:val="22"/>
          <w:szCs w:val="22"/>
          <w:color w:val="auto"/>
        </w:rPr>
      </w:pPr>
    </w:p>
    <w:p>
      <w:pPr>
        <w:ind w:left="548" w:hanging="512"/>
        <w:spacing w:after="0" w:line="348" w:lineRule="auto"/>
        <w:tabs>
          <w:tab w:leader="none" w:pos="548" w:val="left"/>
        </w:tabs>
        <w:numPr>
          <w:ilvl w:val="1"/>
          <w:numId w:val="122"/>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in case of under-subscription in the net offer category, spill-over to the extent of under-subscription shall be permitted from the reserved category to the net offer.</w:t>
      </w: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33</w:t>
      </w:r>
    </w:p>
    <w:p>
      <w:pPr>
        <w:sectPr>
          <w:pgSz w:w="11900" w:h="16836" w:orient="portrait"/>
          <w:cols w:equalWidth="0" w:num="1">
            <w:col w:w="9468"/>
          </w:cols>
          <w:pgMar w:left="1152" w:top="1156" w:right="1284" w:bottom="103" w:gutter="0" w:footer="0" w:header="0"/>
        </w:sectPr>
      </w:pPr>
    </w:p>
    <w:bookmarkStart w:id="33" w:name="page34"/>
    <w:bookmarkEnd w:id="33"/>
    <w:p>
      <w:pPr>
        <w:ind w:left="8" w:hanging="8"/>
        <w:spacing w:after="0" w:line="348" w:lineRule="auto"/>
        <w:tabs>
          <w:tab w:leader="none" w:pos="375" w:val="left"/>
        </w:tabs>
        <w:numPr>
          <w:ilvl w:val="0"/>
          <w:numId w:val="1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 applicant in any reserved category may make an application for any number of specified securities, but not exceeding the reserved portion for that category.</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Abridged prospectus</w:t>
      </w:r>
    </w:p>
    <w:p>
      <w:pPr>
        <w:spacing w:after="0" w:line="147" w:lineRule="exact"/>
        <w:rPr>
          <w:sz w:val="20"/>
          <w:szCs w:val="20"/>
          <w:color w:val="auto"/>
        </w:rPr>
      </w:pPr>
    </w:p>
    <w:p>
      <w:pPr>
        <w:ind w:left="8" w:hanging="8"/>
        <w:spacing w:after="0" w:line="348" w:lineRule="auto"/>
        <w:tabs>
          <w:tab w:leader="none" w:pos="380" w:val="left"/>
        </w:tabs>
        <w:numPr>
          <w:ilvl w:val="0"/>
          <w:numId w:val="12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(1) The abridged prospectus shall contain the disclosures as specified in </w:t>
      </w:r>
      <w:r>
        <w:rPr>
          <w:rFonts w:ascii="Times New Roman" w:cs="Times New Roman" w:eastAsia="Times New Roman" w:hAnsi="Times New Roman"/>
          <w:sz w:val="24"/>
          <w:szCs w:val="24"/>
          <w:b w:val="1"/>
          <w:bCs w:val="1"/>
          <w:color w:val="auto"/>
        </w:rPr>
        <w:t>Part E</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 xml:space="preserve">VI </w:t>
      </w:r>
      <w:r>
        <w:rPr>
          <w:rFonts w:ascii="Times New Roman" w:cs="Times New Roman" w:eastAsia="Times New Roman" w:hAnsi="Times New Roman"/>
          <w:sz w:val="24"/>
          <w:szCs w:val="24"/>
          <w:color w:val="auto"/>
        </w:rPr>
        <w:t>and shall not contain any matter extraneous to the contents of the offer document.</w:t>
      </w:r>
    </w:p>
    <w:p>
      <w:pPr>
        <w:spacing w:after="0" w:line="28" w:lineRule="exact"/>
        <w:rPr>
          <w:sz w:val="20"/>
          <w:szCs w:val="20"/>
          <w:color w:val="auto"/>
        </w:rPr>
      </w:pPr>
    </w:p>
    <w:p>
      <w:pPr>
        <w:ind w:left="8" w:hanging="8"/>
        <w:spacing w:after="0" w:line="348" w:lineRule="auto"/>
        <w:tabs>
          <w:tab w:leader="none" w:pos="458" w:val="left"/>
        </w:tabs>
        <w:numPr>
          <w:ilvl w:val="0"/>
          <w:numId w:val="12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Every application form distributed by the issuer or any other person in relation to an issue shall be accompanied by a copy of the abridged prospectus.</w:t>
      </w:r>
    </w:p>
    <w:p>
      <w:pPr>
        <w:spacing w:after="0" w:line="200" w:lineRule="exact"/>
        <w:rPr>
          <w:sz w:val="20"/>
          <w:szCs w:val="20"/>
          <w:color w:val="auto"/>
        </w:rPr>
      </w:pPr>
    </w:p>
    <w:p>
      <w:pPr>
        <w:spacing w:after="0" w:line="234"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ASBA</w:t>
      </w:r>
    </w:p>
    <w:p>
      <w:pPr>
        <w:spacing w:after="0" w:line="147" w:lineRule="exact"/>
        <w:rPr>
          <w:sz w:val="20"/>
          <w:szCs w:val="20"/>
          <w:color w:val="auto"/>
        </w:rPr>
      </w:pPr>
    </w:p>
    <w:p>
      <w:pPr>
        <w:ind w:left="8" w:hanging="8"/>
        <w:spacing w:after="0" w:line="348" w:lineRule="auto"/>
        <w:tabs>
          <w:tab w:leader="none" w:pos="495" w:val="left"/>
        </w:tabs>
        <w:numPr>
          <w:ilvl w:val="0"/>
          <w:numId w:val="12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issuer shall accept bids using only the ASBA facility in the manner specified by the Board.</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Availability of issue material</w:t>
      </w:r>
    </w:p>
    <w:p>
      <w:pPr>
        <w:spacing w:after="0" w:line="147" w:lineRule="exact"/>
        <w:rPr>
          <w:sz w:val="20"/>
          <w:szCs w:val="20"/>
          <w:color w:val="auto"/>
        </w:rPr>
      </w:pPr>
    </w:p>
    <w:p>
      <w:pPr>
        <w:jc w:val="both"/>
        <w:ind w:left="8" w:hanging="8"/>
        <w:spacing w:after="0" w:line="356" w:lineRule="auto"/>
        <w:tabs>
          <w:tab w:leader="none" w:pos="461" w:val="left"/>
        </w:tabs>
        <w:numPr>
          <w:ilvl w:val="0"/>
          <w:numId w:val="12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lead manager(s) shall ensure availability of the offer document and other issue material including application forms to stock exchanges, syndicate members, registrar to issue, registrar and share transfer agents, depository participants, stock brokers, underwriters, bankers to the issue, and self certified syndicate banks before the opening of the issue.</w:t>
      </w:r>
    </w:p>
    <w:p>
      <w:pPr>
        <w:spacing w:after="0" w:line="200" w:lineRule="exact"/>
        <w:rPr>
          <w:sz w:val="20"/>
          <w:szCs w:val="20"/>
          <w:color w:val="auto"/>
        </w:rPr>
      </w:pPr>
    </w:p>
    <w:p>
      <w:pPr>
        <w:spacing w:after="0" w:line="224"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Prohibition on payment of incentives</w:t>
      </w:r>
    </w:p>
    <w:p>
      <w:pPr>
        <w:spacing w:after="0" w:line="377" w:lineRule="exact"/>
        <w:rPr>
          <w:sz w:val="20"/>
          <w:szCs w:val="20"/>
          <w:color w:val="auto"/>
        </w:rPr>
      </w:pPr>
    </w:p>
    <w:p>
      <w:pPr>
        <w:jc w:val="both"/>
        <w:ind w:left="8" w:hanging="8"/>
        <w:spacing w:after="0" w:line="356" w:lineRule="auto"/>
        <w:tabs>
          <w:tab w:leader="none" w:pos="372" w:val="left"/>
        </w:tabs>
        <w:numPr>
          <w:ilvl w:val="0"/>
          <w:numId w:val="12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Any person connected with the issue shall not offer any incentive, whether direct or indirect, in any manner, whether in cash or kind or services or otherwise to any person for making an application in the initial public offer, except for fees or commission for services rendered in relation to the issue.</w:t>
      </w:r>
    </w:p>
    <w:p>
      <w:pPr>
        <w:spacing w:after="0" w:line="200" w:lineRule="exact"/>
        <w:rPr>
          <w:sz w:val="20"/>
          <w:szCs w:val="20"/>
          <w:color w:val="auto"/>
        </w:rPr>
      </w:pPr>
    </w:p>
    <w:p>
      <w:pPr>
        <w:spacing w:after="0" w:line="225"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Security deposit</w:t>
      </w:r>
    </w:p>
    <w:p>
      <w:pPr>
        <w:spacing w:after="0" w:line="144" w:lineRule="exact"/>
        <w:rPr>
          <w:sz w:val="20"/>
          <w:szCs w:val="20"/>
          <w:color w:val="auto"/>
        </w:rPr>
      </w:pPr>
    </w:p>
    <w:p>
      <w:pPr>
        <w:jc w:val="both"/>
        <w:ind w:left="8" w:hanging="8"/>
        <w:spacing w:after="0" w:line="354" w:lineRule="auto"/>
        <w:tabs>
          <w:tab w:leader="none" w:pos="394" w:val="left"/>
        </w:tabs>
        <w:numPr>
          <w:ilvl w:val="0"/>
          <w:numId w:val="12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shall, before the opening of the subscription list, deposit with the designated stock exchange, an amount calculated at the rate of one per cent. of the issue size available for subscription to the public in the manner specified by Board and/or stock exchange(s).</w:t>
      </w:r>
    </w:p>
    <w:p>
      <w:pPr>
        <w:spacing w:after="0" w:line="22" w:lineRule="exact"/>
        <w:rPr>
          <w:sz w:val="20"/>
          <w:szCs w:val="20"/>
          <w:color w:val="auto"/>
        </w:rPr>
      </w:pPr>
    </w:p>
    <w:p>
      <w:pPr>
        <w:ind w:left="8" w:hanging="8"/>
        <w:spacing w:after="0" w:line="348" w:lineRule="auto"/>
        <w:tabs>
          <w:tab w:leader="none" w:pos="454" w:val="left"/>
        </w:tabs>
        <w:numPr>
          <w:ilvl w:val="0"/>
          <w:numId w:val="13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amount specified in sub-regulation (1) shall be refundable or forfeitable in the manner specified by the Board.</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IPO grading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34</w:t>
      </w:r>
    </w:p>
    <w:p>
      <w:pPr>
        <w:sectPr>
          <w:pgSz w:w="11900" w:h="16836" w:orient="portrait"/>
          <w:cols w:equalWidth="0" w:num="1">
            <w:col w:w="9468"/>
          </w:cols>
          <w:pgMar w:left="1152" w:top="1156" w:right="1284" w:bottom="103" w:gutter="0" w:footer="0" w:header="0"/>
        </w:sectPr>
      </w:pPr>
    </w:p>
    <w:bookmarkStart w:id="34" w:name="page35"/>
    <w:bookmarkEnd w:id="34"/>
    <w:p>
      <w:pPr>
        <w:ind w:left="8" w:hanging="8"/>
        <w:spacing w:after="0" w:line="348" w:lineRule="auto"/>
        <w:tabs>
          <w:tab w:leader="none" w:pos="514" w:val="left"/>
        </w:tabs>
        <w:numPr>
          <w:ilvl w:val="0"/>
          <w:numId w:val="13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issuer may obtain grading for its initial public offer from one or more credit rating agencies registered with the Board.</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Underwriting</w:t>
      </w:r>
    </w:p>
    <w:p>
      <w:pPr>
        <w:spacing w:after="0" w:line="147" w:lineRule="exact"/>
        <w:rPr>
          <w:sz w:val="20"/>
          <w:szCs w:val="20"/>
          <w:color w:val="auto"/>
        </w:rPr>
      </w:pPr>
    </w:p>
    <w:p>
      <w:pPr>
        <w:jc w:val="both"/>
        <w:ind w:left="8" w:hanging="8"/>
        <w:spacing w:after="0" w:line="354" w:lineRule="auto"/>
        <w:tabs>
          <w:tab w:leader="none" w:pos="377" w:val="left"/>
        </w:tabs>
        <w:numPr>
          <w:ilvl w:val="0"/>
          <w:numId w:val="13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If the issuer making an initial public offer, other than through the book building process, desires to have the issue underwritten, it shall appoint underwriters in accordance with the Securities and Exchange Board of India (Underwriters) Regulations, 1993.</w:t>
      </w:r>
    </w:p>
    <w:p>
      <w:pPr>
        <w:spacing w:after="0" w:line="7" w:lineRule="exact"/>
        <w:rPr>
          <w:rFonts w:ascii="Times New Roman" w:cs="Times New Roman" w:eastAsia="Times New Roman" w:hAnsi="Times New Roman"/>
          <w:sz w:val="24"/>
          <w:szCs w:val="24"/>
          <w:b w:val="1"/>
          <w:bCs w:val="1"/>
          <w:color w:val="auto"/>
        </w:rPr>
      </w:pPr>
    </w:p>
    <w:p>
      <w:pPr>
        <w:ind w:left="8"/>
        <w:spacing w:after="0"/>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If the issuer makes a public issue through the book building process,</w:t>
      </w:r>
    </w:p>
    <w:p>
      <w:pPr>
        <w:spacing w:after="0" w:line="140" w:lineRule="exact"/>
        <w:rPr>
          <w:sz w:val="20"/>
          <w:szCs w:val="20"/>
          <w:color w:val="auto"/>
        </w:rPr>
      </w:pPr>
    </w:p>
    <w:p>
      <w:pPr>
        <w:ind w:left="548" w:hanging="548"/>
        <w:spacing w:after="0"/>
        <w:tabs>
          <w:tab w:leader="none" w:pos="548" w:val="left"/>
        </w:tabs>
        <w:numPr>
          <w:ilvl w:val="0"/>
          <w:numId w:val="133"/>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the issue shall be underwritten by lead manager(s) and syndicate member(s):</w:t>
      </w:r>
    </w:p>
    <w:p>
      <w:pPr>
        <w:spacing w:after="0" w:line="149" w:lineRule="exact"/>
        <w:rPr>
          <w:rFonts w:ascii="Times New Roman" w:cs="Times New Roman" w:eastAsia="Times New Roman" w:hAnsi="Times New Roman"/>
          <w:sz w:val="22"/>
          <w:szCs w:val="22"/>
          <w:color w:val="auto"/>
        </w:rPr>
      </w:pPr>
    </w:p>
    <w:p>
      <w:pPr>
        <w:jc w:val="both"/>
        <w:ind w:left="548"/>
        <w:spacing w:after="0" w:line="354" w:lineRule="auto"/>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Provided that at least seventy five per cent. of the net offer proposed to be compulsorily allotted to qualified institutional buyers for the purpose of compliance of the eligibility conditions specified in sub-regulation (2) of regulation 6, cannot be underwritten.</w:t>
      </w:r>
    </w:p>
    <w:p>
      <w:pPr>
        <w:spacing w:after="0" w:line="22" w:lineRule="exact"/>
        <w:rPr>
          <w:rFonts w:ascii="Times New Roman" w:cs="Times New Roman" w:eastAsia="Times New Roman" w:hAnsi="Times New Roman"/>
          <w:sz w:val="22"/>
          <w:szCs w:val="22"/>
          <w:color w:val="auto"/>
        </w:rPr>
      </w:pPr>
    </w:p>
    <w:p>
      <w:pPr>
        <w:jc w:val="both"/>
        <w:ind w:left="548" w:hanging="548"/>
        <w:spacing w:after="0" w:line="356" w:lineRule="auto"/>
        <w:tabs>
          <w:tab w:leader="none" w:pos="548" w:val="left"/>
        </w:tabs>
        <w:numPr>
          <w:ilvl w:val="0"/>
          <w:numId w:val="133"/>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the issuer shall, prior to filing the prospectus, enter into underwriting agreement with the lead manager(s) and syndicate member(s), indicating therein the number of specified securities which they shall subscribe to at the predetermined price in the event of under-subscription in the issue.</w:t>
      </w:r>
    </w:p>
    <w:p>
      <w:pPr>
        <w:spacing w:after="0" w:line="18" w:lineRule="exact"/>
        <w:rPr>
          <w:rFonts w:ascii="Times New Roman" w:cs="Times New Roman" w:eastAsia="Times New Roman" w:hAnsi="Times New Roman"/>
          <w:sz w:val="22"/>
          <w:szCs w:val="22"/>
          <w:color w:val="auto"/>
        </w:rPr>
      </w:pPr>
    </w:p>
    <w:p>
      <w:pPr>
        <w:ind w:left="548" w:hanging="548"/>
        <w:spacing w:after="0" w:line="348" w:lineRule="auto"/>
        <w:tabs>
          <w:tab w:leader="none" w:pos="548" w:val="left"/>
        </w:tabs>
        <w:numPr>
          <w:ilvl w:val="0"/>
          <w:numId w:val="133"/>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if the syndicate member(s) fail to fulfil their underwriting obligations, the lead manager(s) shall fulfil the underwriting obligations.</w:t>
      </w:r>
    </w:p>
    <w:p>
      <w:pPr>
        <w:spacing w:after="0" w:line="27" w:lineRule="exact"/>
        <w:rPr>
          <w:rFonts w:ascii="Times New Roman" w:cs="Times New Roman" w:eastAsia="Times New Roman" w:hAnsi="Times New Roman"/>
          <w:sz w:val="22"/>
          <w:szCs w:val="22"/>
          <w:color w:val="auto"/>
        </w:rPr>
      </w:pPr>
    </w:p>
    <w:p>
      <w:pPr>
        <w:ind w:left="548" w:hanging="548"/>
        <w:spacing w:after="0" w:line="348" w:lineRule="auto"/>
        <w:tabs>
          <w:tab w:leader="none" w:pos="548" w:val="left"/>
        </w:tabs>
        <w:numPr>
          <w:ilvl w:val="0"/>
          <w:numId w:val="133"/>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the lead manager(s) and syndicate member(s) shall not subscribe to the issue in any manner except for fulfilling their underwriting obligations.</w:t>
      </w:r>
    </w:p>
    <w:p>
      <w:pPr>
        <w:spacing w:after="0" w:line="27" w:lineRule="exact"/>
        <w:rPr>
          <w:rFonts w:ascii="Times New Roman" w:cs="Times New Roman" w:eastAsia="Times New Roman" w:hAnsi="Times New Roman"/>
          <w:sz w:val="22"/>
          <w:szCs w:val="22"/>
          <w:color w:val="auto"/>
        </w:rPr>
      </w:pPr>
    </w:p>
    <w:p>
      <w:pPr>
        <w:jc w:val="both"/>
        <w:ind w:left="548" w:hanging="548"/>
        <w:spacing w:after="0" w:line="354" w:lineRule="auto"/>
        <w:tabs>
          <w:tab w:leader="none" w:pos="548" w:val="left"/>
        </w:tabs>
        <w:numPr>
          <w:ilvl w:val="0"/>
          <w:numId w:val="133"/>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in case of every underwritten issue, the lead manager(s) shall undertake minimum underwriting obligations as specified in the Securities and Exchange Board of India (Merchant Bankers) Regulations, 1992.</w:t>
      </w:r>
    </w:p>
    <w:p>
      <w:pPr>
        <w:spacing w:after="0" w:line="20" w:lineRule="exact"/>
        <w:rPr>
          <w:rFonts w:ascii="Times New Roman" w:cs="Times New Roman" w:eastAsia="Times New Roman" w:hAnsi="Times New Roman"/>
          <w:sz w:val="22"/>
          <w:szCs w:val="22"/>
          <w:color w:val="auto"/>
        </w:rPr>
      </w:pPr>
    </w:p>
    <w:p>
      <w:pPr>
        <w:ind w:left="548" w:hanging="548"/>
        <w:spacing w:after="0" w:line="350" w:lineRule="auto"/>
        <w:tabs>
          <w:tab w:leader="none" w:pos="548" w:val="left"/>
        </w:tabs>
        <w:numPr>
          <w:ilvl w:val="0"/>
          <w:numId w:val="133"/>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where the issue is required to be underwritten, the underwriting obligations should at least to the extent of minimum subscription.</w:t>
      </w:r>
    </w:p>
    <w:p>
      <w:pPr>
        <w:spacing w:after="0" w:line="200" w:lineRule="exact"/>
        <w:rPr>
          <w:sz w:val="20"/>
          <w:szCs w:val="20"/>
          <w:color w:val="auto"/>
        </w:rPr>
      </w:pPr>
    </w:p>
    <w:p>
      <w:pPr>
        <w:spacing w:after="0" w:line="231"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Monitoring agency</w:t>
      </w:r>
    </w:p>
    <w:p>
      <w:pPr>
        <w:spacing w:after="0" w:line="144" w:lineRule="exact"/>
        <w:rPr>
          <w:sz w:val="20"/>
          <w:szCs w:val="20"/>
          <w:color w:val="auto"/>
        </w:rPr>
      </w:pPr>
    </w:p>
    <w:p>
      <w:pPr>
        <w:jc w:val="both"/>
        <w:ind w:left="8" w:hanging="8"/>
        <w:spacing w:after="0" w:line="356" w:lineRule="auto"/>
        <w:tabs>
          <w:tab w:leader="none" w:pos="387" w:val="left"/>
        </w:tabs>
        <w:numPr>
          <w:ilvl w:val="0"/>
          <w:numId w:val="13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If the issue size, excluding the size of offer for sale by selling shareholders, exceeds one hundred crore rupees, the issuer shall make arrangements for the use of proceeds of the issue to be monitored by a public financial institution or by a scheduled commercial bank named in the offer document as bankers of the issuer:</w:t>
      </w:r>
    </w:p>
    <w:p>
      <w:pPr>
        <w:spacing w:after="0" w:line="18" w:lineRule="exact"/>
        <w:rPr>
          <w:rFonts w:ascii="Times New Roman" w:cs="Times New Roman" w:eastAsia="Times New Roman" w:hAnsi="Times New Roman"/>
          <w:sz w:val="24"/>
          <w:szCs w:val="24"/>
          <w:b w:val="1"/>
          <w:bCs w:val="1"/>
          <w:color w:val="auto"/>
        </w:rPr>
      </w:pPr>
    </w:p>
    <w:p>
      <w:pPr>
        <w:ind w:left="8"/>
        <w:spacing w:after="0" w:line="350"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nothing contained in this clause shall apply to an issue of specified securities made by a bank or public financial institution or an insurance company.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35</w:t>
      </w:r>
    </w:p>
    <w:p>
      <w:pPr>
        <w:sectPr>
          <w:pgSz w:w="11900" w:h="16836" w:orient="portrait"/>
          <w:cols w:equalWidth="0" w:num="1">
            <w:col w:w="9468"/>
          </w:cols>
          <w:pgMar w:left="1152" w:top="1156" w:right="1284" w:bottom="103" w:gutter="0" w:footer="0" w:header="0"/>
        </w:sectPr>
      </w:pPr>
    </w:p>
    <w:bookmarkStart w:id="35" w:name="page36"/>
    <w:bookmarkEnd w:id="35"/>
    <w:p>
      <w:pPr>
        <w:ind w:left="728" w:hanging="728"/>
        <w:spacing w:after="0"/>
        <w:tabs>
          <w:tab w:leader="none" w:pos="728" w:val="left"/>
        </w:tabs>
        <w:numPr>
          <w:ilvl w:val="0"/>
          <w:numId w:val="13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monitoring agency shall submit its report to the issuer in the format specified in</w:t>
      </w:r>
    </w:p>
    <w:p>
      <w:pPr>
        <w:spacing w:after="0" w:line="149" w:lineRule="exact"/>
        <w:rPr>
          <w:sz w:val="20"/>
          <w:szCs w:val="20"/>
          <w:color w:val="auto"/>
        </w:rPr>
      </w:pPr>
    </w:p>
    <w:p>
      <w:pPr>
        <w:ind w:left="8"/>
        <w:spacing w:after="0" w:line="350" w:lineRule="auto"/>
        <w:rPr>
          <w:sz w:val="20"/>
          <w:szCs w:val="20"/>
          <w:color w:val="auto"/>
        </w:rPr>
      </w:pPr>
      <w:r>
        <w:rPr>
          <w:rFonts w:ascii="Times New Roman" w:cs="Times New Roman" w:eastAsia="Times New Roman" w:hAnsi="Times New Roman"/>
          <w:sz w:val="24"/>
          <w:szCs w:val="24"/>
          <w:b w:val="1"/>
          <w:bCs w:val="1"/>
          <w:color w:val="auto"/>
        </w:rPr>
        <w:t xml:space="preserve">Schedule XI </w:t>
      </w:r>
      <w:r>
        <w:rPr>
          <w:rFonts w:ascii="Times New Roman" w:cs="Times New Roman" w:eastAsia="Times New Roman" w:hAnsi="Times New Roman"/>
          <w:sz w:val="24"/>
          <w:szCs w:val="24"/>
          <w:color w:val="auto"/>
        </w:rPr>
        <w:t>on a quarterly basis, till at least ninety five per cent. of the proceeds of the issue,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excluding the proceeds raised for general corporate purposes, have been utilised.</w:t>
      </w:r>
    </w:p>
    <w:p>
      <w:pPr>
        <w:spacing w:after="0" w:line="200" w:lineRule="exact"/>
        <w:rPr>
          <w:sz w:val="20"/>
          <w:szCs w:val="20"/>
          <w:color w:val="auto"/>
        </w:rPr>
      </w:pPr>
    </w:p>
    <w:p>
      <w:pPr>
        <w:spacing w:after="0" w:line="238" w:lineRule="exact"/>
        <w:rPr>
          <w:sz w:val="20"/>
          <w:szCs w:val="20"/>
          <w:color w:val="auto"/>
        </w:rPr>
      </w:pPr>
    </w:p>
    <w:p>
      <w:pPr>
        <w:ind w:left="8" w:hanging="8"/>
        <w:spacing w:after="0" w:line="348" w:lineRule="auto"/>
        <w:tabs>
          <w:tab w:leader="none" w:pos="728" w:val="left"/>
        </w:tabs>
        <w:numPr>
          <w:ilvl w:val="0"/>
          <w:numId w:val="1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The board of directors and the management of the issuer shall provide their comments on the findings of the monitoring agency as specified in </w:t>
      </w:r>
      <w:r>
        <w:rPr>
          <w:rFonts w:ascii="Times New Roman" w:cs="Times New Roman" w:eastAsia="Times New Roman" w:hAnsi="Times New Roman"/>
          <w:sz w:val="24"/>
          <w:szCs w:val="24"/>
          <w:b w:val="1"/>
          <w:bCs w:val="1"/>
          <w:color w:val="auto"/>
        </w:rPr>
        <w:t>Schedule XI</w:t>
      </w:r>
      <w:r>
        <w:rPr>
          <w:rFonts w:ascii="Times New Roman" w:cs="Times New Roman" w:eastAsia="Times New Roman" w:hAnsi="Times New Roman"/>
          <w:sz w:val="24"/>
          <w:szCs w:val="24"/>
          <w:color w:val="auto"/>
        </w:rPr>
        <w:t>.</w:t>
      </w:r>
    </w:p>
    <w:p>
      <w:pPr>
        <w:spacing w:after="0" w:line="27"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728" w:val="left"/>
        </w:tabs>
        <w:numPr>
          <w:ilvl w:val="0"/>
          <w:numId w:val="1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within forty five days from the end of each quarter, publicly disseminate the report of the monitoring agency by uploading the same on its website as well as submitting the same to the stock exchange(s) on which its equity shares are listed.</w:t>
      </w:r>
    </w:p>
    <w:p>
      <w:pPr>
        <w:spacing w:after="0" w:line="200" w:lineRule="exact"/>
        <w:rPr>
          <w:sz w:val="20"/>
          <w:szCs w:val="20"/>
          <w:color w:val="auto"/>
        </w:rPr>
      </w:pPr>
    </w:p>
    <w:p>
      <w:pPr>
        <w:spacing w:after="0" w:line="22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Public communications, publicity materials, advertisements and research reports</w:t>
      </w:r>
    </w:p>
    <w:p>
      <w:pPr>
        <w:spacing w:after="0" w:line="144" w:lineRule="exact"/>
        <w:rPr>
          <w:sz w:val="20"/>
          <w:szCs w:val="20"/>
          <w:color w:val="auto"/>
        </w:rPr>
      </w:pPr>
    </w:p>
    <w:p>
      <w:pPr>
        <w:ind w:left="8" w:hanging="8"/>
        <w:spacing w:after="0" w:line="350" w:lineRule="auto"/>
        <w:tabs>
          <w:tab w:leader="none" w:pos="428" w:val="left"/>
        </w:tabs>
        <w:numPr>
          <w:ilvl w:val="0"/>
          <w:numId w:val="13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All public communication, publicity materials, advertisements and research reports shall comply with the provisions of </w:t>
      </w:r>
      <w:r>
        <w:rPr>
          <w:rFonts w:ascii="Times New Roman" w:cs="Times New Roman" w:eastAsia="Times New Roman" w:hAnsi="Times New Roman"/>
          <w:sz w:val="24"/>
          <w:szCs w:val="24"/>
          <w:b w:val="1"/>
          <w:bCs w:val="1"/>
          <w:color w:val="auto"/>
        </w:rPr>
        <w:t>Schedule IX</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231"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Issue-related advertisements</w:t>
      </w:r>
    </w:p>
    <w:p>
      <w:pPr>
        <w:spacing w:after="0" w:line="124" w:lineRule="exact"/>
        <w:rPr>
          <w:sz w:val="20"/>
          <w:szCs w:val="20"/>
          <w:color w:val="auto"/>
        </w:rPr>
      </w:pPr>
    </w:p>
    <w:p>
      <w:pPr>
        <w:jc w:val="both"/>
        <w:ind w:left="8" w:hanging="8"/>
        <w:spacing w:after="0" w:line="339" w:lineRule="auto"/>
        <w:tabs>
          <w:tab w:leader="none" w:pos="360" w:val="left"/>
        </w:tabs>
        <w:numPr>
          <w:ilvl w:val="0"/>
          <w:numId w:val="13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(1) Subject to the provisions of the Companies Act, 2013, the issuer shall, after </w:t>
      </w:r>
      <w:r>
        <w:rPr>
          <w:rFonts w:ascii="Times New Roman" w:cs="Times New Roman" w:eastAsia="Times New Roman" w:hAnsi="Times New Roman"/>
          <w:sz w:val="32"/>
          <w:szCs w:val="32"/>
          <w:color w:val="auto"/>
          <w:vertAlign w:val="superscript"/>
        </w:rPr>
        <w:t>23</w:t>
      </w:r>
      <w:r>
        <w:rPr>
          <w:rFonts w:ascii="Times New Roman" w:cs="Times New Roman" w:eastAsia="Times New Roman" w:hAnsi="Times New Roman"/>
          <w:sz w:val="24"/>
          <w:szCs w:val="24"/>
          <w:color w:val="auto"/>
        </w:rPr>
        <w:t>[filing] the red herring prospectus (in case of a book built issue) or prospectus (in case of fixed price issue) with the Registrar of Companies, make a pre-issue advertisement in one English national daily newspaper with wide circulation, Hindi national daily newspaper with wide circulation and one regional language newspaper with wide circulation at the place where the registered office of the issuer is situated.</w:t>
      </w:r>
    </w:p>
    <w:p>
      <w:pPr>
        <w:spacing w:after="0" w:line="35" w:lineRule="exact"/>
        <w:rPr>
          <w:rFonts w:ascii="Times New Roman" w:cs="Times New Roman" w:eastAsia="Times New Roman" w:hAnsi="Times New Roman"/>
          <w:sz w:val="24"/>
          <w:szCs w:val="24"/>
          <w:b w:val="1"/>
          <w:bCs w:val="1"/>
          <w:color w:val="auto"/>
        </w:rPr>
      </w:pPr>
    </w:p>
    <w:p>
      <w:pPr>
        <w:ind w:left="8"/>
        <w:spacing w:after="0" w:line="350"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(2) The pre-issue advertisement shall be in the format and shall contain the disclosures specified in </w:t>
      </w:r>
      <w:r>
        <w:rPr>
          <w:rFonts w:ascii="Times New Roman" w:cs="Times New Roman" w:eastAsia="Times New Roman" w:hAnsi="Times New Roman"/>
          <w:sz w:val="24"/>
          <w:szCs w:val="24"/>
          <w:b w:val="1"/>
          <w:bCs w:val="1"/>
          <w:color w:val="auto"/>
        </w:rPr>
        <w:t>Part A</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 X</w:t>
      </w:r>
      <w:r>
        <w:rPr>
          <w:rFonts w:ascii="Times New Roman" w:cs="Times New Roman" w:eastAsia="Times New Roman" w:hAnsi="Times New Roman"/>
          <w:sz w:val="24"/>
          <w:szCs w:val="24"/>
          <w:color w:val="auto"/>
        </w:rPr>
        <w:t>.</w:t>
      </w:r>
    </w:p>
    <w:p>
      <w:pPr>
        <w:spacing w:after="0" w:line="23"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the disclosures in relation to price band or floor price and financial ratios contained therein shall only be applicable where the issuer opts to announce the price band or floor price along with the pre-issue advertisement pursuant to sub-regulation (4) of regulation 29.</w:t>
      </w:r>
    </w:p>
    <w:p>
      <w:pPr>
        <w:spacing w:after="0" w:line="22" w:lineRule="exact"/>
        <w:rPr>
          <w:rFonts w:ascii="Times New Roman" w:cs="Times New Roman" w:eastAsia="Times New Roman" w:hAnsi="Times New Roman"/>
          <w:sz w:val="24"/>
          <w:szCs w:val="24"/>
          <w:b w:val="1"/>
          <w:bCs w:val="1"/>
          <w:color w:val="auto"/>
        </w:rPr>
      </w:pPr>
    </w:p>
    <w:p>
      <w:pPr>
        <w:ind w:left="8"/>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(3) The issuer may release advertisements for issue opening and issue closing, which shall be in the formats specified in </w:t>
      </w:r>
      <w:r>
        <w:rPr>
          <w:rFonts w:ascii="Times New Roman" w:cs="Times New Roman" w:eastAsia="Times New Roman" w:hAnsi="Times New Roman"/>
          <w:sz w:val="24"/>
          <w:szCs w:val="24"/>
          <w:b w:val="1"/>
          <w:bCs w:val="1"/>
          <w:color w:val="auto"/>
        </w:rPr>
        <w:t>Parts B and C</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 X.</w:t>
      </w:r>
    </w:p>
    <w:p>
      <w:pPr>
        <w:spacing w:after="0" w:line="28" w:lineRule="exact"/>
        <w:rPr>
          <w:sz w:val="20"/>
          <w:szCs w:val="20"/>
          <w:color w:val="auto"/>
        </w:rPr>
      </w:pPr>
    </w:p>
    <w:p>
      <w:pPr>
        <w:jc w:val="both"/>
        <w:ind w:left="8"/>
        <w:spacing w:after="0" w:line="354" w:lineRule="auto"/>
        <w:rPr>
          <w:sz w:val="20"/>
          <w:szCs w:val="20"/>
          <w:color w:val="auto"/>
        </w:rPr>
      </w:pPr>
      <w:r>
        <w:rPr>
          <w:rFonts w:ascii="Times New Roman" w:cs="Times New Roman" w:eastAsia="Times New Roman" w:hAnsi="Times New Roman"/>
          <w:sz w:val="24"/>
          <w:szCs w:val="24"/>
          <w:color w:val="auto"/>
        </w:rPr>
        <w:t>(4) During the period the issue is open for subscription, no advertisement shall be released giving an impression that the issue has been fully subscribed or oversubscribed or indicating investors’ response to the issue.</w:t>
      </w:r>
    </w:p>
    <w:p>
      <w:pPr>
        <w:spacing w:after="0" w:line="200" w:lineRule="exact"/>
        <w:rPr>
          <w:sz w:val="20"/>
          <w:szCs w:val="20"/>
          <w:color w:val="auto"/>
        </w:rPr>
      </w:pPr>
    </w:p>
    <w:p>
      <w:pPr>
        <w:spacing w:after="0" w:line="22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Opening of the issue</w:t>
      </w:r>
    </w:p>
    <w:p>
      <w:pPr>
        <w:spacing w:after="0" w:line="200" w:lineRule="exact"/>
        <w:rPr>
          <w:sz w:val="20"/>
          <w:szCs w:val="20"/>
          <w:color w:val="auto"/>
        </w:rPr>
      </w:pPr>
    </w:p>
    <w:p>
      <w:pPr>
        <w:spacing w:after="0" w:line="269" w:lineRule="exact"/>
        <w:rPr>
          <w:sz w:val="20"/>
          <w:szCs w:val="20"/>
          <w:color w:val="auto"/>
        </w:rPr>
      </w:pPr>
    </w:p>
    <w:p>
      <w:pPr>
        <w:ind w:left="8" w:hanging="8"/>
        <w:spacing w:after="0" w:line="203" w:lineRule="auto"/>
        <w:tabs>
          <w:tab w:leader="none" w:pos="188" w:val="left"/>
        </w:tabs>
        <w:numPr>
          <w:ilvl w:val="0"/>
          <w:numId w:val="139"/>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Securities and Exchange Board of India (Issue of Capital and Disclosure Requirements) (Seventh Amendment) Regulations, 2019, w-e-f 01.01.2020 for the word “registering”.</w:t>
      </w:r>
    </w:p>
    <w:p>
      <w:pPr>
        <w:spacing w:after="0" w:line="30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36</w:t>
      </w:r>
    </w:p>
    <w:p>
      <w:pPr>
        <w:sectPr>
          <w:pgSz w:w="11900" w:h="16836" w:orient="portrait"/>
          <w:cols w:equalWidth="0" w:num="1">
            <w:col w:w="9468"/>
          </w:cols>
          <w:pgMar w:left="1152" w:top="1144" w:right="1284" w:bottom="103" w:gutter="0" w:footer="0" w:header="0"/>
        </w:sectPr>
      </w:pPr>
    </w:p>
    <w:bookmarkStart w:id="36" w:name="page37"/>
    <w:bookmarkEnd w:id="36"/>
    <w:p>
      <w:pPr>
        <w:jc w:val="both"/>
        <w:ind w:left="8"/>
        <w:spacing w:after="0" w:line="354" w:lineRule="auto"/>
        <w:rPr>
          <w:sz w:val="20"/>
          <w:szCs w:val="20"/>
          <w:color w:val="auto"/>
        </w:rPr>
      </w:pPr>
      <w:r>
        <w:rPr>
          <w:rFonts w:ascii="Times New Roman" w:cs="Times New Roman" w:eastAsia="Times New Roman" w:hAnsi="Times New Roman"/>
          <w:sz w:val="24"/>
          <w:szCs w:val="24"/>
          <w:b w:val="1"/>
          <w:bCs w:val="1"/>
          <w:color w:val="auto"/>
        </w:rPr>
        <w:t xml:space="preserve">44 . </w:t>
      </w:r>
      <w:r>
        <w:rPr>
          <w:rFonts w:ascii="Times New Roman" w:cs="Times New Roman" w:eastAsia="Times New Roman" w:hAnsi="Times New Roman"/>
          <w:sz w:val="24"/>
          <w:szCs w:val="24"/>
          <w:color w:val="auto"/>
        </w:rPr>
        <w:t>(1) Subject to the compliance with the provisions of the Companies Act, 2013, a public issue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may be opened within twelve months from the date of issuance of the observations by the Board under regulation 25;</w:t>
      </w:r>
    </w:p>
    <w:p>
      <w:pPr>
        <w:jc w:val="both"/>
        <w:ind w:left="8" w:hanging="8"/>
        <w:spacing w:after="0" w:line="311" w:lineRule="auto"/>
        <w:tabs>
          <w:tab w:leader="none" w:pos="435" w:val="left"/>
        </w:tabs>
        <w:numPr>
          <w:ilvl w:val="0"/>
          <w:numId w:val="14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An issue shall be opened after at least three working days from the date of </w:t>
      </w:r>
      <w:r>
        <w:rPr>
          <w:rFonts w:ascii="Times New Roman" w:cs="Times New Roman" w:eastAsia="Times New Roman" w:hAnsi="Times New Roman"/>
          <w:sz w:val="32"/>
          <w:szCs w:val="32"/>
          <w:color w:val="auto"/>
          <w:vertAlign w:val="superscript"/>
        </w:rPr>
        <w:t>24</w:t>
      </w:r>
      <w:r>
        <w:rPr>
          <w:rFonts w:ascii="Times New Roman" w:cs="Times New Roman" w:eastAsia="Times New Roman" w:hAnsi="Times New Roman"/>
          <w:sz w:val="24"/>
          <w:szCs w:val="24"/>
          <w:color w:val="auto"/>
        </w:rPr>
        <w:t>[filing], the red herring prospectus, in case of a book built issue and the prospectus, in case of a fixed price issue, with the Registrar of Companies.</w:t>
      </w:r>
    </w:p>
    <w:p>
      <w:pPr>
        <w:spacing w:after="0" w:line="200" w:lineRule="exact"/>
        <w:rPr>
          <w:sz w:val="20"/>
          <w:szCs w:val="20"/>
          <w:color w:val="auto"/>
        </w:rPr>
      </w:pPr>
    </w:p>
    <w:p>
      <w:pPr>
        <w:spacing w:after="0" w:line="276"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Minimum subscription</w:t>
      </w:r>
    </w:p>
    <w:p>
      <w:pPr>
        <w:spacing w:after="0" w:line="147" w:lineRule="exact"/>
        <w:rPr>
          <w:sz w:val="20"/>
          <w:szCs w:val="20"/>
          <w:color w:val="auto"/>
        </w:rPr>
      </w:pPr>
    </w:p>
    <w:p>
      <w:pPr>
        <w:ind w:left="8" w:hanging="8"/>
        <w:spacing w:after="0" w:line="357" w:lineRule="auto"/>
        <w:tabs>
          <w:tab w:leader="none" w:pos="370" w:val="left"/>
        </w:tabs>
        <w:numPr>
          <w:ilvl w:val="0"/>
          <w:numId w:val="14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minimum subscription to be received in the issue shall be at least ninety per cent. of the offer through the offer document, except in case of an offer for sale of specified securities: Provided that the minimum subscription to be received shall be subject to the allotment of minimum number of specified securities, as prescribed under the Securities Contracts (Regulation) Rules, 1957.</w:t>
      </w:r>
    </w:p>
    <w:p>
      <w:pPr>
        <w:spacing w:after="0" w:line="16" w:lineRule="exact"/>
        <w:rPr>
          <w:sz w:val="20"/>
          <w:szCs w:val="20"/>
          <w:color w:val="auto"/>
        </w:rPr>
      </w:pPr>
    </w:p>
    <w:p>
      <w:pPr>
        <w:jc w:val="both"/>
        <w:ind w:left="8" w:hanging="8"/>
        <w:spacing w:after="0" w:line="354" w:lineRule="auto"/>
        <w:tabs>
          <w:tab w:leader="none" w:pos="483" w:val="left"/>
        </w:tabs>
        <w:numPr>
          <w:ilvl w:val="0"/>
          <w:numId w:val="14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the event of non-receipt of minimum subscription referred to in sub-regulation (1), all application monies received shall be refunded to the applicants forthwith, but not later than fifteen days from the closure of the issue</w:t>
      </w:r>
      <w:r>
        <w:rPr>
          <w:rFonts w:ascii="Times New Roman" w:cs="Times New Roman" w:eastAsia="Times New Roman" w:hAnsi="Times New Roman"/>
          <w:sz w:val="24"/>
          <w:szCs w:val="24"/>
          <w:b w:val="1"/>
          <w:bCs w:val="1"/>
          <w:color w:val="auto"/>
        </w:rPr>
        <w:t>.</w:t>
      </w:r>
    </w:p>
    <w:p>
      <w:pPr>
        <w:spacing w:after="0" w:line="200" w:lineRule="exact"/>
        <w:rPr>
          <w:sz w:val="20"/>
          <w:szCs w:val="20"/>
          <w:color w:val="auto"/>
        </w:rPr>
      </w:pPr>
    </w:p>
    <w:p>
      <w:pPr>
        <w:spacing w:after="0" w:line="22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Period of subscription</w:t>
      </w:r>
    </w:p>
    <w:p>
      <w:pPr>
        <w:spacing w:after="0" w:line="147" w:lineRule="exact"/>
        <w:rPr>
          <w:sz w:val="20"/>
          <w:szCs w:val="20"/>
          <w:color w:val="auto"/>
        </w:rPr>
      </w:pPr>
    </w:p>
    <w:p>
      <w:pPr>
        <w:ind w:left="8" w:hanging="8"/>
        <w:spacing w:after="0" w:line="348" w:lineRule="auto"/>
        <w:tabs>
          <w:tab w:leader="none" w:pos="368" w:val="left"/>
        </w:tabs>
        <w:numPr>
          <w:ilvl w:val="0"/>
          <w:numId w:val="14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Except as otherwise provided in these regulations, an initial public offer shall be kept open for at least three working days and not more than ten working days.</w:t>
      </w:r>
    </w:p>
    <w:p>
      <w:pPr>
        <w:spacing w:after="0" w:line="27"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In case of a revision in the price band, the issuer shall extend the bidding (issue) period disclosed in the red herring prospectus, for a minimum period of three working days, subject to the provisions of sub-regulation (1).</w:t>
      </w:r>
    </w:p>
    <w:p>
      <w:pPr>
        <w:spacing w:after="0" w:line="20" w:lineRule="exact"/>
        <w:rPr>
          <w:rFonts w:ascii="Times New Roman" w:cs="Times New Roman" w:eastAsia="Times New Roman" w:hAnsi="Times New Roman"/>
          <w:sz w:val="24"/>
          <w:szCs w:val="24"/>
          <w:b w:val="1"/>
          <w:bCs w:val="1"/>
          <w:color w:val="auto"/>
        </w:rPr>
      </w:pPr>
    </w:p>
    <w:p>
      <w:pPr>
        <w:jc w:val="both"/>
        <w:ind w:left="8"/>
        <w:spacing w:after="0" w:line="375"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3"/>
          <w:szCs w:val="23"/>
          <w:color w:val="auto"/>
        </w:rPr>
        <w:t>(3) In case of force majeure, banking strike or similar circumstances, the issuer may, for reasons to be recorded in writing, extend the bidding (issue) period disclosed in the red herring prospectus (in case of a book built issue) or the issue period disclosed in the prospectus (in case of a fixed price issue), for a minimum period of three working days, subject to the provisions of sub-regulation (1).</w:t>
      </w:r>
    </w:p>
    <w:p>
      <w:pPr>
        <w:spacing w:after="0" w:line="200" w:lineRule="exact"/>
        <w:rPr>
          <w:sz w:val="20"/>
          <w:szCs w:val="20"/>
          <w:color w:val="auto"/>
        </w:rPr>
      </w:pPr>
    </w:p>
    <w:p>
      <w:pPr>
        <w:spacing w:after="0" w:line="211"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Application and minimum application value</w:t>
      </w:r>
    </w:p>
    <w:p>
      <w:pPr>
        <w:spacing w:after="0" w:line="144" w:lineRule="exact"/>
        <w:rPr>
          <w:sz w:val="20"/>
          <w:szCs w:val="20"/>
          <w:color w:val="auto"/>
        </w:rPr>
      </w:pPr>
    </w:p>
    <w:p>
      <w:pPr>
        <w:ind w:left="8" w:hanging="8"/>
        <w:spacing w:after="0" w:line="350" w:lineRule="auto"/>
        <w:tabs>
          <w:tab w:leader="none" w:pos="384" w:val="left"/>
        </w:tabs>
        <w:numPr>
          <w:ilvl w:val="0"/>
          <w:numId w:val="14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A person shall not make an application in the net offer category for a number of specified securities that exceeds the total number of specified securities offered to the public.</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8" w:hanging="8"/>
        <w:spacing w:after="0" w:line="203" w:lineRule="auto"/>
        <w:tabs>
          <w:tab w:leader="none" w:pos="188" w:val="left"/>
        </w:tabs>
        <w:numPr>
          <w:ilvl w:val="0"/>
          <w:numId w:val="145"/>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Securities and Exchange Board of India (Issue of Capital and Disclosure Requirements) (Seventh Amendment) Regulations, 2019, w-e-f 01.01.2020 for the word “registering”.</w:t>
      </w:r>
    </w:p>
    <w:p>
      <w:pPr>
        <w:spacing w:after="0" w:line="30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37</w:t>
      </w:r>
    </w:p>
    <w:p>
      <w:pPr>
        <w:sectPr>
          <w:pgSz w:w="11900" w:h="16836" w:orient="portrait"/>
          <w:cols w:equalWidth="0" w:num="1">
            <w:col w:w="9468"/>
          </w:cols>
          <w:pgMar w:left="1152" w:top="1156" w:right="1284" w:bottom="103" w:gutter="0" w:footer="0" w:header="0"/>
        </w:sectPr>
      </w:pPr>
    </w:p>
    <w:bookmarkStart w:id="37" w:name="page38"/>
    <w:bookmarkEnd w:id="37"/>
    <w:p>
      <w:pPr>
        <w:jc w:val="both"/>
        <w:ind w:left="8"/>
        <w:spacing w:after="0" w:line="354" w:lineRule="auto"/>
        <w:rPr>
          <w:sz w:val="20"/>
          <w:szCs w:val="20"/>
          <w:color w:val="auto"/>
        </w:rPr>
      </w:pPr>
      <w:r>
        <w:rPr>
          <w:rFonts w:ascii="Times New Roman" w:cs="Times New Roman" w:eastAsia="Times New Roman" w:hAnsi="Times New Roman"/>
          <w:sz w:val="24"/>
          <w:szCs w:val="24"/>
          <w:color w:val="auto"/>
        </w:rPr>
        <w:t>Provided that the maximum application by non-institutional investors shall not exceed total number of specified securities offered in the issue less total number of specified securities offered in the issue to qualified institutional buyers.</w:t>
      </w:r>
    </w:p>
    <w:p>
      <w:pPr>
        <w:spacing w:after="0" w:line="20" w:lineRule="exact"/>
        <w:rPr>
          <w:sz w:val="20"/>
          <w:szCs w:val="20"/>
          <w:color w:val="auto"/>
        </w:rPr>
      </w:pPr>
    </w:p>
    <w:p>
      <w:pPr>
        <w:jc w:val="both"/>
        <w:ind w:left="8" w:hanging="8"/>
        <w:spacing w:after="0" w:line="354" w:lineRule="auto"/>
        <w:tabs>
          <w:tab w:leader="none" w:pos="466" w:val="left"/>
        </w:tabs>
        <w:numPr>
          <w:ilvl w:val="0"/>
          <w:numId w:val="14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stipulate in the offer document the minimum application size in terms of number of specified securities which shall fall within the range of minimum application value of ten thousand rupees to fifteen thousand rupees.</w:t>
      </w:r>
    </w:p>
    <w:p>
      <w:pPr>
        <w:spacing w:after="0" w:line="22" w:lineRule="exact"/>
        <w:rPr>
          <w:rFonts w:ascii="Times New Roman" w:cs="Times New Roman" w:eastAsia="Times New Roman" w:hAnsi="Times New Roman"/>
          <w:sz w:val="24"/>
          <w:szCs w:val="24"/>
          <w:color w:val="auto"/>
        </w:rPr>
      </w:pPr>
    </w:p>
    <w:p>
      <w:pPr>
        <w:ind w:left="8" w:hanging="8"/>
        <w:spacing w:after="0" w:line="348" w:lineRule="auto"/>
        <w:tabs>
          <w:tab w:leader="none" w:pos="403" w:val="left"/>
        </w:tabs>
        <w:numPr>
          <w:ilvl w:val="0"/>
          <w:numId w:val="14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The issuer shall invite applications in multiples of the minimum application value, an illustration whereof is given in </w:t>
      </w:r>
      <w:r>
        <w:rPr>
          <w:rFonts w:ascii="Times New Roman" w:cs="Times New Roman" w:eastAsia="Times New Roman" w:hAnsi="Times New Roman"/>
          <w:sz w:val="24"/>
          <w:szCs w:val="24"/>
          <w:b w:val="1"/>
          <w:bCs w:val="1"/>
          <w:color w:val="auto"/>
        </w:rPr>
        <w:t>Part B of Schedule XIV</w:t>
      </w:r>
      <w:r>
        <w:rPr>
          <w:rFonts w:ascii="Times New Roman" w:cs="Times New Roman" w:eastAsia="Times New Roman" w:hAnsi="Times New Roman"/>
          <w:sz w:val="24"/>
          <w:szCs w:val="24"/>
          <w:color w:val="auto"/>
        </w:rPr>
        <w:t>.</w:t>
      </w:r>
    </w:p>
    <w:p>
      <w:pPr>
        <w:spacing w:after="0" w:line="28" w:lineRule="exact"/>
        <w:rPr>
          <w:rFonts w:ascii="Times New Roman" w:cs="Times New Roman" w:eastAsia="Times New Roman" w:hAnsi="Times New Roman"/>
          <w:sz w:val="24"/>
          <w:szCs w:val="24"/>
          <w:color w:val="auto"/>
        </w:rPr>
      </w:pPr>
    </w:p>
    <w:p>
      <w:pPr>
        <w:ind w:left="8" w:hanging="8"/>
        <w:spacing w:after="0" w:line="348" w:lineRule="auto"/>
        <w:tabs>
          <w:tab w:leader="none" w:pos="413" w:val="left"/>
        </w:tabs>
        <w:numPr>
          <w:ilvl w:val="0"/>
          <w:numId w:val="14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minimum sum payable on application per specified security shall be at least twenty five per cent. of the issue price:</w:t>
      </w:r>
    </w:p>
    <w:p>
      <w:pPr>
        <w:spacing w:after="0" w:line="27" w:lineRule="exact"/>
        <w:rPr>
          <w:rFonts w:ascii="Times New Roman" w:cs="Times New Roman" w:eastAsia="Times New Roman" w:hAnsi="Times New Roman"/>
          <w:sz w:val="24"/>
          <w:szCs w:val="24"/>
          <w:color w:val="auto"/>
        </w:rPr>
      </w:pPr>
    </w:p>
    <w:p>
      <w:pPr>
        <w:ind w:left="8"/>
        <w:spacing w:after="0" w:line="348"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in case of an offer for sale, the full issue price for each specified security shall be payable at the time of application.</w:t>
      </w:r>
    </w:p>
    <w:p>
      <w:pPr>
        <w:spacing w:after="0" w:line="28" w:lineRule="exact"/>
        <w:rPr>
          <w:sz w:val="20"/>
          <w:szCs w:val="20"/>
          <w:color w:val="auto"/>
        </w:rPr>
      </w:pPr>
    </w:p>
    <w:p>
      <w:pPr>
        <w:jc w:val="both"/>
        <w:ind w:left="8"/>
        <w:spacing w:after="0" w:line="354" w:lineRule="auto"/>
        <w:rPr>
          <w:sz w:val="20"/>
          <w:szCs w:val="20"/>
          <w:color w:val="auto"/>
        </w:rPr>
      </w:pPr>
      <w:r>
        <w:rPr>
          <w:rFonts w:ascii="Times New Roman" w:cs="Times New Roman" w:eastAsia="Times New Roman" w:hAnsi="Times New Roman"/>
          <w:sz w:val="24"/>
          <w:szCs w:val="24"/>
          <w:b w:val="1"/>
          <w:bCs w:val="1"/>
          <w:color w:val="auto"/>
        </w:rPr>
        <w:t>Explanation</w:t>
      </w:r>
      <w:r>
        <w:rPr>
          <w:rFonts w:ascii="Times New Roman" w:cs="Times New Roman" w:eastAsia="Times New Roman" w:hAnsi="Times New Roman"/>
          <w:sz w:val="24"/>
          <w:szCs w:val="24"/>
          <w:color w:val="auto"/>
        </w:rPr>
        <w:t>: For the purpose of this regulation, “minimum application value” shall be with</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reference to the issue price of the specified securities and not with reference to the amount payable on application.</w:t>
      </w:r>
    </w:p>
    <w:p>
      <w:pPr>
        <w:spacing w:after="0" w:line="200" w:lineRule="exact"/>
        <w:rPr>
          <w:sz w:val="20"/>
          <w:szCs w:val="20"/>
          <w:color w:val="auto"/>
        </w:rPr>
      </w:pPr>
    </w:p>
    <w:p>
      <w:pPr>
        <w:spacing w:after="0" w:line="22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Manner of calls</w:t>
      </w:r>
    </w:p>
    <w:p>
      <w:pPr>
        <w:spacing w:after="0" w:line="144" w:lineRule="exact"/>
        <w:rPr>
          <w:sz w:val="20"/>
          <w:szCs w:val="20"/>
          <w:color w:val="auto"/>
        </w:rPr>
      </w:pPr>
    </w:p>
    <w:p>
      <w:pPr>
        <w:jc w:val="both"/>
        <w:ind w:left="8" w:hanging="8"/>
        <w:spacing w:after="0" w:line="375" w:lineRule="auto"/>
        <w:tabs>
          <w:tab w:leader="none" w:pos="437" w:val="left"/>
        </w:tabs>
        <w:numPr>
          <w:ilvl w:val="0"/>
          <w:numId w:val="147"/>
        </w:numPr>
        <w:rPr>
          <w:rFonts w:ascii="Times New Roman" w:cs="Times New Roman" w:eastAsia="Times New Roman" w:hAnsi="Times New Roman"/>
          <w:sz w:val="23"/>
          <w:szCs w:val="23"/>
          <w:b w:val="1"/>
          <w:bCs w:val="1"/>
          <w:color w:val="auto"/>
        </w:rPr>
      </w:pPr>
      <w:r>
        <w:rPr>
          <w:rFonts w:ascii="Times New Roman" w:cs="Times New Roman" w:eastAsia="Times New Roman" w:hAnsi="Times New Roman"/>
          <w:sz w:val="23"/>
          <w:szCs w:val="23"/>
          <w:color w:val="auto"/>
        </w:rPr>
        <w:t>If the issuer proposes to receive subscription monies in calls, it shall ensure that the outstanding subscription money is called within twelve months from the date of allotment in the issue and if any applicant fails to pay the call money within the said twelve months, the equity shares on which there are calls in arrears along with the subscription money already paid on such shares shall be forfeited:</w:t>
      </w:r>
    </w:p>
    <w:p>
      <w:pPr>
        <w:spacing w:after="0" w:line="3" w:lineRule="exact"/>
        <w:rPr>
          <w:rFonts w:ascii="Times New Roman" w:cs="Times New Roman" w:eastAsia="Times New Roman" w:hAnsi="Times New Roman"/>
          <w:sz w:val="23"/>
          <w:szCs w:val="23"/>
          <w:b w:val="1"/>
          <w:bCs w:val="1"/>
          <w:color w:val="auto"/>
        </w:rPr>
      </w:pPr>
    </w:p>
    <w:p>
      <w:pPr>
        <w:ind w:left="8"/>
        <w:spacing w:after="0" w:line="350" w:lineRule="auto"/>
        <w:rPr>
          <w:rFonts w:ascii="Times New Roman" w:cs="Times New Roman" w:eastAsia="Times New Roman" w:hAnsi="Times New Roman"/>
          <w:sz w:val="23"/>
          <w:szCs w:val="23"/>
          <w:b w:val="1"/>
          <w:bCs w:val="1"/>
          <w:color w:val="auto"/>
        </w:rPr>
      </w:pPr>
      <w:r>
        <w:rPr>
          <w:rFonts w:ascii="Times New Roman" w:cs="Times New Roman" w:eastAsia="Times New Roman" w:hAnsi="Times New Roman"/>
          <w:sz w:val="24"/>
          <w:szCs w:val="24"/>
          <w:color w:val="auto"/>
        </w:rPr>
        <w:t>Provided that it shall not be necessary to call the outstanding subscription money within twelve months, if the issuer has appointed a monitoring agency in terms of regulation 41.</w:t>
      </w:r>
    </w:p>
    <w:p>
      <w:pPr>
        <w:spacing w:after="0" w:line="200" w:lineRule="exact"/>
        <w:rPr>
          <w:sz w:val="20"/>
          <w:szCs w:val="20"/>
          <w:color w:val="auto"/>
        </w:rPr>
      </w:pPr>
    </w:p>
    <w:p>
      <w:pPr>
        <w:spacing w:after="0" w:line="231"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Allotment procedure and basis of allotment</w:t>
      </w:r>
    </w:p>
    <w:p>
      <w:pPr>
        <w:spacing w:after="0" w:line="144" w:lineRule="exact"/>
        <w:rPr>
          <w:sz w:val="20"/>
          <w:szCs w:val="20"/>
          <w:color w:val="auto"/>
        </w:rPr>
      </w:pPr>
    </w:p>
    <w:p>
      <w:pPr>
        <w:ind w:left="8" w:hanging="8"/>
        <w:spacing w:after="0" w:line="350" w:lineRule="auto"/>
        <w:tabs>
          <w:tab w:leader="none" w:pos="360" w:val="left"/>
        </w:tabs>
        <w:numPr>
          <w:ilvl w:val="0"/>
          <w:numId w:val="14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shall not make an allotment pursuant to a public issue if the number of prospective allottees is less than one thousand.</w:t>
      </w:r>
    </w:p>
    <w:p>
      <w:pPr>
        <w:spacing w:after="0" w:line="23" w:lineRule="exact"/>
        <w:rPr>
          <w:rFonts w:ascii="Times New Roman" w:cs="Times New Roman" w:eastAsia="Times New Roman" w:hAnsi="Times New Roman"/>
          <w:sz w:val="24"/>
          <w:szCs w:val="24"/>
          <w:b w:val="1"/>
          <w:bCs w:val="1"/>
          <w:color w:val="auto"/>
        </w:rPr>
      </w:pPr>
    </w:p>
    <w:p>
      <w:pPr>
        <w:jc w:val="both"/>
        <w:ind w:left="8" w:firstLine="50"/>
        <w:spacing w:after="0" w:line="354" w:lineRule="auto"/>
        <w:tabs>
          <w:tab w:leader="none" w:pos="490" w:val="left"/>
        </w:tabs>
        <w:numPr>
          <w:ilvl w:val="1"/>
          <w:numId w:val="14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not make any allotment in excess of the specified securities offered through the offer document except in case of oversubscription for the purpose of rounding off to make allotment, in consultation with the designated stock exchange.</w:t>
      </w:r>
    </w:p>
    <w:p>
      <w:pPr>
        <w:spacing w:after="0" w:line="22" w:lineRule="exact"/>
        <w:rPr>
          <w:rFonts w:ascii="Times New Roman" w:cs="Times New Roman" w:eastAsia="Times New Roman" w:hAnsi="Times New Roman"/>
          <w:sz w:val="24"/>
          <w:szCs w:val="24"/>
          <w:color w:val="auto"/>
        </w:rPr>
      </w:pPr>
    </w:p>
    <w:p>
      <w:pPr>
        <w:ind w:left="8"/>
        <w:spacing w:after="0" w:line="348"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in case of oversubscription, an allotment of not more than one per cent. of the net offer to public may be made for the purpose of making allotment in minimum lots.</w:t>
      </w:r>
    </w:p>
    <w:p>
      <w:pPr>
        <w:spacing w:after="0" w:line="28" w:lineRule="exact"/>
        <w:rPr>
          <w:rFonts w:ascii="Times New Roman" w:cs="Times New Roman" w:eastAsia="Times New Roman" w:hAnsi="Times New Roman"/>
          <w:sz w:val="24"/>
          <w:szCs w:val="24"/>
          <w:color w:val="auto"/>
        </w:rPr>
      </w:pPr>
    </w:p>
    <w:p>
      <w:pPr>
        <w:jc w:val="both"/>
        <w:ind w:left="8"/>
        <w:spacing w:after="0" w:line="35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(3) The allotment of specified securities to applicants other than to the retail individual investors and anchor investors shall be on a proportionate basis within the respective investor categories and the number of securities allotted shall be rounded off to the nearest integer, subject to</w:t>
      </w:r>
    </w:p>
    <w:p>
      <w:pPr>
        <w:spacing w:after="0" w:line="264"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38</w:t>
      </w:r>
    </w:p>
    <w:p>
      <w:pPr>
        <w:sectPr>
          <w:pgSz w:w="11900" w:h="16836" w:orient="portrait"/>
          <w:cols w:equalWidth="0" w:num="1">
            <w:col w:w="9468"/>
          </w:cols>
          <w:pgMar w:left="1152" w:top="1156" w:right="1284" w:bottom="103" w:gutter="0" w:footer="0" w:header="0"/>
        </w:sectPr>
      </w:pPr>
    </w:p>
    <w:bookmarkStart w:id="38" w:name="page39"/>
    <w:bookmarkEnd w:id="38"/>
    <w:p>
      <w:pPr>
        <w:jc w:val="both"/>
        <w:ind w:left="8"/>
        <w:spacing w:after="0" w:line="348" w:lineRule="auto"/>
        <w:rPr>
          <w:sz w:val="20"/>
          <w:szCs w:val="20"/>
          <w:color w:val="auto"/>
        </w:rPr>
      </w:pPr>
      <w:r>
        <w:rPr>
          <w:rFonts w:ascii="Times New Roman" w:cs="Times New Roman" w:eastAsia="Times New Roman" w:hAnsi="Times New Roman"/>
          <w:sz w:val="24"/>
          <w:szCs w:val="24"/>
          <w:color w:val="auto"/>
        </w:rPr>
        <w:t>minimum allotment being equal to the minimum application size as determined and disclosed in the offer document:</w:t>
      </w:r>
    </w:p>
    <w:p>
      <w:pPr>
        <w:spacing w:after="0" w:line="28" w:lineRule="exact"/>
        <w:rPr>
          <w:sz w:val="20"/>
          <w:szCs w:val="20"/>
          <w:color w:val="auto"/>
        </w:rPr>
      </w:pPr>
    </w:p>
    <w:p>
      <w:pPr>
        <w:jc w:val="both"/>
        <w:ind w:left="8"/>
        <w:spacing w:after="0" w:line="356" w:lineRule="auto"/>
        <w:rPr>
          <w:sz w:val="20"/>
          <w:szCs w:val="20"/>
          <w:color w:val="auto"/>
        </w:rPr>
      </w:pPr>
      <w:r>
        <w:rPr>
          <w:rFonts w:ascii="Times New Roman" w:cs="Times New Roman" w:eastAsia="Times New Roman" w:hAnsi="Times New Roman"/>
          <w:sz w:val="24"/>
          <w:szCs w:val="24"/>
          <w:color w:val="auto"/>
        </w:rPr>
        <w:t>Provided that the value of specified securities allotted to any person, except in case of employees, in pursuance of reservation made under clause (a) of sub-regulation (1) or clause (a) of sub-regulation (2) of regulation 33, shall not exceed two lakhs rupees for retail investors or up to five lakhs rupees for eligible employees.</w:t>
      </w:r>
    </w:p>
    <w:p>
      <w:pPr>
        <w:spacing w:after="0" w:line="19" w:lineRule="exact"/>
        <w:rPr>
          <w:sz w:val="20"/>
          <w:szCs w:val="20"/>
          <w:color w:val="auto"/>
        </w:rPr>
      </w:pPr>
    </w:p>
    <w:p>
      <w:pPr>
        <w:jc w:val="both"/>
        <w:ind w:left="8" w:firstLine="52"/>
        <w:spacing w:after="0" w:line="354" w:lineRule="auto"/>
        <w:tabs>
          <w:tab w:leader="none" w:pos="430" w:val="left"/>
        </w:tabs>
        <w:numPr>
          <w:ilvl w:val="1"/>
          <w:numId w:val="14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allotment of specified securities to each retail individual investor shall not be less than the minimum bid lot, subject to the availability of shares in retail individual investor category, and the remaining available shares, if any, shall be allotted on a proportionate basis.</w:t>
      </w:r>
    </w:p>
    <w:p>
      <w:pPr>
        <w:spacing w:after="0" w:line="20"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439" w:val="left"/>
        </w:tabs>
        <w:numPr>
          <w:ilvl w:val="0"/>
          <w:numId w:val="15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The authorised employees of the designated stock exchange, along with the lead manager(s) and registrars to the issue, shall ensure that the basis of allotment is finalised in a fair and proper manner in accordance with the procedure as specified in </w:t>
      </w:r>
      <w:r>
        <w:rPr>
          <w:rFonts w:ascii="Times New Roman" w:cs="Times New Roman" w:eastAsia="Times New Roman" w:hAnsi="Times New Roman"/>
          <w:sz w:val="24"/>
          <w:szCs w:val="24"/>
          <w:b w:val="1"/>
          <w:bCs w:val="1"/>
          <w:color w:val="auto"/>
        </w:rPr>
        <w:t>Part A of Schedule XIV</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22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Allotment, refund and payment of interest</w:t>
      </w:r>
    </w:p>
    <w:p>
      <w:pPr>
        <w:spacing w:after="0" w:line="147" w:lineRule="exact"/>
        <w:rPr>
          <w:sz w:val="20"/>
          <w:szCs w:val="20"/>
          <w:color w:val="auto"/>
        </w:rPr>
      </w:pPr>
    </w:p>
    <w:p>
      <w:pPr>
        <w:ind w:left="8" w:hanging="8"/>
        <w:spacing w:after="0" w:line="373" w:lineRule="auto"/>
        <w:tabs>
          <w:tab w:leader="none" w:pos="377" w:val="left"/>
        </w:tabs>
        <w:numPr>
          <w:ilvl w:val="0"/>
          <w:numId w:val="151"/>
        </w:numPr>
        <w:rPr>
          <w:rFonts w:ascii="Times New Roman" w:cs="Times New Roman" w:eastAsia="Times New Roman" w:hAnsi="Times New Roman"/>
          <w:sz w:val="23"/>
          <w:szCs w:val="23"/>
          <w:b w:val="1"/>
          <w:bCs w:val="1"/>
          <w:color w:val="auto"/>
        </w:rPr>
      </w:pPr>
      <w:r>
        <w:rPr>
          <w:rFonts w:ascii="Times New Roman" w:cs="Times New Roman" w:eastAsia="Times New Roman" w:hAnsi="Times New Roman"/>
          <w:sz w:val="23"/>
          <w:szCs w:val="23"/>
          <w:color w:val="auto"/>
        </w:rPr>
        <w:t>(1) The issuer and lead manager(s) shall ensure that the specified securities are allotted and/or application monies are refunded or unblocked within such period as may be specified by the Board.</w:t>
      </w:r>
    </w:p>
    <w:p>
      <w:pPr>
        <w:spacing w:after="0" w:line="6" w:lineRule="exact"/>
        <w:rPr>
          <w:sz w:val="20"/>
          <w:szCs w:val="20"/>
          <w:color w:val="auto"/>
        </w:rPr>
      </w:pPr>
    </w:p>
    <w:p>
      <w:pPr>
        <w:ind w:left="8" w:hanging="8"/>
        <w:spacing w:after="0" w:line="348" w:lineRule="auto"/>
        <w:tabs>
          <w:tab w:leader="none" w:pos="584" w:val="left"/>
        </w:tabs>
        <w:numPr>
          <w:ilvl w:val="0"/>
          <w:numId w:val="15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 shall ensure that the allotment, credit of dematerialised securities and refund or unblocking of application monies, as may be applicable, are done electronically.</w:t>
      </w:r>
    </w:p>
    <w:p>
      <w:pPr>
        <w:spacing w:after="0" w:line="27" w:lineRule="exact"/>
        <w:rPr>
          <w:rFonts w:ascii="Times New Roman" w:cs="Times New Roman" w:eastAsia="Times New Roman" w:hAnsi="Times New Roman"/>
          <w:sz w:val="24"/>
          <w:szCs w:val="24"/>
          <w:color w:val="auto"/>
        </w:rPr>
      </w:pPr>
    </w:p>
    <w:p>
      <w:pPr>
        <w:jc w:val="both"/>
        <w:ind w:left="8" w:hanging="8"/>
        <w:spacing w:after="0" w:line="356" w:lineRule="auto"/>
        <w:tabs>
          <w:tab w:leader="none" w:pos="387" w:val="left"/>
        </w:tabs>
        <w:numPr>
          <w:ilvl w:val="0"/>
          <w:numId w:val="15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Where the specified securities are not allotted and/or application monies are not refunded or unblocked within the period stipulated in sub-regulation (1) above, the issuer shall undertake to pay interest at the rate of fifteen per cent. per annum to the investors and within such time as disclosed in the offer document and the lead manager(s) shall ensure the same.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Post-issue advertisements</w:t>
      </w:r>
    </w:p>
    <w:p>
      <w:pPr>
        <w:spacing w:after="0" w:line="144" w:lineRule="exact"/>
        <w:rPr>
          <w:sz w:val="20"/>
          <w:szCs w:val="20"/>
          <w:color w:val="auto"/>
        </w:rPr>
      </w:pPr>
    </w:p>
    <w:p>
      <w:pPr>
        <w:jc w:val="both"/>
        <w:ind w:left="8" w:hanging="8"/>
        <w:spacing w:after="0" w:line="358" w:lineRule="auto"/>
        <w:tabs>
          <w:tab w:leader="none" w:pos="452" w:val="left"/>
        </w:tabs>
        <w:numPr>
          <w:ilvl w:val="0"/>
          <w:numId w:val="15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lead manager(s) shall ensure that an advertisement giving details relating to subscription, basis of allotment, number, value and percentage of all applications including ASBA, number, value and percentage of successful allottees for all applications including ASBA, date of completion of despatch of refund orders, as applicable, or instructions to self-certified syndicate banks by the registrar, date of credit of specified securities and date of filing of listing application, etc. is released within ten days from the date of completion of the various activities in at least one English national daily newspaper with wide circulation, one Hindi national daily newspaper with wide circulation and one regional language daily newspaper with wide circulation at the place where registered office of the issuer is situated.</w:t>
      </w: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39</w:t>
      </w:r>
    </w:p>
    <w:p>
      <w:pPr>
        <w:sectPr>
          <w:pgSz w:w="11900" w:h="16836" w:orient="portrait"/>
          <w:cols w:equalWidth="0" w:num="1">
            <w:col w:w="9468"/>
          </w:cols>
          <w:pgMar w:left="1152" w:top="1156" w:right="1284" w:bottom="103" w:gutter="0" w:footer="0" w:header="0"/>
        </w:sectPr>
      </w:pPr>
    </w:p>
    <w:bookmarkStart w:id="39" w:name="page40"/>
    <w:bookmarkEnd w:id="39"/>
    <w:p>
      <w:pPr>
        <w:ind w:left="8" w:hanging="8"/>
        <w:spacing w:after="0" w:line="348" w:lineRule="auto"/>
        <w:tabs>
          <w:tab w:leader="none" w:pos="399" w:val="left"/>
        </w:tabs>
        <w:numPr>
          <w:ilvl w:val="0"/>
          <w:numId w:val="15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specified in sub regulation (1) shall also be placed on the websites of the stock exchange(s).</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Post-issue responsibilities of the lead manager(s)</w:t>
      </w:r>
    </w:p>
    <w:p>
      <w:pPr>
        <w:spacing w:after="0" w:line="147" w:lineRule="exact"/>
        <w:rPr>
          <w:sz w:val="20"/>
          <w:szCs w:val="20"/>
          <w:color w:val="auto"/>
        </w:rPr>
      </w:pPr>
    </w:p>
    <w:p>
      <w:pPr>
        <w:ind w:left="8" w:hanging="8"/>
        <w:spacing w:after="0" w:line="348" w:lineRule="auto"/>
        <w:tabs>
          <w:tab w:leader="none" w:pos="406" w:val="left"/>
        </w:tabs>
        <w:numPr>
          <w:ilvl w:val="0"/>
          <w:numId w:val="15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responsibility of the lead manager(s) shall continue until completion of the issue process and for any issue related matter thereafter.</w:t>
      </w:r>
    </w:p>
    <w:p>
      <w:pPr>
        <w:spacing w:after="0" w:line="27" w:lineRule="exact"/>
        <w:rPr>
          <w:rFonts w:ascii="Times New Roman" w:cs="Times New Roman" w:eastAsia="Times New Roman" w:hAnsi="Times New Roman"/>
          <w:sz w:val="24"/>
          <w:szCs w:val="24"/>
          <w:b w:val="1"/>
          <w:bCs w:val="1"/>
          <w:color w:val="auto"/>
        </w:rPr>
      </w:pPr>
    </w:p>
    <w:p>
      <w:pPr>
        <w:ind w:left="8"/>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The lead manager(s) shall regularly monitor redressal of investor grievances arising from any issue related activities.</w:t>
      </w:r>
    </w:p>
    <w:p>
      <w:pPr>
        <w:spacing w:after="0" w:line="28" w:lineRule="exact"/>
        <w:rPr>
          <w:rFonts w:ascii="Times New Roman" w:cs="Times New Roman" w:eastAsia="Times New Roman" w:hAnsi="Times New Roman"/>
          <w:sz w:val="24"/>
          <w:szCs w:val="24"/>
          <w:b w:val="1"/>
          <w:bCs w:val="1"/>
          <w:color w:val="auto"/>
        </w:rPr>
      </w:pPr>
    </w:p>
    <w:p>
      <w:pPr>
        <w:jc w:val="both"/>
        <w:ind w:left="8" w:firstLine="52"/>
        <w:spacing w:after="0" w:line="356" w:lineRule="auto"/>
        <w:tabs>
          <w:tab w:leader="none" w:pos="590" w:val="left"/>
        </w:tabs>
        <w:numPr>
          <w:ilvl w:val="1"/>
          <w:numId w:val="15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 shall continue to be responsible for post-issue activities till the applicants have received the securities certificates, credit to their demat account or refund of application monies and the listing agreement is entered into by the issuer with the stock exchange and listing or trading permission is obtained.</w:t>
      </w:r>
    </w:p>
    <w:p>
      <w:pPr>
        <w:spacing w:after="0" w:line="19" w:lineRule="exact"/>
        <w:rPr>
          <w:sz w:val="20"/>
          <w:szCs w:val="20"/>
          <w:color w:val="auto"/>
        </w:rPr>
      </w:pPr>
    </w:p>
    <w:p>
      <w:pPr>
        <w:jc w:val="both"/>
        <w:ind w:left="8" w:hanging="8"/>
        <w:spacing w:after="0" w:line="358" w:lineRule="auto"/>
        <w:tabs>
          <w:tab w:leader="none" w:pos="444" w:val="left"/>
        </w:tabs>
        <w:numPr>
          <w:ilvl w:val="0"/>
          <w:numId w:val="15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 shall be responsible for and co-ordinate with the registrars to the issue and with various intermediaries at regular intervals after the closure of the issue to monitor the flow of applications from syndicate member(s) or collecting bank branches and/ or self-certified syndicate banks, processing of the applications including application form for ASBA and other matters till the basis of allotment is finalised, credit of the specified securities to the demat accounts of the allottees and unblocking of ASBA accounts/ despatch of refund orders are completed and securities are listed, as applicable.</w:t>
      </w:r>
    </w:p>
    <w:p>
      <w:pPr>
        <w:spacing w:after="0" w:line="200" w:lineRule="exact"/>
        <w:rPr>
          <w:rFonts w:ascii="Times New Roman" w:cs="Times New Roman" w:eastAsia="Times New Roman" w:hAnsi="Times New Roman"/>
          <w:sz w:val="24"/>
          <w:szCs w:val="24"/>
          <w:color w:val="auto"/>
        </w:rPr>
      </w:pPr>
    </w:p>
    <w:p>
      <w:pPr>
        <w:spacing w:after="0" w:line="230" w:lineRule="exact"/>
        <w:rPr>
          <w:rFonts w:ascii="Times New Roman" w:cs="Times New Roman" w:eastAsia="Times New Roman" w:hAnsi="Times New Roman"/>
          <w:sz w:val="24"/>
          <w:szCs w:val="24"/>
          <w:color w:val="auto"/>
        </w:rPr>
      </w:pPr>
    </w:p>
    <w:p>
      <w:pPr>
        <w:ind w:left="8" w:hanging="8"/>
        <w:spacing w:after="0" w:line="348" w:lineRule="auto"/>
        <w:tabs>
          <w:tab w:leader="none" w:pos="348" w:val="left"/>
        </w:tabs>
        <w:numPr>
          <w:ilvl w:val="0"/>
          <w:numId w:val="15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act of omission or commission on the part of any of the intermediaries noticed by the lead manager(s) shall be duly reported by them to the Board.</w:t>
      </w:r>
    </w:p>
    <w:p>
      <w:pPr>
        <w:spacing w:after="0" w:line="27" w:lineRule="exact"/>
        <w:rPr>
          <w:rFonts w:ascii="Times New Roman" w:cs="Times New Roman" w:eastAsia="Times New Roman" w:hAnsi="Times New Roman"/>
          <w:sz w:val="24"/>
          <w:szCs w:val="24"/>
          <w:color w:val="auto"/>
        </w:rPr>
      </w:pPr>
    </w:p>
    <w:p>
      <w:pPr>
        <w:jc w:val="both"/>
        <w:ind w:left="8" w:firstLine="52"/>
        <w:spacing w:after="0" w:line="354" w:lineRule="auto"/>
        <w:tabs>
          <w:tab w:leader="none" w:pos="425" w:val="left"/>
        </w:tabs>
        <w:numPr>
          <w:ilvl w:val="1"/>
          <w:numId w:val="15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there is a devolvement on the underwriters, the lead manager(s) shall ensure that the notice for devolvement containing the obligation of the underwriters is issued within ten days from the date of closure of the issue.</w:t>
      </w:r>
    </w:p>
    <w:p>
      <w:pPr>
        <w:spacing w:after="0" w:line="20"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365" w:val="left"/>
        </w:tabs>
        <w:numPr>
          <w:ilvl w:val="0"/>
          <w:numId w:val="15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In the case of undersubscribed issues that are underwritten, the lead manager(s) shall furnish information in respect of underwriters who have failed to meet their underwriting devolvement to the Board, in the format specified in </w:t>
      </w:r>
      <w:r>
        <w:rPr>
          <w:rFonts w:ascii="Times New Roman" w:cs="Times New Roman" w:eastAsia="Times New Roman" w:hAnsi="Times New Roman"/>
          <w:sz w:val="24"/>
          <w:szCs w:val="24"/>
          <w:b w:val="1"/>
          <w:bCs w:val="1"/>
          <w:color w:val="auto"/>
        </w:rPr>
        <w:t>Schedule XVIII</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22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Release of subscription money</w:t>
      </w:r>
    </w:p>
    <w:p>
      <w:pPr>
        <w:spacing w:after="0" w:line="147" w:lineRule="exact"/>
        <w:rPr>
          <w:sz w:val="20"/>
          <w:szCs w:val="20"/>
          <w:color w:val="auto"/>
        </w:rPr>
      </w:pPr>
    </w:p>
    <w:p>
      <w:pPr>
        <w:jc w:val="both"/>
        <w:ind w:left="8" w:hanging="8"/>
        <w:spacing w:after="0" w:line="356" w:lineRule="auto"/>
        <w:tabs>
          <w:tab w:leader="none" w:pos="380" w:val="left"/>
        </w:tabs>
        <w:numPr>
          <w:ilvl w:val="0"/>
          <w:numId w:val="15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lead manager(s) shall confirm to the bankers to the issue by way of copies of listing and trading approvals that all formalities in connection with the issue have been completed and that the banker is free to release the money to the issuer or release the money for refund in case of failure of the issue.</w:t>
      </w: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40</w:t>
      </w:r>
    </w:p>
    <w:p>
      <w:pPr>
        <w:sectPr>
          <w:pgSz w:w="11900" w:h="16836" w:orient="portrait"/>
          <w:cols w:equalWidth="0" w:num="1">
            <w:col w:w="9468"/>
          </w:cols>
          <w:pgMar w:left="1152" w:top="1156" w:right="1284" w:bottom="103" w:gutter="0" w:footer="0" w:header="0"/>
        </w:sectPr>
      </w:pPr>
    </w:p>
    <w:bookmarkStart w:id="40" w:name="page41"/>
    <w:bookmarkEnd w:id="40"/>
    <w:p>
      <w:pPr>
        <w:jc w:val="both"/>
        <w:ind w:left="8" w:hanging="8"/>
        <w:spacing w:after="0" w:line="358" w:lineRule="auto"/>
        <w:tabs>
          <w:tab w:leader="none" w:pos="368" w:val="left"/>
        </w:tabs>
        <w:numPr>
          <w:ilvl w:val="0"/>
          <w:numId w:val="15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the issuer fails to obtain listing or trading permission from the stock exchanges where the specified securities were to be listed, it shall refund through verifiable means the entire monies received within seven days of receipt of intimation from stock exchanges rejecting the application for listing of specified securities, and if any such money is not repaid within eight days after the issuer becomes liable to repay it, the issuer and every director of the company who is an officer in default shall, on and from the expiry of the eighth day, be jointly and severally liable to repay that money with interest at the rate of fifteen per cent. per annum.</w:t>
      </w:r>
    </w:p>
    <w:p>
      <w:pPr>
        <w:spacing w:after="0" w:line="15" w:lineRule="exact"/>
        <w:rPr>
          <w:rFonts w:ascii="Times New Roman" w:cs="Times New Roman" w:eastAsia="Times New Roman" w:hAnsi="Times New Roman"/>
          <w:sz w:val="24"/>
          <w:szCs w:val="24"/>
          <w:color w:val="auto"/>
        </w:rPr>
      </w:pPr>
    </w:p>
    <w:p>
      <w:pPr>
        <w:jc w:val="both"/>
        <w:ind w:left="8" w:firstLine="52"/>
        <w:spacing w:after="0" w:line="354" w:lineRule="auto"/>
        <w:tabs>
          <w:tab w:leader="none" w:pos="406" w:val="left"/>
        </w:tabs>
        <w:numPr>
          <w:ilvl w:val="1"/>
          <w:numId w:val="15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 shall ensure that the monies received in respect of the issue are released to the issuer in compliance with the provisions of Section 40 (3) of the Companies Act, 2013, as applicable.</w:t>
      </w:r>
    </w:p>
    <w:p>
      <w:pPr>
        <w:spacing w:after="0" w:line="200" w:lineRule="exact"/>
        <w:rPr>
          <w:sz w:val="20"/>
          <w:szCs w:val="20"/>
          <w:color w:val="auto"/>
        </w:rPr>
      </w:pPr>
    </w:p>
    <w:p>
      <w:pPr>
        <w:spacing w:after="0" w:line="22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Reporting of transactions of the promoters and promoter group</w:t>
      </w:r>
    </w:p>
    <w:p>
      <w:pPr>
        <w:spacing w:after="0" w:line="147" w:lineRule="exact"/>
        <w:rPr>
          <w:sz w:val="20"/>
          <w:szCs w:val="20"/>
          <w:color w:val="auto"/>
        </w:rPr>
      </w:pPr>
    </w:p>
    <w:p>
      <w:pPr>
        <w:jc w:val="both"/>
        <w:ind w:left="8" w:hanging="8"/>
        <w:spacing w:after="0" w:line="356" w:lineRule="auto"/>
        <w:tabs>
          <w:tab w:leader="none" w:pos="483" w:val="left"/>
        </w:tabs>
        <w:numPr>
          <w:ilvl w:val="0"/>
          <w:numId w:val="16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issuer shall ensure that all transactions in securities by the promoter and promoter group between the date of filing of the draft offer document or offer document, as the case may be, and the date of closure of the issue shall be reported to the stock exchange(s), within twenty four hours of such transactions.</w:t>
      </w:r>
    </w:p>
    <w:p>
      <w:pPr>
        <w:spacing w:after="0" w:line="200" w:lineRule="exact"/>
        <w:rPr>
          <w:sz w:val="20"/>
          <w:szCs w:val="20"/>
          <w:color w:val="auto"/>
        </w:rPr>
      </w:pPr>
    </w:p>
    <w:p>
      <w:pPr>
        <w:spacing w:after="0" w:line="224"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Post-issue reports</w:t>
      </w:r>
    </w:p>
    <w:p>
      <w:pPr>
        <w:spacing w:after="0" w:line="147" w:lineRule="exact"/>
        <w:rPr>
          <w:sz w:val="20"/>
          <w:szCs w:val="20"/>
          <w:color w:val="auto"/>
        </w:rPr>
      </w:pPr>
    </w:p>
    <w:p>
      <w:pPr>
        <w:jc w:val="both"/>
        <w:ind w:left="8" w:hanging="8"/>
        <w:spacing w:after="0" w:line="348" w:lineRule="auto"/>
        <w:tabs>
          <w:tab w:leader="none" w:pos="442" w:val="left"/>
        </w:tabs>
        <w:numPr>
          <w:ilvl w:val="0"/>
          <w:numId w:val="16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The lead manager(s) shall submit a final post-issue report as specified in </w:t>
      </w:r>
      <w:r>
        <w:rPr>
          <w:rFonts w:ascii="Times New Roman" w:cs="Times New Roman" w:eastAsia="Times New Roman" w:hAnsi="Times New Roman"/>
          <w:sz w:val="24"/>
          <w:szCs w:val="24"/>
          <w:b w:val="1"/>
          <w:bCs w:val="1"/>
          <w:color w:val="auto"/>
        </w:rPr>
        <w:t>Part A of Schedule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XVII</w:t>
      </w:r>
      <w:r>
        <w:rPr>
          <w:rFonts w:ascii="Times New Roman" w:cs="Times New Roman" w:eastAsia="Times New Roman" w:hAnsi="Times New Roman"/>
          <w:sz w:val="24"/>
          <w:szCs w:val="24"/>
          <w:color w:val="auto"/>
        </w:rPr>
        <w:t>, along with a due diligence certificate as per the format specified in</w:t>
      </w:r>
      <w:r>
        <w:rPr>
          <w:rFonts w:ascii="Times New Roman" w:cs="Times New Roman" w:eastAsia="Times New Roman" w:hAnsi="Times New Roman"/>
          <w:sz w:val="24"/>
          <w:szCs w:val="24"/>
          <w:b w:val="1"/>
          <w:bCs w:val="1"/>
          <w:color w:val="auto"/>
        </w:rPr>
        <w:t xml:space="preserve"> Form F </w:t>
      </w:r>
      <w:r>
        <w:rPr>
          <w:rFonts w:ascii="Times New Roman" w:cs="Times New Roman" w:eastAsia="Times New Roman" w:hAnsi="Times New Roman"/>
          <w:sz w:val="24"/>
          <w:szCs w:val="24"/>
          <w:color w:val="auto"/>
        </w:rPr>
        <w:t>of</w:t>
      </w:r>
      <w:r>
        <w:rPr>
          <w:rFonts w:ascii="Times New Roman" w:cs="Times New Roman" w:eastAsia="Times New Roman" w:hAnsi="Times New Roman"/>
          <w:sz w:val="24"/>
          <w:szCs w:val="24"/>
          <w:b w:val="1"/>
          <w:bCs w:val="1"/>
          <w:color w:val="auto"/>
        </w:rPr>
        <w:t xml:space="preserve"> Schedule V,</w:t>
      </w:r>
    </w:p>
    <w:p>
      <w:pPr>
        <w:spacing w:after="0" w:line="28" w:lineRule="exact"/>
        <w:rPr>
          <w:sz w:val="20"/>
          <w:szCs w:val="20"/>
          <w:color w:val="auto"/>
        </w:rPr>
      </w:pPr>
    </w:p>
    <w:p>
      <w:pPr>
        <w:ind w:left="8"/>
        <w:spacing w:after="0" w:line="348" w:lineRule="auto"/>
        <w:rPr>
          <w:sz w:val="20"/>
          <w:szCs w:val="20"/>
          <w:color w:val="auto"/>
        </w:rPr>
      </w:pPr>
      <w:r>
        <w:rPr>
          <w:rFonts w:ascii="Times New Roman" w:cs="Times New Roman" w:eastAsia="Times New Roman" w:hAnsi="Times New Roman"/>
          <w:sz w:val="24"/>
          <w:szCs w:val="24"/>
          <w:color w:val="auto"/>
        </w:rPr>
        <w:t>within seven days of the date of finalization of basis of allotment or within seven days of refund of money in case of failure of issue.</w:t>
      </w:r>
    </w:p>
    <w:p>
      <w:pPr>
        <w:spacing w:after="0" w:line="200" w:lineRule="exact"/>
        <w:rPr>
          <w:sz w:val="20"/>
          <w:szCs w:val="20"/>
          <w:color w:val="auto"/>
        </w:rPr>
      </w:pPr>
    </w:p>
    <w:p>
      <w:pPr>
        <w:spacing w:after="0" w:line="234"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IX: MISCELLANEOUS</w:t>
      </w:r>
    </w:p>
    <w:p>
      <w:pPr>
        <w:spacing w:after="0" w:line="200" w:lineRule="exact"/>
        <w:rPr>
          <w:sz w:val="20"/>
          <w:szCs w:val="20"/>
          <w:color w:val="auto"/>
        </w:rPr>
      </w:pPr>
    </w:p>
    <w:p>
      <w:pPr>
        <w:spacing w:after="0" w:line="35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Restriction on further capital issues</w:t>
      </w:r>
    </w:p>
    <w:p>
      <w:pPr>
        <w:spacing w:after="0" w:line="147" w:lineRule="exact"/>
        <w:rPr>
          <w:sz w:val="20"/>
          <w:szCs w:val="20"/>
          <w:color w:val="auto"/>
        </w:rPr>
      </w:pPr>
    </w:p>
    <w:p>
      <w:pPr>
        <w:jc w:val="both"/>
        <w:ind w:left="8" w:hanging="8"/>
        <w:spacing w:after="0" w:line="358" w:lineRule="auto"/>
        <w:tabs>
          <w:tab w:leader="none" w:pos="442" w:val="left"/>
        </w:tabs>
        <w:numPr>
          <w:ilvl w:val="0"/>
          <w:numId w:val="16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An issuer shall not make any further issue of specified securities in any manner whether by way of public issue, rights issue, preferential issue, qualified institutions placement, issue of bonus shares or otherwise, except pursuant to an employee stock option scheme, during the period between the date of filing the draft offer document and the listing of the specified securities offered through the offer document or refund of application monies, unless full disclosures regarding the total number of specified securities or amount proposed to be raised from such further issue are made in such draft offer document or offer document, as the case may be.</w:t>
      </w:r>
    </w:p>
    <w:p>
      <w:pPr>
        <w:spacing w:after="0" w:line="200" w:lineRule="exact"/>
        <w:rPr>
          <w:sz w:val="20"/>
          <w:szCs w:val="20"/>
          <w:color w:val="auto"/>
        </w:rPr>
      </w:pPr>
    </w:p>
    <w:p>
      <w:pPr>
        <w:spacing w:after="0" w:line="22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Price stabilisation through green shoe option</w:t>
      </w:r>
    </w:p>
    <w:p>
      <w:pPr>
        <w:spacing w:after="0" w:line="38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41</w:t>
      </w:r>
    </w:p>
    <w:p>
      <w:pPr>
        <w:sectPr>
          <w:pgSz w:w="11900" w:h="16836" w:orient="portrait"/>
          <w:cols w:equalWidth="0" w:num="1">
            <w:col w:w="9468"/>
          </w:cols>
          <w:pgMar w:left="1152" w:top="1156" w:right="1284" w:bottom="103" w:gutter="0" w:footer="0" w:header="0"/>
        </w:sectPr>
      </w:pPr>
    </w:p>
    <w:bookmarkStart w:id="41" w:name="page42"/>
    <w:bookmarkEnd w:id="41"/>
    <w:p>
      <w:pPr>
        <w:ind w:left="8" w:hanging="8"/>
        <w:spacing w:after="0" w:line="348" w:lineRule="auto"/>
        <w:tabs>
          <w:tab w:leader="none" w:pos="360" w:val="left"/>
        </w:tabs>
        <w:numPr>
          <w:ilvl w:val="0"/>
          <w:numId w:val="16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An issuer may provide a green shoe option for stabilising the post listing price of its specified securities, subject to the following:</w:t>
      </w:r>
    </w:p>
    <w:p>
      <w:pPr>
        <w:spacing w:after="0" w:line="28" w:lineRule="exact"/>
        <w:rPr>
          <w:rFonts w:ascii="Times New Roman" w:cs="Times New Roman" w:eastAsia="Times New Roman" w:hAnsi="Times New Roman"/>
          <w:sz w:val="24"/>
          <w:szCs w:val="24"/>
          <w:b w:val="1"/>
          <w:bCs w:val="1"/>
          <w:color w:val="auto"/>
        </w:rPr>
      </w:pPr>
    </w:p>
    <w:p>
      <w:pPr>
        <w:jc w:val="both"/>
        <w:ind w:left="728" w:hanging="296"/>
        <w:spacing w:after="0" w:line="354" w:lineRule="auto"/>
        <w:tabs>
          <w:tab w:leader="none" w:pos="728" w:val="left"/>
        </w:tabs>
        <w:numPr>
          <w:ilvl w:val="1"/>
          <w:numId w:val="1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has been authorized, by a resolution passed in the general meeting of shareholders approving the public issue, to allot specified securities to the stabilising agent, if required, on the expiry of the stabilisation period;</w:t>
      </w:r>
    </w:p>
    <w:p>
      <w:pPr>
        <w:spacing w:after="0" w:line="19" w:lineRule="exact"/>
        <w:rPr>
          <w:rFonts w:ascii="Times New Roman" w:cs="Times New Roman" w:eastAsia="Times New Roman" w:hAnsi="Times New Roman"/>
          <w:sz w:val="24"/>
          <w:szCs w:val="24"/>
          <w:color w:val="auto"/>
        </w:rPr>
      </w:pPr>
    </w:p>
    <w:p>
      <w:pPr>
        <w:ind w:left="728" w:hanging="296"/>
        <w:spacing w:after="0" w:line="350" w:lineRule="auto"/>
        <w:tabs>
          <w:tab w:leader="none" w:pos="728" w:val="left"/>
        </w:tabs>
        <w:numPr>
          <w:ilvl w:val="1"/>
          <w:numId w:val="1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has appointed a lead manager as a stabilising agent, who shall be responsible for the price stabilisation process;</w:t>
      </w:r>
    </w:p>
    <w:p>
      <w:pPr>
        <w:spacing w:after="0" w:line="23" w:lineRule="exact"/>
        <w:rPr>
          <w:rFonts w:ascii="Times New Roman" w:cs="Times New Roman" w:eastAsia="Times New Roman" w:hAnsi="Times New Roman"/>
          <w:sz w:val="24"/>
          <w:szCs w:val="24"/>
          <w:color w:val="auto"/>
        </w:rPr>
      </w:pPr>
    </w:p>
    <w:p>
      <w:pPr>
        <w:jc w:val="both"/>
        <w:ind w:left="728" w:hanging="296"/>
        <w:spacing w:after="0" w:line="357" w:lineRule="auto"/>
        <w:tabs>
          <w:tab w:leader="none" w:pos="728" w:val="left"/>
        </w:tabs>
        <w:numPr>
          <w:ilvl w:val="1"/>
          <w:numId w:val="1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prior to filing the draft offer document, the issuer and the stabilising agent have entered into an agreement, stating all the terms and conditions relating to the green shoe option including fees charged and expenses to be incurred by the stabilising agent for discharging its responsibilities;</w:t>
      </w:r>
    </w:p>
    <w:p>
      <w:pPr>
        <w:spacing w:after="0" w:line="14" w:lineRule="exact"/>
        <w:rPr>
          <w:rFonts w:ascii="Times New Roman" w:cs="Times New Roman" w:eastAsia="Times New Roman" w:hAnsi="Times New Roman"/>
          <w:sz w:val="24"/>
          <w:szCs w:val="24"/>
          <w:color w:val="auto"/>
        </w:rPr>
      </w:pPr>
    </w:p>
    <w:p>
      <w:pPr>
        <w:jc w:val="both"/>
        <w:ind w:left="728" w:hanging="296"/>
        <w:spacing w:after="0" w:line="358" w:lineRule="auto"/>
        <w:tabs>
          <w:tab w:leader="none" w:pos="728" w:val="left"/>
        </w:tabs>
        <w:numPr>
          <w:ilvl w:val="1"/>
          <w:numId w:val="1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prior to filing the offer document, the stabilising agent has entered into an agreement with the promoters or pre-issue shareholders or both for borrowing specified securities from them in accordance with clause (g) of this sub-regulation, specifying therein the maximum number of specified securities that may be borrowed for the purpose of allotment or allocation of specified securities in excess of the issue size (hereinafter referred to as the “over-allotment”), which shall not be in excess of fifteen per cent. of the issue size;</w:t>
      </w:r>
    </w:p>
    <w:p>
      <w:pPr>
        <w:spacing w:after="0" w:line="14" w:lineRule="exact"/>
        <w:rPr>
          <w:rFonts w:ascii="Times New Roman" w:cs="Times New Roman" w:eastAsia="Times New Roman" w:hAnsi="Times New Roman"/>
          <w:sz w:val="24"/>
          <w:szCs w:val="24"/>
          <w:color w:val="auto"/>
        </w:rPr>
      </w:pPr>
    </w:p>
    <w:p>
      <w:pPr>
        <w:ind w:left="728" w:hanging="296"/>
        <w:spacing w:after="0" w:line="350" w:lineRule="auto"/>
        <w:tabs>
          <w:tab w:leader="none" w:pos="728" w:val="left"/>
        </w:tabs>
        <w:numPr>
          <w:ilvl w:val="1"/>
          <w:numId w:val="1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subject to clause (d), the lead manager, in consultation with the stabilising agent, shall determine the amount of specified securities to be over-allotted in the public issue;</w:t>
      </w:r>
    </w:p>
    <w:p>
      <w:pPr>
        <w:spacing w:after="0" w:line="23" w:lineRule="exact"/>
        <w:rPr>
          <w:rFonts w:ascii="Times New Roman" w:cs="Times New Roman" w:eastAsia="Times New Roman" w:hAnsi="Times New Roman"/>
          <w:sz w:val="24"/>
          <w:szCs w:val="24"/>
          <w:color w:val="auto"/>
        </w:rPr>
      </w:pPr>
    </w:p>
    <w:p>
      <w:pPr>
        <w:ind w:left="728" w:hanging="296"/>
        <w:spacing w:after="0" w:line="350" w:lineRule="auto"/>
        <w:tabs>
          <w:tab w:leader="none" w:pos="728" w:val="left"/>
        </w:tabs>
        <w:numPr>
          <w:ilvl w:val="1"/>
          <w:numId w:val="1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the draft offer document and offer document shall contain all material disclosures about the green shoe option specified in this regard in Part A of </w:t>
      </w:r>
      <w:r>
        <w:rPr>
          <w:rFonts w:ascii="Times New Roman" w:cs="Times New Roman" w:eastAsia="Times New Roman" w:hAnsi="Times New Roman"/>
          <w:sz w:val="24"/>
          <w:szCs w:val="24"/>
          <w:b w:val="1"/>
          <w:bCs w:val="1"/>
          <w:color w:val="auto"/>
        </w:rPr>
        <w:t>Schedule VI</w:t>
      </w:r>
      <w:r>
        <w:rPr>
          <w:rFonts w:ascii="Times New Roman" w:cs="Times New Roman" w:eastAsia="Times New Roman" w:hAnsi="Times New Roman"/>
          <w:sz w:val="24"/>
          <w:szCs w:val="24"/>
          <w:color w:val="auto"/>
        </w:rPr>
        <w:t>;</w:t>
      </w:r>
    </w:p>
    <w:p>
      <w:pPr>
        <w:spacing w:after="0" w:line="23" w:lineRule="exact"/>
        <w:rPr>
          <w:rFonts w:ascii="Times New Roman" w:cs="Times New Roman" w:eastAsia="Times New Roman" w:hAnsi="Times New Roman"/>
          <w:sz w:val="24"/>
          <w:szCs w:val="24"/>
          <w:color w:val="auto"/>
        </w:rPr>
      </w:pPr>
    </w:p>
    <w:p>
      <w:pPr>
        <w:jc w:val="both"/>
        <w:ind w:left="728" w:hanging="296"/>
        <w:spacing w:after="0" w:line="375" w:lineRule="auto"/>
        <w:tabs>
          <w:tab w:leader="none" w:pos="728" w:val="left"/>
        </w:tabs>
        <w:numPr>
          <w:ilvl w:val="1"/>
          <w:numId w:val="163"/>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in case of an initial public offer pre-issue shareholders and promoters and in case of a further public offer pre-issue shareholders holding more than five per cent. specified securities and promoters, may lend specified securities to the extent of the proposed over-allotment;</w:t>
      </w:r>
    </w:p>
    <w:p>
      <w:pPr>
        <w:spacing w:after="0" w:line="4" w:lineRule="exact"/>
        <w:rPr>
          <w:rFonts w:ascii="Times New Roman" w:cs="Times New Roman" w:eastAsia="Times New Roman" w:hAnsi="Times New Roman"/>
          <w:sz w:val="23"/>
          <w:szCs w:val="23"/>
          <w:color w:val="auto"/>
        </w:rPr>
      </w:pPr>
    </w:p>
    <w:p>
      <w:pPr>
        <w:ind w:left="728" w:hanging="296"/>
        <w:spacing w:after="0" w:line="348" w:lineRule="auto"/>
        <w:tabs>
          <w:tab w:leader="none" w:pos="728" w:val="left"/>
        </w:tabs>
        <w:numPr>
          <w:ilvl w:val="1"/>
          <w:numId w:val="1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specified securities borrowed shall be in dematerialised form and allocation of these securities shall be made pro-rata to all successful applicants.</w:t>
      </w:r>
    </w:p>
    <w:p>
      <w:pPr>
        <w:spacing w:after="0" w:line="28" w:lineRule="exact"/>
        <w:rPr>
          <w:sz w:val="20"/>
          <w:szCs w:val="20"/>
          <w:color w:val="auto"/>
        </w:rPr>
      </w:pPr>
    </w:p>
    <w:p>
      <w:pPr>
        <w:jc w:val="both"/>
        <w:ind w:left="368" w:hanging="368"/>
        <w:spacing w:after="0" w:line="354" w:lineRule="auto"/>
        <w:tabs>
          <w:tab w:leader="none" w:pos="368" w:val="left"/>
        </w:tabs>
        <w:numPr>
          <w:ilvl w:val="0"/>
          <w:numId w:val="16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For the purpose of stabilisation of post-listing price of the specified securities, the stabilising agent shall determine the relevant aspects including the timing of buying such securities, quantity to be bought and the price at which such securities are to be bought from the market.</w:t>
      </w:r>
    </w:p>
    <w:p>
      <w:pPr>
        <w:spacing w:after="0" w:line="19" w:lineRule="exact"/>
        <w:rPr>
          <w:rFonts w:ascii="Times New Roman" w:cs="Times New Roman" w:eastAsia="Times New Roman" w:hAnsi="Times New Roman"/>
          <w:sz w:val="24"/>
          <w:szCs w:val="24"/>
          <w:color w:val="auto"/>
        </w:rPr>
      </w:pPr>
    </w:p>
    <w:p>
      <w:pPr>
        <w:jc w:val="both"/>
        <w:ind w:left="368" w:hanging="368"/>
        <w:spacing w:after="0" w:line="354" w:lineRule="auto"/>
        <w:tabs>
          <w:tab w:leader="none" w:pos="368" w:val="left"/>
        </w:tabs>
        <w:numPr>
          <w:ilvl w:val="0"/>
          <w:numId w:val="16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stabilisation process shall be available for a period not exceeding thirty days from the date on which trading permission is given by the stock exchanges in respect of the specified securities allotted in the public issue.</w:t>
      </w:r>
    </w:p>
    <w:p>
      <w:pPr>
        <w:spacing w:after="0" w:line="22" w:lineRule="exact"/>
        <w:rPr>
          <w:rFonts w:ascii="Times New Roman" w:cs="Times New Roman" w:eastAsia="Times New Roman" w:hAnsi="Times New Roman"/>
          <w:sz w:val="24"/>
          <w:szCs w:val="24"/>
          <w:color w:val="auto"/>
        </w:rPr>
      </w:pPr>
    </w:p>
    <w:p>
      <w:pPr>
        <w:jc w:val="both"/>
        <w:ind w:left="368" w:hanging="368"/>
        <w:spacing w:after="0" w:line="348" w:lineRule="auto"/>
        <w:tabs>
          <w:tab w:leader="none" w:pos="368" w:val="left"/>
        </w:tabs>
        <w:numPr>
          <w:ilvl w:val="0"/>
          <w:numId w:val="16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stabilising agent shall open a special account, distinct from the issue account, with a bank for crediting the monies received from the applicants against the over-allotment and a special</w:t>
      </w: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42</w:t>
      </w:r>
    </w:p>
    <w:p>
      <w:pPr>
        <w:sectPr>
          <w:pgSz w:w="11900" w:h="16836" w:orient="portrait"/>
          <w:cols w:equalWidth="0" w:num="1">
            <w:col w:w="9468"/>
          </w:cols>
          <w:pgMar w:left="1152" w:top="1156" w:right="1284" w:bottom="103" w:gutter="0" w:footer="0" w:header="0"/>
        </w:sectPr>
      </w:pPr>
    </w:p>
    <w:bookmarkStart w:id="42" w:name="page43"/>
    <w:bookmarkEnd w:id="42"/>
    <w:p>
      <w:pPr>
        <w:ind w:left="368"/>
        <w:spacing w:after="0" w:line="348" w:lineRule="auto"/>
        <w:rPr>
          <w:sz w:val="20"/>
          <w:szCs w:val="20"/>
          <w:color w:val="auto"/>
        </w:rPr>
      </w:pPr>
      <w:r>
        <w:rPr>
          <w:rFonts w:ascii="Times New Roman" w:cs="Times New Roman" w:eastAsia="Times New Roman" w:hAnsi="Times New Roman"/>
          <w:sz w:val="24"/>
          <w:szCs w:val="24"/>
          <w:color w:val="auto"/>
        </w:rPr>
        <w:t>account with a depository participant for crediting specified securities to be bought from the market during the stabilisation period out of the monies credited in the special bank account.</w:t>
      </w:r>
    </w:p>
    <w:p>
      <w:pPr>
        <w:spacing w:after="0" w:line="28" w:lineRule="exact"/>
        <w:rPr>
          <w:sz w:val="20"/>
          <w:szCs w:val="20"/>
          <w:color w:val="auto"/>
        </w:rPr>
      </w:pPr>
    </w:p>
    <w:p>
      <w:pPr>
        <w:jc w:val="both"/>
        <w:ind w:left="368" w:hanging="368"/>
        <w:spacing w:after="0" w:line="375" w:lineRule="auto"/>
        <w:tabs>
          <w:tab w:leader="none" w:pos="368" w:val="left"/>
        </w:tabs>
        <w:numPr>
          <w:ilvl w:val="0"/>
          <w:numId w:val="165"/>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The specified securities bought from the market and credited in the special account with the depository participant shall be returned to the promoters or pre-issue shareholders immediately, in any case not later than two working days after the end of the stabilization period.</w:t>
      </w:r>
    </w:p>
    <w:p>
      <w:pPr>
        <w:spacing w:after="0" w:line="1" w:lineRule="exact"/>
        <w:rPr>
          <w:rFonts w:ascii="Times New Roman" w:cs="Times New Roman" w:eastAsia="Times New Roman" w:hAnsi="Times New Roman"/>
          <w:sz w:val="23"/>
          <w:szCs w:val="23"/>
          <w:color w:val="auto"/>
        </w:rPr>
      </w:pPr>
    </w:p>
    <w:p>
      <w:pPr>
        <w:jc w:val="both"/>
        <w:ind w:left="368" w:hanging="368"/>
        <w:spacing w:after="0" w:line="358" w:lineRule="auto"/>
        <w:tabs>
          <w:tab w:leader="none" w:pos="368" w:val="left"/>
        </w:tabs>
        <w:numPr>
          <w:ilvl w:val="0"/>
          <w:numId w:val="1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On expiry of the stabilisation period, if the stabilising agent has not been able to buy specified securities from the market to the extent of such securities over-allotted, the issuer shall allot specified securities at issue price in dematerialised form to the extent of the shortfall to the special account with the depository participant, within five days of the closure of the stabilisation period and such specified securities shall be returned to the promoters or pre-issue shareholders by the stabilising agent in lieu of the specified securities borrowed from them and the account with the depository participant shall be closed thereafter.</w:t>
      </w:r>
    </w:p>
    <w:p>
      <w:pPr>
        <w:spacing w:after="0" w:line="18" w:lineRule="exact"/>
        <w:rPr>
          <w:rFonts w:ascii="Times New Roman" w:cs="Times New Roman" w:eastAsia="Times New Roman" w:hAnsi="Times New Roman"/>
          <w:sz w:val="24"/>
          <w:szCs w:val="24"/>
          <w:color w:val="auto"/>
        </w:rPr>
      </w:pPr>
    </w:p>
    <w:p>
      <w:pPr>
        <w:jc w:val="both"/>
        <w:ind w:left="368" w:hanging="368"/>
        <w:spacing w:after="0" w:line="375" w:lineRule="auto"/>
        <w:tabs>
          <w:tab w:leader="none" w:pos="368" w:val="left"/>
        </w:tabs>
        <w:numPr>
          <w:ilvl w:val="0"/>
          <w:numId w:val="165"/>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The issuer shall make a listing application in respect of the further specified securities allotted under sub-regulation (6), to all the stock exchanges where the specified securities allotted in the public issue are listed and the provisions of Chapter VII shall not be applicable to such allotment.</w:t>
      </w:r>
    </w:p>
    <w:p>
      <w:pPr>
        <w:spacing w:after="0" w:line="1" w:lineRule="exact"/>
        <w:rPr>
          <w:rFonts w:ascii="Times New Roman" w:cs="Times New Roman" w:eastAsia="Times New Roman" w:hAnsi="Times New Roman"/>
          <w:sz w:val="23"/>
          <w:szCs w:val="23"/>
          <w:color w:val="auto"/>
        </w:rPr>
      </w:pPr>
    </w:p>
    <w:p>
      <w:pPr>
        <w:ind w:left="368" w:hanging="368"/>
        <w:spacing w:after="0" w:line="350" w:lineRule="auto"/>
        <w:tabs>
          <w:tab w:leader="none" w:pos="368" w:val="left"/>
        </w:tabs>
        <w:numPr>
          <w:ilvl w:val="0"/>
          <w:numId w:val="1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stabilising agent shall remit the monies with respect to the specified securities allotted under sub-regulation (6) to the issuer from the special bank account.</w:t>
      </w:r>
    </w:p>
    <w:p>
      <w:pPr>
        <w:spacing w:after="0" w:line="23" w:lineRule="exact"/>
        <w:rPr>
          <w:rFonts w:ascii="Times New Roman" w:cs="Times New Roman" w:eastAsia="Times New Roman" w:hAnsi="Times New Roman"/>
          <w:sz w:val="24"/>
          <w:szCs w:val="24"/>
          <w:color w:val="auto"/>
        </w:rPr>
      </w:pPr>
    </w:p>
    <w:p>
      <w:pPr>
        <w:jc w:val="both"/>
        <w:ind w:left="368" w:hanging="368"/>
        <w:spacing w:after="0" w:line="356" w:lineRule="auto"/>
        <w:tabs>
          <w:tab w:leader="none" w:pos="368" w:val="left"/>
        </w:tabs>
        <w:numPr>
          <w:ilvl w:val="0"/>
          <w:numId w:val="1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monies left in the special bank account after remittance of monies to the issuer under sub-regulation (8) and deduction of expenses incurred by the stabilising agent for the stabilisation process shall be transferred to the Investor Protection and Education Fund established by the Board and the special bank account shall be closed soon thereafter.</w:t>
      </w:r>
    </w:p>
    <w:p>
      <w:pPr>
        <w:spacing w:after="0" w:line="18" w:lineRule="exact"/>
        <w:rPr>
          <w:rFonts w:ascii="Times New Roman" w:cs="Times New Roman" w:eastAsia="Times New Roman" w:hAnsi="Times New Roman"/>
          <w:sz w:val="24"/>
          <w:szCs w:val="24"/>
          <w:color w:val="auto"/>
        </w:rPr>
      </w:pPr>
    </w:p>
    <w:p>
      <w:pPr>
        <w:ind w:left="368" w:hanging="368"/>
        <w:spacing w:after="0" w:line="350" w:lineRule="auto"/>
        <w:tabs>
          <w:tab w:leader="none" w:pos="728" w:val="left"/>
        </w:tabs>
        <w:numPr>
          <w:ilvl w:val="0"/>
          <w:numId w:val="1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The stabilising agent shall submit a report to the stock exchange on a daily basis during the stabilisation period and a final report to the Board in the format specified in </w:t>
      </w:r>
      <w:r>
        <w:rPr>
          <w:rFonts w:ascii="Times New Roman" w:cs="Times New Roman" w:eastAsia="Times New Roman" w:hAnsi="Times New Roman"/>
          <w:sz w:val="24"/>
          <w:szCs w:val="24"/>
          <w:b w:val="1"/>
          <w:bCs w:val="1"/>
          <w:color w:val="auto"/>
        </w:rPr>
        <w:t>Schedule XV</w:t>
      </w:r>
      <w:r>
        <w:rPr>
          <w:rFonts w:ascii="Times New Roman" w:cs="Times New Roman" w:eastAsia="Times New Roman" w:hAnsi="Times New Roman"/>
          <w:sz w:val="24"/>
          <w:szCs w:val="24"/>
          <w:color w:val="auto"/>
        </w:rPr>
        <w:t>.</w:t>
      </w:r>
    </w:p>
    <w:p>
      <w:pPr>
        <w:spacing w:after="0" w:line="23" w:lineRule="exact"/>
        <w:rPr>
          <w:rFonts w:ascii="Times New Roman" w:cs="Times New Roman" w:eastAsia="Times New Roman" w:hAnsi="Times New Roman"/>
          <w:sz w:val="24"/>
          <w:szCs w:val="24"/>
          <w:color w:val="auto"/>
        </w:rPr>
      </w:pPr>
    </w:p>
    <w:p>
      <w:pPr>
        <w:ind w:left="368" w:hanging="368"/>
        <w:spacing w:after="0" w:line="375" w:lineRule="auto"/>
        <w:tabs>
          <w:tab w:leader="none" w:pos="728" w:val="left"/>
        </w:tabs>
        <w:numPr>
          <w:ilvl w:val="0"/>
          <w:numId w:val="165"/>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The stabilising agent shall maintain a register for a period of at least three years from the date of the end of the stabilisation period and such register shall contain the following particulars:</w:t>
      </w:r>
    </w:p>
    <w:p>
      <w:pPr>
        <w:spacing w:after="0" w:line="1" w:lineRule="exact"/>
        <w:rPr>
          <w:rFonts w:ascii="Times New Roman" w:cs="Times New Roman" w:eastAsia="Times New Roman" w:hAnsi="Times New Roman"/>
          <w:sz w:val="23"/>
          <w:szCs w:val="23"/>
          <w:color w:val="auto"/>
        </w:rPr>
      </w:pPr>
    </w:p>
    <w:p>
      <w:pPr>
        <w:ind w:left="728" w:hanging="368"/>
        <w:spacing w:after="0" w:line="350" w:lineRule="auto"/>
        <w:tabs>
          <w:tab w:leader="none" w:pos="718" w:val="left"/>
        </w:tabs>
        <w:numPr>
          <w:ilvl w:val="1"/>
          <w:numId w:val="1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names of the promoters or pre-issue shareholders from whom the specified securities were borrowed and the number of specified securities borrowed from each of them;</w:t>
      </w:r>
    </w:p>
    <w:p>
      <w:pPr>
        <w:spacing w:after="0" w:line="23" w:lineRule="exact"/>
        <w:rPr>
          <w:rFonts w:ascii="Times New Roman" w:cs="Times New Roman" w:eastAsia="Times New Roman" w:hAnsi="Times New Roman"/>
          <w:sz w:val="24"/>
          <w:szCs w:val="24"/>
          <w:color w:val="auto"/>
        </w:rPr>
      </w:pPr>
    </w:p>
    <w:p>
      <w:pPr>
        <w:ind w:left="728" w:hanging="368"/>
        <w:spacing w:after="0" w:line="350" w:lineRule="auto"/>
        <w:tabs>
          <w:tab w:leader="none" w:pos="766" w:val="left"/>
        </w:tabs>
        <w:numPr>
          <w:ilvl w:val="1"/>
          <w:numId w:val="1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price, date and time in respect of each transaction effected in the course of the stabilisation process; and</w:t>
      </w:r>
    </w:p>
    <w:p>
      <w:pPr>
        <w:spacing w:after="0" w:line="10" w:lineRule="exact"/>
        <w:rPr>
          <w:rFonts w:ascii="Times New Roman" w:cs="Times New Roman" w:eastAsia="Times New Roman" w:hAnsi="Times New Roman"/>
          <w:sz w:val="24"/>
          <w:szCs w:val="24"/>
          <w:color w:val="auto"/>
        </w:rPr>
      </w:pPr>
    </w:p>
    <w:p>
      <w:pPr>
        <w:ind w:left="668" w:hanging="308"/>
        <w:spacing w:after="0"/>
        <w:tabs>
          <w:tab w:leader="none" w:pos="668" w:val="left"/>
        </w:tabs>
        <w:numPr>
          <w:ilvl w:val="1"/>
          <w:numId w:val="1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details of allotment made by the issuer on expiry of the stabilisation process.</w:t>
      </w:r>
    </w:p>
    <w:p>
      <w:pPr>
        <w:spacing w:after="0" w:line="200" w:lineRule="exact"/>
        <w:rPr>
          <w:sz w:val="20"/>
          <w:szCs w:val="20"/>
          <w:color w:val="auto"/>
        </w:rPr>
      </w:pPr>
    </w:p>
    <w:p>
      <w:pPr>
        <w:spacing w:after="0" w:line="35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Alteration of rights of holders of specified securities</w:t>
      </w:r>
    </w:p>
    <w:p>
      <w:pPr>
        <w:spacing w:after="0" w:line="147" w:lineRule="exact"/>
        <w:rPr>
          <w:sz w:val="20"/>
          <w:szCs w:val="20"/>
          <w:color w:val="auto"/>
        </w:rPr>
      </w:pPr>
    </w:p>
    <w:p>
      <w:pPr>
        <w:jc w:val="both"/>
        <w:ind w:left="8" w:hanging="8"/>
        <w:spacing w:after="0" w:line="354" w:lineRule="auto"/>
        <w:tabs>
          <w:tab w:leader="none" w:pos="387" w:val="left"/>
        </w:tabs>
        <w:numPr>
          <w:ilvl w:val="0"/>
          <w:numId w:val="16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issuer shall not alter the terms including the terms of issue of specified securities which may adversely affect the interests of the holders of that specified securities, except with the consent in writing of the holders of not less than three-fourths of the specified securities of that</w:t>
      </w:r>
    </w:p>
    <w:p>
      <w:pPr>
        <w:spacing w:after="0" w:line="264"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43</w:t>
      </w:r>
    </w:p>
    <w:p>
      <w:pPr>
        <w:sectPr>
          <w:pgSz w:w="11900" w:h="16836" w:orient="portrait"/>
          <w:cols w:equalWidth="0" w:num="1">
            <w:col w:w="9468"/>
          </w:cols>
          <w:pgMar w:left="1152" w:top="1156" w:right="1284" w:bottom="103" w:gutter="0" w:footer="0" w:header="0"/>
        </w:sectPr>
      </w:pPr>
    </w:p>
    <w:bookmarkStart w:id="43" w:name="page44"/>
    <w:bookmarkEnd w:id="43"/>
    <w:p>
      <w:pPr>
        <w:ind w:left="8"/>
        <w:spacing w:after="0" w:line="348" w:lineRule="auto"/>
        <w:rPr>
          <w:sz w:val="20"/>
          <w:szCs w:val="20"/>
          <w:color w:val="auto"/>
        </w:rPr>
      </w:pPr>
      <w:r>
        <w:rPr>
          <w:rFonts w:ascii="Times New Roman" w:cs="Times New Roman" w:eastAsia="Times New Roman" w:hAnsi="Times New Roman"/>
          <w:sz w:val="24"/>
          <w:szCs w:val="24"/>
          <w:color w:val="auto"/>
        </w:rPr>
        <w:t>class or with the sanction of a special resolution passed at a meeting of the holders of the specified securities of that class.</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Post-listing exit opportunity for dissenting shareholders</w:t>
      </w:r>
    </w:p>
    <w:p>
      <w:pPr>
        <w:spacing w:after="0" w:line="147" w:lineRule="exact"/>
        <w:rPr>
          <w:sz w:val="20"/>
          <w:szCs w:val="20"/>
          <w:color w:val="auto"/>
        </w:rPr>
      </w:pPr>
    </w:p>
    <w:p>
      <w:pPr>
        <w:jc w:val="both"/>
        <w:ind w:left="8" w:hanging="8"/>
        <w:spacing w:after="0" w:line="356" w:lineRule="auto"/>
        <w:tabs>
          <w:tab w:leader="none" w:pos="428" w:val="left"/>
        </w:tabs>
        <w:numPr>
          <w:ilvl w:val="0"/>
          <w:numId w:val="16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The promoters, or shareholders in control of an issuer, shall provide an exit offer to dissenting shareholders as provided for in the Companies Act, 2013, in case of change in objects or variation in the terms of contract related to objects referred to in the offer document as per conditions and manner is provided in </w:t>
      </w:r>
      <w:r>
        <w:rPr>
          <w:rFonts w:ascii="Times New Roman" w:cs="Times New Roman" w:eastAsia="Times New Roman" w:hAnsi="Times New Roman"/>
          <w:sz w:val="24"/>
          <w:szCs w:val="24"/>
          <w:b w:val="1"/>
          <w:bCs w:val="1"/>
          <w:color w:val="auto"/>
        </w:rPr>
        <w:t>Schedule XX</w:t>
      </w:r>
      <w:r>
        <w:rPr>
          <w:rFonts w:ascii="Times New Roman" w:cs="Times New Roman" w:eastAsia="Times New Roman" w:hAnsi="Times New Roman"/>
          <w:sz w:val="24"/>
          <w:szCs w:val="24"/>
          <w:color w:val="auto"/>
        </w:rPr>
        <w:t>;</w:t>
      </w:r>
    </w:p>
    <w:p>
      <w:pPr>
        <w:spacing w:after="0" w:line="19" w:lineRule="exact"/>
        <w:rPr>
          <w:sz w:val="20"/>
          <w:szCs w:val="20"/>
          <w:color w:val="auto"/>
        </w:rPr>
      </w:pPr>
    </w:p>
    <w:p>
      <w:pPr>
        <w:ind w:left="8" w:firstLine="60"/>
        <w:spacing w:after="0" w:line="348" w:lineRule="auto"/>
        <w:rPr>
          <w:sz w:val="20"/>
          <w:szCs w:val="20"/>
          <w:color w:val="auto"/>
        </w:rPr>
      </w:pPr>
      <w:r>
        <w:rPr>
          <w:rFonts w:ascii="Times New Roman" w:cs="Times New Roman" w:eastAsia="Times New Roman" w:hAnsi="Times New Roman"/>
          <w:sz w:val="24"/>
          <w:szCs w:val="24"/>
          <w:b w:val="1"/>
          <w:bCs w:val="1"/>
          <w:color w:val="auto"/>
        </w:rPr>
        <w:t xml:space="preserve">Provided that </w:t>
      </w:r>
      <w:r>
        <w:rPr>
          <w:rFonts w:ascii="Times New Roman" w:cs="Times New Roman" w:eastAsia="Times New Roman" w:hAnsi="Times New Roman"/>
          <w:sz w:val="24"/>
          <w:szCs w:val="24"/>
          <w:color w:val="auto"/>
        </w:rPr>
        <w:t>the exit offer shall not apply where there are neither any identifiable promoters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nor any shareholders in control of the issuer.</w:t>
      </w:r>
    </w:p>
    <w:p>
      <w:pPr>
        <w:spacing w:after="0" w:line="200" w:lineRule="exact"/>
        <w:rPr>
          <w:sz w:val="20"/>
          <w:szCs w:val="20"/>
          <w:color w:val="auto"/>
        </w:rPr>
      </w:pPr>
    </w:p>
    <w:p>
      <w:pPr>
        <w:spacing w:after="0" w:line="233"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CHAPTER III - RIGHTS ISSUE</w:t>
      </w:r>
    </w:p>
    <w:p>
      <w:pPr>
        <w:spacing w:after="0" w:line="200" w:lineRule="exact"/>
        <w:rPr>
          <w:sz w:val="20"/>
          <w:szCs w:val="20"/>
          <w:color w:val="auto"/>
        </w:rPr>
      </w:pPr>
    </w:p>
    <w:p>
      <w:pPr>
        <w:spacing w:after="0" w:line="35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I: ELIGIBILITY REQUIREMENTS</w:t>
      </w:r>
    </w:p>
    <w:p>
      <w:pPr>
        <w:spacing w:after="0" w:line="200" w:lineRule="exact"/>
        <w:rPr>
          <w:sz w:val="20"/>
          <w:szCs w:val="20"/>
          <w:color w:val="auto"/>
        </w:rPr>
      </w:pPr>
    </w:p>
    <w:p>
      <w:pPr>
        <w:spacing w:after="0" w:line="35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Reference date</w:t>
      </w:r>
    </w:p>
    <w:p>
      <w:pPr>
        <w:spacing w:after="0" w:line="135" w:lineRule="exact"/>
        <w:rPr>
          <w:sz w:val="20"/>
          <w:szCs w:val="20"/>
          <w:color w:val="auto"/>
        </w:rPr>
      </w:pPr>
    </w:p>
    <w:p>
      <w:pPr>
        <w:ind w:left="428" w:hanging="428"/>
        <w:spacing w:after="0"/>
        <w:tabs>
          <w:tab w:leader="none" w:pos="428" w:val="left"/>
        </w:tabs>
        <w:numPr>
          <w:ilvl w:val="0"/>
          <w:numId w:val="16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Unless otherwise provided in this Chapter, an issuer offering specified securities of aggregate</w:t>
      </w:r>
    </w:p>
    <w:p>
      <w:pPr>
        <w:spacing w:after="0" w:line="129" w:lineRule="exact"/>
        <w:rPr>
          <w:rFonts w:ascii="Times New Roman" w:cs="Times New Roman" w:eastAsia="Times New Roman" w:hAnsi="Times New Roman"/>
          <w:sz w:val="24"/>
          <w:szCs w:val="24"/>
          <w:b w:val="1"/>
          <w:bCs w:val="1"/>
          <w:color w:val="auto"/>
        </w:rPr>
      </w:pPr>
    </w:p>
    <w:p>
      <w:pPr>
        <w:jc w:val="both"/>
        <w:ind w:left="8"/>
        <w:spacing w:after="0" w:line="311"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value of </w:t>
      </w:r>
      <w:r>
        <w:rPr>
          <w:rFonts w:ascii="Times New Roman" w:cs="Times New Roman" w:eastAsia="Times New Roman" w:hAnsi="Times New Roman"/>
          <w:sz w:val="32"/>
          <w:szCs w:val="32"/>
          <w:color w:val="auto"/>
          <w:vertAlign w:val="superscript"/>
        </w:rPr>
        <w:t>25</w:t>
      </w:r>
      <w:r>
        <w:rPr>
          <w:rFonts w:ascii="Times New Roman" w:cs="Times New Roman" w:eastAsia="Times New Roman" w:hAnsi="Times New Roman"/>
          <w:sz w:val="24"/>
          <w:szCs w:val="24"/>
          <w:color w:val="auto"/>
        </w:rPr>
        <w:t>[fifty crores] rupees or more, through a rights issue shall satisfy the conditions of this Chapter at the time of filing the draft letter of offer with the Board and also at the time of filing the final letter of offer with the stock exchanges, as the case may be.</w:t>
      </w:r>
    </w:p>
    <w:p>
      <w:pPr>
        <w:spacing w:after="0" w:line="200" w:lineRule="exact"/>
        <w:rPr>
          <w:sz w:val="20"/>
          <w:szCs w:val="20"/>
          <w:color w:val="auto"/>
        </w:rPr>
      </w:pPr>
    </w:p>
    <w:p>
      <w:pPr>
        <w:spacing w:after="0" w:line="276"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Entities not eligible to make a rights issue</w:t>
      </w:r>
    </w:p>
    <w:p>
      <w:pPr>
        <w:spacing w:after="0" w:line="134" w:lineRule="exact"/>
        <w:rPr>
          <w:sz w:val="20"/>
          <w:szCs w:val="20"/>
          <w:color w:val="auto"/>
        </w:rPr>
      </w:pPr>
    </w:p>
    <w:p>
      <w:pPr>
        <w:ind w:left="368" w:hanging="368"/>
        <w:spacing w:after="0"/>
        <w:tabs>
          <w:tab w:leader="none" w:pos="368" w:val="left"/>
        </w:tabs>
        <w:numPr>
          <w:ilvl w:val="0"/>
          <w:numId w:val="16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An issuer shall not be eligible to make a rights issue of specified securities:</w:t>
      </w:r>
    </w:p>
    <w:p>
      <w:pPr>
        <w:spacing w:after="0" w:line="150" w:lineRule="exact"/>
        <w:rPr>
          <w:sz w:val="20"/>
          <w:szCs w:val="20"/>
          <w:color w:val="auto"/>
        </w:rPr>
      </w:pPr>
    </w:p>
    <w:p>
      <w:pPr>
        <w:ind w:left="508" w:hanging="508"/>
        <w:spacing w:after="0" w:line="344" w:lineRule="auto"/>
        <w:tabs>
          <w:tab w:leader="none" w:pos="508" w:val="left"/>
        </w:tabs>
        <w:numPr>
          <w:ilvl w:val="0"/>
          <w:numId w:val="170"/>
        </w:numPr>
        <w:rPr>
          <w:rFonts w:ascii="Calibri" w:cs="Calibri" w:eastAsia="Calibri" w:hAnsi="Calibri"/>
          <w:sz w:val="22"/>
          <w:szCs w:val="22"/>
          <w:color w:val="auto"/>
        </w:rPr>
      </w:pPr>
      <w:r>
        <w:rPr>
          <w:rFonts w:ascii="Times New Roman" w:cs="Times New Roman" w:eastAsia="Times New Roman" w:hAnsi="Times New Roman"/>
          <w:sz w:val="24"/>
          <w:szCs w:val="24"/>
          <w:color w:val="auto"/>
        </w:rPr>
        <w:t>if the issuer, any of its promoters, promoter group or directors of the issuer are debarred from accessing the capital market by the Board;</w:t>
      </w:r>
    </w:p>
    <w:p>
      <w:pPr>
        <w:spacing w:after="0" w:line="26" w:lineRule="exact"/>
        <w:rPr>
          <w:rFonts w:ascii="Calibri" w:cs="Calibri" w:eastAsia="Calibri" w:hAnsi="Calibri"/>
          <w:sz w:val="22"/>
          <w:szCs w:val="22"/>
          <w:color w:val="auto"/>
        </w:rPr>
      </w:pPr>
    </w:p>
    <w:p>
      <w:pPr>
        <w:ind w:left="508" w:hanging="508"/>
        <w:spacing w:after="0" w:line="344" w:lineRule="auto"/>
        <w:tabs>
          <w:tab w:leader="none" w:pos="508" w:val="left"/>
        </w:tabs>
        <w:numPr>
          <w:ilvl w:val="0"/>
          <w:numId w:val="170"/>
        </w:numPr>
        <w:rPr>
          <w:rFonts w:ascii="Calibri" w:cs="Calibri" w:eastAsia="Calibri" w:hAnsi="Calibri"/>
          <w:sz w:val="22"/>
          <w:szCs w:val="22"/>
          <w:color w:val="auto"/>
        </w:rPr>
      </w:pPr>
      <w:r>
        <w:rPr>
          <w:rFonts w:ascii="Times New Roman" w:cs="Times New Roman" w:eastAsia="Times New Roman" w:hAnsi="Times New Roman"/>
          <w:sz w:val="24"/>
          <w:szCs w:val="24"/>
          <w:color w:val="auto"/>
        </w:rPr>
        <w:t>if any of the promoters or directors of the issuer is a promoter or director of any other company which is debarred from accessing the capital market by the Board.</w:t>
      </w:r>
    </w:p>
    <w:p>
      <w:pPr>
        <w:spacing w:after="0" w:line="7" w:lineRule="exact"/>
        <w:rPr>
          <w:rFonts w:ascii="Calibri" w:cs="Calibri" w:eastAsia="Calibri" w:hAnsi="Calibri"/>
          <w:sz w:val="22"/>
          <w:szCs w:val="22"/>
          <w:color w:val="auto"/>
        </w:rPr>
      </w:pPr>
    </w:p>
    <w:p>
      <w:pPr>
        <w:ind w:left="508" w:hanging="508"/>
        <w:spacing w:after="0"/>
        <w:tabs>
          <w:tab w:leader="none" w:pos="508" w:val="left"/>
        </w:tabs>
        <w:numPr>
          <w:ilvl w:val="0"/>
          <w:numId w:val="170"/>
        </w:numPr>
        <w:rPr>
          <w:rFonts w:ascii="Calibri" w:cs="Calibri" w:eastAsia="Calibri" w:hAnsi="Calibri"/>
          <w:sz w:val="22"/>
          <w:szCs w:val="22"/>
          <w:color w:val="auto"/>
        </w:rPr>
      </w:pPr>
      <w:r>
        <w:rPr>
          <w:rFonts w:ascii="Times New Roman" w:cs="Times New Roman" w:eastAsia="Times New Roman" w:hAnsi="Times New Roman"/>
          <w:sz w:val="24"/>
          <w:szCs w:val="24"/>
          <w:color w:val="auto"/>
        </w:rPr>
        <w:t>if any of its promoters or directors is a fugitive economic offender.</w:t>
      </w:r>
    </w:p>
    <w:p>
      <w:pPr>
        <w:spacing w:after="0" w:line="131" w:lineRule="exact"/>
        <w:rPr>
          <w:rFonts w:ascii="Calibri" w:cs="Calibri" w:eastAsia="Calibri" w:hAnsi="Calibri"/>
          <w:sz w:val="22"/>
          <w:szCs w:val="22"/>
          <w:color w:val="auto"/>
        </w:rPr>
      </w:pPr>
    </w:p>
    <w:p>
      <w:pPr>
        <w:jc w:val="both"/>
        <w:ind w:left="508"/>
        <w:spacing w:after="0" w:line="311" w:lineRule="auto"/>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Explanation</w:t>
      </w:r>
      <w:r>
        <w:rPr>
          <w:rFonts w:ascii="Times New Roman" w:cs="Times New Roman" w:eastAsia="Times New Roman" w:hAnsi="Times New Roman"/>
          <w:sz w:val="24"/>
          <w:szCs w:val="24"/>
          <w:color w:val="auto"/>
        </w:rPr>
        <w:t>: The restrictions under (a) and (b) above will not apply to the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32"/>
          <w:szCs w:val="32"/>
          <w:color w:val="auto"/>
          <w:vertAlign w:val="superscript"/>
        </w:rPr>
        <w:t>26</w:t>
      </w:r>
      <w:r>
        <w:rPr>
          <w:rFonts w:ascii="Times New Roman" w:cs="Times New Roman" w:eastAsia="Times New Roman" w:hAnsi="Times New Roman"/>
          <w:sz w:val="24"/>
          <w:szCs w:val="24"/>
          <w:color w:val="auto"/>
        </w:rPr>
        <w:t>[persons or</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entities mentioned therein] who were debarred in the past by the Board and the period of debarment is already over as on the date of filing of the draft letter of offer with the Board.</w:t>
      </w: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p>
      <w:pPr>
        <w:ind w:left="8" w:hanging="8"/>
        <w:spacing w:after="0" w:line="203" w:lineRule="auto"/>
        <w:tabs>
          <w:tab w:leader="none" w:pos="207" w:val="left"/>
        </w:tabs>
        <w:numPr>
          <w:ilvl w:val="0"/>
          <w:numId w:val="171"/>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SEBI (Issue of Capital and Disclosure Requirements) (Fourth Amendment) Regulations, 2020 w.e.f. 28.09.2020. Prior to its substitution, it read as “ten crores”.</w:t>
      </w:r>
    </w:p>
    <w:p>
      <w:pPr>
        <w:spacing w:after="0" w:line="13" w:lineRule="exact"/>
        <w:rPr>
          <w:rFonts w:ascii="Times New Roman" w:cs="Times New Roman" w:eastAsia="Times New Roman" w:hAnsi="Times New Roman"/>
          <w:sz w:val="26"/>
          <w:szCs w:val="26"/>
          <w:color w:val="auto"/>
          <w:vertAlign w:val="superscript"/>
        </w:rPr>
      </w:pPr>
    </w:p>
    <w:p>
      <w:pPr>
        <w:ind w:left="8" w:hanging="8"/>
        <w:spacing w:after="0" w:line="203" w:lineRule="auto"/>
        <w:tabs>
          <w:tab w:leader="none" w:pos="207" w:val="left"/>
        </w:tabs>
        <w:numPr>
          <w:ilvl w:val="0"/>
          <w:numId w:val="171"/>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SEBI (Issue of Capital and Disclosure Requirements) (Fourth Amendment) Regulations, 2020 w.e.f. 28.09.2020. Prior to its substitution, it read as “promoters or directors of the issuer”.</w:t>
      </w:r>
    </w:p>
    <w:p>
      <w:pPr>
        <w:spacing w:after="0" w:line="30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44</w:t>
      </w:r>
    </w:p>
    <w:p>
      <w:pPr>
        <w:sectPr>
          <w:pgSz w:w="11900" w:h="16836" w:orient="portrait"/>
          <w:cols w:equalWidth="0" w:num="1">
            <w:col w:w="9468"/>
          </w:cols>
          <w:pgMar w:left="1152" w:top="1156" w:right="1284" w:bottom="103" w:gutter="0" w:footer="0" w:header="0"/>
        </w:sectPr>
      </w:pPr>
    </w:p>
    <w:bookmarkStart w:id="44" w:name="page45"/>
    <w:bookmarkEnd w:id="44"/>
    <w:p>
      <w:pPr>
        <w:spacing w:after="0" w:line="12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General conditions</w:t>
      </w:r>
    </w:p>
    <w:p>
      <w:pPr>
        <w:spacing w:after="0" w:line="134" w:lineRule="exact"/>
        <w:rPr>
          <w:sz w:val="20"/>
          <w:szCs w:val="20"/>
          <w:color w:val="auto"/>
        </w:rPr>
      </w:pPr>
    </w:p>
    <w:p>
      <w:pPr>
        <w:ind w:left="368" w:hanging="368"/>
        <w:spacing w:after="0"/>
        <w:tabs>
          <w:tab w:leader="none" w:pos="368" w:val="left"/>
        </w:tabs>
        <w:numPr>
          <w:ilvl w:val="0"/>
          <w:numId w:val="17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making a rights issue of specified securities shall ensure that:</w:t>
      </w:r>
    </w:p>
    <w:p>
      <w:pPr>
        <w:spacing w:after="0" w:line="149" w:lineRule="exact"/>
        <w:rPr>
          <w:rFonts w:ascii="Times New Roman" w:cs="Times New Roman" w:eastAsia="Times New Roman" w:hAnsi="Times New Roman"/>
          <w:sz w:val="24"/>
          <w:szCs w:val="24"/>
          <w:b w:val="1"/>
          <w:bCs w:val="1"/>
          <w:color w:val="auto"/>
        </w:rPr>
      </w:pPr>
    </w:p>
    <w:p>
      <w:pPr>
        <w:jc w:val="both"/>
        <w:ind w:left="728" w:hanging="368"/>
        <w:spacing w:after="0" w:line="354" w:lineRule="auto"/>
        <w:tabs>
          <w:tab w:leader="none" w:pos="696" w:val="left"/>
        </w:tabs>
        <w:numPr>
          <w:ilvl w:val="1"/>
          <w:numId w:val="17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it has made an application to one or more stock exchanges to seek an in-principle approval for listing of its specified securities on such stock exchanges and has chosen one of them as the designated stock exchange, in terms of </w:t>
      </w:r>
      <w:r>
        <w:rPr>
          <w:rFonts w:ascii="Times New Roman" w:cs="Times New Roman" w:eastAsia="Times New Roman" w:hAnsi="Times New Roman"/>
          <w:sz w:val="24"/>
          <w:szCs w:val="24"/>
          <w:b w:val="1"/>
          <w:bCs w:val="1"/>
          <w:color w:val="auto"/>
        </w:rPr>
        <w:t>Schedule XIX</w:t>
      </w:r>
      <w:r>
        <w:rPr>
          <w:rFonts w:ascii="Times New Roman" w:cs="Times New Roman" w:eastAsia="Times New Roman" w:hAnsi="Times New Roman"/>
          <w:sz w:val="24"/>
          <w:szCs w:val="24"/>
          <w:color w:val="auto"/>
        </w:rPr>
        <w:t>.</w:t>
      </w:r>
    </w:p>
    <w:p>
      <w:pPr>
        <w:spacing w:after="0" w:line="22" w:lineRule="exact"/>
        <w:rPr>
          <w:rFonts w:ascii="Times New Roman" w:cs="Times New Roman" w:eastAsia="Times New Roman" w:hAnsi="Times New Roman"/>
          <w:sz w:val="24"/>
          <w:szCs w:val="24"/>
          <w:color w:val="auto"/>
        </w:rPr>
      </w:pPr>
    </w:p>
    <w:p>
      <w:pPr>
        <w:ind w:left="728" w:hanging="368"/>
        <w:spacing w:after="0" w:line="348" w:lineRule="auto"/>
        <w:tabs>
          <w:tab w:leader="none" w:pos="737" w:val="left"/>
        </w:tabs>
        <w:numPr>
          <w:ilvl w:val="1"/>
          <w:numId w:val="17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all its existing partly paid-up equity shares have either been fully paid-up or have been forfeited;</w:t>
      </w:r>
    </w:p>
    <w:p>
      <w:pPr>
        <w:spacing w:after="0" w:line="28" w:lineRule="exact"/>
        <w:rPr>
          <w:rFonts w:ascii="Times New Roman" w:cs="Times New Roman" w:eastAsia="Times New Roman" w:hAnsi="Times New Roman"/>
          <w:sz w:val="24"/>
          <w:szCs w:val="24"/>
          <w:color w:val="auto"/>
        </w:rPr>
      </w:pPr>
    </w:p>
    <w:p>
      <w:pPr>
        <w:jc w:val="both"/>
        <w:ind w:left="728" w:hanging="368"/>
        <w:spacing w:after="0" w:line="348" w:lineRule="auto"/>
        <w:tabs>
          <w:tab w:leader="none" w:pos="718" w:val="left"/>
        </w:tabs>
        <w:numPr>
          <w:ilvl w:val="1"/>
          <w:numId w:val="17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 has made firm arrangements of finance through verifiable means towards seventy five per cent. of the stated means of finance for the specific project proposed to be funded from</w:t>
      </w:r>
    </w:p>
    <w:p>
      <w:pPr>
        <w:spacing w:after="0" w:line="28" w:lineRule="exact"/>
        <w:rPr>
          <w:sz w:val="20"/>
          <w:szCs w:val="20"/>
          <w:color w:val="auto"/>
        </w:rPr>
      </w:pPr>
    </w:p>
    <w:p>
      <w:pPr>
        <w:ind w:left="728"/>
        <w:spacing w:after="0" w:line="348" w:lineRule="auto"/>
        <w:rPr>
          <w:sz w:val="20"/>
          <w:szCs w:val="20"/>
          <w:color w:val="auto"/>
        </w:rPr>
      </w:pPr>
      <w:r>
        <w:rPr>
          <w:rFonts w:ascii="Times New Roman" w:cs="Times New Roman" w:eastAsia="Times New Roman" w:hAnsi="Times New Roman"/>
          <w:sz w:val="24"/>
          <w:szCs w:val="24"/>
          <w:color w:val="auto"/>
        </w:rPr>
        <w:t>issue proceeds, excluding the amount to be raised through the proposed rights issue or through existing identifiable internal accruals.</w:t>
      </w:r>
    </w:p>
    <w:p>
      <w:pPr>
        <w:spacing w:after="0" w:line="8" w:lineRule="exact"/>
        <w:rPr>
          <w:sz w:val="20"/>
          <w:szCs w:val="20"/>
          <w:color w:val="auto"/>
        </w:rPr>
      </w:pPr>
    </w:p>
    <w:p>
      <w:pPr>
        <w:ind w:left="728" w:hanging="359"/>
        <w:spacing w:after="0" w:line="348" w:lineRule="auto"/>
        <w:rPr>
          <w:sz w:val="20"/>
          <w:szCs w:val="20"/>
          <w:color w:val="auto"/>
        </w:rPr>
      </w:pPr>
      <w:r>
        <w:rPr>
          <w:rFonts w:ascii="Times New Roman" w:cs="Times New Roman" w:eastAsia="Times New Roman" w:hAnsi="Times New Roman"/>
          <w:sz w:val="32"/>
          <w:szCs w:val="32"/>
          <w:color w:val="auto"/>
          <w:vertAlign w:val="superscript"/>
        </w:rPr>
        <w:t>27</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b w:val="1"/>
          <w:bCs w:val="1"/>
          <w:color w:val="auto"/>
        </w:rPr>
        <w:t>Explanation</w:t>
      </w:r>
      <w:r>
        <w:rPr>
          <w:rFonts w:ascii="Times New Roman" w:cs="Times New Roman" w:eastAsia="Times New Roman" w:hAnsi="Times New Roman"/>
          <w:sz w:val="24"/>
          <w:szCs w:val="24"/>
          <w:color w:val="auto"/>
        </w:rPr>
        <w:t xml:space="preserve"> -</w:t>
      </w:r>
      <w:r>
        <w:rPr>
          <w:sz w:val="20"/>
          <w:szCs w:val="20"/>
          <w:color w:val="auto"/>
        </w:rPr>
        <w:t xml:space="preserve"> </w:t>
      </w:r>
      <w:r>
        <w:rPr>
          <w:rFonts w:ascii="Times New Roman" w:cs="Times New Roman" w:eastAsia="Times New Roman" w:hAnsi="Times New Roman"/>
          <w:sz w:val="24"/>
          <w:szCs w:val="24"/>
          <w:color w:val="auto"/>
        </w:rPr>
        <w:t>For the purpose of this regulation ‘finance for the specific project’ shall mean finance of capital expenditures only.]</w:t>
      </w:r>
    </w:p>
    <w:p>
      <w:pPr>
        <w:spacing w:after="0" w:line="48" w:lineRule="exact"/>
        <w:rPr>
          <w:sz w:val="20"/>
          <w:szCs w:val="20"/>
          <w:color w:val="auto"/>
        </w:rPr>
      </w:pPr>
    </w:p>
    <w:p>
      <w:pPr>
        <w:jc w:val="both"/>
        <w:ind w:left="8" w:hanging="8"/>
        <w:spacing w:after="0" w:line="354" w:lineRule="auto"/>
        <w:tabs>
          <w:tab w:leader="none" w:pos="367" w:val="left"/>
        </w:tabs>
        <w:numPr>
          <w:ilvl w:val="0"/>
          <w:numId w:val="17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amount for general corporate purposes, as mentioned in objects of the issue in the draft letter of offer and the letter of offer, shall not exceed twenty five per cent. of the amount raised by the issuer.</w:t>
      </w:r>
    </w:p>
    <w:p>
      <w:pPr>
        <w:spacing w:after="0" w:line="20"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375" w:val="left"/>
        </w:tabs>
        <w:numPr>
          <w:ilvl w:val="0"/>
          <w:numId w:val="17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Where the issuer or any of its promoters or directors is a wilful defaulter, the promoters or promoter group of the issuer shall not renounce their rights except to the extent of renunciation within the promoter group.</w:t>
      </w:r>
    </w:p>
    <w:p>
      <w:pPr>
        <w:spacing w:after="0" w:line="2" w:lineRule="exact"/>
        <w:rPr>
          <w:sz w:val="20"/>
          <w:szCs w:val="20"/>
          <w:color w:val="auto"/>
        </w:rPr>
      </w:pPr>
    </w:p>
    <w:p>
      <w:pPr>
        <w:jc w:val="both"/>
        <w:ind w:left="8"/>
        <w:spacing w:after="0" w:line="325" w:lineRule="auto"/>
        <w:rPr>
          <w:sz w:val="20"/>
          <w:szCs w:val="20"/>
          <w:color w:val="auto"/>
        </w:rPr>
      </w:pPr>
      <w:r>
        <w:rPr>
          <w:rFonts w:ascii="Times New Roman" w:cs="Times New Roman" w:eastAsia="Times New Roman" w:hAnsi="Times New Roman"/>
          <w:sz w:val="32"/>
          <w:szCs w:val="32"/>
          <w:color w:val="auto"/>
          <w:vertAlign w:val="superscript"/>
        </w:rPr>
        <w:t>28</w:t>
      </w:r>
      <w:r>
        <w:rPr>
          <w:rFonts w:ascii="Times New Roman" w:cs="Times New Roman" w:eastAsia="Times New Roman" w:hAnsi="Times New Roman"/>
          <w:sz w:val="24"/>
          <w:szCs w:val="24"/>
          <w:color w:val="auto"/>
        </w:rPr>
        <w:t>[(4) Where the issuer has issued SR equity shares to its promoters or founders, then such a SR shareholder shall not renounce their rights and the SR shares received in a rights issue shall remain under lock-in until conversion into equity shares having voting rights same as that of ordinary equity shares along with existing SR equity shares.]</w:t>
      </w:r>
    </w:p>
    <w:p>
      <w:pPr>
        <w:spacing w:after="0" w:line="200" w:lineRule="exact"/>
        <w:rPr>
          <w:sz w:val="20"/>
          <w:szCs w:val="20"/>
          <w:color w:val="auto"/>
        </w:rPr>
      </w:pPr>
    </w:p>
    <w:p>
      <w:pPr>
        <w:spacing w:after="0" w:line="26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II: ISSUE OF CONVERTIBLE DEBT INSTRUMENTS AND WARRANTS</w:t>
      </w:r>
    </w:p>
    <w:p>
      <w:pPr>
        <w:spacing w:after="0" w:line="200" w:lineRule="exact"/>
        <w:rPr>
          <w:sz w:val="20"/>
          <w:szCs w:val="20"/>
          <w:color w:val="auto"/>
        </w:rPr>
      </w:pPr>
    </w:p>
    <w:p>
      <w:pPr>
        <w:spacing w:after="0" w:line="35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Additional requirements for issue of convertible debt instruments</w:t>
      </w:r>
    </w:p>
    <w:p>
      <w:pPr>
        <w:spacing w:after="0" w:line="147" w:lineRule="exact"/>
        <w:rPr>
          <w:sz w:val="20"/>
          <w:szCs w:val="20"/>
          <w:color w:val="auto"/>
        </w:rPr>
      </w:pPr>
    </w:p>
    <w:p>
      <w:pPr>
        <w:ind w:left="8" w:hanging="8"/>
        <w:spacing w:after="0" w:line="348" w:lineRule="auto"/>
        <w:tabs>
          <w:tab w:leader="none" w:pos="377" w:val="left"/>
        </w:tabs>
        <w:numPr>
          <w:ilvl w:val="0"/>
          <w:numId w:val="17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In addition to other requirements laid down in these regulations, an issuer making a rights issue of convertible debt instruments shall also comply with the following conditions:</w:t>
      </w:r>
    </w:p>
    <w:p>
      <w:pPr>
        <w:spacing w:after="0" w:line="15" w:lineRule="exact"/>
        <w:rPr>
          <w:sz w:val="20"/>
          <w:szCs w:val="20"/>
          <w:color w:val="auto"/>
        </w:rPr>
      </w:pPr>
    </w:p>
    <w:p>
      <w:pPr>
        <w:ind w:left="8"/>
        <w:spacing w:after="0"/>
        <w:tabs>
          <w:tab w:leader="none" w:pos="347" w:val="left"/>
        </w:tabs>
        <w:rPr>
          <w:sz w:val="20"/>
          <w:szCs w:val="20"/>
          <w:color w:val="auto"/>
        </w:rPr>
      </w:pPr>
      <w:r>
        <w:rPr>
          <w:rFonts w:ascii="Times New Roman" w:cs="Times New Roman" w:eastAsia="Times New Roman" w:hAnsi="Times New Roman"/>
          <w:sz w:val="24"/>
          <w:szCs w:val="24"/>
          <w:color w:val="auto"/>
        </w:rPr>
        <w:t>a)</w:t>
      </w:r>
      <w:r>
        <w:rPr>
          <w:sz w:val="20"/>
          <w:szCs w:val="20"/>
          <w:color w:val="auto"/>
        </w:rPr>
        <w:tab/>
      </w:r>
      <w:r>
        <w:rPr>
          <w:rFonts w:ascii="Times New Roman" w:cs="Times New Roman" w:eastAsia="Times New Roman" w:hAnsi="Times New Roman"/>
          <w:sz w:val="23"/>
          <w:szCs w:val="23"/>
          <w:color w:val="auto"/>
        </w:rPr>
        <w:t>it has obtained credit rating from at least one credit rating agency;</w:t>
      </w: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p>
      <w:pPr>
        <w:ind w:left="188" w:hanging="188"/>
        <w:spacing w:after="0"/>
        <w:tabs>
          <w:tab w:leader="none" w:pos="188" w:val="left"/>
        </w:tabs>
        <w:numPr>
          <w:ilvl w:val="0"/>
          <w:numId w:val="175"/>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Inserted by the SEBI (Issue of Capital and Disclosure Requirements) (Fourth Amendment) Regulations, 2020 w.e.f.</w:t>
      </w:r>
    </w:p>
    <w:p>
      <w:pPr>
        <w:spacing w:after="0" w:line="19" w:lineRule="exact"/>
        <w:rPr>
          <w:rFonts w:ascii="Times New Roman" w:cs="Times New Roman" w:eastAsia="Times New Roman" w:hAnsi="Times New Roman"/>
          <w:sz w:val="26"/>
          <w:szCs w:val="26"/>
          <w:color w:val="auto"/>
          <w:vertAlign w:val="superscript"/>
        </w:rPr>
      </w:pPr>
    </w:p>
    <w:p>
      <w:pPr>
        <w:ind w:left="248" w:hanging="248"/>
        <w:spacing w:after="0" w:line="231" w:lineRule="auto"/>
        <w:tabs>
          <w:tab w:leader="none" w:pos="248" w:val="left"/>
        </w:tabs>
        <w:numPr>
          <w:ilvl w:val="0"/>
          <w:numId w:val="176"/>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09.2020.</w:t>
      </w:r>
    </w:p>
    <w:p>
      <w:pPr>
        <w:spacing w:after="0" w:line="12" w:lineRule="exact"/>
        <w:rPr>
          <w:rFonts w:ascii="Times New Roman" w:cs="Times New Roman" w:eastAsia="Times New Roman" w:hAnsi="Times New Roman"/>
          <w:sz w:val="19"/>
          <w:szCs w:val="19"/>
          <w:color w:val="auto"/>
        </w:rPr>
      </w:pPr>
    </w:p>
    <w:p>
      <w:pPr>
        <w:ind w:left="8" w:hanging="8"/>
        <w:spacing w:after="0" w:line="203" w:lineRule="auto"/>
        <w:tabs>
          <w:tab w:leader="none" w:pos="231" w:val="left"/>
        </w:tabs>
        <w:numPr>
          <w:ilvl w:val="0"/>
          <w:numId w:val="177"/>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Inserted by the SEBI (Issue of Capital and Disclosure Requirements) (Third Amendment) Regulations, 2019 w.e.f.29.07.2019.</w:t>
      </w:r>
    </w:p>
    <w:p>
      <w:pPr>
        <w:spacing w:after="0" w:line="30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45</w:t>
      </w:r>
    </w:p>
    <w:p>
      <w:pPr>
        <w:sectPr>
          <w:pgSz w:w="11900" w:h="16836" w:orient="portrait"/>
          <w:cols w:equalWidth="0" w:num="1">
            <w:col w:w="9468"/>
          </w:cols>
          <w:pgMar w:left="1152" w:top="1440" w:right="1284" w:bottom="103" w:gutter="0" w:footer="0" w:header="0"/>
        </w:sectPr>
      </w:pPr>
    </w:p>
    <w:bookmarkStart w:id="45" w:name="page46"/>
    <w:bookmarkEnd w:id="45"/>
    <w:p>
      <w:pPr>
        <w:jc w:val="both"/>
        <w:ind w:left="368" w:hanging="368"/>
        <w:spacing w:after="0" w:line="354" w:lineRule="auto"/>
        <w:tabs>
          <w:tab w:leader="none" w:pos="368" w:val="left"/>
        </w:tabs>
        <w:numPr>
          <w:ilvl w:val="0"/>
          <w:numId w:val="17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 has appointed at least one debenture trustee in accordance with the provisions of the Companies Act, 2013 and the Securities and Exchange Board of India (Debenture Trustees) Regulations, 1993;</w:t>
      </w:r>
    </w:p>
    <w:p>
      <w:pPr>
        <w:spacing w:after="0" w:line="20" w:lineRule="exact"/>
        <w:rPr>
          <w:rFonts w:ascii="Times New Roman" w:cs="Times New Roman" w:eastAsia="Times New Roman" w:hAnsi="Times New Roman"/>
          <w:sz w:val="24"/>
          <w:szCs w:val="24"/>
          <w:color w:val="auto"/>
        </w:rPr>
      </w:pPr>
    </w:p>
    <w:p>
      <w:pPr>
        <w:ind w:left="368" w:hanging="368"/>
        <w:spacing w:after="0" w:line="350" w:lineRule="auto"/>
        <w:tabs>
          <w:tab w:leader="none" w:pos="368" w:val="left"/>
        </w:tabs>
        <w:numPr>
          <w:ilvl w:val="0"/>
          <w:numId w:val="17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 shall create a debenture redemption reserve in accordance with the provisions of the Companies Act, 2013 and rules made thereunder;</w:t>
      </w:r>
    </w:p>
    <w:p>
      <w:pPr>
        <w:spacing w:after="0" w:line="23" w:lineRule="exact"/>
        <w:rPr>
          <w:rFonts w:ascii="Times New Roman" w:cs="Times New Roman" w:eastAsia="Times New Roman" w:hAnsi="Times New Roman"/>
          <w:sz w:val="24"/>
          <w:szCs w:val="24"/>
          <w:color w:val="auto"/>
        </w:rPr>
      </w:pPr>
    </w:p>
    <w:p>
      <w:pPr>
        <w:ind w:left="368" w:hanging="368"/>
        <w:spacing w:after="0" w:line="350" w:lineRule="auto"/>
        <w:tabs>
          <w:tab w:leader="none" w:pos="368" w:val="left"/>
        </w:tabs>
        <w:numPr>
          <w:ilvl w:val="0"/>
          <w:numId w:val="17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issuer proposes to create a charge or security on its assets in respect of secured convertible debt instruments, it shall ensure that:</w:t>
      </w:r>
    </w:p>
    <w:p>
      <w:pPr>
        <w:spacing w:after="0" w:line="10" w:lineRule="exact"/>
        <w:rPr>
          <w:rFonts w:ascii="Times New Roman" w:cs="Times New Roman" w:eastAsia="Times New Roman" w:hAnsi="Times New Roman"/>
          <w:sz w:val="24"/>
          <w:szCs w:val="24"/>
          <w:color w:val="auto"/>
        </w:rPr>
      </w:pPr>
    </w:p>
    <w:p>
      <w:pPr>
        <w:ind w:left="728" w:hanging="368"/>
        <w:spacing w:after="0"/>
        <w:tabs>
          <w:tab w:leader="none" w:pos="728" w:val="left"/>
        </w:tabs>
        <w:numPr>
          <w:ilvl w:val="1"/>
          <w:numId w:val="17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such assets are sufficient to discharge the principal amount at all times;</w:t>
      </w:r>
    </w:p>
    <w:p>
      <w:pPr>
        <w:spacing w:after="0" w:line="139" w:lineRule="exact"/>
        <w:rPr>
          <w:rFonts w:ascii="Times New Roman" w:cs="Times New Roman" w:eastAsia="Times New Roman" w:hAnsi="Times New Roman"/>
          <w:sz w:val="24"/>
          <w:szCs w:val="24"/>
          <w:color w:val="auto"/>
        </w:rPr>
      </w:pPr>
    </w:p>
    <w:p>
      <w:pPr>
        <w:ind w:left="728" w:hanging="368"/>
        <w:spacing w:after="0"/>
        <w:tabs>
          <w:tab w:leader="none" w:pos="728" w:val="left"/>
        </w:tabs>
        <w:numPr>
          <w:ilvl w:val="1"/>
          <w:numId w:val="17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such assets are free from any encumbrance;</w:t>
      </w:r>
    </w:p>
    <w:p>
      <w:pPr>
        <w:spacing w:after="0" w:line="149" w:lineRule="exact"/>
        <w:rPr>
          <w:rFonts w:ascii="Times New Roman" w:cs="Times New Roman" w:eastAsia="Times New Roman" w:hAnsi="Times New Roman"/>
          <w:sz w:val="24"/>
          <w:szCs w:val="24"/>
          <w:color w:val="auto"/>
        </w:rPr>
      </w:pPr>
    </w:p>
    <w:p>
      <w:pPr>
        <w:jc w:val="both"/>
        <w:ind w:left="728" w:hanging="368"/>
        <w:spacing w:after="0" w:line="357" w:lineRule="auto"/>
        <w:tabs>
          <w:tab w:leader="none" w:pos="840" w:val="left"/>
        </w:tabs>
        <w:numPr>
          <w:ilvl w:val="1"/>
          <w:numId w:val="17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where security is already created on such assets in favour of any existing lender or security trustee or the issue of convertible debt instruments is proposed to be secured by creation of security on a leasehold land, the consent of such lender or security trustee or lessor for a second or pari passu charge has been obtained and submitted to the debenture trustee before the opening of the issue;</w:t>
      </w:r>
    </w:p>
    <w:p>
      <w:pPr>
        <w:spacing w:after="0" w:line="18" w:lineRule="exact"/>
        <w:rPr>
          <w:rFonts w:ascii="Times New Roman" w:cs="Times New Roman" w:eastAsia="Times New Roman" w:hAnsi="Times New Roman"/>
          <w:sz w:val="24"/>
          <w:szCs w:val="24"/>
          <w:color w:val="auto"/>
        </w:rPr>
      </w:pPr>
    </w:p>
    <w:p>
      <w:pPr>
        <w:jc w:val="both"/>
        <w:ind w:left="728" w:hanging="368"/>
        <w:spacing w:after="0" w:line="348" w:lineRule="auto"/>
        <w:tabs>
          <w:tab w:leader="none" w:pos="778" w:val="left"/>
        </w:tabs>
        <w:numPr>
          <w:ilvl w:val="1"/>
          <w:numId w:val="17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security or asset cover shall be arrived at after reduction of the liabilities having a first or prior charge, in case the convertible debt instruments are secured by a second or</w:t>
      </w:r>
    </w:p>
    <w:p>
      <w:pPr>
        <w:spacing w:after="0" w:line="16" w:lineRule="exact"/>
        <w:rPr>
          <w:sz w:val="20"/>
          <w:szCs w:val="20"/>
          <w:color w:val="auto"/>
        </w:rPr>
      </w:pPr>
    </w:p>
    <w:p>
      <w:pPr>
        <w:ind w:left="728"/>
        <w:spacing w:after="0"/>
        <w:rPr>
          <w:sz w:val="20"/>
          <w:szCs w:val="20"/>
          <w:color w:val="auto"/>
        </w:rPr>
      </w:pPr>
      <w:r>
        <w:rPr>
          <w:rFonts w:ascii="Times New Roman" w:cs="Times New Roman" w:eastAsia="Times New Roman" w:hAnsi="Times New Roman"/>
          <w:sz w:val="24"/>
          <w:szCs w:val="24"/>
          <w:color w:val="auto"/>
        </w:rPr>
        <w:t>subsequent charge.</w:t>
      </w:r>
    </w:p>
    <w:p>
      <w:pPr>
        <w:spacing w:after="0" w:line="13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(2) The issuer shall redeem the convertible debt instruments in terms of the letter of offer.</w:t>
      </w:r>
    </w:p>
    <w:p>
      <w:pPr>
        <w:spacing w:after="0" w:line="200" w:lineRule="exact"/>
        <w:rPr>
          <w:sz w:val="20"/>
          <w:szCs w:val="20"/>
          <w:color w:val="auto"/>
        </w:rPr>
      </w:pPr>
    </w:p>
    <w:p>
      <w:pPr>
        <w:spacing w:after="0" w:line="35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Roll over of non-convertible portion of partly convertible debt instruments</w:t>
      </w:r>
    </w:p>
    <w:p>
      <w:pPr>
        <w:spacing w:after="0" w:line="147" w:lineRule="exact"/>
        <w:rPr>
          <w:sz w:val="20"/>
          <w:szCs w:val="20"/>
          <w:color w:val="auto"/>
        </w:rPr>
      </w:pPr>
    </w:p>
    <w:p>
      <w:pPr>
        <w:jc w:val="both"/>
        <w:ind w:left="8" w:hanging="8"/>
        <w:spacing w:after="0" w:line="354" w:lineRule="auto"/>
        <w:tabs>
          <w:tab w:leader="none" w:pos="519" w:val="left"/>
        </w:tabs>
        <w:numPr>
          <w:ilvl w:val="0"/>
          <w:numId w:val="17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non-convertible portion of partly convertible debt instruments issued by a listed issuer, the value of which exceeds ten crore rupees, may be rolled over, subject to compliance with the provisions of the Companies Act, 2013 and the following conditions:</w:t>
      </w:r>
    </w:p>
    <w:p>
      <w:pPr>
        <w:spacing w:after="0" w:line="20" w:lineRule="exact"/>
        <w:rPr>
          <w:rFonts w:ascii="Times New Roman" w:cs="Times New Roman" w:eastAsia="Times New Roman" w:hAnsi="Times New Roman"/>
          <w:sz w:val="24"/>
          <w:szCs w:val="24"/>
          <w:b w:val="1"/>
          <w:bCs w:val="1"/>
          <w:color w:val="auto"/>
        </w:rPr>
      </w:pPr>
    </w:p>
    <w:p>
      <w:pPr>
        <w:ind w:left="548" w:hanging="512"/>
        <w:spacing w:after="0" w:line="350" w:lineRule="auto"/>
        <w:tabs>
          <w:tab w:leader="none" w:pos="548" w:val="left"/>
        </w:tabs>
        <w:numPr>
          <w:ilvl w:val="1"/>
          <w:numId w:val="17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seventy five per cent. of the holders (in value) of the convertible debt instruments of the issuer have, through a resolution, approved the rollover through postal ballot;</w:t>
      </w:r>
    </w:p>
    <w:p>
      <w:pPr>
        <w:spacing w:after="0" w:line="23" w:lineRule="exact"/>
        <w:rPr>
          <w:rFonts w:ascii="Times New Roman" w:cs="Times New Roman" w:eastAsia="Times New Roman" w:hAnsi="Times New Roman"/>
          <w:sz w:val="24"/>
          <w:szCs w:val="24"/>
          <w:color w:val="auto"/>
        </w:rPr>
      </w:pPr>
    </w:p>
    <w:p>
      <w:pPr>
        <w:jc w:val="both"/>
        <w:ind w:left="548" w:hanging="512"/>
        <w:spacing w:after="0" w:line="354" w:lineRule="auto"/>
        <w:tabs>
          <w:tab w:leader="none" w:pos="548" w:val="left"/>
        </w:tabs>
        <w:numPr>
          <w:ilvl w:val="1"/>
          <w:numId w:val="17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has, along with the notice for passing the resolution, sent to all holders of the convertible debt instruments, an auditors’ certificate on the cash flow of the issuer and with comments on the liquidity position of the issuer;</w:t>
      </w:r>
    </w:p>
    <w:p>
      <w:pPr>
        <w:spacing w:after="0" w:line="22" w:lineRule="exact"/>
        <w:rPr>
          <w:rFonts w:ascii="Times New Roman" w:cs="Times New Roman" w:eastAsia="Times New Roman" w:hAnsi="Times New Roman"/>
          <w:sz w:val="24"/>
          <w:szCs w:val="24"/>
          <w:color w:val="auto"/>
        </w:rPr>
      </w:pPr>
    </w:p>
    <w:p>
      <w:pPr>
        <w:jc w:val="both"/>
        <w:ind w:left="548" w:hanging="512"/>
        <w:spacing w:after="0" w:line="354" w:lineRule="auto"/>
        <w:tabs>
          <w:tab w:leader="none" w:pos="548" w:val="left"/>
        </w:tabs>
        <w:numPr>
          <w:ilvl w:val="1"/>
          <w:numId w:val="17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has undertaken to redeem the non-convertible portion of the partly convertible debt instruments of all the holders of the convertible debt instruments who have not agreed to the resolution;</w:t>
      </w:r>
    </w:p>
    <w:p>
      <w:pPr>
        <w:spacing w:after="0" w:line="20" w:lineRule="exact"/>
        <w:rPr>
          <w:rFonts w:ascii="Times New Roman" w:cs="Times New Roman" w:eastAsia="Times New Roman" w:hAnsi="Times New Roman"/>
          <w:sz w:val="24"/>
          <w:szCs w:val="24"/>
          <w:color w:val="auto"/>
        </w:rPr>
      </w:pPr>
    </w:p>
    <w:p>
      <w:pPr>
        <w:jc w:val="both"/>
        <w:ind w:left="548" w:hanging="512"/>
        <w:spacing w:after="0" w:line="354" w:lineRule="auto"/>
        <w:tabs>
          <w:tab w:leader="none" w:pos="548" w:val="left"/>
        </w:tabs>
        <w:numPr>
          <w:ilvl w:val="1"/>
          <w:numId w:val="17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credit rating has been obtained from at least one credit rating agency registered with the Board within a period of one month prior to the due date of redemption and has been communicated to the holders of the convertible debt instruments, before the roll over;</w:t>
      </w: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46</w:t>
      </w:r>
    </w:p>
    <w:p>
      <w:pPr>
        <w:sectPr>
          <w:pgSz w:w="11900" w:h="16836" w:orient="portrait"/>
          <w:cols w:equalWidth="0" w:num="1">
            <w:col w:w="9468"/>
          </w:cols>
          <w:pgMar w:left="1152" w:top="1156" w:right="1284" w:bottom="103" w:gutter="0" w:footer="0" w:header="0"/>
        </w:sectPr>
      </w:pPr>
    </w:p>
    <w:bookmarkStart w:id="46" w:name="page47"/>
    <w:bookmarkEnd w:id="46"/>
    <w:p>
      <w:pPr>
        <w:jc w:val="both"/>
        <w:ind w:left="8" w:hanging="8"/>
        <w:spacing w:after="0" w:line="354" w:lineRule="auto"/>
        <w:tabs>
          <w:tab w:leader="none" w:pos="440" w:val="left"/>
        </w:tabs>
        <w:numPr>
          <w:ilvl w:val="0"/>
          <w:numId w:val="18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creation of fresh security and execution of fresh trust deed shall not be mandatory if the existing trust deed or the security documents provide for continuance of the security till redemption of secured convertible debt instruments:</w:t>
      </w:r>
    </w:p>
    <w:p>
      <w:pPr>
        <w:spacing w:after="0" w:line="20" w:lineRule="exact"/>
        <w:rPr>
          <w:rFonts w:ascii="Times New Roman" w:cs="Times New Roman" w:eastAsia="Times New Roman" w:hAnsi="Times New Roman"/>
          <w:sz w:val="24"/>
          <w:szCs w:val="24"/>
          <w:color w:val="auto"/>
        </w:rPr>
      </w:pPr>
    </w:p>
    <w:p>
      <w:pPr>
        <w:ind w:left="8"/>
        <w:spacing w:after="0" w:line="350"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whether the issuer is required to create fresh security and to execute fresh trust deed or not shall be decided by the debenture trustee.</w:t>
      </w:r>
    </w:p>
    <w:p>
      <w:pPr>
        <w:spacing w:after="0" w:line="200" w:lineRule="exact"/>
        <w:rPr>
          <w:sz w:val="20"/>
          <w:szCs w:val="20"/>
          <w:color w:val="auto"/>
        </w:rPr>
      </w:pPr>
    </w:p>
    <w:p>
      <w:pPr>
        <w:spacing w:after="0" w:line="231"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Conversion of optionally convertible debt instruments into equity shares</w:t>
      </w:r>
    </w:p>
    <w:p>
      <w:pPr>
        <w:spacing w:after="0" w:line="144" w:lineRule="exact"/>
        <w:rPr>
          <w:sz w:val="20"/>
          <w:szCs w:val="20"/>
          <w:color w:val="auto"/>
        </w:rPr>
      </w:pPr>
    </w:p>
    <w:p>
      <w:pPr>
        <w:jc w:val="both"/>
        <w:ind w:left="8" w:hanging="8"/>
        <w:spacing w:after="0" w:line="357" w:lineRule="auto"/>
        <w:tabs>
          <w:tab w:leader="none" w:pos="384" w:val="left"/>
        </w:tabs>
        <w:numPr>
          <w:ilvl w:val="0"/>
          <w:numId w:val="18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An issuer shall not convert its optionally convertible debt instruments into equity shares unless the holders of such convertible debt instruments have sent their positive consent to the issuer and non-receipt of reply to any notice sent by the issuer for this purpose shall not be construed as consent for conversion of any convertible debt instruments.</w:t>
      </w:r>
    </w:p>
    <w:p>
      <w:pPr>
        <w:spacing w:after="0" w:line="14" w:lineRule="exact"/>
        <w:rPr>
          <w:rFonts w:ascii="Times New Roman" w:cs="Times New Roman" w:eastAsia="Times New Roman" w:hAnsi="Times New Roman"/>
          <w:sz w:val="24"/>
          <w:szCs w:val="24"/>
          <w:b w:val="1"/>
          <w:bCs w:val="1"/>
          <w:color w:val="auto"/>
        </w:rPr>
      </w:pPr>
    </w:p>
    <w:p>
      <w:pPr>
        <w:jc w:val="both"/>
        <w:ind w:left="8"/>
        <w:spacing w:after="0" w:line="356"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Where the value of the convertible portion of any listed convertible debt instruments issued by an issuer exceeds ten crores and the issuer has not determined the conversion price of such convertible debt instruments at the time of making the issue, the holders of such convertible debt instruments shall be given the option of not converting the convertible portion into equity shares:</w:t>
      </w:r>
    </w:p>
    <w:p>
      <w:pPr>
        <w:spacing w:after="0" w:line="18" w:lineRule="exact"/>
        <w:rPr>
          <w:rFonts w:ascii="Times New Roman" w:cs="Times New Roman" w:eastAsia="Times New Roman" w:hAnsi="Times New Roman"/>
          <w:sz w:val="24"/>
          <w:szCs w:val="24"/>
          <w:b w:val="1"/>
          <w:bCs w:val="1"/>
          <w:color w:val="auto"/>
        </w:rPr>
      </w:pPr>
    </w:p>
    <w:p>
      <w:pPr>
        <w:jc w:val="both"/>
        <w:ind w:left="8"/>
        <w:spacing w:after="0" w:line="356"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where the upper limit on the price of such convertible debt instruments and justification thereon is determined and disclosed to the investors at the time of making the issue, it shall not be necessary to give such option to the holders of the convertible debt instruments for converting the convertible portion into equity share capital within the said upper limit</w:t>
      </w:r>
    </w:p>
    <w:p>
      <w:pPr>
        <w:spacing w:after="0" w:line="18" w:lineRule="exact"/>
        <w:rPr>
          <w:rFonts w:ascii="Times New Roman" w:cs="Times New Roman" w:eastAsia="Times New Roman" w:hAnsi="Times New Roman"/>
          <w:sz w:val="24"/>
          <w:szCs w:val="24"/>
          <w:b w:val="1"/>
          <w:bCs w:val="1"/>
          <w:color w:val="auto"/>
        </w:rPr>
      </w:pPr>
    </w:p>
    <w:p>
      <w:pPr>
        <w:jc w:val="both"/>
        <w:ind w:left="8"/>
        <w:spacing w:after="0" w:line="357"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(3) Where an option is to be given to the holders of the convertible debt instruments in terms of sub-regulation (2) and if one or more of such holders do not exercise the option to convert the instruments into equity share capital at a price determined in the general meeting of the shareholders, the issuer shall redeem that part of the instruments within one month from the last date by which option is to be exercised, at a price which shall not be less than its face value.</w:t>
      </w:r>
    </w:p>
    <w:p>
      <w:pPr>
        <w:spacing w:after="0" w:line="19" w:lineRule="exact"/>
        <w:rPr>
          <w:rFonts w:ascii="Times New Roman" w:cs="Times New Roman" w:eastAsia="Times New Roman" w:hAnsi="Times New Roman"/>
          <w:sz w:val="24"/>
          <w:szCs w:val="24"/>
          <w:b w:val="1"/>
          <w:bCs w:val="1"/>
          <w:color w:val="auto"/>
        </w:rPr>
      </w:pPr>
    </w:p>
    <w:p>
      <w:pPr>
        <w:ind w:left="8"/>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the provisions of sub-regulation (3) shall not apply if such redemption is in terms of the disclosures made in the offer document.</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Issue of convertible debt instruments for financing</w:t>
      </w:r>
    </w:p>
    <w:p>
      <w:pPr>
        <w:spacing w:after="0" w:line="147" w:lineRule="exact"/>
        <w:rPr>
          <w:sz w:val="20"/>
          <w:szCs w:val="20"/>
          <w:color w:val="auto"/>
        </w:rPr>
      </w:pPr>
    </w:p>
    <w:p>
      <w:pPr>
        <w:ind w:left="8" w:hanging="8"/>
        <w:spacing w:after="0" w:line="357" w:lineRule="auto"/>
        <w:tabs>
          <w:tab w:leader="none" w:pos="452" w:val="left"/>
        </w:tabs>
        <w:numPr>
          <w:ilvl w:val="0"/>
          <w:numId w:val="18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An issuer shall not issue convertible debt instruments for financing or for providing loans to or for acquiring shares of any person who is part of the promoter group or group companies: Provided that an issuer shall be eligible to issue fully convertible debt instruments for these purposes if the period of conversion of such debt instruments is less than eighteen months from the date of issue of such debt instruments.</w:t>
      </w:r>
    </w:p>
    <w:p>
      <w:pPr>
        <w:spacing w:after="0" w:line="200" w:lineRule="exact"/>
        <w:rPr>
          <w:sz w:val="20"/>
          <w:szCs w:val="20"/>
          <w:color w:val="auto"/>
        </w:rPr>
      </w:pPr>
    </w:p>
    <w:p>
      <w:pPr>
        <w:spacing w:after="0" w:line="224"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Issue of warrants</w:t>
      </w:r>
    </w:p>
    <w:p>
      <w:pPr>
        <w:spacing w:after="0" w:line="38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47</w:t>
      </w:r>
    </w:p>
    <w:p>
      <w:pPr>
        <w:sectPr>
          <w:pgSz w:w="11900" w:h="16836" w:orient="portrait"/>
          <w:cols w:equalWidth="0" w:num="1">
            <w:col w:w="9468"/>
          </w:cols>
          <w:pgMar w:left="1152" w:top="1156" w:right="1284" w:bottom="103" w:gutter="0" w:footer="0" w:header="0"/>
        </w:sectPr>
      </w:pPr>
    </w:p>
    <w:bookmarkStart w:id="47" w:name="page48"/>
    <w:bookmarkEnd w:id="47"/>
    <w:p>
      <w:pPr>
        <w:ind w:left="428" w:hanging="428"/>
        <w:spacing w:after="0"/>
        <w:tabs>
          <w:tab w:leader="none" w:pos="428" w:val="left"/>
        </w:tabs>
        <w:numPr>
          <w:ilvl w:val="0"/>
          <w:numId w:val="18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An issuer shall be eligible to issue warrants subject to the following:</w:t>
      </w:r>
    </w:p>
    <w:p>
      <w:pPr>
        <w:spacing w:after="0" w:line="149" w:lineRule="exact"/>
        <w:rPr>
          <w:sz w:val="20"/>
          <w:szCs w:val="20"/>
          <w:color w:val="auto"/>
        </w:rPr>
      </w:pPr>
    </w:p>
    <w:p>
      <w:pPr>
        <w:ind w:left="368" w:hanging="368"/>
        <w:spacing w:after="0" w:line="344" w:lineRule="auto"/>
        <w:tabs>
          <w:tab w:leader="none" w:pos="368" w:val="left"/>
        </w:tabs>
        <w:numPr>
          <w:ilvl w:val="0"/>
          <w:numId w:val="184"/>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tenure of such warrants shall not exceed eighteen months from their date of allotment in the rights issue;</w:t>
      </w:r>
    </w:p>
    <w:p>
      <w:pPr>
        <w:spacing w:after="0" w:line="7" w:lineRule="exact"/>
        <w:rPr>
          <w:rFonts w:ascii="Calibri" w:cs="Calibri" w:eastAsia="Calibri" w:hAnsi="Calibri"/>
          <w:sz w:val="22"/>
          <w:szCs w:val="22"/>
          <w:color w:val="auto"/>
        </w:rPr>
      </w:pPr>
    </w:p>
    <w:p>
      <w:pPr>
        <w:ind w:left="368" w:hanging="368"/>
        <w:spacing w:after="0"/>
        <w:tabs>
          <w:tab w:leader="none" w:pos="368" w:val="left"/>
        </w:tabs>
        <w:numPr>
          <w:ilvl w:val="0"/>
          <w:numId w:val="184"/>
        </w:numPr>
        <w:rPr>
          <w:rFonts w:ascii="Calibri" w:cs="Calibri" w:eastAsia="Calibri" w:hAnsi="Calibri"/>
          <w:sz w:val="22"/>
          <w:szCs w:val="22"/>
          <w:color w:val="auto"/>
        </w:rPr>
      </w:pPr>
      <w:r>
        <w:rPr>
          <w:rFonts w:ascii="Times New Roman" w:cs="Times New Roman" w:eastAsia="Times New Roman" w:hAnsi="Times New Roman"/>
          <w:sz w:val="24"/>
          <w:szCs w:val="24"/>
          <w:color w:val="auto"/>
        </w:rPr>
        <w:t>a specified security may have one or more warrants attached to it;</w:t>
      </w:r>
    </w:p>
    <w:p>
      <w:pPr>
        <w:spacing w:after="0" w:line="151" w:lineRule="exact"/>
        <w:rPr>
          <w:rFonts w:ascii="Calibri" w:cs="Calibri" w:eastAsia="Calibri" w:hAnsi="Calibri"/>
          <w:sz w:val="22"/>
          <w:szCs w:val="22"/>
          <w:color w:val="auto"/>
        </w:rPr>
      </w:pPr>
    </w:p>
    <w:p>
      <w:pPr>
        <w:jc w:val="both"/>
        <w:ind w:left="368" w:hanging="368"/>
        <w:spacing w:after="0" w:line="350" w:lineRule="auto"/>
        <w:tabs>
          <w:tab w:leader="none" w:pos="368" w:val="left"/>
        </w:tabs>
        <w:numPr>
          <w:ilvl w:val="0"/>
          <w:numId w:val="184"/>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price or formula for determination of exercise price of the warrants shall be determined upfront and disclosed in the letter of offer and at least twenty-five per cent. of the consideration amount based on the exercise price shall also be received upfront;</w:t>
      </w:r>
    </w:p>
    <w:p>
      <w:pPr>
        <w:spacing w:after="0" w:line="22" w:lineRule="exact"/>
        <w:rPr>
          <w:rFonts w:ascii="Calibri" w:cs="Calibri" w:eastAsia="Calibri" w:hAnsi="Calibri"/>
          <w:sz w:val="22"/>
          <w:szCs w:val="22"/>
          <w:color w:val="auto"/>
        </w:rPr>
      </w:pPr>
    </w:p>
    <w:p>
      <w:pPr>
        <w:jc w:val="both"/>
        <w:ind w:left="368"/>
        <w:spacing w:after="0" w:line="354" w:lineRule="auto"/>
        <w:rPr>
          <w:rFonts w:ascii="Calibri" w:cs="Calibri" w:eastAsia="Calibri" w:hAnsi="Calibri"/>
          <w:sz w:val="22"/>
          <w:szCs w:val="22"/>
          <w:color w:val="auto"/>
        </w:rPr>
      </w:pPr>
      <w:r>
        <w:rPr>
          <w:rFonts w:ascii="Times New Roman" w:cs="Times New Roman" w:eastAsia="Times New Roman" w:hAnsi="Times New Roman"/>
          <w:sz w:val="24"/>
          <w:szCs w:val="24"/>
          <w:color w:val="auto"/>
        </w:rPr>
        <w:t>Provided that in case the exercise price of warrants is based on a formula, twenty-five per cent. consideration amount calculated as per the formula with reference date being the record date shall be received upfront.</w:t>
      </w:r>
    </w:p>
    <w:p>
      <w:pPr>
        <w:spacing w:after="0" w:line="22" w:lineRule="exact"/>
        <w:rPr>
          <w:rFonts w:ascii="Calibri" w:cs="Calibri" w:eastAsia="Calibri" w:hAnsi="Calibri"/>
          <w:sz w:val="22"/>
          <w:szCs w:val="22"/>
          <w:color w:val="auto"/>
        </w:rPr>
      </w:pPr>
    </w:p>
    <w:p>
      <w:pPr>
        <w:jc w:val="both"/>
        <w:ind w:left="368" w:hanging="368"/>
        <w:spacing w:after="0" w:line="353" w:lineRule="auto"/>
        <w:tabs>
          <w:tab w:leader="none" w:pos="368" w:val="left"/>
        </w:tabs>
        <w:numPr>
          <w:ilvl w:val="0"/>
          <w:numId w:val="184"/>
        </w:numPr>
        <w:rPr>
          <w:rFonts w:ascii="Calibri" w:cs="Calibri" w:eastAsia="Calibri" w:hAnsi="Calibri"/>
          <w:sz w:val="22"/>
          <w:szCs w:val="22"/>
          <w:color w:val="auto"/>
        </w:rPr>
      </w:pPr>
      <w:r>
        <w:rPr>
          <w:rFonts w:ascii="Times New Roman" w:cs="Times New Roman" w:eastAsia="Times New Roman" w:hAnsi="Times New Roman"/>
          <w:sz w:val="24"/>
          <w:szCs w:val="24"/>
          <w:color w:val="auto"/>
        </w:rPr>
        <w:t>in case the warrant holder does not exercise the option to take equity shares against any of the warrants held by the warrant holder, within three months from the date of payment of consideration, such consideration made in respect of such warrants shall be forfeited by the issuer.</w:t>
      </w:r>
    </w:p>
    <w:p>
      <w:pPr>
        <w:spacing w:after="0" w:line="200" w:lineRule="exact"/>
        <w:rPr>
          <w:sz w:val="20"/>
          <w:szCs w:val="20"/>
          <w:color w:val="auto"/>
        </w:rPr>
      </w:pPr>
    </w:p>
    <w:p>
      <w:pPr>
        <w:spacing w:after="0" w:line="22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III: RECORD DATE</w:t>
      </w:r>
    </w:p>
    <w:p>
      <w:pPr>
        <w:spacing w:after="0" w:line="147" w:lineRule="exact"/>
        <w:rPr>
          <w:sz w:val="20"/>
          <w:szCs w:val="20"/>
          <w:color w:val="auto"/>
        </w:rPr>
      </w:pPr>
    </w:p>
    <w:p>
      <w:pPr>
        <w:jc w:val="both"/>
        <w:ind w:left="8" w:hanging="8"/>
        <w:spacing w:after="0" w:line="356" w:lineRule="auto"/>
        <w:tabs>
          <w:tab w:leader="none" w:pos="387" w:val="left"/>
        </w:tabs>
        <w:numPr>
          <w:ilvl w:val="0"/>
          <w:numId w:val="18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shall announce a record date for the purpose of determining the shareholders eligible to apply for specified securities in the proposed rights issue for such period as may be specified in the Securities and Exchange Board of India (Listing Obligations and Disclosure Requirements) Regulations, 2015.</w:t>
      </w:r>
    </w:p>
    <w:p>
      <w:pPr>
        <w:spacing w:after="0" w:line="18" w:lineRule="exact"/>
        <w:rPr>
          <w:rFonts w:ascii="Times New Roman" w:cs="Times New Roman" w:eastAsia="Times New Roman" w:hAnsi="Times New Roman"/>
          <w:sz w:val="24"/>
          <w:szCs w:val="24"/>
          <w:b w:val="1"/>
          <w:bCs w:val="1"/>
          <w:color w:val="auto"/>
        </w:rPr>
      </w:pPr>
    </w:p>
    <w:p>
      <w:pPr>
        <w:jc w:val="both"/>
        <w:ind w:left="8"/>
        <w:spacing w:after="0" w:line="356"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The issuer shall not withdraw its rights issue after announcement of the record date. However, if the issuer withdraws the rights issue after announcing the record date, it shall not be eligible to make an application for listing of any of its specified securities on any stock exchange for a period of twelve months from the record date announced under sub-regulation (1):</w:t>
      </w:r>
    </w:p>
    <w:p>
      <w:pPr>
        <w:spacing w:after="0" w:line="19"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the issuer may seek listing of its equity shares allotted pursuant to conversion or exchange of convertible securities, ESOPs or exercise of warrants issued prior to the announcement of the record date, on the stock exchange where its securities are listed.</w:t>
      </w:r>
    </w:p>
    <w:p>
      <w:pPr>
        <w:spacing w:after="0" w:line="200" w:lineRule="exact"/>
        <w:rPr>
          <w:sz w:val="20"/>
          <w:szCs w:val="20"/>
          <w:color w:val="auto"/>
        </w:rPr>
      </w:pPr>
    </w:p>
    <w:p>
      <w:pPr>
        <w:spacing w:after="0" w:line="232" w:lineRule="exact"/>
        <w:rPr>
          <w:sz w:val="20"/>
          <w:szCs w:val="20"/>
          <w:color w:val="auto"/>
        </w:rPr>
      </w:pPr>
    </w:p>
    <w:p>
      <w:pPr>
        <w:ind w:left="8"/>
        <w:spacing w:after="0" w:line="275" w:lineRule="auto"/>
        <w:rPr>
          <w:sz w:val="20"/>
          <w:szCs w:val="20"/>
          <w:color w:val="auto"/>
        </w:rPr>
      </w:pPr>
      <w:r>
        <w:rPr>
          <w:rFonts w:ascii="Times New Roman" w:cs="Times New Roman" w:eastAsia="Times New Roman" w:hAnsi="Times New Roman"/>
          <w:sz w:val="24"/>
          <w:szCs w:val="24"/>
          <w:b w:val="1"/>
          <w:bCs w:val="1"/>
          <w:color w:val="auto"/>
        </w:rPr>
        <w:t xml:space="preserve">PART IV – </w:t>
      </w:r>
      <w:r>
        <w:rPr>
          <w:rFonts w:ascii="Times New Roman" w:cs="Times New Roman" w:eastAsia="Times New Roman" w:hAnsi="Times New Roman"/>
          <w:sz w:val="32"/>
          <w:szCs w:val="32"/>
          <w:b w:val="1"/>
          <w:bCs w:val="1"/>
          <w:color w:val="auto"/>
          <w:vertAlign w:val="superscript"/>
        </w:rPr>
        <w:t>29</w:t>
      </w:r>
      <w:r>
        <w:rPr>
          <w:rFonts w:ascii="Times New Roman" w:cs="Times New Roman" w:eastAsia="Times New Roman" w:hAnsi="Times New Roman"/>
          <w:sz w:val="24"/>
          <w:szCs w:val="24"/>
          <w:b w:val="1"/>
          <w:bCs w:val="1"/>
          <w:color w:val="auto"/>
        </w:rPr>
        <w:t>[APPOINTMENT OF LEAD MANAGERS AND OTHER INTERMEDIARIES]</w:t>
      </w:r>
    </w:p>
    <w:p>
      <w:pPr>
        <w:spacing w:after="0" w:line="93" w:lineRule="exact"/>
        <w:rPr>
          <w:sz w:val="20"/>
          <w:szCs w:val="20"/>
          <w:color w:val="auto"/>
        </w:rPr>
      </w:pPr>
    </w:p>
    <w:p>
      <w:pPr>
        <w:ind w:left="8" w:hanging="8"/>
        <w:spacing w:after="0" w:line="348" w:lineRule="auto"/>
        <w:tabs>
          <w:tab w:leader="none" w:pos="408" w:val="left"/>
        </w:tabs>
        <w:numPr>
          <w:ilvl w:val="0"/>
          <w:numId w:val="18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shall appoint one or more merchant bankers, which are registered with the Board, as lead manager(s) to the issue.</w:t>
      </w:r>
    </w:p>
    <w:p>
      <w:pPr>
        <w:spacing w:after="0" w:line="200" w:lineRule="exact"/>
        <w:rPr>
          <w:sz w:val="20"/>
          <w:szCs w:val="20"/>
          <w:color w:val="auto"/>
        </w:rPr>
      </w:pPr>
    </w:p>
    <w:p>
      <w:pPr>
        <w:spacing w:after="0" w:line="335" w:lineRule="exact"/>
        <w:rPr>
          <w:sz w:val="20"/>
          <w:szCs w:val="20"/>
          <w:color w:val="auto"/>
        </w:rPr>
      </w:pPr>
    </w:p>
    <w:p>
      <w:pPr>
        <w:jc w:val="both"/>
        <w:ind w:left="8" w:hanging="8"/>
        <w:spacing w:after="0" w:line="215" w:lineRule="auto"/>
        <w:tabs>
          <w:tab w:leader="none" w:pos="207" w:val="left"/>
        </w:tabs>
        <w:numPr>
          <w:ilvl w:val="0"/>
          <w:numId w:val="187"/>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SEBI (Issue of Capital and Disclosure Requirements) (Fourth Amendment) Regulations, 2020 w.e.f. 28.09.2020. Prior to its substitution, it read as “APPOINTMENT OF LEAD MANAGERS, OTHER INTERMEDIARIES AND COMPLIANCE OFFICER”.</w:t>
      </w:r>
    </w:p>
    <w:p>
      <w:pPr>
        <w:spacing w:after="0" w:line="298"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48</w:t>
      </w:r>
    </w:p>
    <w:p>
      <w:pPr>
        <w:sectPr>
          <w:pgSz w:w="11900" w:h="16836" w:orient="portrait"/>
          <w:cols w:equalWidth="0" w:num="1">
            <w:col w:w="9468"/>
          </w:cols>
          <w:pgMar w:left="1152" w:top="1144" w:right="1284" w:bottom="103" w:gutter="0" w:footer="0" w:header="0"/>
        </w:sectPr>
      </w:pPr>
    </w:p>
    <w:bookmarkStart w:id="48" w:name="page49"/>
    <w:bookmarkEnd w:id="48"/>
    <w:p>
      <w:pPr>
        <w:jc w:val="both"/>
        <w:ind w:left="8" w:hanging="8"/>
        <w:spacing w:after="0" w:line="356" w:lineRule="auto"/>
        <w:tabs>
          <w:tab w:leader="none" w:pos="396" w:val="left"/>
        </w:tabs>
        <w:numPr>
          <w:ilvl w:val="0"/>
          <w:numId w:val="18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Where the issue is managed by more than one lead manager, the rights, obligations and responsibilities, relating </w:t>
      </w:r>
      <w:r>
        <w:rPr>
          <w:rFonts w:ascii="Times New Roman" w:cs="Times New Roman" w:eastAsia="Times New Roman" w:hAnsi="Times New Roman"/>
          <w:sz w:val="24"/>
          <w:szCs w:val="24"/>
          <w:i w:val="1"/>
          <w:iCs w:val="1"/>
          <w:color w:val="auto"/>
        </w:rPr>
        <w:t>inter alia</w:t>
      </w:r>
      <w:r>
        <w:rPr>
          <w:rFonts w:ascii="Times New Roman" w:cs="Times New Roman" w:eastAsia="Times New Roman" w:hAnsi="Times New Roman"/>
          <w:sz w:val="24"/>
          <w:szCs w:val="24"/>
          <w:color w:val="auto"/>
        </w:rPr>
        <w:t xml:space="preserve"> to disclosures, allotment, refund and underwriting obligations, if any, of each lead manager shall be predetermined and be disclosed in the draft letter offer and the letter of offer as specified in </w:t>
      </w:r>
      <w:r>
        <w:rPr>
          <w:rFonts w:ascii="Times New Roman" w:cs="Times New Roman" w:eastAsia="Times New Roman" w:hAnsi="Times New Roman"/>
          <w:sz w:val="24"/>
          <w:szCs w:val="24"/>
          <w:b w:val="1"/>
          <w:bCs w:val="1"/>
          <w:color w:val="auto"/>
        </w:rPr>
        <w:t>Schedule I</w:t>
      </w:r>
      <w:r>
        <w:rPr>
          <w:rFonts w:ascii="Times New Roman" w:cs="Times New Roman" w:eastAsia="Times New Roman" w:hAnsi="Times New Roman"/>
          <w:sz w:val="24"/>
          <w:szCs w:val="24"/>
          <w:color w:val="auto"/>
        </w:rPr>
        <w:t>:</w:t>
      </w:r>
    </w:p>
    <w:p>
      <w:pPr>
        <w:spacing w:after="0" w:line="18" w:lineRule="exact"/>
        <w:rPr>
          <w:rFonts w:ascii="Times New Roman" w:cs="Times New Roman" w:eastAsia="Times New Roman" w:hAnsi="Times New Roman"/>
          <w:sz w:val="24"/>
          <w:szCs w:val="24"/>
          <w:color w:val="auto"/>
        </w:rPr>
      </w:pPr>
    </w:p>
    <w:p>
      <w:pPr>
        <w:jc w:val="both"/>
        <w:ind w:left="8" w:hanging="8"/>
        <w:spacing w:after="0" w:line="356" w:lineRule="auto"/>
        <w:tabs>
          <w:tab w:leader="none" w:pos="348" w:val="left"/>
        </w:tabs>
        <w:numPr>
          <w:ilvl w:val="0"/>
          <w:numId w:val="18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At least one lead manager to the issue shall not be an associate (as defined under the Securities and Exchange Board of India (Merchant Bankers) Regulations, 1992) of the issuer and if any of the lead manager is an associate of the issuer, it shall disclose itself as an associate of the issuer and its role shall be limited to marketing of the issue.</w:t>
      </w:r>
    </w:p>
    <w:p>
      <w:pPr>
        <w:spacing w:after="0" w:line="19"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358" w:val="left"/>
        </w:tabs>
        <w:numPr>
          <w:ilvl w:val="0"/>
          <w:numId w:val="18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in consultation with the lead manager(s), appoint other intermediaries which are registered with the Board after the lead manager(s) have independently assessed the capability of other intermediaries to carry out their obligations.</w:t>
      </w:r>
    </w:p>
    <w:p>
      <w:pPr>
        <w:spacing w:after="0" w:line="7" w:lineRule="exact"/>
        <w:rPr>
          <w:rFonts w:ascii="Times New Roman" w:cs="Times New Roman" w:eastAsia="Times New Roman" w:hAnsi="Times New Roman"/>
          <w:sz w:val="24"/>
          <w:szCs w:val="24"/>
          <w:color w:val="auto"/>
        </w:rPr>
      </w:pPr>
    </w:p>
    <w:p>
      <w:pPr>
        <w:ind w:left="368" w:hanging="368"/>
        <w:spacing w:after="0"/>
        <w:tabs>
          <w:tab w:leader="none" w:pos="368" w:val="left"/>
        </w:tabs>
        <w:numPr>
          <w:ilvl w:val="0"/>
          <w:numId w:val="18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enter into an agreement with the lead manager(s) in the format specified in</w:t>
      </w:r>
    </w:p>
    <w:p>
      <w:pPr>
        <w:spacing w:after="0" w:line="151" w:lineRule="exact"/>
        <w:rPr>
          <w:sz w:val="20"/>
          <w:szCs w:val="20"/>
          <w:color w:val="auto"/>
        </w:rPr>
      </w:pPr>
    </w:p>
    <w:p>
      <w:pPr>
        <w:jc w:val="both"/>
        <w:ind w:left="8"/>
        <w:spacing w:after="0" w:line="348" w:lineRule="auto"/>
        <w:rPr>
          <w:sz w:val="20"/>
          <w:szCs w:val="20"/>
          <w:color w:val="auto"/>
        </w:rPr>
      </w:pPr>
      <w:r>
        <w:rPr>
          <w:rFonts w:ascii="Times New Roman" w:cs="Times New Roman" w:eastAsia="Times New Roman" w:hAnsi="Times New Roman"/>
          <w:sz w:val="24"/>
          <w:szCs w:val="24"/>
          <w:b w:val="1"/>
          <w:bCs w:val="1"/>
          <w:color w:val="auto"/>
        </w:rPr>
        <w:t xml:space="preserve">Schedule II </w:t>
      </w:r>
      <w:r>
        <w:rPr>
          <w:rFonts w:ascii="Times New Roman" w:cs="Times New Roman" w:eastAsia="Times New Roman" w:hAnsi="Times New Roman"/>
          <w:sz w:val="24"/>
          <w:szCs w:val="24"/>
          <w:color w:val="auto"/>
        </w:rPr>
        <w:t>and also enter into agreements with other intermediaries as required under the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respective regulations applicable to the intermediary concerned:</w:t>
      </w:r>
    </w:p>
    <w:p>
      <w:pPr>
        <w:spacing w:after="0" w:line="28" w:lineRule="exact"/>
        <w:rPr>
          <w:sz w:val="20"/>
          <w:szCs w:val="20"/>
          <w:color w:val="auto"/>
        </w:rPr>
      </w:pPr>
    </w:p>
    <w:p>
      <w:pPr>
        <w:jc w:val="both"/>
        <w:ind w:left="8"/>
        <w:spacing w:after="0" w:line="357" w:lineRule="auto"/>
        <w:rPr>
          <w:sz w:val="20"/>
          <w:szCs w:val="20"/>
          <w:color w:val="auto"/>
        </w:rPr>
      </w:pPr>
      <w:r>
        <w:rPr>
          <w:rFonts w:ascii="Times New Roman" w:cs="Times New Roman" w:eastAsia="Times New Roman" w:hAnsi="Times New Roman"/>
          <w:sz w:val="24"/>
          <w:szCs w:val="24"/>
          <w:color w:val="auto"/>
        </w:rPr>
        <w:t>Provided that such agreements may include such other clauses as the issuer and the intermediaries may deem fit without diminishing or limiting in any way the liabilities and obligations of the lead manager(s), other intermediaries and the issuer under the Act, the Companies Act, 2013 or the Companies Act, 1956 (to the extent applicable), the Securities Contracts (Regulation) Act, 1956, the Depositories Act, 1996 and the rules and regulations made thereunder or any statutory modification or statutory enactment thereof:</w:t>
      </w:r>
    </w:p>
    <w:p>
      <w:pPr>
        <w:spacing w:after="0" w:line="21" w:lineRule="exact"/>
        <w:rPr>
          <w:sz w:val="20"/>
          <w:szCs w:val="20"/>
          <w:color w:val="auto"/>
        </w:rPr>
      </w:pPr>
    </w:p>
    <w:p>
      <w:pPr>
        <w:jc w:val="both"/>
        <w:ind w:left="8"/>
        <w:spacing w:after="0" w:line="348" w:lineRule="auto"/>
        <w:rPr>
          <w:sz w:val="20"/>
          <w:szCs w:val="20"/>
          <w:color w:val="auto"/>
        </w:rPr>
      </w:pPr>
      <w:r>
        <w:rPr>
          <w:rFonts w:ascii="Times New Roman" w:cs="Times New Roman" w:eastAsia="Times New Roman" w:hAnsi="Times New Roman"/>
          <w:sz w:val="24"/>
          <w:szCs w:val="24"/>
          <w:color w:val="auto"/>
        </w:rPr>
        <w:t>Provided further that in case of ASBA process, the issuer shall take cognisance of the deemed agreement of the issuer with the self-certified syndicate banks.</w:t>
      </w:r>
    </w:p>
    <w:p>
      <w:pPr>
        <w:spacing w:after="0" w:line="15" w:lineRule="exact"/>
        <w:rPr>
          <w:sz w:val="20"/>
          <w:szCs w:val="20"/>
          <w:color w:val="auto"/>
        </w:rPr>
      </w:pPr>
    </w:p>
    <w:p>
      <w:pPr>
        <w:ind w:left="348" w:hanging="348"/>
        <w:spacing w:after="0"/>
        <w:tabs>
          <w:tab w:leader="none" w:pos="348" w:val="left"/>
        </w:tabs>
        <w:numPr>
          <w:ilvl w:val="0"/>
          <w:numId w:val="1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The issuer shall appoint bankers to an issue, at centres as specified in </w:t>
      </w:r>
      <w:r>
        <w:rPr>
          <w:rFonts w:ascii="Times New Roman" w:cs="Times New Roman" w:eastAsia="Times New Roman" w:hAnsi="Times New Roman"/>
          <w:sz w:val="24"/>
          <w:szCs w:val="24"/>
          <w:b w:val="1"/>
          <w:bCs w:val="1"/>
          <w:color w:val="auto"/>
        </w:rPr>
        <w:t>Schedule XII</w:t>
      </w:r>
      <w:r>
        <w:rPr>
          <w:rFonts w:ascii="Times New Roman" w:cs="Times New Roman" w:eastAsia="Times New Roman" w:hAnsi="Times New Roman"/>
          <w:sz w:val="24"/>
          <w:szCs w:val="24"/>
          <w:color w:val="auto"/>
        </w:rPr>
        <w:t>.</w:t>
      </w:r>
    </w:p>
    <w:p>
      <w:pPr>
        <w:spacing w:after="0" w:line="149" w:lineRule="exact"/>
        <w:rPr>
          <w:rFonts w:ascii="Times New Roman" w:cs="Times New Roman" w:eastAsia="Times New Roman" w:hAnsi="Times New Roman"/>
          <w:sz w:val="24"/>
          <w:szCs w:val="24"/>
          <w:color w:val="auto"/>
        </w:rPr>
      </w:pPr>
    </w:p>
    <w:p>
      <w:pPr>
        <w:ind w:left="8" w:hanging="8"/>
        <w:spacing w:after="0" w:line="350" w:lineRule="auto"/>
        <w:tabs>
          <w:tab w:leader="none" w:pos="418" w:val="left"/>
        </w:tabs>
        <w:numPr>
          <w:ilvl w:val="0"/>
          <w:numId w:val="1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appoint a registrar to the issue registered with the Board, which has connectivity with all the depositories:</w:t>
      </w:r>
    </w:p>
    <w:p>
      <w:pPr>
        <w:spacing w:after="0" w:line="23" w:lineRule="exact"/>
        <w:rPr>
          <w:rFonts w:ascii="Times New Roman" w:cs="Times New Roman" w:eastAsia="Times New Roman" w:hAnsi="Times New Roman"/>
          <w:sz w:val="24"/>
          <w:szCs w:val="24"/>
          <w:color w:val="auto"/>
        </w:rPr>
      </w:pPr>
    </w:p>
    <w:p>
      <w:pPr>
        <w:ind w:left="8"/>
        <w:spacing w:after="0" w:line="35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if the issuer itself is a registrar, it shall not appoint itself as a registrar to the issue; Provided further that a lead manager shall not act as a registrar to the issue in which it is also handling the post-issue responsibilities.</w:t>
      </w:r>
    </w:p>
    <w:p>
      <w:pPr>
        <w:spacing w:after="0" w:line="2" w:lineRule="exact"/>
        <w:rPr>
          <w:rFonts w:ascii="Times New Roman" w:cs="Times New Roman" w:eastAsia="Times New Roman" w:hAnsi="Times New Roman"/>
          <w:sz w:val="24"/>
          <w:szCs w:val="24"/>
          <w:color w:val="auto"/>
        </w:rPr>
      </w:pPr>
    </w:p>
    <w:p>
      <w:pPr>
        <w:ind w:left="348" w:hanging="348"/>
        <w:spacing w:after="0"/>
        <w:tabs>
          <w:tab w:leader="none" w:pos="348" w:val="left"/>
        </w:tabs>
        <w:numPr>
          <w:ilvl w:val="0"/>
          <w:numId w:val="189"/>
        </w:numPr>
        <w:rPr>
          <w:rFonts w:ascii="Times New Roman" w:cs="Times New Roman" w:eastAsia="Times New Roman" w:hAnsi="Times New Roman"/>
          <w:sz w:val="24"/>
          <w:szCs w:val="24"/>
          <w:color w:val="auto"/>
        </w:rPr>
      </w:pPr>
      <w:r>
        <w:rPr>
          <w:rFonts w:ascii="Times New Roman" w:cs="Times New Roman" w:eastAsia="Times New Roman" w:hAnsi="Times New Roman"/>
          <w:sz w:val="32"/>
          <w:szCs w:val="32"/>
          <w:color w:val="auto"/>
          <w:vertAlign w:val="superscript"/>
        </w:rPr>
        <w:t>30</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27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V: DISCLOSURES IN AND FILING OF LETTERS OF OFFER</w:t>
      </w: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ind w:left="188" w:hanging="188"/>
        <w:spacing w:after="0"/>
        <w:tabs>
          <w:tab w:leader="none" w:pos="188" w:val="left"/>
        </w:tabs>
        <w:numPr>
          <w:ilvl w:val="0"/>
          <w:numId w:val="190"/>
        </w:numPr>
        <w:rPr>
          <w:rFonts w:ascii="Times New Roman" w:cs="Times New Roman" w:eastAsia="Times New Roman" w:hAnsi="Times New Roman"/>
          <w:sz w:val="25"/>
          <w:szCs w:val="25"/>
          <w:color w:val="auto"/>
          <w:vertAlign w:val="superscript"/>
        </w:rPr>
      </w:pPr>
      <w:r>
        <w:rPr>
          <w:rFonts w:ascii="Times New Roman" w:cs="Times New Roman" w:eastAsia="Times New Roman" w:hAnsi="Times New Roman"/>
          <w:sz w:val="19"/>
          <w:szCs w:val="19"/>
          <w:color w:val="auto"/>
        </w:rPr>
        <w:t>Omitted by the SEBI (Issue of Capital and Disclosure Requirements) (Fourth Amendment) Regulations, 2020 w.e.f.</w:t>
      </w:r>
    </w:p>
    <w:p>
      <w:pPr>
        <w:spacing w:after="0" w:line="19" w:lineRule="exact"/>
        <w:rPr>
          <w:rFonts w:ascii="Times New Roman" w:cs="Times New Roman" w:eastAsia="Times New Roman" w:hAnsi="Times New Roman"/>
          <w:sz w:val="25"/>
          <w:szCs w:val="25"/>
          <w:color w:val="auto"/>
          <w:vertAlign w:val="superscript"/>
        </w:rPr>
      </w:pPr>
    </w:p>
    <w:p>
      <w:pPr>
        <w:ind w:left="248" w:hanging="248"/>
        <w:spacing w:after="0" w:line="231" w:lineRule="auto"/>
        <w:tabs>
          <w:tab w:leader="none" w:pos="248" w:val="left"/>
        </w:tabs>
        <w:numPr>
          <w:ilvl w:val="0"/>
          <w:numId w:val="191"/>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09.2020. Prior to its omission, it read as:</w:t>
      </w:r>
    </w:p>
    <w:p>
      <w:pPr>
        <w:spacing w:after="0" w:line="12" w:lineRule="exact"/>
        <w:rPr>
          <w:rFonts w:ascii="Times New Roman" w:cs="Times New Roman" w:eastAsia="Times New Roman" w:hAnsi="Times New Roman"/>
          <w:sz w:val="19"/>
          <w:szCs w:val="19"/>
          <w:color w:val="auto"/>
        </w:rPr>
      </w:pPr>
    </w:p>
    <w:p>
      <w:pPr>
        <w:ind w:left="8" w:right="20"/>
        <w:spacing w:after="0" w:line="234" w:lineRule="auto"/>
        <w:rPr>
          <w:rFonts w:ascii="Times New Roman" w:cs="Times New Roman" w:eastAsia="Times New Roman" w:hAnsi="Times New Roman"/>
          <w:sz w:val="19"/>
          <w:szCs w:val="19"/>
          <w:color w:val="auto"/>
        </w:rPr>
      </w:pPr>
      <w:r>
        <w:rPr>
          <w:rFonts w:ascii="Times New Roman" w:cs="Times New Roman" w:eastAsia="Times New Roman" w:hAnsi="Times New Roman"/>
          <w:sz w:val="20"/>
          <w:szCs w:val="20"/>
          <w:color w:val="auto"/>
        </w:rPr>
        <w:t>“(8) The issuer shall appoint a compliance officer who shall be responsible for monitoring the compliance of the securities laws and for redressal of investors’ grievances.”.</w:t>
      </w:r>
    </w:p>
    <w:p>
      <w:pPr>
        <w:spacing w:after="0" w:line="29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49</w:t>
      </w:r>
    </w:p>
    <w:p>
      <w:pPr>
        <w:sectPr>
          <w:pgSz w:w="11900" w:h="16836" w:orient="portrait"/>
          <w:cols w:equalWidth="0" w:num="1">
            <w:col w:w="9468"/>
          </w:cols>
          <w:pgMar w:left="1152" w:top="1156" w:right="1284" w:bottom="103" w:gutter="0" w:footer="0" w:header="0"/>
        </w:sectPr>
      </w:pPr>
    </w:p>
    <w:bookmarkStart w:id="49" w:name="page50"/>
    <w:bookmarkEnd w:id="49"/>
    <w:p>
      <w:pPr>
        <w:spacing w:after="0" w:line="12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Disclosures in the draft letter of offer and letter of offer</w:t>
      </w:r>
    </w:p>
    <w:p>
      <w:pPr>
        <w:spacing w:after="0" w:line="147" w:lineRule="exact"/>
        <w:rPr>
          <w:sz w:val="20"/>
          <w:szCs w:val="20"/>
          <w:color w:val="auto"/>
        </w:rPr>
      </w:pPr>
    </w:p>
    <w:p>
      <w:pPr>
        <w:ind w:left="8" w:hanging="8"/>
        <w:spacing w:after="0" w:line="348" w:lineRule="auto"/>
        <w:tabs>
          <w:tab w:leader="none" w:pos="382" w:val="left"/>
        </w:tabs>
        <w:numPr>
          <w:ilvl w:val="0"/>
          <w:numId w:val="19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draft letter of offer and letter of offer shall contain all material disclosures which are true and adequate to enable the applicants to take an informed investment decision.</w:t>
      </w:r>
    </w:p>
    <w:p>
      <w:pPr>
        <w:spacing w:after="0" w:line="15" w:lineRule="exact"/>
        <w:rPr>
          <w:rFonts w:ascii="Times New Roman" w:cs="Times New Roman" w:eastAsia="Times New Roman" w:hAnsi="Times New Roman"/>
          <w:sz w:val="24"/>
          <w:szCs w:val="24"/>
          <w:b w:val="1"/>
          <w:bCs w:val="1"/>
          <w:color w:val="auto"/>
        </w:rPr>
      </w:pPr>
    </w:p>
    <w:p>
      <w:pPr>
        <w:ind w:left="8"/>
        <w:spacing w:after="0"/>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Without prejudice to the generality of sub-regulation (1), the draft letter of offer and letter of</w:t>
      </w:r>
    </w:p>
    <w:p>
      <w:pPr>
        <w:spacing w:after="0" w:line="129" w:lineRule="exact"/>
        <w:rPr>
          <w:rFonts w:ascii="Times New Roman" w:cs="Times New Roman" w:eastAsia="Times New Roman" w:hAnsi="Times New Roman"/>
          <w:sz w:val="24"/>
          <w:szCs w:val="24"/>
          <w:b w:val="1"/>
          <w:bCs w:val="1"/>
          <w:color w:val="auto"/>
        </w:rPr>
      </w:pPr>
    </w:p>
    <w:p>
      <w:pPr>
        <w:ind w:left="8"/>
        <w:spacing w:after="0" w:line="287"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offer shall contain disclosures as specified in </w:t>
      </w:r>
      <w:r>
        <w:rPr>
          <w:rFonts w:ascii="Times New Roman" w:cs="Times New Roman" w:eastAsia="Times New Roman" w:hAnsi="Times New Roman"/>
          <w:sz w:val="32"/>
          <w:szCs w:val="32"/>
          <w:color w:val="auto"/>
          <w:vertAlign w:val="superscript"/>
        </w:rPr>
        <w:t>31</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b w:val="1"/>
          <w:bCs w:val="1"/>
          <w:color w:val="auto"/>
        </w:rPr>
        <w:t>Part B or Part B-1</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 VI, as</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applicable</w:t>
      </w:r>
      <w:r>
        <w:rPr>
          <w:rFonts w:ascii="Times New Roman" w:cs="Times New Roman" w:eastAsia="Times New Roman" w:hAnsi="Times New Roman"/>
          <w:sz w:val="24"/>
          <w:szCs w:val="24"/>
          <w:color w:val="auto"/>
        </w:rPr>
        <w:t>.</w:t>
      </w:r>
    </w:p>
    <w:p>
      <w:pPr>
        <w:spacing w:after="0" w:line="78" w:lineRule="exact"/>
        <w:rPr>
          <w:sz w:val="20"/>
          <w:szCs w:val="20"/>
          <w:color w:val="auto"/>
        </w:rPr>
      </w:pPr>
    </w:p>
    <w:p>
      <w:pPr>
        <w:jc w:val="both"/>
        <w:ind w:left="8" w:hanging="8"/>
        <w:spacing w:after="0" w:line="354" w:lineRule="auto"/>
        <w:tabs>
          <w:tab w:leader="none" w:pos="440" w:val="left"/>
        </w:tabs>
        <w:numPr>
          <w:ilvl w:val="0"/>
          <w:numId w:val="19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 shall exercise due diligence and satisfy themselves about all aspects of the issue including the veracity and adequacy of disclosure in the draft letter of offer and the letter of offer.</w:t>
      </w:r>
    </w:p>
    <w:p>
      <w:pPr>
        <w:spacing w:after="0" w:line="22"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454" w:val="left"/>
        </w:tabs>
        <w:numPr>
          <w:ilvl w:val="0"/>
          <w:numId w:val="19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 shall call upon the issuer, its promoters and its directors to fulfil their obligations as disclosed by them in the draft letter of offer and letter of offer and as required in terms of these Regulations.</w:t>
      </w:r>
    </w:p>
    <w:p>
      <w:pPr>
        <w:spacing w:after="0" w:line="19"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415" w:val="left"/>
        </w:tabs>
        <w:numPr>
          <w:ilvl w:val="0"/>
          <w:numId w:val="19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 shall ensure that the information contained in the draft letter of offer and letter of offer and the particulars as per audited financial statements in the letter of offer are not more than six months old from the issue opening date.</w:t>
      </w:r>
    </w:p>
    <w:p>
      <w:pPr>
        <w:spacing w:after="0" w:line="22" w:lineRule="exact"/>
        <w:rPr>
          <w:rFonts w:ascii="Times New Roman" w:cs="Times New Roman" w:eastAsia="Times New Roman" w:hAnsi="Times New Roman"/>
          <w:sz w:val="24"/>
          <w:szCs w:val="24"/>
          <w:color w:val="auto"/>
        </w:rPr>
      </w:pPr>
    </w:p>
    <w:p>
      <w:pPr>
        <w:ind w:left="8" w:hanging="8"/>
        <w:spacing w:after="0" w:line="348" w:lineRule="auto"/>
        <w:tabs>
          <w:tab w:leader="none" w:pos="430" w:val="left"/>
        </w:tabs>
        <w:numPr>
          <w:ilvl w:val="0"/>
          <w:numId w:val="19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 issuer shall make disclosures in the draft letter of offer, letter of offer and abridged letter of offer, if the issuer or any of its promoters or directors is a wilful defaulter.</w:t>
      </w:r>
    </w:p>
    <w:p>
      <w:pPr>
        <w:spacing w:after="0" w:line="28" w:lineRule="exact"/>
        <w:rPr>
          <w:sz w:val="20"/>
          <w:szCs w:val="20"/>
          <w:color w:val="auto"/>
        </w:rPr>
      </w:pPr>
    </w:p>
    <w:p>
      <w:pPr>
        <w:ind w:left="8"/>
        <w:spacing w:after="0" w:line="348" w:lineRule="auto"/>
        <w:rPr>
          <w:sz w:val="20"/>
          <w:szCs w:val="20"/>
          <w:color w:val="auto"/>
        </w:rPr>
      </w:pPr>
      <w:r>
        <w:rPr>
          <w:rFonts w:ascii="Times New Roman" w:cs="Times New Roman" w:eastAsia="Times New Roman" w:hAnsi="Times New Roman"/>
          <w:sz w:val="13"/>
          <w:szCs w:val="13"/>
          <w:color w:val="auto"/>
        </w:rPr>
        <w:t>32</w:t>
      </w:r>
      <w:r>
        <w:rPr>
          <w:rFonts w:ascii="Times New Roman" w:cs="Times New Roman" w:eastAsia="Times New Roman" w:hAnsi="Times New Roman"/>
          <w:sz w:val="24"/>
          <w:szCs w:val="24"/>
          <w:color w:val="auto"/>
        </w:rPr>
        <w:t>[(7) In the letter of offer and the abridged letter of offer, the issuer shall disclose the process of</w:t>
      </w:r>
      <w:r>
        <w:rPr>
          <w:rFonts w:ascii="Times New Roman" w:cs="Times New Roman" w:eastAsia="Times New Roman" w:hAnsi="Times New Roman"/>
          <w:sz w:val="13"/>
          <w:szCs w:val="13"/>
          <w:color w:val="auto"/>
        </w:rPr>
        <w:t xml:space="preserve"> </w:t>
      </w:r>
      <w:r>
        <w:rPr>
          <w:rFonts w:ascii="Times New Roman" w:cs="Times New Roman" w:eastAsia="Times New Roman" w:hAnsi="Times New Roman"/>
          <w:sz w:val="24"/>
          <w:szCs w:val="24"/>
          <w:color w:val="auto"/>
        </w:rPr>
        <w:t>credit of rights entitlements in the demat account and renunciation thereof.]</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Filing of the draft letter of offer and letter of offer</w:t>
      </w:r>
    </w:p>
    <w:p>
      <w:pPr>
        <w:spacing w:after="0" w:line="147" w:lineRule="exact"/>
        <w:rPr>
          <w:sz w:val="20"/>
          <w:szCs w:val="20"/>
          <w:color w:val="auto"/>
        </w:rPr>
      </w:pPr>
    </w:p>
    <w:p>
      <w:pPr>
        <w:jc w:val="both"/>
        <w:ind w:left="8" w:hanging="8"/>
        <w:spacing w:after="0" w:line="356" w:lineRule="auto"/>
        <w:tabs>
          <w:tab w:leader="none" w:pos="384" w:val="left"/>
        </w:tabs>
        <w:numPr>
          <w:ilvl w:val="0"/>
          <w:numId w:val="19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(1) Prior to making a rights issue, the issuer shall, except in case of a fast track issue, file a draft letter of offer, with the concerned regional office of the Board under the jurisdiction of which the registered office of the issuer company is located, in accordance with </w:t>
      </w:r>
      <w:r>
        <w:rPr>
          <w:rFonts w:ascii="Times New Roman" w:cs="Times New Roman" w:eastAsia="Times New Roman" w:hAnsi="Times New Roman"/>
          <w:sz w:val="24"/>
          <w:szCs w:val="24"/>
          <w:b w:val="1"/>
          <w:bCs w:val="1"/>
          <w:color w:val="auto"/>
        </w:rPr>
        <w:t>Schedule IV</w:t>
      </w:r>
      <w:r>
        <w:rPr>
          <w:rFonts w:ascii="Times New Roman" w:cs="Times New Roman" w:eastAsia="Times New Roman" w:hAnsi="Times New Roman"/>
          <w:sz w:val="24"/>
          <w:szCs w:val="24"/>
          <w:color w:val="auto"/>
        </w:rPr>
        <w:t xml:space="preserve">, along with fees as specified in </w:t>
      </w:r>
      <w:r>
        <w:rPr>
          <w:rFonts w:ascii="Times New Roman" w:cs="Times New Roman" w:eastAsia="Times New Roman" w:hAnsi="Times New Roman"/>
          <w:sz w:val="24"/>
          <w:szCs w:val="24"/>
          <w:b w:val="1"/>
          <w:bCs w:val="1"/>
          <w:color w:val="auto"/>
        </w:rPr>
        <w:t>Schedule III</w:t>
      </w:r>
      <w:r>
        <w:rPr>
          <w:rFonts w:ascii="Times New Roman" w:cs="Times New Roman" w:eastAsia="Times New Roman" w:hAnsi="Times New Roman"/>
          <w:sz w:val="24"/>
          <w:szCs w:val="24"/>
          <w:color w:val="auto"/>
        </w:rPr>
        <w:t>, with the Board and with the stock exchange(s), through the lead manager(s).</w:t>
      </w:r>
    </w:p>
    <w:p>
      <w:pPr>
        <w:spacing w:after="0" w:line="2" w:lineRule="exact"/>
        <w:rPr>
          <w:rFonts w:ascii="Times New Roman" w:cs="Times New Roman" w:eastAsia="Times New Roman" w:hAnsi="Times New Roman"/>
          <w:sz w:val="24"/>
          <w:szCs w:val="24"/>
          <w:b w:val="1"/>
          <w:bCs w:val="1"/>
          <w:color w:val="auto"/>
        </w:rPr>
      </w:pPr>
    </w:p>
    <w:p>
      <w:pPr>
        <w:ind w:left="8"/>
        <w:spacing w:after="0" w:line="287"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Provided that the issuer shall, in case of fast track issue, </w:t>
      </w:r>
      <w:r>
        <w:rPr>
          <w:rFonts w:ascii="Times New Roman" w:cs="Times New Roman" w:eastAsia="Times New Roman" w:hAnsi="Times New Roman"/>
          <w:sz w:val="32"/>
          <w:szCs w:val="32"/>
          <w:color w:val="auto"/>
          <w:vertAlign w:val="superscript"/>
        </w:rPr>
        <w:t>33</w:t>
      </w:r>
      <w:r>
        <w:rPr>
          <w:rFonts w:ascii="Times New Roman" w:cs="Times New Roman" w:eastAsia="Times New Roman" w:hAnsi="Times New Roman"/>
          <w:sz w:val="24"/>
          <w:szCs w:val="24"/>
          <w:color w:val="auto"/>
        </w:rPr>
        <w:t>[file] a letter of offer and pay fees as specified in Schedule III with the Board.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ind w:left="8" w:right="260" w:hanging="8"/>
        <w:spacing w:after="0" w:line="202" w:lineRule="auto"/>
        <w:tabs>
          <w:tab w:leader="none" w:pos="188" w:val="left"/>
        </w:tabs>
        <w:numPr>
          <w:ilvl w:val="0"/>
          <w:numId w:val="195"/>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SEBI (Issue of Capital and Disclosure Requirements) (Fourth Amendment) Regulations, 2020 w.e.f. 28.09.2020 for the words “Part A or Part B”.</w:t>
      </w:r>
    </w:p>
    <w:p>
      <w:pPr>
        <w:spacing w:after="0" w:line="13" w:lineRule="exact"/>
        <w:rPr>
          <w:rFonts w:ascii="Times New Roman" w:cs="Times New Roman" w:eastAsia="Times New Roman" w:hAnsi="Times New Roman"/>
          <w:sz w:val="26"/>
          <w:szCs w:val="26"/>
          <w:color w:val="auto"/>
          <w:vertAlign w:val="superscript"/>
        </w:rPr>
      </w:pPr>
    </w:p>
    <w:p>
      <w:pPr>
        <w:ind w:left="8" w:hanging="8"/>
        <w:spacing w:after="0" w:line="203" w:lineRule="auto"/>
        <w:tabs>
          <w:tab w:leader="none" w:pos="212" w:val="left"/>
        </w:tabs>
        <w:numPr>
          <w:ilvl w:val="0"/>
          <w:numId w:val="195"/>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Omitted by by the SEBI (Issue of Capital and Disclosure Requirements) (Sixth Amendment) Regulations, 2019 w.e.f. 26.12.2019.</w:t>
      </w:r>
    </w:p>
    <w:p>
      <w:pPr>
        <w:spacing w:after="0" w:line="13" w:lineRule="exact"/>
        <w:rPr>
          <w:rFonts w:ascii="Times New Roman" w:cs="Times New Roman" w:eastAsia="Times New Roman" w:hAnsi="Times New Roman"/>
          <w:sz w:val="26"/>
          <w:szCs w:val="26"/>
          <w:color w:val="auto"/>
          <w:vertAlign w:val="superscript"/>
        </w:rPr>
      </w:pPr>
    </w:p>
    <w:p>
      <w:pPr>
        <w:ind w:left="8" w:hanging="8"/>
        <w:spacing w:after="0" w:line="203" w:lineRule="auto"/>
        <w:tabs>
          <w:tab w:leader="none" w:pos="207" w:val="left"/>
        </w:tabs>
        <w:numPr>
          <w:ilvl w:val="0"/>
          <w:numId w:val="195"/>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SEBI (Issue of Capital and Disclosure Requirements) (Fourth Amendment) Regulations, 2020 w.e.f. 28.09.2020. Prior to its substitution, it read as “shall file”.</w:t>
      </w:r>
    </w:p>
    <w:p>
      <w:pPr>
        <w:spacing w:after="0" w:line="30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50</w:t>
      </w:r>
    </w:p>
    <w:p>
      <w:pPr>
        <w:sectPr>
          <w:pgSz w:w="11900" w:h="16836" w:orient="portrait"/>
          <w:cols w:equalWidth="0" w:num="1">
            <w:col w:w="9468"/>
          </w:cols>
          <w:pgMar w:left="1152" w:top="1440" w:right="1284" w:bottom="103" w:gutter="0" w:footer="0" w:header="0"/>
        </w:sectPr>
      </w:pPr>
    </w:p>
    <w:bookmarkStart w:id="50" w:name="page51"/>
    <w:bookmarkEnd w:id="50"/>
    <w:p>
      <w:pPr>
        <w:ind w:left="8" w:hanging="8"/>
        <w:spacing w:after="0" w:line="348" w:lineRule="auto"/>
        <w:tabs>
          <w:tab w:leader="none" w:pos="468" w:val="left"/>
        </w:tabs>
        <w:numPr>
          <w:ilvl w:val="0"/>
          <w:numId w:val="19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 shall submit the following to the Board along with the draft letter of offer:</w:t>
      </w:r>
    </w:p>
    <w:p>
      <w:pPr>
        <w:spacing w:after="0" w:line="28" w:lineRule="exact"/>
        <w:rPr>
          <w:rFonts w:ascii="Times New Roman" w:cs="Times New Roman" w:eastAsia="Times New Roman" w:hAnsi="Times New Roman"/>
          <w:sz w:val="24"/>
          <w:szCs w:val="24"/>
          <w:color w:val="auto"/>
        </w:rPr>
      </w:pPr>
    </w:p>
    <w:p>
      <w:pPr>
        <w:ind w:left="728" w:hanging="368"/>
        <w:spacing w:after="0" w:line="348" w:lineRule="auto"/>
        <w:tabs>
          <w:tab w:leader="none" w:pos="728" w:val="left"/>
        </w:tabs>
        <w:numPr>
          <w:ilvl w:val="1"/>
          <w:numId w:val="19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a certificate, confirming that an agreement has been entered into between the issuer and the lead manager(s) and includes content specified in </w:t>
      </w:r>
      <w:r>
        <w:rPr>
          <w:rFonts w:ascii="Times New Roman" w:cs="Times New Roman" w:eastAsia="Times New Roman" w:hAnsi="Times New Roman"/>
          <w:sz w:val="24"/>
          <w:szCs w:val="24"/>
          <w:b w:val="1"/>
          <w:bCs w:val="1"/>
          <w:color w:val="auto"/>
        </w:rPr>
        <w:t>Schedule II</w:t>
      </w:r>
      <w:r>
        <w:rPr>
          <w:rFonts w:ascii="Times New Roman" w:cs="Times New Roman" w:eastAsia="Times New Roman" w:hAnsi="Times New Roman"/>
          <w:sz w:val="24"/>
          <w:szCs w:val="24"/>
          <w:color w:val="auto"/>
        </w:rPr>
        <w:t>;</w:t>
      </w:r>
    </w:p>
    <w:p>
      <w:pPr>
        <w:spacing w:after="0" w:line="15" w:lineRule="exact"/>
        <w:rPr>
          <w:rFonts w:ascii="Times New Roman" w:cs="Times New Roman" w:eastAsia="Times New Roman" w:hAnsi="Times New Roman"/>
          <w:sz w:val="24"/>
          <w:szCs w:val="24"/>
          <w:color w:val="auto"/>
        </w:rPr>
      </w:pPr>
    </w:p>
    <w:p>
      <w:pPr>
        <w:ind w:left="728" w:hanging="368"/>
        <w:spacing w:after="0"/>
        <w:tabs>
          <w:tab w:leader="none" w:pos="728" w:val="left"/>
        </w:tabs>
        <w:numPr>
          <w:ilvl w:val="1"/>
          <w:numId w:val="19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a due diligence certificate as per </w:t>
      </w:r>
      <w:r>
        <w:rPr>
          <w:rFonts w:ascii="Times New Roman" w:cs="Times New Roman" w:eastAsia="Times New Roman" w:hAnsi="Times New Roman"/>
          <w:sz w:val="24"/>
          <w:szCs w:val="24"/>
          <w:b w:val="1"/>
          <w:bCs w:val="1"/>
          <w:color w:val="auto"/>
        </w:rPr>
        <w:t>Form A</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 V</w:t>
      </w:r>
      <w:r>
        <w:rPr>
          <w:rFonts w:ascii="Times New Roman" w:cs="Times New Roman" w:eastAsia="Times New Roman" w:hAnsi="Times New Roman"/>
          <w:sz w:val="24"/>
          <w:szCs w:val="24"/>
          <w:color w:val="auto"/>
        </w:rPr>
        <w:t>;</w:t>
      </w:r>
    </w:p>
    <w:p>
      <w:pPr>
        <w:spacing w:after="0" w:line="149" w:lineRule="exact"/>
        <w:rPr>
          <w:rFonts w:ascii="Times New Roman" w:cs="Times New Roman" w:eastAsia="Times New Roman" w:hAnsi="Times New Roman"/>
          <w:sz w:val="24"/>
          <w:szCs w:val="24"/>
          <w:color w:val="auto"/>
        </w:rPr>
      </w:pPr>
    </w:p>
    <w:p>
      <w:pPr>
        <w:ind w:left="728" w:hanging="368"/>
        <w:spacing w:after="0" w:line="350" w:lineRule="auto"/>
        <w:tabs>
          <w:tab w:leader="none" w:pos="728" w:val="left"/>
        </w:tabs>
        <w:numPr>
          <w:ilvl w:val="1"/>
          <w:numId w:val="19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in case of an issue of convertible debt instruments, a due diligence certificate from the debenture trustee as per </w:t>
      </w:r>
      <w:r>
        <w:rPr>
          <w:rFonts w:ascii="Times New Roman" w:cs="Times New Roman" w:eastAsia="Times New Roman" w:hAnsi="Times New Roman"/>
          <w:sz w:val="24"/>
          <w:szCs w:val="24"/>
          <w:b w:val="1"/>
          <w:bCs w:val="1"/>
          <w:color w:val="auto"/>
        </w:rPr>
        <w:t>Form B</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 V</w:t>
      </w:r>
      <w:r>
        <w:rPr>
          <w:rFonts w:ascii="Times New Roman" w:cs="Times New Roman" w:eastAsia="Times New Roman" w:hAnsi="Times New Roman"/>
          <w:sz w:val="24"/>
          <w:szCs w:val="24"/>
          <w:color w:val="auto"/>
        </w:rPr>
        <w:t>;</w:t>
      </w:r>
    </w:p>
    <w:p>
      <w:pPr>
        <w:spacing w:after="0" w:line="3" w:lineRule="exact"/>
        <w:rPr>
          <w:rFonts w:ascii="Times New Roman" w:cs="Times New Roman" w:eastAsia="Times New Roman" w:hAnsi="Times New Roman"/>
          <w:sz w:val="24"/>
          <w:szCs w:val="24"/>
          <w:color w:val="auto"/>
        </w:rPr>
      </w:pPr>
    </w:p>
    <w:p>
      <w:pPr>
        <w:ind w:left="728" w:hanging="368"/>
        <w:spacing w:after="0" w:line="288" w:lineRule="auto"/>
        <w:tabs>
          <w:tab w:leader="none" w:pos="728" w:val="left"/>
        </w:tabs>
        <w:numPr>
          <w:ilvl w:val="1"/>
          <w:numId w:val="19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A certificate confirming compliance of the conditions specified in </w:t>
      </w:r>
      <w:r>
        <w:rPr>
          <w:rFonts w:ascii="Times New Roman" w:cs="Times New Roman" w:eastAsia="Times New Roman" w:hAnsi="Times New Roman"/>
          <w:sz w:val="32"/>
          <w:szCs w:val="32"/>
          <w:color w:val="auto"/>
          <w:vertAlign w:val="superscript"/>
        </w:rPr>
        <w:t>34</w:t>
      </w:r>
      <w:r>
        <w:rPr>
          <w:rFonts w:ascii="Times New Roman" w:cs="Times New Roman" w:eastAsia="Times New Roman" w:hAnsi="Times New Roman"/>
          <w:sz w:val="24"/>
          <w:szCs w:val="24"/>
          <w:b w:val="1"/>
          <w:bCs w:val="1"/>
          <w:color w:val="auto"/>
        </w:rPr>
        <w:t>[Part F]</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VI</w:t>
      </w:r>
      <w:r>
        <w:rPr>
          <w:rFonts w:ascii="Times New Roman" w:cs="Times New Roman" w:eastAsia="Times New Roman" w:hAnsi="Times New Roman"/>
          <w:sz w:val="24"/>
          <w:szCs w:val="24"/>
          <w:color w:val="auto"/>
        </w:rPr>
        <w:t>, if applicable.</w:t>
      </w:r>
    </w:p>
    <w:p>
      <w:pPr>
        <w:spacing w:after="0" w:line="75" w:lineRule="exact"/>
        <w:rPr>
          <w:rFonts w:ascii="Times New Roman" w:cs="Times New Roman" w:eastAsia="Times New Roman" w:hAnsi="Times New Roman"/>
          <w:sz w:val="24"/>
          <w:szCs w:val="24"/>
          <w:color w:val="auto"/>
        </w:rPr>
      </w:pPr>
    </w:p>
    <w:p>
      <w:pPr>
        <w:jc w:val="both"/>
        <w:ind w:left="8" w:hanging="8"/>
        <w:spacing w:after="0" w:line="357" w:lineRule="auto"/>
        <w:tabs>
          <w:tab w:leader="none" w:pos="410" w:val="left"/>
        </w:tabs>
        <w:numPr>
          <w:ilvl w:val="0"/>
          <w:numId w:val="19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also file the draft letter of offer with the stock exchange(s) and shall submit to such stock exchange(s), the Permanent Account Number, bank account number and passport number of its promoters where they are individuals, and Permanent Account Number, bank account number, company registration number or equivalent and the address of the Registrar of Companies with which the promoter is registered, where the promoter is a body corporate.</w:t>
      </w:r>
    </w:p>
    <w:p>
      <w:pPr>
        <w:spacing w:after="0" w:line="18" w:lineRule="exact"/>
        <w:rPr>
          <w:rFonts w:ascii="Times New Roman" w:cs="Times New Roman" w:eastAsia="Times New Roman" w:hAnsi="Times New Roman"/>
          <w:sz w:val="24"/>
          <w:szCs w:val="24"/>
          <w:color w:val="auto"/>
        </w:rPr>
      </w:pPr>
    </w:p>
    <w:p>
      <w:pPr>
        <w:ind w:left="8" w:hanging="8"/>
        <w:spacing w:after="0" w:line="348" w:lineRule="auto"/>
        <w:tabs>
          <w:tab w:leader="none" w:pos="406" w:val="left"/>
        </w:tabs>
        <w:numPr>
          <w:ilvl w:val="0"/>
          <w:numId w:val="19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Board may specify changes or issue observations, if any, on the draft letter of offer within thirty days from the later of the following dates:</w:t>
      </w:r>
    </w:p>
    <w:p>
      <w:pPr>
        <w:spacing w:after="0" w:line="15" w:lineRule="exact"/>
        <w:rPr>
          <w:rFonts w:ascii="Times New Roman" w:cs="Times New Roman" w:eastAsia="Times New Roman" w:hAnsi="Times New Roman"/>
          <w:sz w:val="24"/>
          <w:szCs w:val="24"/>
          <w:color w:val="auto"/>
        </w:rPr>
      </w:pPr>
    </w:p>
    <w:p>
      <w:pPr>
        <w:ind w:left="368"/>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the date of receipt of the draft letter of offer, as applicable, under sub-regulation (1); or</w:t>
      </w:r>
    </w:p>
    <w:p>
      <w:pPr>
        <w:spacing w:after="0" w:line="149" w:lineRule="exact"/>
        <w:rPr>
          <w:rFonts w:ascii="Times New Roman" w:cs="Times New Roman" w:eastAsia="Times New Roman" w:hAnsi="Times New Roman"/>
          <w:sz w:val="24"/>
          <w:szCs w:val="24"/>
          <w:color w:val="auto"/>
        </w:rPr>
      </w:pPr>
    </w:p>
    <w:p>
      <w:pPr>
        <w:ind w:left="728" w:hanging="360"/>
        <w:spacing w:after="0" w:line="350"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 the date of receipt of satisfactory reply from the lead manager(s), where the Board has sought any clarification or additional information from them; or</w:t>
      </w:r>
    </w:p>
    <w:p>
      <w:pPr>
        <w:spacing w:after="0" w:line="23" w:lineRule="exact"/>
        <w:rPr>
          <w:rFonts w:ascii="Times New Roman" w:cs="Times New Roman" w:eastAsia="Times New Roman" w:hAnsi="Times New Roman"/>
          <w:sz w:val="24"/>
          <w:szCs w:val="24"/>
          <w:color w:val="auto"/>
        </w:rPr>
      </w:pPr>
    </w:p>
    <w:p>
      <w:pPr>
        <w:ind w:left="728" w:hanging="360"/>
        <w:spacing w:after="0" w:line="350"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 the date of receipt of clarification or information from any regulator or agency, where the Board has sought any clarification or information from such regulator or agency; or</w:t>
      </w:r>
    </w:p>
    <w:p>
      <w:pPr>
        <w:spacing w:after="0" w:line="10" w:lineRule="exact"/>
        <w:rPr>
          <w:rFonts w:ascii="Times New Roman" w:cs="Times New Roman" w:eastAsia="Times New Roman" w:hAnsi="Times New Roman"/>
          <w:sz w:val="24"/>
          <w:szCs w:val="24"/>
          <w:color w:val="auto"/>
        </w:rPr>
      </w:pPr>
    </w:p>
    <w:p>
      <w:pPr>
        <w:ind w:left="368"/>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 the date of receipt of a copy of in-principle approval letter issued by the stock exchanges.</w:t>
      </w:r>
    </w:p>
    <w:p>
      <w:pPr>
        <w:spacing w:after="0" w:line="200" w:lineRule="exact"/>
        <w:rPr>
          <w:rFonts w:ascii="Times New Roman" w:cs="Times New Roman" w:eastAsia="Times New Roman" w:hAnsi="Times New Roman"/>
          <w:sz w:val="24"/>
          <w:szCs w:val="24"/>
          <w:color w:val="auto"/>
        </w:rPr>
      </w:pPr>
    </w:p>
    <w:p>
      <w:pPr>
        <w:spacing w:after="0" w:line="364" w:lineRule="exact"/>
        <w:rPr>
          <w:rFonts w:ascii="Times New Roman" w:cs="Times New Roman" w:eastAsia="Times New Roman" w:hAnsi="Times New Roman"/>
          <w:sz w:val="24"/>
          <w:szCs w:val="24"/>
          <w:color w:val="auto"/>
        </w:rPr>
      </w:pPr>
    </w:p>
    <w:p>
      <w:pPr>
        <w:jc w:val="both"/>
        <w:ind w:left="8" w:hanging="8"/>
        <w:spacing w:after="0" w:line="357" w:lineRule="auto"/>
        <w:tabs>
          <w:tab w:leader="none" w:pos="360" w:val="left"/>
        </w:tabs>
        <w:numPr>
          <w:ilvl w:val="0"/>
          <w:numId w:val="19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Board specifies any changes or issues observations on the draft letter of offer the issuer and lead manager(s) shall carry out such changes in the draft letter of offer and shall submit to the Board an updated draft letter of offer complying with the observations issued by the Board and highlighting all changes made in the draft letter of offer before filing the letter of offer with the stock exchanges.</w:t>
      </w:r>
    </w:p>
    <w:p>
      <w:pPr>
        <w:spacing w:after="0" w:line="6" w:lineRule="exact"/>
        <w:rPr>
          <w:rFonts w:ascii="Times New Roman" w:cs="Times New Roman" w:eastAsia="Times New Roman" w:hAnsi="Times New Roman"/>
          <w:sz w:val="24"/>
          <w:szCs w:val="24"/>
          <w:color w:val="auto"/>
        </w:rPr>
      </w:pPr>
    </w:p>
    <w:p>
      <w:pPr>
        <w:ind w:left="388" w:hanging="388"/>
        <w:spacing w:after="0"/>
        <w:tabs>
          <w:tab w:leader="none" w:pos="388" w:val="left"/>
        </w:tabs>
        <w:numPr>
          <w:ilvl w:val="0"/>
          <w:numId w:val="19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there are any changes in the draft letter of offer in relation to the matters specified in</w:t>
      </w:r>
    </w:p>
    <w:p>
      <w:pPr>
        <w:spacing w:after="0" w:line="149" w:lineRule="exact"/>
        <w:rPr>
          <w:sz w:val="20"/>
          <w:szCs w:val="20"/>
          <w:color w:val="auto"/>
        </w:rPr>
      </w:pPr>
    </w:p>
    <w:p>
      <w:pPr>
        <w:ind w:left="8" w:right="20"/>
        <w:spacing w:after="0" w:line="350" w:lineRule="auto"/>
        <w:rPr>
          <w:sz w:val="20"/>
          <w:szCs w:val="20"/>
          <w:color w:val="auto"/>
        </w:rPr>
      </w:pPr>
      <w:r>
        <w:rPr>
          <w:rFonts w:ascii="Times New Roman" w:cs="Times New Roman" w:eastAsia="Times New Roman" w:hAnsi="Times New Roman"/>
          <w:sz w:val="24"/>
          <w:szCs w:val="24"/>
          <w:b w:val="1"/>
          <w:bCs w:val="1"/>
          <w:color w:val="auto"/>
        </w:rPr>
        <w:t>Schedule XVI</w:t>
      </w:r>
      <w:r>
        <w:rPr>
          <w:rFonts w:ascii="Times New Roman" w:cs="Times New Roman" w:eastAsia="Times New Roman" w:hAnsi="Times New Roman"/>
          <w:sz w:val="24"/>
          <w:szCs w:val="24"/>
          <w:color w:val="auto"/>
        </w:rPr>
        <w:t>, an updated letter of offer or a fresh draft letter of offer, as the case may be, shall</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 xml:space="preserve">be filed with the Board along with fees specified in </w:t>
      </w:r>
      <w:r>
        <w:rPr>
          <w:rFonts w:ascii="Times New Roman" w:cs="Times New Roman" w:eastAsia="Times New Roman" w:hAnsi="Times New Roman"/>
          <w:sz w:val="24"/>
          <w:szCs w:val="24"/>
          <w:b w:val="1"/>
          <w:bCs w:val="1"/>
          <w:color w:val="auto"/>
        </w:rPr>
        <w:t>Schedule III</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8" w:right="260" w:hanging="8"/>
        <w:spacing w:after="0" w:line="203" w:lineRule="auto"/>
        <w:tabs>
          <w:tab w:leader="none" w:pos="188" w:val="left"/>
        </w:tabs>
        <w:numPr>
          <w:ilvl w:val="0"/>
          <w:numId w:val="197"/>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SEBI (Issue of Capital and Disclosure Requirements) (Fourth Amendment) Regulations, 2020 w.e.f. 28.09.2020. Prior to its substitution, it read as “Part E”.</w:t>
      </w:r>
    </w:p>
    <w:p>
      <w:pPr>
        <w:spacing w:after="0" w:line="30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51</w:t>
      </w:r>
    </w:p>
    <w:p>
      <w:pPr>
        <w:sectPr>
          <w:pgSz w:w="11900" w:h="16836" w:orient="portrait"/>
          <w:cols w:equalWidth="0" w:num="1">
            <w:col w:w="9468"/>
          </w:cols>
          <w:pgMar w:left="1152" w:top="1156" w:right="1284" w:bottom="103" w:gutter="0" w:footer="0" w:header="0"/>
        </w:sectPr>
      </w:pPr>
    </w:p>
    <w:bookmarkStart w:id="51" w:name="page52"/>
    <w:bookmarkEnd w:id="51"/>
    <w:p>
      <w:pPr>
        <w:jc w:val="both"/>
        <w:ind w:left="8" w:hanging="8"/>
        <w:spacing w:after="0" w:line="354" w:lineRule="auto"/>
        <w:tabs>
          <w:tab w:leader="none" w:pos="389" w:val="left"/>
        </w:tabs>
        <w:numPr>
          <w:ilvl w:val="0"/>
          <w:numId w:val="19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 shall submit the following documents to the Board after issuance of observations by the Board or after expiry of the period stipulated in sub-regulation (4) of regulation 71 if the Board has not issued observations:</w:t>
      </w:r>
    </w:p>
    <w:p>
      <w:pPr>
        <w:spacing w:after="0" w:line="20" w:lineRule="exact"/>
        <w:rPr>
          <w:rFonts w:ascii="Times New Roman" w:cs="Times New Roman" w:eastAsia="Times New Roman" w:hAnsi="Times New Roman"/>
          <w:sz w:val="24"/>
          <w:szCs w:val="24"/>
          <w:color w:val="auto"/>
        </w:rPr>
      </w:pPr>
    </w:p>
    <w:p>
      <w:pPr>
        <w:ind w:left="728" w:hanging="368"/>
        <w:spacing w:after="0" w:line="350" w:lineRule="auto"/>
        <w:tabs>
          <w:tab w:leader="none" w:pos="720" w:val="left"/>
        </w:tabs>
        <w:numPr>
          <w:ilvl w:val="1"/>
          <w:numId w:val="19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statement certifying that all changes, suggestions and observations made by the Board have been incorporated in the letter of offer;</w:t>
      </w:r>
    </w:p>
    <w:p>
      <w:pPr>
        <w:spacing w:after="0" w:line="23" w:lineRule="exact"/>
        <w:rPr>
          <w:rFonts w:ascii="Times New Roman" w:cs="Times New Roman" w:eastAsia="Times New Roman" w:hAnsi="Times New Roman"/>
          <w:sz w:val="24"/>
          <w:szCs w:val="24"/>
          <w:color w:val="auto"/>
        </w:rPr>
      </w:pPr>
    </w:p>
    <w:p>
      <w:pPr>
        <w:ind w:left="728" w:hanging="368"/>
        <w:spacing w:after="0" w:line="350" w:lineRule="auto"/>
        <w:tabs>
          <w:tab w:leader="none" w:pos="715" w:val="left"/>
        </w:tabs>
        <w:numPr>
          <w:ilvl w:val="1"/>
          <w:numId w:val="19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a due diligence certificate as per </w:t>
      </w:r>
      <w:r>
        <w:rPr>
          <w:rFonts w:ascii="Times New Roman" w:cs="Times New Roman" w:eastAsia="Times New Roman" w:hAnsi="Times New Roman"/>
          <w:sz w:val="24"/>
          <w:szCs w:val="24"/>
          <w:b w:val="1"/>
          <w:bCs w:val="1"/>
          <w:color w:val="auto"/>
        </w:rPr>
        <w:t>Form C</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 V</w:t>
      </w:r>
      <w:r>
        <w:rPr>
          <w:rFonts w:ascii="Times New Roman" w:cs="Times New Roman" w:eastAsia="Times New Roman" w:hAnsi="Times New Roman"/>
          <w:sz w:val="24"/>
          <w:szCs w:val="24"/>
          <w:color w:val="auto"/>
        </w:rPr>
        <w:t>, at the time of submission of the letter of offer with stock exchange(s);</w:t>
      </w:r>
    </w:p>
    <w:p>
      <w:pPr>
        <w:spacing w:after="0" w:line="23" w:lineRule="exact"/>
        <w:rPr>
          <w:rFonts w:ascii="Times New Roman" w:cs="Times New Roman" w:eastAsia="Times New Roman" w:hAnsi="Times New Roman"/>
          <w:sz w:val="24"/>
          <w:szCs w:val="24"/>
          <w:color w:val="auto"/>
        </w:rPr>
      </w:pPr>
    </w:p>
    <w:p>
      <w:pPr>
        <w:ind w:left="728" w:hanging="368"/>
        <w:spacing w:after="0" w:line="350" w:lineRule="auto"/>
        <w:tabs>
          <w:tab w:leader="none" w:pos="692" w:val="left"/>
        </w:tabs>
        <w:numPr>
          <w:ilvl w:val="1"/>
          <w:numId w:val="19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a due diligence certificate as per </w:t>
      </w:r>
      <w:r>
        <w:rPr>
          <w:rFonts w:ascii="Times New Roman" w:cs="Times New Roman" w:eastAsia="Times New Roman" w:hAnsi="Times New Roman"/>
          <w:sz w:val="24"/>
          <w:szCs w:val="24"/>
          <w:b w:val="1"/>
          <w:bCs w:val="1"/>
          <w:color w:val="auto"/>
        </w:rPr>
        <w:t>Form D</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 V</w:t>
      </w:r>
      <w:r>
        <w:rPr>
          <w:rFonts w:ascii="Times New Roman" w:cs="Times New Roman" w:eastAsia="Times New Roman" w:hAnsi="Times New Roman"/>
          <w:sz w:val="24"/>
          <w:szCs w:val="24"/>
          <w:color w:val="auto"/>
        </w:rPr>
        <w:t>, in the event the issuer has made a disclosure of any material development by issuing a public notice.</w:t>
      </w:r>
    </w:p>
    <w:p>
      <w:pPr>
        <w:spacing w:after="0" w:line="23"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358" w:val="left"/>
        </w:tabs>
        <w:numPr>
          <w:ilvl w:val="0"/>
          <w:numId w:val="19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Copy of the letter of offer shall also be filed with the Board and the stock exchanges through the lead manager simultaneously with filing of the letter of offer with the designated stock exchange.</w:t>
      </w:r>
    </w:p>
    <w:p>
      <w:pPr>
        <w:spacing w:after="0" w:line="9" w:lineRule="exact"/>
        <w:rPr>
          <w:rFonts w:ascii="Times New Roman" w:cs="Times New Roman" w:eastAsia="Times New Roman" w:hAnsi="Times New Roman"/>
          <w:sz w:val="24"/>
          <w:szCs w:val="24"/>
          <w:color w:val="auto"/>
        </w:rPr>
      </w:pPr>
    </w:p>
    <w:p>
      <w:pPr>
        <w:ind w:left="348" w:hanging="348"/>
        <w:spacing w:after="0"/>
        <w:tabs>
          <w:tab w:leader="none" w:pos="348" w:val="left"/>
        </w:tabs>
        <w:numPr>
          <w:ilvl w:val="0"/>
          <w:numId w:val="19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draft letter of offer and letter of offer shall also be furnished to the Board in a soft copy.</w:t>
      </w:r>
    </w:p>
    <w:p>
      <w:pPr>
        <w:spacing w:after="0" w:line="200" w:lineRule="exact"/>
        <w:rPr>
          <w:sz w:val="20"/>
          <w:szCs w:val="20"/>
          <w:color w:val="auto"/>
        </w:rPr>
      </w:pPr>
    </w:p>
    <w:p>
      <w:pPr>
        <w:spacing w:after="0" w:line="35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Draft letter of offer and letter of offer to be available to the public</w:t>
      </w:r>
    </w:p>
    <w:p>
      <w:pPr>
        <w:spacing w:after="0" w:line="144" w:lineRule="exact"/>
        <w:rPr>
          <w:sz w:val="20"/>
          <w:szCs w:val="20"/>
          <w:color w:val="auto"/>
        </w:rPr>
      </w:pPr>
    </w:p>
    <w:p>
      <w:pPr>
        <w:jc w:val="both"/>
        <w:ind w:left="8" w:hanging="8"/>
        <w:spacing w:after="0" w:line="356" w:lineRule="auto"/>
        <w:tabs>
          <w:tab w:leader="none" w:pos="370" w:val="left"/>
        </w:tabs>
        <w:numPr>
          <w:ilvl w:val="0"/>
          <w:numId w:val="19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draft letter of offer filed with the Board shall be made public for comments, if any, for a period of at least twenty one days from the date of filing, by hosting it on the websites of the Board, stock exchanges where specified securities are proposed to be listed and the lead manager(s) associated with the issue.</w:t>
      </w:r>
    </w:p>
    <w:p>
      <w:pPr>
        <w:spacing w:after="0" w:line="18" w:lineRule="exact"/>
        <w:rPr>
          <w:rFonts w:ascii="Times New Roman" w:cs="Times New Roman" w:eastAsia="Times New Roman" w:hAnsi="Times New Roman"/>
          <w:sz w:val="24"/>
          <w:szCs w:val="24"/>
          <w:b w:val="1"/>
          <w:bCs w:val="1"/>
          <w:color w:val="auto"/>
        </w:rPr>
      </w:pPr>
    </w:p>
    <w:p>
      <w:pPr>
        <w:jc w:val="both"/>
        <w:ind w:left="8"/>
        <w:spacing w:after="0" w:line="35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The issuer shall, within two days of filing of the draft letter of offer with the Board, make a public announcement in one English national daily newspaper with wide circulation, one Hindi national daily newspaper with wide circulation and one regional language newspaper with wide circulation at the place where the registered office of the issuer is situated, disclosing to the public the fact of filing of the draft letter of offer with the Board and inviting the public to provide their comments to the Board, the issuer or to the lead manager(s) in respect of the disclosures made in the draft letter of offer.</w:t>
      </w:r>
    </w:p>
    <w:p>
      <w:pPr>
        <w:spacing w:after="0" w:line="18" w:lineRule="exact"/>
        <w:rPr>
          <w:rFonts w:ascii="Times New Roman" w:cs="Times New Roman" w:eastAsia="Times New Roman" w:hAnsi="Times New Roman"/>
          <w:sz w:val="24"/>
          <w:szCs w:val="24"/>
          <w:b w:val="1"/>
          <w:bCs w:val="1"/>
          <w:color w:val="auto"/>
        </w:rPr>
      </w:pPr>
    </w:p>
    <w:p>
      <w:pPr>
        <w:jc w:val="both"/>
        <w:ind w:left="8"/>
        <w:spacing w:after="0" w:line="356"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(3) The lead manager(s) shall, after expiry of the period stipulated in sub-regulation (1), file with the Board, details of the comments received by them or the issuer from the public, on the draft offer document, during that period and the consequential changes, if any, that are required to be made in the draft offer document.</w:t>
      </w:r>
    </w:p>
    <w:p>
      <w:pPr>
        <w:spacing w:after="0" w:line="18"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(4) The issuer and the lead manager(s) shall ensure that the letters of offer are hosted on the websites as required under these regulations and its contents are the same as the versions as filed with the Board and the stock exchanges, as applicable.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52</w:t>
      </w:r>
    </w:p>
    <w:p>
      <w:pPr>
        <w:sectPr>
          <w:pgSz w:w="11900" w:h="16836" w:orient="portrait"/>
          <w:cols w:equalWidth="0" w:num="1">
            <w:col w:w="9468"/>
          </w:cols>
          <w:pgMar w:left="1152" w:top="1156" w:right="1284" w:bottom="103" w:gutter="0" w:footer="0" w:header="0"/>
        </w:sectPr>
      </w:pPr>
    </w:p>
    <w:bookmarkStart w:id="52" w:name="page53"/>
    <w:bookmarkEnd w:id="52"/>
    <w:p>
      <w:pPr>
        <w:jc w:val="both"/>
        <w:ind w:left="8" w:hanging="8"/>
        <w:spacing w:after="0" w:line="354" w:lineRule="auto"/>
        <w:tabs>
          <w:tab w:leader="none" w:pos="351" w:val="left"/>
        </w:tabs>
        <w:numPr>
          <w:ilvl w:val="0"/>
          <w:numId w:val="20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 and the stock exchanges shall provide copies of the draft letter of offer to the public as and when requested and may charge a reasonable sum for providing a copy of the same.</w:t>
      </w:r>
    </w:p>
    <w:p>
      <w:pPr>
        <w:spacing w:after="0" w:line="200" w:lineRule="exact"/>
        <w:rPr>
          <w:sz w:val="20"/>
          <w:szCs w:val="20"/>
          <w:color w:val="auto"/>
        </w:rPr>
      </w:pPr>
    </w:p>
    <w:p>
      <w:pPr>
        <w:spacing w:after="0" w:line="22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VI: PRICING</w:t>
      </w:r>
    </w:p>
    <w:p>
      <w:pPr>
        <w:spacing w:after="0" w:line="144" w:lineRule="exact"/>
        <w:rPr>
          <w:sz w:val="20"/>
          <w:szCs w:val="20"/>
          <w:color w:val="auto"/>
        </w:rPr>
      </w:pPr>
    </w:p>
    <w:p>
      <w:pPr>
        <w:jc w:val="both"/>
        <w:ind w:left="8" w:hanging="8"/>
        <w:spacing w:after="0" w:line="354" w:lineRule="auto"/>
        <w:tabs>
          <w:tab w:leader="none" w:pos="396" w:val="left"/>
        </w:tabs>
        <w:numPr>
          <w:ilvl w:val="0"/>
          <w:numId w:val="20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shall decide the issue price, in consultation with the lead manager(s), before determining the record date, which shall be determined in consultation with the designated stock exchange.</w:t>
      </w:r>
    </w:p>
    <w:p>
      <w:pPr>
        <w:spacing w:after="0" w:line="10" w:lineRule="exact"/>
        <w:rPr>
          <w:rFonts w:ascii="Times New Roman" w:cs="Times New Roman" w:eastAsia="Times New Roman" w:hAnsi="Times New Roman"/>
          <w:sz w:val="24"/>
          <w:szCs w:val="24"/>
          <w:b w:val="1"/>
          <w:bCs w:val="1"/>
          <w:color w:val="auto"/>
        </w:rPr>
      </w:pPr>
    </w:p>
    <w:p>
      <w:pPr>
        <w:ind w:left="8"/>
        <w:spacing w:after="0"/>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The issue price shall not be less than the face value of the specified securities.</w:t>
      </w:r>
    </w:p>
    <w:p>
      <w:pPr>
        <w:spacing w:after="0" w:line="149" w:lineRule="exact"/>
        <w:rPr>
          <w:rFonts w:ascii="Times New Roman" w:cs="Times New Roman" w:eastAsia="Times New Roman" w:hAnsi="Times New Roman"/>
          <w:sz w:val="24"/>
          <w:szCs w:val="24"/>
          <w:b w:val="1"/>
          <w:bCs w:val="1"/>
          <w:color w:val="auto"/>
        </w:rPr>
      </w:pPr>
    </w:p>
    <w:p>
      <w:pPr>
        <w:ind w:left="8"/>
        <w:spacing w:after="0" w:line="350"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(3) The issuer shall disclose the issue price in the letter of offer filed with the Board and the stock exchange(s).</w:t>
      </w:r>
    </w:p>
    <w:p>
      <w:pPr>
        <w:spacing w:after="0" w:line="200" w:lineRule="exact"/>
        <w:rPr>
          <w:sz w:val="20"/>
          <w:szCs w:val="20"/>
          <w:color w:val="auto"/>
        </w:rPr>
      </w:pPr>
    </w:p>
    <w:p>
      <w:pPr>
        <w:spacing w:after="0" w:line="231"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VII: ISSUANCE CONDITIONS AND PROCEDURE</w:t>
      </w:r>
    </w:p>
    <w:p>
      <w:pPr>
        <w:spacing w:after="0" w:line="200" w:lineRule="exact"/>
        <w:rPr>
          <w:sz w:val="20"/>
          <w:szCs w:val="20"/>
          <w:color w:val="auto"/>
        </w:rPr>
      </w:pPr>
    </w:p>
    <w:p>
      <w:pPr>
        <w:spacing w:after="0" w:line="35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Reservations</w:t>
      </w:r>
    </w:p>
    <w:p>
      <w:pPr>
        <w:spacing w:after="0" w:line="144" w:lineRule="exact"/>
        <w:rPr>
          <w:sz w:val="20"/>
          <w:szCs w:val="20"/>
          <w:color w:val="auto"/>
        </w:rPr>
      </w:pPr>
    </w:p>
    <w:p>
      <w:pPr>
        <w:jc w:val="both"/>
        <w:ind w:left="8" w:hanging="8"/>
        <w:spacing w:after="0" w:line="354" w:lineRule="auto"/>
        <w:tabs>
          <w:tab w:leader="none" w:pos="399" w:val="left"/>
        </w:tabs>
        <w:numPr>
          <w:ilvl w:val="0"/>
          <w:numId w:val="20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shall make a rights issue of equity shares only if it has made reservation of equity shares of the same class in favour of the holders of outstanding compulsorily convertible debt instruments, if any, in proportion to the convertible part thereof.</w:t>
      </w:r>
    </w:p>
    <w:p>
      <w:pPr>
        <w:spacing w:after="0" w:line="22" w:lineRule="exact"/>
        <w:rPr>
          <w:rFonts w:ascii="Times New Roman" w:cs="Times New Roman" w:eastAsia="Times New Roman" w:hAnsi="Times New Roman"/>
          <w:sz w:val="24"/>
          <w:szCs w:val="24"/>
          <w:b w:val="1"/>
          <w:bCs w:val="1"/>
          <w:color w:val="auto"/>
        </w:rPr>
      </w:pPr>
    </w:p>
    <w:p>
      <w:pPr>
        <w:jc w:val="both"/>
        <w:ind w:left="8"/>
        <w:spacing w:after="0" w:line="355"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The equity shares so reserved for the holders of fully or partly compulsorily convertible debt instruments shall be issued to the holder of such convertible debt instruments or warrants at the time of conversion of such convertible debt instruments, on the same terms at which the equity shares offered in the rights issue were issued.</w:t>
      </w:r>
    </w:p>
    <w:p>
      <w:pPr>
        <w:spacing w:after="0" w:line="3" w:lineRule="exact"/>
        <w:rPr>
          <w:sz w:val="20"/>
          <w:szCs w:val="20"/>
          <w:color w:val="auto"/>
        </w:rPr>
      </w:pPr>
    </w:p>
    <w:p>
      <w:pPr>
        <w:ind w:left="8"/>
        <w:spacing w:after="0" w:line="286" w:lineRule="auto"/>
        <w:rPr>
          <w:sz w:val="20"/>
          <w:szCs w:val="20"/>
          <w:color w:val="auto"/>
        </w:rPr>
      </w:pPr>
      <w:r>
        <w:rPr>
          <w:rFonts w:ascii="Times New Roman" w:cs="Times New Roman" w:eastAsia="Times New Roman" w:hAnsi="Times New Roman"/>
          <w:sz w:val="32"/>
          <w:szCs w:val="32"/>
          <w:color w:val="auto"/>
          <w:vertAlign w:val="superscript"/>
        </w:rPr>
        <w:t>35</w:t>
      </w:r>
      <w:r>
        <w:rPr>
          <w:rFonts w:ascii="Times New Roman" w:cs="Times New Roman" w:eastAsia="Times New Roman" w:hAnsi="Times New Roman"/>
          <w:sz w:val="24"/>
          <w:szCs w:val="24"/>
          <w:color w:val="auto"/>
        </w:rPr>
        <w:t>[Provided that for the purposes of offering such rights entitlements, the issuer company shall not be required to credit rights entitlements.]</w:t>
      </w:r>
    </w:p>
    <w:p>
      <w:pPr>
        <w:spacing w:after="0" w:line="81" w:lineRule="exact"/>
        <w:rPr>
          <w:sz w:val="20"/>
          <w:szCs w:val="20"/>
          <w:color w:val="auto"/>
        </w:rPr>
      </w:pPr>
    </w:p>
    <w:p>
      <w:pPr>
        <w:jc w:val="both"/>
        <w:ind w:left="8" w:hanging="8"/>
        <w:spacing w:after="0" w:line="354" w:lineRule="auto"/>
        <w:tabs>
          <w:tab w:leader="none" w:pos="353" w:val="left"/>
        </w:tabs>
        <w:numPr>
          <w:ilvl w:val="0"/>
          <w:numId w:val="20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Subject to other applicable provision of these regulations, the issuer may make reservation for its employees along with rights issue subject to the condition that the value of allotment to any employee shall not exceed two lakhs rupees.</w:t>
      </w:r>
    </w:p>
    <w:p>
      <w:pPr>
        <w:spacing w:after="0" w:line="19" w:lineRule="exact"/>
        <w:rPr>
          <w:rFonts w:ascii="Times New Roman" w:cs="Times New Roman" w:eastAsia="Times New Roman" w:hAnsi="Times New Roman"/>
          <w:sz w:val="24"/>
          <w:szCs w:val="24"/>
          <w:color w:val="auto"/>
        </w:rPr>
      </w:pPr>
    </w:p>
    <w:p>
      <w:pPr>
        <w:ind w:left="8" w:right="220"/>
        <w:spacing w:after="0" w:line="35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in the event of under-subscription in the employee reservation portion, the unsubscribed portion may be allotted on a proportionate basis, for a value in excess of two lakhs rupees, subject to the total allotment to an employee not exceeding five lakhs rupees.</w:t>
      </w:r>
    </w:p>
    <w:p>
      <w:pPr>
        <w:spacing w:after="0" w:line="200" w:lineRule="exact"/>
        <w:rPr>
          <w:sz w:val="20"/>
          <w:szCs w:val="20"/>
          <w:color w:val="auto"/>
        </w:rPr>
      </w:pPr>
    </w:p>
    <w:p>
      <w:pPr>
        <w:spacing w:after="0" w:line="22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Abridged letter of offer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ind w:left="188" w:hanging="188"/>
        <w:spacing w:after="0"/>
        <w:tabs>
          <w:tab w:leader="none" w:pos="188" w:val="left"/>
        </w:tabs>
        <w:numPr>
          <w:ilvl w:val="0"/>
          <w:numId w:val="204"/>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Inserted by the SEBI (Issue of Capital and Disclosure Requirements) (Fourth Amendment) Regulations, 2020 w.e.f.</w:t>
      </w:r>
    </w:p>
    <w:p>
      <w:pPr>
        <w:spacing w:after="0" w:line="19" w:lineRule="exact"/>
        <w:rPr>
          <w:rFonts w:ascii="Times New Roman" w:cs="Times New Roman" w:eastAsia="Times New Roman" w:hAnsi="Times New Roman"/>
          <w:sz w:val="26"/>
          <w:szCs w:val="26"/>
          <w:color w:val="auto"/>
          <w:vertAlign w:val="superscript"/>
        </w:rPr>
      </w:pPr>
    </w:p>
    <w:p>
      <w:pPr>
        <w:ind w:left="248" w:hanging="248"/>
        <w:spacing w:after="0" w:line="231" w:lineRule="auto"/>
        <w:tabs>
          <w:tab w:leader="none" w:pos="248" w:val="left"/>
        </w:tabs>
        <w:numPr>
          <w:ilvl w:val="0"/>
          <w:numId w:val="205"/>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09.2020.</w:t>
      </w:r>
    </w:p>
    <w:p>
      <w:pPr>
        <w:spacing w:after="0" w:line="29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53</w:t>
      </w:r>
    </w:p>
    <w:p>
      <w:pPr>
        <w:sectPr>
          <w:pgSz w:w="11900" w:h="16836" w:orient="portrait"/>
          <w:cols w:equalWidth="0" w:num="1">
            <w:col w:w="9468"/>
          </w:cols>
          <w:pgMar w:left="1152" w:top="1156" w:right="1284" w:bottom="103" w:gutter="0" w:footer="0" w:header="0"/>
        </w:sectPr>
      </w:pPr>
    </w:p>
    <w:bookmarkStart w:id="53" w:name="page54"/>
    <w:bookmarkEnd w:id="53"/>
    <w:p>
      <w:pPr>
        <w:jc w:val="both"/>
        <w:ind w:left="8" w:hanging="8"/>
        <w:spacing w:after="0" w:line="348" w:lineRule="auto"/>
        <w:tabs>
          <w:tab w:leader="none" w:pos="377" w:val="left"/>
        </w:tabs>
        <w:numPr>
          <w:ilvl w:val="0"/>
          <w:numId w:val="20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(1) The abridged letter of offer shall contain the disclosures as specified by the Board in </w:t>
      </w:r>
      <w:r>
        <w:rPr>
          <w:rFonts w:ascii="Times New Roman" w:cs="Times New Roman" w:eastAsia="Times New Roman" w:hAnsi="Times New Roman"/>
          <w:sz w:val="24"/>
          <w:szCs w:val="24"/>
          <w:b w:val="1"/>
          <w:bCs w:val="1"/>
          <w:color w:val="auto"/>
        </w:rPr>
        <w:t>Part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 xml:space="preserve">F </w:t>
      </w:r>
      <w:r>
        <w:rPr>
          <w:rFonts w:ascii="Times New Roman" w:cs="Times New Roman" w:eastAsia="Times New Roman" w:hAnsi="Times New Roman"/>
          <w:sz w:val="24"/>
          <w:szCs w:val="24"/>
          <w:color w:val="auto"/>
        </w:rPr>
        <w:t>of</w:t>
      </w:r>
      <w:r>
        <w:rPr>
          <w:rFonts w:ascii="Times New Roman" w:cs="Times New Roman" w:eastAsia="Times New Roman" w:hAnsi="Times New Roman"/>
          <w:sz w:val="24"/>
          <w:szCs w:val="24"/>
          <w:b w:val="1"/>
          <w:bCs w:val="1"/>
          <w:color w:val="auto"/>
        </w:rPr>
        <w:t xml:space="preserve"> Schedule VI </w:t>
      </w:r>
      <w:r>
        <w:rPr>
          <w:rFonts w:ascii="Times New Roman" w:cs="Times New Roman" w:eastAsia="Times New Roman" w:hAnsi="Times New Roman"/>
          <w:sz w:val="24"/>
          <w:szCs w:val="24"/>
          <w:color w:val="auto"/>
        </w:rPr>
        <w:t>and shall not contain any matter extraneous to the contents of the letter of offer.</w:t>
      </w:r>
    </w:p>
    <w:p>
      <w:pPr>
        <w:spacing w:after="0" w:line="28" w:lineRule="exact"/>
        <w:rPr>
          <w:rFonts w:ascii="Times New Roman" w:cs="Times New Roman" w:eastAsia="Times New Roman" w:hAnsi="Times New Roman"/>
          <w:sz w:val="24"/>
          <w:szCs w:val="24"/>
          <w:b w:val="1"/>
          <w:bCs w:val="1"/>
          <w:color w:val="auto"/>
        </w:rPr>
      </w:pPr>
    </w:p>
    <w:p>
      <w:pPr>
        <w:ind w:left="8"/>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Every application form distributed by the issuer or any other person in relation to the issue shall be accompanied by a copy of the abridged letter of offer.</w:t>
      </w:r>
    </w:p>
    <w:p>
      <w:pPr>
        <w:spacing w:after="0" w:line="200" w:lineRule="exact"/>
        <w:rPr>
          <w:sz w:val="20"/>
          <w:szCs w:val="20"/>
          <w:color w:val="auto"/>
        </w:rPr>
      </w:pPr>
    </w:p>
    <w:p>
      <w:pPr>
        <w:spacing w:after="0" w:line="237" w:lineRule="exact"/>
        <w:rPr>
          <w:sz w:val="20"/>
          <w:szCs w:val="20"/>
          <w:color w:val="auto"/>
        </w:rPr>
      </w:pPr>
    </w:p>
    <w:p>
      <w:pPr>
        <w:ind w:left="8"/>
        <w:spacing w:after="0"/>
        <w:rPr>
          <w:sz w:val="20"/>
          <w:szCs w:val="20"/>
          <w:color w:val="auto"/>
        </w:rPr>
      </w:pPr>
      <w:r>
        <w:rPr>
          <w:rFonts w:ascii="Times New Roman" w:cs="Times New Roman" w:eastAsia="Times New Roman" w:hAnsi="Times New Roman"/>
          <w:sz w:val="32"/>
          <w:szCs w:val="32"/>
          <w:b w:val="1"/>
          <w:bCs w:val="1"/>
          <w:color w:val="auto"/>
          <w:vertAlign w:val="superscript"/>
        </w:rPr>
        <w:t>36</w:t>
      </w:r>
      <w:r>
        <w:rPr>
          <w:rFonts w:ascii="Times New Roman" w:cs="Times New Roman" w:eastAsia="Times New Roman" w:hAnsi="Times New Roman"/>
          <w:sz w:val="24"/>
          <w:szCs w:val="24"/>
          <w:b w:val="1"/>
          <w:bCs w:val="1"/>
          <w:color w:val="auto"/>
        </w:rPr>
        <w:t>[ASBA.</w:t>
      </w:r>
    </w:p>
    <w:p>
      <w:pPr>
        <w:spacing w:after="0" w:line="50" w:lineRule="exact"/>
        <w:rPr>
          <w:sz w:val="20"/>
          <w:szCs w:val="20"/>
          <w:color w:val="auto"/>
        </w:rPr>
      </w:pPr>
    </w:p>
    <w:p>
      <w:pPr>
        <w:ind w:left="8"/>
        <w:spacing w:after="0" w:line="348" w:lineRule="auto"/>
        <w:rPr>
          <w:sz w:val="20"/>
          <w:szCs w:val="20"/>
          <w:color w:val="auto"/>
        </w:rPr>
      </w:pPr>
      <w:r>
        <w:rPr>
          <w:rFonts w:ascii="Times New Roman" w:cs="Times New Roman" w:eastAsia="Times New Roman" w:hAnsi="Times New Roman"/>
          <w:sz w:val="24"/>
          <w:szCs w:val="24"/>
          <w:b w:val="1"/>
          <w:bCs w:val="1"/>
          <w:color w:val="auto"/>
        </w:rPr>
        <w:t>76</w:t>
      </w:r>
      <w:r>
        <w:rPr>
          <w:rFonts w:ascii="Times New Roman" w:cs="Times New Roman" w:eastAsia="Times New Roman" w:hAnsi="Times New Roman"/>
          <w:sz w:val="24"/>
          <w:szCs w:val="24"/>
          <w:color w:val="auto"/>
        </w:rPr>
        <w:t>. An applicant to the rights issue shall do so only through the ASBA facility, which facility</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shall be provided by the issuer in the manner specified by the Board:</w:t>
      </w:r>
    </w:p>
    <w:p>
      <w:pPr>
        <w:spacing w:after="0" w:line="28" w:lineRule="exact"/>
        <w:rPr>
          <w:sz w:val="20"/>
          <w:szCs w:val="20"/>
          <w:color w:val="auto"/>
        </w:rPr>
      </w:pPr>
    </w:p>
    <w:p>
      <w:pPr>
        <w:ind w:left="8"/>
        <w:spacing w:after="0" w:line="348" w:lineRule="auto"/>
        <w:rPr>
          <w:sz w:val="20"/>
          <w:szCs w:val="20"/>
          <w:color w:val="auto"/>
        </w:rPr>
      </w:pPr>
      <w:r>
        <w:rPr>
          <w:rFonts w:ascii="Times New Roman" w:cs="Times New Roman" w:eastAsia="Times New Roman" w:hAnsi="Times New Roman"/>
          <w:sz w:val="24"/>
          <w:szCs w:val="24"/>
          <w:color w:val="auto"/>
        </w:rPr>
        <w:t>Provided that payment through any other electronic banking mode shall be permitted in respect of an application made for any reserved portion outside the issue period.</w:t>
      </w:r>
      <w:r>
        <w:rPr>
          <w:rFonts w:ascii="Times New Roman" w:cs="Times New Roman" w:eastAsia="Times New Roman" w:hAnsi="Times New Roman"/>
          <w:sz w:val="24"/>
          <w:szCs w:val="24"/>
          <w:b w:val="1"/>
          <w:bCs w:val="1"/>
          <w:color w:val="auto"/>
        </w:rPr>
        <w:t>]</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Availability of letter of offer and other issue materials</w:t>
      </w:r>
    </w:p>
    <w:p>
      <w:pPr>
        <w:spacing w:after="0" w:line="147" w:lineRule="exact"/>
        <w:rPr>
          <w:sz w:val="20"/>
          <w:szCs w:val="20"/>
          <w:color w:val="auto"/>
        </w:rPr>
      </w:pPr>
    </w:p>
    <w:p>
      <w:pPr>
        <w:jc w:val="both"/>
        <w:ind w:left="8" w:hanging="8"/>
        <w:spacing w:after="0" w:line="354" w:lineRule="auto"/>
        <w:tabs>
          <w:tab w:leader="none" w:pos="372" w:val="left"/>
        </w:tabs>
        <w:numPr>
          <w:ilvl w:val="0"/>
          <w:numId w:val="20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lead manager(s) shall ensure availability of the letter of offer and other issue material including application forms with stock exchanges, registrar to issue, registrar and share transfer agents, depository participants, stock brokers, underwriters, bankers to the issue, investors‘</w:t>
      </w:r>
    </w:p>
    <w:p>
      <w:pPr>
        <w:spacing w:after="0" w:line="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associations and self certified syndicate banks before the opening of the issue.</w:t>
      </w:r>
    </w:p>
    <w:p>
      <w:pPr>
        <w:spacing w:after="0" w:line="152" w:lineRule="exact"/>
        <w:rPr>
          <w:sz w:val="20"/>
          <w:szCs w:val="20"/>
          <w:color w:val="auto"/>
        </w:rPr>
      </w:pPr>
    </w:p>
    <w:p>
      <w:pPr>
        <w:jc w:val="both"/>
        <w:ind w:left="8" w:hanging="8"/>
        <w:spacing w:after="0" w:line="354" w:lineRule="auto"/>
        <w:tabs>
          <w:tab w:leader="none" w:pos="418" w:val="left"/>
        </w:tabs>
        <w:numPr>
          <w:ilvl w:val="0"/>
          <w:numId w:val="20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abridged letter of offer, along with application form, shall be despatched through registered post or speed post or by courier service or by electronic transmission to all the existing shareholders at least three days before the date of opening of the issue.</w:t>
      </w:r>
    </w:p>
    <w:p>
      <w:pPr>
        <w:spacing w:after="0" w:line="19" w:lineRule="exact"/>
        <w:rPr>
          <w:rFonts w:ascii="Times New Roman" w:cs="Times New Roman" w:eastAsia="Times New Roman" w:hAnsi="Times New Roman"/>
          <w:sz w:val="24"/>
          <w:szCs w:val="24"/>
          <w:color w:val="auto"/>
        </w:rPr>
      </w:pPr>
    </w:p>
    <w:p>
      <w:pPr>
        <w:ind w:left="8" w:hanging="8"/>
        <w:spacing w:after="0" w:line="350" w:lineRule="auto"/>
        <w:tabs>
          <w:tab w:leader="none" w:pos="384" w:val="left"/>
        </w:tabs>
        <w:numPr>
          <w:ilvl w:val="0"/>
          <w:numId w:val="20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letter of offer shall also be provided by the issuer or lead manager(s) to any existing shareholder who makes a request in this regard.</w:t>
      </w:r>
    </w:p>
    <w:p>
      <w:pPr>
        <w:spacing w:after="0" w:line="200" w:lineRule="exact"/>
        <w:rPr>
          <w:sz w:val="20"/>
          <w:szCs w:val="20"/>
          <w:color w:val="auto"/>
        </w:rPr>
      </w:pPr>
    </w:p>
    <w:p>
      <w:pPr>
        <w:spacing w:after="0" w:line="235" w:lineRule="exact"/>
        <w:rPr>
          <w:sz w:val="20"/>
          <w:szCs w:val="20"/>
          <w:color w:val="auto"/>
        </w:rPr>
      </w:pPr>
    </w:p>
    <w:p>
      <w:pPr>
        <w:ind w:left="8"/>
        <w:spacing w:after="0"/>
        <w:rPr>
          <w:sz w:val="20"/>
          <w:szCs w:val="20"/>
          <w:color w:val="auto"/>
        </w:rPr>
      </w:pPr>
      <w:r>
        <w:rPr>
          <w:rFonts w:ascii="Times New Roman" w:cs="Times New Roman" w:eastAsia="Times New Roman" w:hAnsi="Times New Roman"/>
          <w:sz w:val="32"/>
          <w:szCs w:val="32"/>
          <w:b w:val="1"/>
          <w:bCs w:val="1"/>
          <w:color w:val="auto"/>
          <w:vertAlign w:val="superscript"/>
        </w:rPr>
        <w:t>37</w:t>
      </w:r>
      <w:r>
        <w:rPr>
          <w:rFonts w:ascii="Times New Roman" w:cs="Times New Roman" w:eastAsia="Times New Roman" w:hAnsi="Times New Roman"/>
          <w:sz w:val="24"/>
          <w:szCs w:val="24"/>
          <w:b w:val="1"/>
          <w:bCs w:val="1"/>
          <w:color w:val="auto"/>
        </w:rPr>
        <w:t>[Credit of rights entitlements and allotment of specified securities.</w:t>
      </w:r>
    </w:p>
    <w:p>
      <w:pPr>
        <w:spacing w:after="0" w:line="49" w:lineRule="exact"/>
        <w:rPr>
          <w:sz w:val="20"/>
          <w:szCs w:val="20"/>
          <w:color w:val="auto"/>
        </w:rPr>
      </w:pPr>
    </w:p>
    <w:p>
      <w:pPr>
        <w:ind w:left="8"/>
        <w:spacing w:after="0" w:line="350" w:lineRule="auto"/>
        <w:rPr>
          <w:sz w:val="20"/>
          <w:szCs w:val="20"/>
          <w:color w:val="auto"/>
        </w:rPr>
      </w:pPr>
      <w:r>
        <w:rPr>
          <w:rFonts w:ascii="Times New Roman" w:cs="Times New Roman" w:eastAsia="Times New Roman" w:hAnsi="Times New Roman"/>
          <w:sz w:val="24"/>
          <w:szCs w:val="24"/>
          <w:b w:val="1"/>
          <w:bCs w:val="1"/>
          <w:color w:val="auto"/>
        </w:rPr>
        <w:t>77A</w:t>
      </w:r>
      <w:r>
        <w:rPr>
          <w:rFonts w:ascii="Times New Roman" w:cs="Times New Roman" w:eastAsia="Times New Roman" w:hAnsi="Times New Roman"/>
          <w:sz w:val="24"/>
          <w:szCs w:val="24"/>
          <w:color w:val="auto"/>
        </w:rPr>
        <w:t>. (1) The rights entitlements shall be credited to the demat account of the shareholders before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the date of opening of the issue.</w:t>
      </w:r>
    </w:p>
    <w:p>
      <w:pPr>
        <w:spacing w:after="0" w:line="11"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(2) Allotment of specified securities shall be made in the dematerialised form only.</w:t>
      </w:r>
      <w:r>
        <w:rPr>
          <w:rFonts w:ascii="Times New Roman" w:cs="Times New Roman" w:eastAsia="Times New Roman" w:hAnsi="Times New Roman"/>
          <w:sz w:val="24"/>
          <w:szCs w:val="24"/>
          <w:b w:val="1"/>
          <w:bCs w:val="1"/>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ind w:left="8" w:hanging="8"/>
        <w:spacing w:after="0" w:line="203" w:lineRule="auto"/>
        <w:tabs>
          <w:tab w:leader="none" w:pos="214" w:val="left"/>
        </w:tabs>
        <w:numPr>
          <w:ilvl w:val="0"/>
          <w:numId w:val="209"/>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SEBI (Issue of Capital and Disclosure Requirements) (Sixth Amendment) Regulations, 2019 w.e.f. 26.12.2019. Prior to its substitution, Reg. 76 read as follows,-</w:t>
      </w:r>
    </w:p>
    <w:p>
      <w:pPr>
        <w:spacing w:after="0" w:line="2" w:lineRule="exact"/>
        <w:rPr>
          <w:rFonts w:ascii="Times New Roman" w:cs="Times New Roman" w:eastAsia="Times New Roman" w:hAnsi="Times New Roman"/>
          <w:sz w:val="26"/>
          <w:szCs w:val="26"/>
          <w:color w:val="auto"/>
          <w:vertAlign w:val="superscript"/>
        </w:rPr>
      </w:pPr>
    </w:p>
    <w:p>
      <w:pPr>
        <w:ind w:left="728"/>
        <w:spacing w:after="0" w:line="237" w:lineRule="auto"/>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b w:val="1"/>
          <w:bCs w:val="1"/>
          <w:color w:val="auto"/>
        </w:rPr>
        <w:t>ASBA</w:t>
      </w:r>
    </w:p>
    <w:p>
      <w:pPr>
        <w:spacing w:after="0" w:line="12" w:lineRule="exact"/>
        <w:rPr>
          <w:rFonts w:ascii="Times New Roman" w:cs="Times New Roman" w:eastAsia="Times New Roman" w:hAnsi="Times New Roman"/>
          <w:sz w:val="26"/>
          <w:szCs w:val="26"/>
          <w:color w:val="auto"/>
          <w:vertAlign w:val="superscript"/>
        </w:rPr>
      </w:pPr>
    </w:p>
    <w:p>
      <w:pPr>
        <w:ind w:left="728" w:right="20" w:hanging="8"/>
        <w:spacing w:after="0" w:line="234" w:lineRule="auto"/>
        <w:tabs>
          <w:tab w:leader="none" w:pos="1047" w:val="left"/>
        </w:tabs>
        <w:numPr>
          <w:ilvl w:val="1"/>
          <w:numId w:val="209"/>
        </w:numPr>
        <w:rPr>
          <w:rFonts w:ascii="Times New Roman" w:cs="Times New Roman" w:eastAsia="Times New Roman" w:hAnsi="Times New Roman"/>
          <w:sz w:val="20"/>
          <w:szCs w:val="20"/>
          <w:b w:val="1"/>
          <w:bCs w:val="1"/>
          <w:color w:val="auto"/>
        </w:rPr>
      </w:pPr>
      <w:r>
        <w:rPr>
          <w:rFonts w:ascii="Times New Roman" w:cs="Times New Roman" w:eastAsia="Times New Roman" w:hAnsi="Times New Roman"/>
          <w:sz w:val="20"/>
          <w:szCs w:val="20"/>
          <w:color w:val="auto"/>
        </w:rPr>
        <w:t>The issuer shall provide the ASBA facility in the manner specified by the Board where not more than one payment option is provided.</w:t>
      </w:r>
    </w:p>
    <w:p>
      <w:pPr>
        <w:spacing w:after="0" w:line="12" w:lineRule="exact"/>
        <w:rPr>
          <w:rFonts w:ascii="Times New Roman" w:cs="Times New Roman" w:eastAsia="Times New Roman" w:hAnsi="Times New Roman"/>
          <w:sz w:val="20"/>
          <w:szCs w:val="20"/>
          <w:b w:val="1"/>
          <w:bCs w:val="1"/>
          <w:color w:val="auto"/>
        </w:rPr>
      </w:pPr>
    </w:p>
    <w:p>
      <w:pPr>
        <w:jc w:val="both"/>
        <w:ind w:left="728"/>
        <w:spacing w:after="0" w:line="235" w:lineRule="auto"/>
        <w:rPr>
          <w:rFonts w:ascii="Times New Roman" w:cs="Times New Roman" w:eastAsia="Times New Roman" w:hAnsi="Times New Roman"/>
          <w:sz w:val="20"/>
          <w:szCs w:val="20"/>
          <w:b w:val="1"/>
          <w:bCs w:val="1"/>
          <w:color w:val="auto"/>
        </w:rPr>
      </w:pPr>
      <w:r>
        <w:rPr>
          <w:rFonts w:ascii="Times New Roman" w:cs="Times New Roman" w:eastAsia="Times New Roman" w:hAnsi="Times New Roman"/>
          <w:sz w:val="20"/>
          <w:szCs w:val="20"/>
          <w:color w:val="auto"/>
        </w:rPr>
        <w:t>Provided that the applicants in a rights issue shall be eligible to make applications through ASBA facility only if such applicant: (i) is holding equity shares in dematerialised mode; (ii) has not renounced entitlement in part or in full; and (iii) is not a renouncee.</w:t>
      </w:r>
    </w:p>
    <w:p>
      <w:pPr>
        <w:spacing w:after="0" w:line="13" w:lineRule="exact"/>
        <w:rPr>
          <w:rFonts w:ascii="Times New Roman" w:cs="Times New Roman" w:eastAsia="Times New Roman" w:hAnsi="Times New Roman"/>
          <w:sz w:val="20"/>
          <w:szCs w:val="20"/>
          <w:b w:val="1"/>
          <w:bCs w:val="1"/>
          <w:color w:val="auto"/>
        </w:rPr>
      </w:pPr>
    </w:p>
    <w:p>
      <w:pPr>
        <w:ind w:left="728"/>
        <w:spacing w:after="0" w:line="234" w:lineRule="auto"/>
        <w:rPr>
          <w:rFonts w:ascii="Times New Roman" w:cs="Times New Roman" w:eastAsia="Times New Roman" w:hAnsi="Times New Roman"/>
          <w:sz w:val="20"/>
          <w:szCs w:val="20"/>
          <w:b w:val="1"/>
          <w:bCs w:val="1"/>
          <w:color w:val="auto"/>
        </w:rPr>
      </w:pPr>
      <w:r>
        <w:rPr>
          <w:rFonts w:ascii="Times New Roman" w:cs="Times New Roman" w:eastAsia="Times New Roman" w:hAnsi="Times New Roman"/>
          <w:sz w:val="20"/>
          <w:szCs w:val="20"/>
          <w:color w:val="auto"/>
        </w:rPr>
        <w:t>Provided further that payment made for application for any reserved portion outside the issue period can be through electronic banking modes.”</w:t>
      </w:r>
    </w:p>
    <w:p>
      <w:pPr>
        <w:spacing w:after="0" w:line="1" w:lineRule="exact"/>
        <w:rPr>
          <w:rFonts w:ascii="Times New Roman" w:cs="Times New Roman" w:eastAsia="Times New Roman" w:hAnsi="Times New Roman"/>
          <w:sz w:val="20"/>
          <w:szCs w:val="20"/>
          <w:b w:val="1"/>
          <w:bCs w:val="1"/>
          <w:color w:val="auto"/>
        </w:rPr>
      </w:pPr>
    </w:p>
    <w:p>
      <w:pPr>
        <w:ind w:left="188" w:hanging="188"/>
        <w:spacing w:after="0" w:line="184" w:lineRule="auto"/>
        <w:tabs>
          <w:tab w:leader="none" w:pos="188" w:val="left"/>
        </w:tabs>
        <w:numPr>
          <w:ilvl w:val="0"/>
          <w:numId w:val="209"/>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Inserted by the SEBI (Issue of Capital and Disclosure Requirements) (Sixth Amendment) Regulations, 2019 w.e.f.</w:t>
      </w:r>
    </w:p>
    <w:p>
      <w:pPr>
        <w:spacing w:after="0" w:line="20" w:lineRule="exact"/>
        <w:rPr>
          <w:rFonts w:ascii="Times New Roman" w:cs="Times New Roman" w:eastAsia="Times New Roman" w:hAnsi="Times New Roman"/>
          <w:sz w:val="26"/>
          <w:szCs w:val="26"/>
          <w:color w:val="auto"/>
          <w:vertAlign w:val="superscript"/>
        </w:rPr>
      </w:pPr>
    </w:p>
    <w:p>
      <w:pPr>
        <w:ind w:left="248" w:hanging="248"/>
        <w:spacing w:after="0" w:line="231" w:lineRule="auto"/>
        <w:tabs>
          <w:tab w:leader="none" w:pos="248" w:val="left"/>
        </w:tabs>
        <w:numPr>
          <w:ilvl w:val="0"/>
          <w:numId w:val="210"/>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12.2019.</w:t>
      </w:r>
    </w:p>
    <w:p>
      <w:pPr>
        <w:spacing w:after="0" w:line="29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54</w:t>
      </w:r>
    </w:p>
    <w:p>
      <w:pPr>
        <w:sectPr>
          <w:pgSz w:w="11900" w:h="16836" w:orient="portrait"/>
          <w:cols w:equalWidth="0" w:num="1">
            <w:col w:w="9468"/>
          </w:cols>
          <w:pgMar w:left="1152" w:top="1156" w:right="1284" w:bottom="103" w:gutter="0" w:footer="0" w:header="0"/>
        </w:sectPr>
      </w:pPr>
    </w:p>
    <w:bookmarkStart w:id="54" w:name="page55"/>
    <w:bookmarkEnd w:id="54"/>
    <w:p>
      <w:pPr>
        <w:ind w:left="8"/>
        <w:spacing w:after="0"/>
        <w:rPr>
          <w:sz w:val="20"/>
          <w:szCs w:val="20"/>
          <w:color w:val="auto"/>
        </w:rPr>
      </w:pPr>
      <w:r>
        <w:rPr>
          <w:rFonts w:ascii="Times New Roman" w:cs="Times New Roman" w:eastAsia="Times New Roman" w:hAnsi="Times New Roman"/>
          <w:sz w:val="24"/>
          <w:szCs w:val="24"/>
          <w:b w:val="1"/>
          <w:bCs w:val="1"/>
          <w:color w:val="auto"/>
        </w:rPr>
        <w:t>Conditions for making applications on plain paper</w:t>
      </w:r>
    </w:p>
    <w:p>
      <w:pPr>
        <w:spacing w:after="0" w:line="145" w:lineRule="exact"/>
        <w:rPr>
          <w:sz w:val="20"/>
          <w:szCs w:val="20"/>
          <w:color w:val="auto"/>
        </w:rPr>
      </w:pPr>
    </w:p>
    <w:p>
      <w:pPr>
        <w:ind w:left="8" w:hanging="8"/>
        <w:spacing w:after="0" w:line="350" w:lineRule="auto"/>
        <w:tabs>
          <w:tab w:leader="none" w:pos="408" w:val="left"/>
        </w:tabs>
        <w:numPr>
          <w:ilvl w:val="0"/>
          <w:numId w:val="21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Shareholders who have not received the application form may make an application in writing on a plain paper, along with the requisite application money.</w:t>
      </w:r>
    </w:p>
    <w:p>
      <w:pPr>
        <w:spacing w:after="0" w:line="3" w:lineRule="exact"/>
        <w:rPr>
          <w:sz w:val="20"/>
          <w:szCs w:val="20"/>
          <w:color w:val="auto"/>
        </w:rPr>
      </w:pPr>
    </w:p>
    <w:p>
      <w:pPr>
        <w:ind w:left="8"/>
        <w:spacing w:after="0" w:line="287" w:lineRule="auto"/>
        <w:rPr>
          <w:sz w:val="20"/>
          <w:szCs w:val="20"/>
          <w:color w:val="auto"/>
        </w:rPr>
      </w:pPr>
      <w:r>
        <w:rPr>
          <w:rFonts w:ascii="Times New Roman" w:cs="Times New Roman" w:eastAsia="Times New Roman" w:hAnsi="Times New Roman"/>
          <w:sz w:val="32"/>
          <w:szCs w:val="32"/>
          <w:color w:val="auto"/>
          <w:vertAlign w:val="superscript"/>
        </w:rPr>
        <w:t>38</w:t>
      </w:r>
      <w:r>
        <w:rPr>
          <w:rFonts w:ascii="Times New Roman" w:cs="Times New Roman" w:eastAsia="Times New Roman" w:hAnsi="Times New Roman"/>
          <w:sz w:val="24"/>
          <w:szCs w:val="24"/>
          <w:color w:val="auto"/>
        </w:rPr>
        <w:t>[Provided that SCSBs shall accept such application forms only if all details required for making the application as per these regulations are specified in the plain paper application.]</w:t>
      </w:r>
    </w:p>
    <w:p>
      <w:pPr>
        <w:spacing w:after="0" w:line="78" w:lineRule="exact"/>
        <w:rPr>
          <w:sz w:val="20"/>
          <w:szCs w:val="20"/>
          <w:color w:val="auto"/>
        </w:rPr>
      </w:pPr>
    </w:p>
    <w:p>
      <w:pPr>
        <w:jc w:val="both"/>
        <w:ind w:left="8" w:hanging="8"/>
        <w:spacing w:after="0" w:line="354" w:lineRule="auto"/>
        <w:tabs>
          <w:tab w:leader="none" w:pos="346" w:val="left"/>
        </w:tabs>
        <w:numPr>
          <w:ilvl w:val="0"/>
          <w:numId w:val="2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Shareholders making an application on plain paper shall not be entitled to renounce their rights and shall not utilise the application form for any purpose including renunciation even if it is received subsequently.</w:t>
      </w:r>
    </w:p>
    <w:p>
      <w:pPr>
        <w:spacing w:after="0" w:line="22" w:lineRule="exact"/>
        <w:rPr>
          <w:rFonts w:ascii="Times New Roman" w:cs="Times New Roman" w:eastAsia="Times New Roman" w:hAnsi="Times New Roman"/>
          <w:sz w:val="24"/>
          <w:szCs w:val="24"/>
          <w:color w:val="auto"/>
        </w:rPr>
      </w:pPr>
    </w:p>
    <w:p>
      <w:pPr>
        <w:ind w:left="8" w:hanging="8"/>
        <w:spacing w:after="0" w:line="348" w:lineRule="auto"/>
        <w:tabs>
          <w:tab w:leader="none" w:pos="360" w:val="left"/>
        </w:tabs>
        <w:numPr>
          <w:ilvl w:val="0"/>
          <w:numId w:val="2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a shareholder makes an application both in an application form as well as on a plain paper, both applications are liable to be rejected.</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Prohibition on payment of incentives</w:t>
      </w:r>
    </w:p>
    <w:p>
      <w:pPr>
        <w:spacing w:after="0" w:line="147" w:lineRule="exact"/>
        <w:rPr>
          <w:sz w:val="20"/>
          <w:szCs w:val="20"/>
          <w:color w:val="auto"/>
        </w:rPr>
      </w:pPr>
    </w:p>
    <w:p>
      <w:pPr>
        <w:jc w:val="both"/>
        <w:ind w:left="8" w:hanging="8"/>
        <w:spacing w:after="0" w:line="356" w:lineRule="auto"/>
        <w:tabs>
          <w:tab w:leader="none" w:pos="442" w:val="left"/>
        </w:tabs>
        <w:numPr>
          <w:ilvl w:val="0"/>
          <w:numId w:val="21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Any person connected with the issue, shall not offer any incentive, whether direct or indirect, in any manner, whether in cash or kind or services or otherwise to any person for making an application in the rights issue, except for fees or commission for services rendered in relation to the issue.</w:t>
      </w:r>
    </w:p>
    <w:p>
      <w:pPr>
        <w:spacing w:after="0" w:line="200" w:lineRule="exact"/>
        <w:rPr>
          <w:sz w:val="20"/>
          <w:szCs w:val="20"/>
          <w:color w:val="auto"/>
        </w:rPr>
      </w:pPr>
    </w:p>
    <w:p>
      <w:pPr>
        <w:spacing w:after="0" w:line="224"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Security deposit</w:t>
      </w:r>
    </w:p>
    <w:p>
      <w:pPr>
        <w:spacing w:after="0" w:line="147" w:lineRule="exact"/>
        <w:rPr>
          <w:sz w:val="20"/>
          <w:szCs w:val="20"/>
          <w:color w:val="auto"/>
        </w:rPr>
      </w:pPr>
    </w:p>
    <w:p>
      <w:pPr>
        <w:jc w:val="both"/>
        <w:ind w:left="8" w:hanging="8"/>
        <w:spacing w:after="0" w:line="354" w:lineRule="auto"/>
        <w:tabs>
          <w:tab w:leader="none" w:pos="394" w:val="left"/>
        </w:tabs>
        <w:numPr>
          <w:ilvl w:val="0"/>
          <w:numId w:val="21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shall, before the opening of the subscription list, deposit with the designated stock exchange, an amount calculated at the rate of one per cent. of the issue size in the manner specified by the Board and/or stock exchange(s).</w:t>
      </w:r>
    </w:p>
    <w:p>
      <w:pPr>
        <w:spacing w:after="0" w:line="20" w:lineRule="exact"/>
        <w:rPr>
          <w:sz w:val="20"/>
          <w:szCs w:val="20"/>
          <w:color w:val="auto"/>
        </w:rPr>
      </w:pPr>
    </w:p>
    <w:p>
      <w:pPr>
        <w:ind w:left="8" w:hanging="8"/>
        <w:spacing w:after="0" w:line="350" w:lineRule="auto"/>
        <w:tabs>
          <w:tab w:leader="none" w:pos="454" w:val="left"/>
        </w:tabs>
        <w:numPr>
          <w:ilvl w:val="0"/>
          <w:numId w:val="2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amount specified in sub-regulation (1) shall be refundable or forfeitable in the manner specified by the Board.</w:t>
      </w:r>
    </w:p>
    <w:p>
      <w:pPr>
        <w:spacing w:after="0" w:line="200" w:lineRule="exact"/>
        <w:rPr>
          <w:sz w:val="20"/>
          <w:szCs w:val="20"/>
          <w:color w:val="auto"/>
        </w:rPr>
      </w:pPr>
    </w:p>
    <w:p>
      <w:pPr>
        <w:spacing w:after="0" w:line="231"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Underwriting</w:t>
      </w:r>
    </w:p>
    <w:p>
      <w:pPr>
        <w:spacing w:after="0" w:line="144" w:lineRule="exact"/>
        <w:rPr>
          <w:sz w:val="20"/>
          <w:szCs w:val="20"/>
          <w:color w:val="auto"/>
        </w:rPr>
      </w:pPr>
    </w:p>
    <w:p>
      <w:pPr>
        <w:ind w:left="8" w:hanging="8"/>
        <w:spacing w:after="0" w:line="356" w:lineRule="auto"/>
        <w:tabs>
          <w:tab w:leader="none" w:pos="428" w:val="left"/>
        </w:tabs>
        <w:numPr>
          <w:ilvl w:val="0"/>
          <w:numId w:val="21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If the issuer desires to have the issue underwritten, it shall appoint underwriters in accordance with the Securities and Exchange Board of India (Underwriters) Regulations, 1993. Provided that the issue can be underwritten only to the extent of entitlement of shareholders other than the promoters and promoter group.</w:t>
      </w:r>
    </w:p>
    <w:p>
      <w:pPr>
        <w:spacing w:after="0" w:line="19" w:lineRule="exact"/>
        <w:rPr>
          <w:sz w:val="20"/>
          <w:szCs w:val="20"/>
          <w:color w:val="auto"/>
        </w:rPr>
      </w:pPr>
    </w:p>
    <w:p>
      <w:pPr>
        <w:jc w:val="both"/>
        <w:ind w:left="8" w:hanging="8"/>
        <w:spacing w:after="0" w:line="354" w:lineRule="auto"/>
        <w:tabs>
          <w:tab w:leader="none" w:pos="451" w:val="left"/>
        </w:tabs>
        <w:numPr>
          <w:ilvl w:val="0"/>
          <w:numId w:val="2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every underwritten issue, the lead manager(s) shall undertake minimum underwriting obligations as specified in the Securities and Exchange Board of India (Merchant Bankers) Regulations, 1992.</w:t>
      </w: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ind w:left="188" w:hanging="188"/>
        <w:spacing w:after="0"/>
        <w:tabs>
          <w:tab w:leader="none" w:pos="188" w:val="left"/>
        </w:tabs>
        <w:numPr>
          <w:ilvl w:val="0"/>
          <w:numId w:val="218"/>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Inserted by the SEBI (Issue of Capital and Disclosure Requirements) (Fourth Amendment) Regulations, 2020 w.e.f.</w:t>
      </w:r>
    </w:p>
    <w:p>
      <w:pPr>
        <w:spacing w:after="0" w:line="19" w:lineRule="exact"/>
        <w:rPr>
          <w:rFonts w:ascii="Times New Roman" w:cs="Times New Roman" w:eastAsia="Times New Roman" w:hAnsi="Times New Roman"/>
          <w:sz w:val="26"/>
          <w:szCs w:val="26"/>
          <w:color w:val="auto"/>
          <w:vertAlign w:val="superscript"/>
        </w:rPr>
      </w:pPr>
    </w:p>
    <w:p>
      <w:pPr>
        <w:ind w:left="248" w:hanging="248"/>
        <w:spacing w:after="0" w:line="231" w:lineRule="auto"/>
        <w:tabs>
          <w:tab w:leader="none" w:pos="248" w:val="left"/>
        </w:tabs>
        <w:numPr>
          <w:ilvl w:val="0"/>
          <w:numId w:val="219"/>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09.2020.</w:t>
      </w:r>
    </w:p>
    <w:p>
      <w:pPr>
        <w:spacing w:after="0" w:line="29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55</w:t>
      </w:r>
    </w:p>
    <w:p>
      <w:pPr>
        <w:sectPr>
          <w:pgSz w:w="11900" w:h="16836" w:orient="portrait"/>
          <w:cols w:equalWidth="0" w:num="1">
            <w:col w:w="9468"/>
          </w:cols>
          <w:pgMar w:left="1152" w:top="1149" w:right="1284" w:bottom="103" w:gutter="0" w:footer="0" w:header="0"/>
        </w:sectPr>
      </w:pPr>
    </w:p>
    <w:bookmarkStart w:id="55" w:name="page56"/>
    <w:bookmarkEnd w:id="55"/>
    <w:p>
      <w:pPr>
        <w:ind w:left="8"/>
        <w:spacing w:after="0"/>
        <w:rPr>
          <w:sz w:val="20"/>
          <w:szCs w:val="20"/>
          <w:color w:val="auto"/>
        </w:rPr>
      </w:pPr>
      <w:r>
        <w:rPr>
          <w:rFonts w:ascii="Times New Roman" w:cs="Times New Roman" w:eastAsia="Times New Roman" w:hAnsi="Times New Roman"/>
          <w:sz w:val="24"/>
          <w:szCs w:val="24"/>
          <w:b w:val="1"/>
          <w:bCs w:val="1"/>
          <w:color w:val="auto"/>
        </w:rPr>
        <w:t>Monitoring agency</w:t>
      </w:r>
    </w:p>
    <w:p>
      <w:pPr>
        <w:spacing w:after="0" w:line="145" w:lineRule="exact"/>
        <w:rPr>
          <w:sz w:val="20"/>
          <w:szCs w:val="20"/>
          <w:color w:val="auto"/>
        </w:rPr>
      </w:pPr>
    </w:p>
    <w:p>
      <w:pPr>
        <w:jc w:val="both"/>
        <w:ind w:left="8" w:hanging="8"/>
        <w:spacing w:after="0" w:line="354" w:lineRule="auto"/>
        <w:tabs>
          <w:tab w:leader="none" w:pos="372" w:val="left"/>
        </w:tabs>
        <w:numPr>
          <w:ilvl w:val="0"/>
          <w:numId w:val="22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If the issue size exceeds one hundred crore rupees, the issuer shall make arrangements for the use of proceeds of the issue to be monitored by a public financial institution or by a scheduled commercial bank named in the letter of offer as a banker of the issuer:</w:t>
      </w:r>
    </w:p>
    <w:p>
      <w:pPr>
        <w:spacing w:after="0" w:line="22" w:lineRule="exact"/>
        <w:rPr>
          <w:rFonts w:ascii="Times New Roman" w:cs="Times New Roman" w:eastAsia="Times New Roman" w:hAnsi="Times New Roman"/>
          <w:sz w:val="24"/>
          <w:szCs w:val="24"/>
          <w:b w:val="1"/>
          <w:bCs w:val="1"/>
          <w:color w:val="auto"/>
        </w:rPr>
      </w:pPr>
    </w:p>
    <w:p>
      <w:pPr>
        <w:ind w:left="8"/>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nothing contained in this clause shall apply to an issue of specified securities made by a bank or public financial institution or an insurance company.</w:t>
      </w:r>
    </w:p>
    <w:p>
      <w:pPr>
        <w:spacing w:after="0" w:line="15" w:lineRule="exact"/>
        <w:rPr>
          <w:rFonts w:ascii="Times New Roman" w:cs="Times New Roman" w:eastAsia="Times New Roman" w:hAnsi="Times New Roman"/>
          <w:sz w:val="24"/>
          <w:szCs w:val="24"/>
          <w:b w:val="1"/>
          <w:bCs w:val="1"/>
          <w:color w:val="auto"/>
        </w:rPr>
      </w:pPr>
    </w:p>
    <w:p>
      <w:pPr>
        <w:ind w:left="8"/>
        <w:spacing w:after="0"/>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(2) The monitoring agency shall submit its report to the issuer in the format specified in </w:t>
      </w:r>
      <w:r>
        <w:rPr>
          <w:rFonts w:ascii="Times New Roman" w:cs="Times New Roman" w:eastAsia="Times New Roman" w:hAnsi="Times New Roman"/>
          <w:sz w:val="24"/>
          <w:szCs w:val="24"/>
          <w:b w:val="1"/>
          <w:bCs w:val="1"/>
          <w:color w:val="auto"/>
        </w:rPr>
        <w:t>Schedule</w:t>
      </w:r>
    </w:p>
    <w:p>
      <w:pPr>
        <w:spacing w:after="0" w:line="129" w:lineRule="exact"/>
        <w:rPr>
          <w:rFonts w:ascii="Times New Roman" w:cs="Times New Roman" w:eastAsia="Times New Roman" w:hAnsi="Times New Roman"/>
          <w:sz w:val="24"/>
          <w:szCs w:val="24"/>
          <w:b w:val="1"/>
          <w:bCs w:val="1"/>
          <w:color w:val="auto"/>
        </w:rPr>
      </w:pPr>
    </w:p>
    <w:p>
      <w:pPr>
        <w:ind w:left="8"/>
        <w:spacing w:after="0" w:line="28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XI </w:t>
      </w:r>
      <w:r>
        <w:rPr>
          <w:rFonts w:ascii="Times New Roman" w:cs="Times New Roman" w:eastAsia="Times New Roman" w:hAnsi="Times New Roman"/>
          <w:sz w:val="24"/>
          <w:szCs w:val="24"/>
          <w:color w:val="auto"/>
        </w:rPr>
        <w:t>on a quarterly basis, till at least ninety five per cent. of the proceeds of the issue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32"/>
          <w:szCs w:val="32"/>
          <w:color w:val="auto"/>
          <w:vertAlign w:val="superscript"/>
        </w:rPr>
        <w:t>39</w:t>
      </w:r>
      <w:r>
        <w:rPr>
          <w:rFonts w:ascii="Times New Roman" w:cs="Times New Roman" w:eastAsia="Times New Roman" w:hAnsi="Times New Roman"/>
          <w:sz w:val="24"/>
          <w:szCs w:val="24"/>
          <w:color w:val="auto"/>
        </w:rPr>
        <w:t>[actually</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raised], excluding the proceeds raised for general corporate purposes, have been utilised.</w:t>
      </w:r>
    </w:p>
    <w:p>
      <w:pPr>
        <w:spacing w:after="0" w:line="75" w:lineRule="exact"/>
        <w:rPr>
          <w:rFonts w:ascii="Times New Roman" w:cs="Times New Roman" w:eastAsia="Times New Roman" w:hAnsi="Times New Roman"/>
          <w:sz w:val="24"/>
          <w:szCs w:val="24"/>
          <w:b w:val="1"/>
          <w:bCs w:val="1"/>
          <w:color w:val="auto"/>
        </w:rPr>
      </w:pPr>
    </w:p>
    <w:p>
      <w:pPr>
        <w:ind w:left="8"/>
        <w:spacing w:after="0" w:line="350"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(3) The board of directors and the management of the issuer shall provide their comments on the findings of the monitoring agency as specified in </w:t>
      </w:r>
      <w:r>
        <w:rPr>
          <w:rFonts w:ascii="Times New Roman" w:cs="Times New Roman" w:eastAsia="Times New Roman" w:hAnsi="Times New Roman"/>
          <w:sz w:val="24"/>
          <w:szCs w:val="24"/>
          <w:b w:val="1"/>
          <w:bCs w:val="1"/>
          <w:color w:val="auto"/>
        </w:rPr>
        <w:t>Schedule XI</w:t>
      </w:r>
      <w:r>
        <w:rPr>
          <w:rFonts w:ascii="Times New Roman" w:cs="Times New Roman" w:eastAsia="Times New Roman" w:hAnsi="Times New Roman"/>
          <w:sz w:val="24"/>
          <w:szCs w:val="24"/>
          <w:color w:val="auto"/>
        </w:rPr>
        <w:t>.</w:t>
      </w:r>
    </w:p>
    <w:p>
      <w:pPr>
        <w:spacing w:after="0" w:line="23"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(4) The issuer shall, within forty five days from the end of each quarter, publicly disseminate the report of the monitoring agency by uploading the same on its website as well as submitting the same to the stock exchange(s) on which its equity shares are listed.</w:t>
      </w:r>
    </w:p>
    <w:p>
      <w:pPr>
        <w:spacing w:after="0" w:line="200" w:lineRule="exact"/>
        <w:rPr>
          <w:sz w:val="20"/>
          <w:szCs w:val="20"/>
          <w:color w:val="auto"/>
        </w:rPr>
      </w:pPr>
    </w:p>
    <w:p>
      <w:pPr>
        <w:spacing w:after="0" w:line="22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Public communications, publicity materials, advertisements and research reports.</w:t>
      </w:r>
    </w:p>
    <w:p>
      <w:pPr>
        <w:spacing w:after="0" w:line="147" w:lineRule="exact"/>
        <w:rPr>
          <w:sz w:val="20"/>
          <w:szCs w:val="20"/>
          <w:color w:val="auto"/>
        </w:rPr>
      </w:pPr>
    </w:p>
    <w:p>
      <w:pPr>
        <w:ind w:left="8" w:hanging="8"/>
        <w:spacing w:after="0" w:line="348" w:lineRule="auto"/>
        <w:tabs>
          <w:tab w:leader="none" w:pos="428" w:val="left"/>
        </w:tabs>
        <w:numPr>
          <w:ilvl w:val="0"/>
          <w:numId w:val="22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All public communication, publicity materials, advertisements and research reports shall comply with the provisions of </w:t>
      </w:r>
      <w:r>
        <w:rPr>
          <w:rFonts w:ascii="Times New Roman" w:cs="Times New Roman" w:eastAsia="Times New Roman" w:hAnsi="Times New Roman"/>
          <w:sz w:val="24"/>
          <w:szCs w:val="24"/>
          <w:b w:val="1"/>
          <w:bCs w:val="1"/>
          <w:color w:val="auto"/>
        </w:rPr>
        <w:t>Schedule IX</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Issue-related advertisements</w:t>
      </w:r>
    </w:p>
    <w:p>
      <w:pPr>
        <w:spacing w:after="0" w:line="147" w:lineRule="exact"/>
        <w:rPr>
          <w:sz w:val="20"/>
          <w:szCs w:val="20"/>
          <w:color w:val="auto"/>
        </w:rPr>
      </w:pPr>
    </w:p>
    <w:p>
      <w:pPr>
        <w:jc w:val="both"/>
        <w:ind w:left="8" w:hanging="8"/>
        <w:spacing w:after="0" w:line="353" w:lineRule="auto"/>
        <w:tabs>
          <w:tab w:leader="none" w:pos="394" w:val="left"/>
        </w:tabs>
        <w:numPr>
          <w:ilvl w:val="0"/>
          <w:numId w:val="22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shall issue an advertisement in at least one English national daily newspaper with wide circulation, one Hindi national daily newspaper with wide circulation and one regional language daily newspaper with wide circulation, at the place where registered office of the issuer</w:t>
      </w:r>
    </w:p>
    <w:p>
      <w:pPr>
        <w:spacing w:after="0" w:line="3" w:lineRule="exact"/>
        <w:rPr>
          <w:rFonts w:ascii="Times New Roman" w:cs="Times New Roman" w:eastAsia="Times New Roman" w:hAnsi="Times New Roman"/>
          <w:sz w:val="24"/>
          <w:szCs w:val="24"/>
          <w:b w:val="1"/>
          <w:bCs w:val="1"/>
          <w:color w:val="auto"/>
        </w:rPr>
      </w:pPr>
    </w:p>
    <w:p>
      <w:pPr>
        <w:ind w:left="8"/>
        <w:spacing w:after="0" w:line="276"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is situated </w:t>
      </w:r>
      <w:r>
        <w:rPr>
          <w:rFonts w:ascii="Times New Roman" w:cs="Times New Roman" w:eastAsia="Times New Roman" w:hAnsi="Times New Roman"/>
          <w:sz w:val="32"/>
          <w:szCs w:val="32"/>
          <w:color w:val="auto"/>
          <w:vertAlign w:val="superscript"/>
        </w:rPr>
        <w:t>40</w:t>
      </w:r>
      <w:r>
        <w:rPr>
          <w:rFonts w:ascii="Times New Roman" w:cs="Times New Roman" w:eastAsia="Times New Roman" w:hAnsi="Times New Roman"/>
          <w:sz w:val="24"/>
          <w:szCs w:val="24"/>
          <w:color w:val="auto"/>
        </w:rPr>
        <w:t xml:space="preserve">[and also give an intimation to the stock exchanges for dissemination on their websites], at least </w:t>
      </w:r>
      <w:r>
        <w:rPr>
          <w:rFonts w:ascii="Times New Roman" w:cs="Times New Roman" w:eastAsia="Times New Roman" w:hAnsi="Times New Roman"/>
          <w:sz w:val="32"/>
          <w:szCs w:val="32"/>
          <w:color w:val="auto"/>
          <w:vertAlign w:val="superscript"/>
        </w:rPr>
        <w:t>41</w:t>
      </w:r>
      <w:r>
        <w:rPr>
          <w:rFonts w:ascii="Times New Roman" w:cs="Times New Roman" w:eastAsia="Times New Roman" w:hAnsi="Times New Roman"/>
          <w:sz w:val="24"/>
          <w:szCs w:val="24"/>
          <w:color w:val="auto"/>
        </w:rPr>
        <w:t>[two] days before the date of opening of the issue, disclosing the following:</w:t>
      </w:r>
    </w:p>
    <w:p>
      <w:pPr>
        <w:ind w:left="728" w:hanging="368"/>
        <w:spacing w:after="0"/>
        <w:tabs>
          <w:tab w:leader="none" w:pos="728" w:val="left"/>
        </w:tabs>
        <w:numPr>
          <w:ilvl w:val="1"/>
          <w:numId w:val="2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date of completion of despatch of abridged letter of offer and the application form;</w:t>
      </w:r>
    </w:p>
    <w:p>
      <w:pPr>
        <w:spacing w:after="0" w:line="151" w:lineRule="exact"/>
        <w:rPr>
          <w:rFonts w:ascii="Times New Roman" w:cs="Times New Roman" w:eastAsia="Times New Roman" w:hAnsi="Times New Roman"/>
          <w:sz w:val="24"/>
          <w:szCs w:val="24"/>
          <w:color w:val="auto"/>
        </w:rPr>
      </w:pPr>
    </w:p>
    <w:p>
      <w:pPr>
        <w:jc w:val="both"/>
        <w:ind w:left="728" w:hanging="368"/>
        <w:spacing w:after="0" w:line="356" w:lineRule="auto"/>
        <w:tabs>
          <w:tab w:leader="none" w:pos="728" w:val="left"/>
        </w:tabs>
        <w:numPr>
          <w:ilvl w:val="1"/>
          <w:numId w:val="2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centres other than registered office of the issuer where the shareholders or the persons entitled to receive the rights entitlements may obtain duplicate copies of the application form in case they do not receive the application form within a reasonable time after opening of the rights issue;</w:t>
      </w:r>
    </w:p>
    <w:p>
      <w:pPr>
        <w:spacing w:after="0" w:line="200" w:lineRule="exact"/>
        <w:rPr>
          <w:sz w:val="20"/>
          <w:szCs w:val="20"/>
          <w:color w:val="auto"/>
        </w:rPr>
      </w:pPr>
    </w:p>
    <w:p>
      <w:pPr>
        <w:spacing w:after="0" w:line="385" w:lineRule="exact"/>
        <w:rPr>
          <w:sz w:val="20"/>
          <w:szCs w:val="20"/>
          <w:color w:val="auto"/>
        </w:rPr>
      </w:pPr>
    </w:p>
    <w:p>
      <w:pPr>
        <w:ind w:left="188" w:hanging="188"/>
        <w:spacing w:after="0"/>
        <w:tabs>
          <w:tab w:leader="none" w:pos="188" w:val="left"/>
        </w:tabs>
        <w:numPr>
          <w:ilvl w:val="0"/>
          <w:numId w:val="223"/>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Inserted by the SEBI (Issue of Capital and Disclosure Requirements) (Fourth Amendment) Regulations, 2020 w.e.f.</w:t>
      </w:r>
    </w:p>
    <w:p>
      <w:pPr>
        <w:spacing w:after="0" w:line="16" w:lineRule="exact"/>
        <w:rPr>
          <w:rFonts w:ascii="Times New Roman" w:cs="Times New Roman" w:eastAsia="Times New Roman" w:hAnsi="Times New Roman"/>
          <w:sz w:val="26"/>
          <w:szCs w:val="26"/>
          <w:color w:val="auto"/>
          <w:vertAlign w:val="superscript"/>
        </w:rPr>
      </w:pPr>
    </w:p>
    <w:p>
      <w:pPr>
        <w:ind w:left="248" w:hanging="248"/>
        <w:spacing w:after="0" w:line="231" w:lineRule="auto"/>
        <w:tabs>
          <w:tab w:leader="none" w:pos="248" w:val="left"/>
        </w:tabs>
        <w:numPr>
          <w:ilvl w:val="0"/>
          <w:numId w:val="224"/>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09.2020.</w:t>
      </w:r>
    </w:p>
    <w:p>
      <w:pPr>
        <w:ind w:left="188" w:hanging="188"/>
        <w:spacing w:after="0" w:line="184" w:lineRule="auto"/>
        <w:tabs>
          <w:tab w:leader="none" w:pos="188" w:val="left"/>
        </w:tabs>
        <w:numPr>
          <w:ilvl w:val="0"/>
          <w:numId w:val="225"/>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Inserted by the SEBI (Issue of Capital and Disclosure Requirements) (Sixth Amendment) Regulations, 2019 w.e.f.</w:t>
      </w:r>
    </w:p>
    <w:p>
      <w:pPr>
        <w:spacing w:after="0" w:line="20" w:lineRule="exact"/>
        <w:rPr>
          <w:rFonts w:ascii="Times New Roman" w:cs="Times New Roman" w:eastAsia="Times New Roman" w:hAnsi="Times New Roman"/>
          <w:sz w:val="26"/>
          <w:szCs w:val="26"/>
          <w:color w:val="auto"/>
          <w:vertAlign w:val="superscript"/>
        </w:rPr>
      </w:pPr>
    </w:p>
    <w:p>
      <w:pPr>
        <w:ind w:left="248" w:hanging="248"/>
        <w:spacing w:after="0" w:line="231" w:lineRule="auto"/>
        <w:tabs>
          <w:tab w:leader="none" w:pos="248" w:val="left"/>
        </w:tabs>
        <w:numPr>
          <w:ilvl w:val="0"/>
          <w:numId w:val="226"/>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12.2019.</w:t>
      </w:r>
    </w:p>
    <w:p>
      <w:pPr>
        <w:spacing w:after="0" w:line="12" w:lineRule="exact"/>
        <w:rPr>
          <w:rFonts w:ascii="Times New Roman" w:cs="Times New Roman" w:eastAsia="Times New Roman" w:hAnsi="Times New Roman"/>
          <w:sz w:val="19"/>
          <w:szCs w:val="19"/>
          <w:color w:val="auto"/>
        </w:rPr>
      </w:pPr>
    </w:p>
    <w:p>
      <w:pPr>
        <w:ind w:left="8" w:hanging="8"/>
        <w:spacing w:after="0" w:line="203" w:lineRule="auto"/>
        <w:tabs>
          <w:tab w:leader="none" w:pos="192" w:val="left"/>
        </w:tabs>
        <w:numPr>
          <w:ilvl w:val="0"/>
          <w:numId w:val="227"/>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SEBI (Issue of Capital and Disclosure Requirements) (Sixth Amendment) Regulations, 2019 for the word “three”, w.e.f. 26.12.2019.</w:t>
      </w:r>
    </w:p>
    <w:p>
      <w:pPr>
        <w:spacing w:after="0" w:line="30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56</w:t>
      </w:r>
    </w:p>
    <w:p>
      <w:pPr>
        <w:sectPr>
          <w:pgSz w:w="11900" w:h="16836" w:orient="portrait"/>
          <w:cols w:equalWidth="0" w:num="1">
            <w:col w:w="9468"/>
          </w:cols>
          <w:pgMar w:left="1152" w:top="1149" w:right="1284" w:bottom="103" w:gutter="0" w:footer="0" w:header="0"/>
        </w:sectPr>
      </w:pPr>
    </w:p>
    <w:bookmarkStart w:id="56" w:name="page57"/>
    <w:bookmarkEnd w:id="56"/>
    <w:p>
      <w:pPr>
        <w:jc w:val="both"/>
        <w:ind w:left="728" w:hanging="359"/>
        <w:spacing w:after="0" w:line="346" w:lineRule="auto"/>
        <w:tabs>
          <w:tab w:leader="none" w:pos="707" w:val="left"/>
        </w:tabs>
        <w:rPr>
          <w:sz w:val="20"/>
          <w:szCs w:val="20"/>
          <w:color w:val="auto"/>
        </w:rPr>
      </w:pPr>
      <w:r>
        <w:rPr>
          <w:rFonts w:ascii="Times New Roman" w:cs="Times New Roman" w:eastAsia="Times New Roman" w:hAnsi="Times New Roman"/>
          <w:sz w:val="24"/>
          <w:szCs w:val="24"/>
          <w:color w:val="auto"/>
        </w:rPr>
        <w:t>c)</w:t>
        <w:tab/>
      </w:r>
      <w:r>
        <w:rPr>
          <w:rFonts w:ascii="Times New Roman" w:cs="Times New Roman" w:eastAsia="Times New Roman" w:hAnsi="Times New Roman"/>
          <w:sz w:val="32"/>
          <w:szCs w:val="32"/>
          <w:color w:val="auto"/>
          <w:vertAlign w:val="superscript"/>
        </w:rPr>
        <w:t>42</w:t>
      </w:r>
      <w:r>
        <w:rPr>
          <w:rFonts w:ascii="Times New Roman" w:cs="Times New Roman" w:eastAsia="Times New Roman" w:hAnsi="Times New Roman"/>
          <w:sz w:val="24"/>
          <w:szCs w:val="24"/>
          <w:color w:val="auto"/>
        </w:rPr>
        <w:t>[a statement that if the shareholders entitled to receive the rights entitlements have neither received the original application forms nor are in a position to obtain the form; they may make an application through the form available on the website of Registrar, stock exchanges or lead managers or in writing on a plain paper to subscribe to the Rights Issue along with a format specifying therein the necessary particulars such as name, address, ratio of rights issue, issue price, number of equity shares held, ledger folio numbers, depository participant ID, client ID, number of equity shares entitled and applied for, additional shares if any, and the amount to be blocked with SCSB along with the application];</w:t>
      </w:r>
    </w:p>
    <w:p>
      <w:pPr>
        <w:ind w:left="368"/>
        <w:spacing w:after="0"/>
        <w:tabs>
          <w:tab w:leader="none" w:pos="707" w:val="left"/>
        </w:tabs>
        <w:rPr>
          <w:sz w:val="20"/>
          <w:szCs w:val="20"/>
          <w:color w:val="auto"/>
        </w:rPr>
      </w:pPr>
      <w:r>
        <w:rPr>
          <w:rFonts w:ascii="Times New Roman" w:cs="Times New Roman" w:eastAsia="Times New Roman" w:hAnsi="Times New Roman"/>
          <w:sz w:val="24"/>
          <w:szCs w:val="24"/>
          <w:color w:val="auto"/>
        </w:rPr>
        <w:t>d)</w:t>
      </w:r>
      <w:r>
        <w:rPr>
          <w:sz w:val="20"/>
          <w:szCs w:val="20"/>
          <w:color w:val="auto"/>
        </w:rPr>
        <w:tab/>
      </w:r>
      <w:r>
        <w:rPr>
          <w:rFonts w:ascii="Times New Roman" w:cs="Times New Roman" w:eastAsia="Times New Roman" w:hAnsi="Times New Roman"/>
          <w:sz w:val="29"/>
          <w:szCs w:val="29"/>
          <w:color w:val="auto"/>
          <w:vertAlign w:val="superscript"/>
        </w:rPr>
        <w:t>43</w:t>
      </w:r>
      <w:r>
        <w:rPr>
          <w:rFonts w:ascii="Times New Roman" w:cs="Times New Roman" w:eastAsia="Times New Roman" w:hAnsi="Times New Roman"/>
          <w:sz w:val="22"/>
          <w:szCs w:val="22"/>
          <w:color w:val="auto"/>
        </w:rPr>
        <w:t>[***]</w:t>
      </w:r>
    </w:p>
    <w:p>
      <w:pPr>
        <w:spacing w:after="0" w:line="102" w:lineRule="exact"/>
        <w:rPr>
          <w:sz w:val="20"/>
          <w:szCs w:val="20"/>
          <w:color w:val="auto"/>
        </w:rPr>
      </w:pPr>
    </w:p>
    <w:p>
      <w:pPr>
        <w:jc w:val="both"/>
        <w:ind w:left="728" w:hanging="368"/>
        <w:spacing w:after="0" w:line="354" w:lineRule="auto"/>
        <w:tabs>
          <w:tab w:leader="none" w:pos="728" w:val="left"/>
        </w:tabs>
        <w:numPr>
          <w:ilvl w:val="1"/>
          <w:numId w:val="22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statement to the effect that if the shareholder makes an application using the application form as well as plain paper, both the applications shall be liable to be rejected at the option of the issuer.</w:t>
      </w:r>
    </w:p>
    <w:p>
      <w:pPr>
        <w:spacing w:after="0" w:line="7" w:lineRule="exact"/>
        <w:rPr>
          <w:rFonts w:ascii="Times New Roman" w:cs="Times New Roman" w:eastAsia="Times New Roman" w:hAnsi="Times New Roman"/>
          <w:sz w:val="24"/>
          <w:szCs w:val="24"/>
          <w:color w:val="auto"/>
        </w:rPr>
      </w:pPr>
    </w:p>
    <w:p>
      <w:pPr>
        <w:ind w:left="348" w:hanging="348"/>
        <w:spacing w:after="0"/>
        <w:tabs>
          <w:tab w:leader="none" w:pos="348" w:val="left"/>
        </w:tabs>
        <w:numPr>
          <w:ilvl w:val="0"/>
          <w:numId w:val="22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During the period the issue is open for subscription, no advertisement shall be released giving</w:t>
      </w:r>
    </w:p>
    <w:p>
      <w:pPr>
        <w:spacing w:after="0" w:line="151" w:lineRule="exact"/>
        <w:rPr>
          <w:sz w:val="20"/>
          <w:szCs w:val="20"/>
          <w:color w:val="auto"/>
        </w:rPr>
      </w:pPr>
    </w:p>
    <w:p>
      <w:pPr>
        <w:ind w:left="8"/>
        <w:spacing w:after="0" w:line="348" w:lineRule="auto"/>
        <w:rPr>
          <w:sz w:val="20"/>
          <w:szCs w:val="20"/>
          <w:color w:val="auto"/>
        </w:rPr>
      </w:pPr>
      <w:r>
        <w:rPr>
          <w:rFonts w:ascii="Times New Roman" w:cs="Times New Roman" w:eastAsia="Times New Roman" w:hAnsi="Times New Roman"/>
          <w:sz w:val="24"/>
          <w:szCs w:val="24"/>
          <w:color w:val="auto"/>
        </w:rPr>
        <w:t>an impression that the issue has been fully subscribed or oversubscribed, or indicating investors’ response to the issue.</w:t>
      </w:r>
    </w:p>
    <w:p>
      <w:pPr>
        <w:spacing w:after="0" w:line="28" w:lineRule="exact"/>
        <w:rPr>
          <w:sz w:val="20"/>
          <w:szCs w:val="20"/>
          <w:color w:val="auto"/>
        </w:rPr>
      </w:pPr>
    </w:p>
    <w:p>
      <w:pPr>
        <w:jc w:val="both"/>
        <w:ind w:left="8" w:hanging="8"/>
        <w:spacing w:after="0" w:line="354" w:lineRule="auto"/>
        <w:tabs>
          <w:tab w:leader="none" w:pos="365" w:val="left"/>
        </w:tabs>
        <w:numPr>
          <w:ilvl w:val="0"/>
          <w:numId w:val="23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 announcement regarding closure of issue shall be made only after the lead manager(s) is satisfied that at least ninety per cent. of the offer through letter of offer has been subscribed and a certificate has been obtained to that effect from the registrar to the issue:</w:t>
      </w:r>
    </w:p>
    <w:p>
      <w:pPr>
        <w:spacing w:after="0" w:line="19" w:lineRule="exact"/>
        <w:rPr>
          <w:rFonts w:ascii="Times New Roman" w:cs="Times New Roman" w:eastAsia="Times New Roman" w:hAnsi="Times New Roman"/>
          <w:sz w:val="24"/>
          <w:szCs w:val="24"/>
          <w:color w:val="auto"/>
        </w:rPr>
      </w:pPr>
    </w:p>
    <w:p>
      <w:pPr>
        <w:ind w:left="8"/>
        <w:spacing w:after="0" w:line="350"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such an announcement shall not be made before the date on which the issue is to be closed except for issue closing advertisement made in the format prescribed in these regulations.</w:t>
      </w:r>
    </w:p>
    <w:p>
      <w:pPr>
        <w:spacing w:after="0" w:line="200" w:lineRule="exact"/>
        <w:rPr>
          <w:sz w:val="20"/>
          <w:szCs w:val="20"/>
          <w:color w:val="auto"/>
        </w:rPr>
      </w:pPr>
    </w:p>
    <w:p>
      <w:pPr>
        <w:spacing w:after="0" w:line="231"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Opening of the issue</w:t>
      </w:r>
    </w:p>
    <w:p>
      <w:pPr>
        <w:spacing w:after="0" w:line="145" w:lineRule="exact"/>
        <w:rPr>
          <w:sz w:val="20"/>
          <w:szCs w:val="20"/>
          <w:color w:val="auto"/>
        </w:rPr>
      </w:pPr>
    </w:p>
    <w:p>
      <w:pPr>
        <w:jc w:val="both"/>
        <w:ind w:left="8" w:hanging="8"/>
        <w:spacing w:after="0" w:line="354" w:lineRule="auto"/>
        <w:tabs>
          <w:tab w:leader="none" w:pos="432" w:val="left"/>
        </w:tabs>
        <w:numPr>
          <w:ilvl w:val="0"/>
          <w:numId w:val="23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Subject to the compliance with the provisions of the Companies Act, 2013, a rights issue may be opened within twelve months from the date of issuance of the observations by the Board under regulation 71.</w:t>
      </w: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ind w:left="8" w:right="260" w:hanging="8"/>
        <w:spacing w:after="0" w:line="203" w:lineRule="auto"/>
        <w:tabs>
          <w:tab w:leader="none" w:pos="188" w:val="left"/>
        </w:tabs>
        <w:numPr>
          <w:ilvl w:val="0"/>
          <w:numId w:val="232"/>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SEBI (Issue of Capital and Disclosure Requirements) (Fourth Amendment) Regulations, 2020 w.e.f. 28.09.2020. Prior to substitution clause (c) read as follows,-</w:t>
      </w:r>
    </w:p>
    <w:p>
      <w:pPr>
        <w:spacing w:after="0" w:line="13" w:lineRule="exact"/>
        <w:rPr>
          <w:rFonts w:ascii="Times New Roman" w:cs="Times New Roman" w:eastAsia="Times New Roman" w:hAnsi="Times New Roman"/>
          <w:sz w:val="26"/>
          <w:szCs w:val="26"/>
          <w:color w:val="auto"/>
          <w:vertAlign w:val="superscript"/>
        </w:rPr>
      </w:pPr>
    </w:p>
    <w:p>
      <w:pPr>
        <w:jc w:val="both"/>
        <w:ind w:left="728"/>
        <w:spacing w:after="0" w:line="238" w:lineRule="auto"/>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“a statement that if the shareholders entitled to receive the rights entitlements have neither received the original application forms nor they are in a position to obtain the duplicate form, they may make application in writing on a plain paper to subscribe to the rights issue along with a format specifying therein necessary particulars such as name, address, ratio of rights issue, issue price, number of equity shares held, ledger folio numbers, depository participant ID, client ID, number of equity shares entitled and applied for, additional shares if any, amount to be paid along with application, and particulars of cheque, etc. to be drawn in favour of the issuer‘s account”</w:t>
      </w:r>
    </w:p>
    <w:p>
      <w:pPr>
        <w:ind w:left="188" w:hanging="188"/>
        <w:spacing w:after="0" w:line="192" w:lineRule="auto"/>
        <w:tabs>
          <w:tab w:leader="none" w:pos="188" w:val="left"/>
        </w:tabs>
        <w:numPr>
          <w:ilvl w:val="0"/>
          <w:numId w:val="232"/>
        </w:numPr>
        <w:rPr>
          <w:rFonts w:ascii="Times New Roman" w:cs="Times New Roman" w:eastAsia="Times New Roman" w:hAnsi="Times New Roman"/>
          <w:sz w:val="25"/>
          <w:szCs w:val="25"/>
          <w:color w:val="auto"/>
          <w:vertAlign w:val="superscript"/>
        </w:rPr>
      </w:pPr>
      <w:r>
        <w:rPr>
          <w:rFonts w:ascii="Times New Roman" w:cs="Times New Roman" w:eastAsia="Times New Roman" w:hAnsi="Times New Roman"/>
          <w:sz w:val="19"/>
          <w:szCs w:val="19"/>
          <w:color w:val="auto"/>
        </w:rPr>
        <w:t>Omitted by the SEBI (Issue of Capital and Disclosure Requirements) (Fourth Amendment) Regulations, 2020 w.e.f.</w:t>
      </w:r>
    </w:p>
    <w:p>
      <w:pPr>
        <w:spacing w:after="0" w:line="19" w:lineRule="exact"/>
        <w:rPr>
          <w:rFonts w:ascii="Times New Roman" w:cs="Times New Roman" w:eastAsia="Times New Roman" w:hAnsi="Times New Roman"/>
          <w:sz w:val="25"/>
          <w:szCs w:val="25"/>
          <w:color w:val="auto"/>
          <w:vertAlign w:val="superscript"/>
        </w:rPr>
      </w:pPr>
    </w:p>
    <w:p>
      <w:pPr>
        <w:ind w:left="248" w:hanging="248"/>
        <w:spacing w:after="0" w:line="231" w:lineRule="auto"/>
        <w:tabs>
          <w:tab w:leader="none" w:pos="248" w:val="left"/>
        </w:tabs>
        <w:numPr>
          <w:ilvl w:val="0"/>
          <w:numId w:val="233"/>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09.2020. Prior to its omission, it read as:</w:t>
      </w:r>
    </w:p>
    <w:p>
      <w:pPr>
        <w:spacing w:after="0" w:line="12" w:lineRule="exact"/>
        <w:rPr>
          <w:rFonts w:ascii="Times New Roman" w:cs="Times New Roman" w:eastAsia="Times New Roman" w:hAnsi="Times New Roman"/>
          <w:sz w:val="19"/>
          <w:szCs w:val="19"/>
          <w:color w:val="auto"/>
        </w:rPr>
      </w:pPr>
    </w:p>
    <w:p>
      <w:pPr>
        <w:ind w:left="8" w:right="40"/>
        <w:spacing w:after="0" w:line="234" w:lineRule="auto"/>
        <w:rPr>
          <w:rFonts w:ascii="Times New Roman" w:cs="Times New Roman" w:eastAsia="Times New Roman" w:hAnsi="Times New Roman"/>
          <w:sz w:val="19"/>
          <w:szCs w:val="19"/>
          <w:color w:val="auto"/>
        </w:rPr>
      </w:pPr>
      <w:r>
        <w:rPr>
          <w:rFonts w:ascii="Times New Roman" w:cs="Times New Roman" w:eastAsia="Times New Roman" w:hAnsi="Times New Roman"/>
          <w:sz w:val="20"/>
          <w:szCs w:val="20"/>
          <w:color w:val="auto"/>
        </w:rPr>
        <w:t>“(d) a statement that the applications can be directly sent by the shareholders through registered post together with the application monies to the issuer's designated official at the address given in the advertisement;”.</w:t>
      </w:r>
    </w:p>
    <w:p>
      <w:pPr>
        <w:spacing w:after="0" w:line="29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57</w:t>
      </w:r>
    </w:p>
    <w:p>
      <w:pPr>
        <w:sectPr>
          <w:pgSz w:w="11900" w:h="16836" w:orient="portrait"/>
          <w:cols w:equalWidth="0" w:num="1">
            <w:col w:w="9468"/>
          </w:cols>
          <w:pgMar w:left="1152" w:top="1136" w:right="1284" w:bottom="103" w:gutter="0" w:footer="0" w:header="0"/>
        </w:sectPr>
      </w:pPr>
    </w:p>
    <w:bookmarkStart w:id="57" w:name="page58"/>
    <w:bookmarkEnd w:id="57"/>
    <w:p>
      <w:pPr>
        <w:ind w:left="140"/>
        <w:spacing w:after="0" w:line="348" w:lineRule="auto"/>
        <w:rPr>
          <w:sz w:val="20"/>
          <w:szCs w:val="20"/>
          <w:color w:val="auto"/>
        </w:rPr>
      </w:pPr>
      <w:r>
        <w:rPr>
          <w:rFonts w:ascii="Times New Roman" w:cs="Times New Roman" w:eastAsia="Times New Roman" w:hAnsi="Times New Roman"/>
          <w:sz w:val="24"/>
          <w:szCs w:val="24"/>
          <w:color w:val="auto"/>
        </w:rPr>
        <w:t>Provided that in case of a fast track issue, the issue shall open within twelve months from the record date.</w:t>
      </w:r>
    </w:p>
    <w:p>
      <w:pPr>
        <w:spacing w:after="0" w:line="200" w:lineRule="exact"/>
        <w:rPr>
          <w:sz w:val="20"/>
          <w:szCs w:val="20"/>
          <w:color w:val="auto"/>
        </w:rPr>
      </w:pPr>
    </w:p>
    <w:p>
      <w:pPr>
        <w:spacing w:after="0" w:line="233"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4"/>
          <w:szCs w:val="24"/>
          <w:b w:val="1"/>
          <w:bCs w:val="1"/>
          <w:color w:val="auto"/>
        </w:rPr>
        <w:t>Minimum subscription</w:t>
      </w:r>
    </w:p>
    <w:p>
      <w:pPr>
        <w:spacing w:after="0" w:line="147" w:lineRule="exact"/>
        <w:rPr>
          <w:sz w:val="20"/>
          <w:szCs w:val="20"/>
          <w:color w:val="auto"/>
        </w:rPr>
      </w:pPr>
    </w:p>
    <w:p>
      <w:pPr>
        <w:ind w:left="140" w:hanging="8"/>
        <w:spacing w:after="0" w:line="348" w:lineRule="auto"/>
        <w:tabs>
          <w:tab w:leader="none" w:pos="512" w:val="left"/>
        </w:tabs>
        <w:numPr>
          <w:ilvl w:val="0"/>
          <w:numId w:val="23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minimum subscription to be received in the issue shall be at least ninety per cent. of the offer through the offer document.</w:t>
      </w:r>
    </w:p>
    <w:p>
      <w:pPr>
        <w:spacing w:after="0" w:line="8" w:lineRule="exact"/>
        <w:rPr>
          <w:sz w:val="20"/>
          <w:szCs w:val="20"/>
          <w:color w:val="auto"/>
        </w:rPr>
      </w:pPr>
    </w:p>
    <w:p>
      <w:pPr>
        <w:spacing w:after="0"/>
        <w:rPr>
          <w:sz w:val="20"/>
          <w:szCs w:val="20"/>
          <w:color w:val="auto"/>
        </w:rPr>
      </w:pPr>
      <w:r>
        <w:rPr>
          <w:rFonts w:ascii="Times New Roman" w:cs="Times New Roman" w:eastAsia="Times New Roman" w:hAnsi="Times New Roman"/>
          <w:sz w:val="32"/>
          <w:szCs w:val="32"/>
          <w:color w:val="auto"/>
          <w:vertAlign w:val="superscript"/>
        </w:rPr>
        <w:t>44</w:t>
      </w:r>
      <w:r>
        <w:rPr>
          <w:rFonts w:ascii="Times New Roman" w:cs="Times New Roman" w:eastAsia="Times New Roman" w:hAnsi="Times New Roman"/>
          <w:sz w:val="24"/>
          <w:szCs w:val="24"/>
          <w:color w:val="auto"/>
        </w:rPr>
        <w:t>[Provided that minimum subscription criteria shall not be applicable to an issuer if:</w:t>
      </w:r>
    </w:p>
    <w:p>
      <w:pPr>
        <w:spacing w:after="0" w:line="65" w:lineRule="exact"/>
        <w:rPr>
          <w:sz w:val="20"/>
          <w:szCs w:val="20"/>
          <w:color w:val="auto"/>
        </w:rPr>
      </w:pPr>
    </w:p>
    <w:p>
      <w:pPr>
        <w:ind w:left="2300" w:hanging="728"/>
        <w:spacing w:after="0" w:line="350" w:lineRule="auto"/>
        <w:tabs>
          <w:tab w:leader="none" w:pos="2300" w:val="left"/>
        </w:tabs>
        <w:numPr>
          <w:ilvl w:val="1"/>
          <w:numId w:val="23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object of the issue involves financing other than financing of capital expenditure for a project; and</w:t>
      </w:r>
    </w:p>
    <w:p>
      <w:pPr>
        <w:spacing w:after="0" w:line="23" w:lineRule="exact"/>
        <w:rPr>
          <w:rFonts w:ascii="Times New Roman" w:cs="Times New Roman" w:eastAsia="Times New Roman" w:hAnsi="Times New Roman"/>
          <w:sz w:val="24"/>
          <w:szCs w:val="24"/>
          <w:color w:val="auto"/>
        </w:rPr>
      </w:pPr>
    </w:p>
    <w:p>
      <w:pPr>
        <w:jc w:val="both"/>
        <w:ind w:left="2300" w:hanging="728"/>
        <w:spacing w:after="0" w:line="354" w:lineRule="auto"/>
        <w:tabs>
          <w:tab w:leader="none" w:pos="2300" w:val="left"/>
        </w:tabs>
        <w:numPr>
          <w:ilvl w:val="1"/>
          <w:numId w:val="23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promoters and the promoter group of the issuer undertake to subscribe fully to their portion of rights entitlement and do not renounce their rights except to the extent of renunciation within the promoter group.]</w:t>
      </w:r>
    </w:p>
    <w:p>
      <w:pPr>
        <w:spacing w:after="0" w:line="221" w:lineRule="exact"/>
        <w:rPr>
          <w:rFonts w:ascii="Times New Roman" w:cs="Times New Roman" w:eastAsia="Times New Roman" w:hAnsi="Times New Roman"/>
          <w:sz w:val="24"/>
          <w:szCs w:val="24"/>
          <w:color w:val="auto"/>
        </w:rPr>
      </w:pPr>
    </w:p>
    <w:p>
      <w:pPr>
        <w:jc w:val="both"/>
        <w:ind w:left="140" w:hanging="8"/>
        <w:spacing w:after="0" w:line="354" w:lineRule="auto"/>
        <w:tabs>
          <w:tab w:leader="none" w:pos="526" w:val="left"/>
        </w:tabs>
        <w:numPr>
          <w:ilvl w:val="0"/>
          <w:numId w:val="2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the event of non-receipt of minimum subscription referred to in sub-regulation (1), all application monies received shall be refunded to the applicants forthwith, but not later than fifteen days from the closure of the issue.</w:t>
      </w:r>
    </w:p>
    <w:p>
      <w:pPr>
        <w:spacing w:after="0" w:line="200" w:lineRule="exact"/>
        <w:rPr>
          <w:sz w:val="20"/>
          <w:szCs w:val="20"/>
          <w:color w:val="auto"/>
        </w:rPr>
      </w:pPr>
    </w:p>
    <w:p>
      <w:pPr>
        <w:spacing w:after="0" w:line="228"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4"/>
          <w:szCs w:val="24"/>
          <w:b w:val="1"/>
          <w:bCs w:val="1"/>
          <w:color w:val="auto"/>
        </w:rPr>
        <w:t>Period of subscription</w:t>
      </w:r>
    </w:p>
    <w:p>
      <w:pPr>
        <w:spacing w:after="0" w:line="134" w:lineRule="exact"/>
        <w:rPr>
          <w:sz w:val="20"/>
          <w:szCs w:val="20"/>
          <w:color w:val="auto"/>
        </w:rPr>
      </w:pPr>
    </w:p>
    <w:p>
      <w:pPr>
        <w:ind w:left="500" w:hanging="368"/>
        <w:spacing w:after="0"/>
        <w:tabs>
          <w:tab w:leader="none" w:pos="500" w:val="left"/>
        </w:tabs>
        <w:numPr>
          <w:ilvl w:val="0"/>
          <w:numId w:val="23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rights issue shall be kept open for subscription for a minimum period of fifteen days and</w:t>
      </w:r>
    </w:p>
    <w:p>
      <w:pPr>
        <w:spacing w:after="0" w:line="129" w:lineRule="exact"/>
        <w:rPr>
          <w:rFonts w:ascii="Times New Roman" w:cs="Times New Roman" w:eastAsia="Times New Roman" w:hAnsi="Times New Roman"/>
          <w:sz w:val="24"/>
          <w:szCs w:val="24"/>
          <w:b w:val="1"/>
          <w:bCs w:val="1"/>
          <w:color w:val="auto"/>
        </w:rPr>
      </w:pPr>
    </w:p>
    <w:p>
      <w:pPr>
        <w:ind w:left="140"/>
        <w:spacing w:after="0" w:line="287"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for a maximum period of thirty days </w:t>
      </w:r>
      <w:r>
        <w:rPr>
          <w:rFonts w:ascii="Times New Roman" w:cs="Times New Roman" w:eastAsia="Times New Roman" w:hAnsi="Times New Roman"/>
          <w:sz w:val="32"/>
          <w:szCs w:val="32"/>
          <w:color w:val="auto"/>
          <w:vertAlign w:val="superscript"/>
        </w:rPr>
        <w:t>45</w:t>
      </w:r>
      <w:r>
        <w:rPr>
          <w:rFonts w:ascii="Times New Roman" w:cs="Times New Roman" w:eastAsia="Times New Roman" w:hAnsi="Times New Roman"/>
          <w:sz w:val="24"/>
          <w:szCs w:val="24"/>
          <w:color w:val="auto"/>
        </w:rPr>
        <w:t>[and no withdrawal of application shall be permitted after the issue closing date].</w:t>
      </w:r>
    </w:p>
    <w:p>
      <w:pPr>
        <w:spacing w:after="0" w:line="200" w:lineRule="exact"/>
        <w:rPr>
          <w:sz w:val="20"/>
          <w:szCs w:val="20"/>
          <w:color w:val="auto"/>
        </w:rPr>
      </w:pPr>
    </w:p>
    <w:p>
      <w:pPr>
        <w:spacing w:after="0" w:line="286"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4"/>
          <w:szCs w:val="24"/>
          <w:b w:val="1"/>
          <w:bCs w:val="1"/>
          <w:color w:val="auto"/>
        </w:rPr>
        <w:t>Payment options</w:t>
      </w:r>
    </w:p>
    <w:p>
      <w:pPr>
        <w:spacing w:after="0" w:line="144" w:lineRule="exact"/>
        <w:rPr>
          <w:sz w:val="20"/>
          <w:szCs w:val="20"/>
          <w:color w:val="auto"/>
        </w:rPr>
      </w:pPr>
    </w:p>
    <w:p>
      <w:pPr>
        <w:ind w:left="140" w:hanging="8"/>
        <w:spacing w:after="0" w:line="348" w:lineRule="auto"/>
        <w:tabs>
          <w:tab w:leader="none" w:pos="529" w:val="left"/>
        </w:tabs>
        <w:numPr>
          <w:ilvl w:val="0"/>
          <w:numId w:val="23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issuer shall give one of the following payment options to all the shareholders for each type of instrument:</w:t>
      </w:r>
    </w:p>
    <w:p>
      <w:pPr>
        <w:spacing w:after="0" w:line="9" w:lineRule="exact"/>
        <w:rPr>
          <w:sz w:val="20"/>
          <w:szCs w:val="20"/>
          <w:color w:val="auto"/>
        </w:rPr>
      </w:pPr>
    </w:p>
    <w:p>
      <w:pPr>
        <w:ind w:left="680" w:hanging="548"/>
        <w:spacing w:after="0"/>
        <w:tabs>
          <w:tab w:leader="none" w:pos="680" w:val="left"/>
        </w:tabs>
        <w:numPr>
          <w:ilvl w:val="0"/>
          <w:numId w:val="239"/>
        </w:numPr>
        <w:rPr>
          <w:rFonts w:ascii="Calibri" w:cs="Calibri" w:eastAsia="Calibri" w:hAnsi="Calibri"/>
          <w:sz w:val="22"/>
          <w:szCs w:val="22"/>
          <w:color w:val="auto"/>
        </w:rPr>
      </w:pPr>
      <w:r>
        <w:rPr>
          <w:rFonts w:ascii="Times New Roman" w:cs="Times New Roman" w:eastAsia="Times New Roman" w:hAnsi="Times New Roman"/>
          <w:sz w:val="24"/>
          <w:szCs w:val="24"/>
          <w:color w:val="auto"/>
        </w:rPr>
        <w:t>part payment on application with balance money to be paid in calls; or</w:t>
      </w:r>
    </w:p>
    <w:p>
      <w:pPr>
        <w:spacing w:after="0" w:line="129" w:lineRule="exact"/>
        <w:rPr>
          <w:rFonts w:ascii="Calibri" w:cs="Calibri" w:eastAsia="Calibri" w:hAnsi="Calibri"/>
          <w:sz w:val="22"/>
          <w:szCs w:val="22"/>
          <w:color w:val="auto"/>
        </w:rPr>
      </w:pPr>
    </w:p>
    <w:p>
      <w:pPr>
        <w:ind w:left="680" w:hanging="548"/>
        <w:spacing w:after="0"/>
        <w:tabs>
          <w:tab w:leader="none" w:pos="680" w:val="left"/>
        </w:tabs>
        <w:numPr>
          <w:ilvl w:val="0"/>
          <w:numId w:val="239"/>
        </w:numPr>
        <w:rPr>
          <w:rFonts w:ascii="Calibri" w:cs="Calibri" w:eastAsia="Calibri" w:hAnsi="Calibri"/>
          <w:sz w:val="22"/>
          <w:szCs w:val="22"/>
          <w:color w:val="auto"/>
        </w:rPr>
      </w:pPr>
      <w:r>
        <w:rPr>
          <w:rFonts w:ascii="Times New Roman" w:cs="Times New Roman" w:eastAsia="Times New Roman" w:hAnsi="Times New Roman"/>
          <w:sz w:val="24"/>
          <w:szCs w:val="24"/>
          <w:color w:val="auto"/>
        </w:rPr>
        <w:t>full payment on application:</w:t>
      </w:r>
    </w:p>
    <w:p>
      <w:pPr>
        <w:spacing w:after="0" w:line="151" w:lineRule="exact"/>
        <w:rPr>
          <w:sz w:val="20"/>
          <w:szCs w:val="20"/>
          <w:color w:val="auto"/>
        </w:rPr>
      </w:pPr>
    </w:p>
    <w:p>
      <w:pPr>
        <w:jc w:val="both"/>
        <w:ind w:left="140"/>
        <w:spacing w:after="0" w:line="353" w:lineRule="auto"/>
        <w:rPr>
          <w:sz w:val="20"/>
          <w:szCs w:val="20"/>
          <w:color w:val="auto"/>
        </w:rPr>
      </w:pPr>
      <w:r>
        <w:rPr>
          <w:rFonts w:ascii="Times New Roman" w:cs="Times New Roman" w:eastAsia="Times New Roman" w:hAnsi="Times New Roman"/>
          <w:sz w:val="24"/>
          <w:szCs w:val="24"/>
          <w:color w:val="auto"/>
        </w:rPr>
        <w:t>Provided that the part payment, if any, on application shall not be less than twenty five per cent. of the issue price and such issuer shall obtain the necessary regulatory approvals to facilitate the same:</w:t>
      </w:r>
    </w:p>
    <w:p>
      <w:pPr>
        <w:spacing w:after="0" w:line="3" w:lineRule="exact"/>
        <w:rPr>
          <w:sz w:val="20"/>
          <w:szCs w:val="20"/>
          <w:color w:val="auto"/>
        </w:rPr>
      </w:pPr>
    </w:p>
    <w:p>
      <w:pPr>
        <w:jc w:val="both"/>
        <w:ind w:left="140"/>
        <w:spacing w:after="0" w:line="288" w:lineRule="auto"/>
        <w:rPr>
          <w:sz w:val="20"/>
          <w:szCs w:val="20"/>
          <w:color w:val="auto"/>
        </w:rPr>
      </w:pPr>
      <w:r>
        <w:rPr>
          <w:rFonts w:ascii="Times New Roman" w:cs="Times New Roman" w:eastAsia="Times New Roman" w:hAnsi="Times New Roman"/>
          <w:sz w:val="32"/>
          <w:szCs w:val="32"/>
          <w:color w:val="auto"/>
          <w:vertAlign w:val="superscript"/>
        </w:rPr>
        <w:t>46</w:t>
      </w:r>
      <w:r>
        <w:rPr>
          <w:rFonts w:ascii="Times New Roman" w:cs="Times New Roman" w:eastAsia="Times New Roman" w:hAnsi="Times New Roman"/>
          <w:sz w:val="24"/>
          <w:szCs w:val="24"/>
          <w:color w:val="auto"/>
        </w:rPr>
        <w:t>[Provided further that payment of balance money in calls, outside the issue period, may be through electronic banking modes.]</w:t>
      </w:r>
    </w:p>
    <w:p>
      <w:pPr>
        <w:spacing w:after="0" w:line="200" w:lineRule="exact"/>
        <w:rPr>
          <w:sz w:val="20"/>
          <w:szCs w:val="20"/>
          <w:color w:val="auto"/>
        </w:rPr>
      </w:pPr>
    </w:p>
    <w:p>
      <w:pPr>
        <w:spacing w:after="0" w:line="288" w:lineRule="exact"/>
        <w:rPr>
          <w:sz w:val="20"/>
          <w:szCs w:val="20"/>
          <w:color w:val="auto"/>
        </w:rPr>
      </w:pPr>
    </w:p>
    <w:p>
      <w:pPr>
        <w:ind w:left="320" w:hanging="188"/>
        <w:spacing w:after="0"/>
        <w:tabs>
          <w:tab w:leader="none" w:pos="320" w:val="left"/>
        </w:tabs>
        <w:numPr>
          <w:ilvl w:val="0"/>
          <w:numId w:val="240"/>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Inserted by the SEBI (Issue of Capital and Disclosure Requirements) (Fourth Amendment) Regulations, 2020 w.e.f.</w:t>
      </w:r>
    </w:p>
    <w:p>
      <w:pPr>
        <w:spacing w:after="0" w:line="19" w:lineRule="exact"/>
        <w:rPr>
          <w:rFonts w:ascii="Times New Roman" w:cs="Times New Roman" w:eastAsia="Times New Roman" w:hAnsi="Times New Roman"/>
          <w:sz w:val="26"/>
          <w:szCs w:val="26"/>
          <w:color w:val="auto"/>
          <w:vertAlign w:val="superscript"/>
        </w:rPr>
      </w:pPr>
    </w:p>
    <w:p>
      <w:pPr>
        <w:ind w:left="380" w:hanging="248"/>
        <w:spacing w:after="0" w:line="231" w:lineRule="auto"/>
        <w:tabs>
          <w:tab w:leader="none" w:pos="380" w:val="left"/>
        </w:tabs>
        <w:numPr>
          <w:ilvl w:val="0"/>
          <w:numId w:val="241"/>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09.2020.</w:t>
      </w:r>
    </w:p>
    <w:p>
      <w:pPr>
        <w:ind w:left="320" w:hanging="188"/>
        <w:spacing w:after="0" w:line="184" w:lineRule="auto"/>
        <w:tabs>
          <w:tab w:leader="none" w:pos="320" w:val="left"/>
        </w:tabs>
        <w:numPr>
          <w:ilvl w:val="0"/>
          <w:numId w:val="242"/>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Inserted by the SEBI (Issue of Capital and Disclosure Requirements) (Sixth Amendment) Regulations, 2019 w.e.f.</w:t>
      </w:r>
    </w:p>
    <w:p>
      <w:pPr>
        <w:spacing w:after="0" w:line="20" w:lineRule="exact"/>
        <w:rPr>
          <w:rFonts w:ascii="Times New Roman" w:cs="Times New Roman" w:eastAsia="Times New Roman" w:hAnsi="Times New Roman"/>
          <w:sz w:val="26"/>
          <w:szCs w:val="26"/>
          <w:color w:val="auto"/>
          <w:vertAlign w:val="superscript"/>
        </w:rPr>
      </w:pPr>
    </w:p>
    <w:p>
      <w:pPr>
        <w:ind w:left="380" w:hanging="248"/>
        <w:spacing w:after="0" w:line="231" w:lineRule="auto"/>
        <w:tabs>
          <w:tab w:leader="none" w:pos="380" w:val="left"/>
        </w:tabs>
        <w:numPr>
          <w:ilvl w:val="0"/>
          <w:numId w:val="243"/>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12.2019.</w:t>
      </w:r>
    </w:p>
    <w:p>
      <w:pPr>
        <w:spacing w:after="0" w:line="299" w:lineRule="exact"/>
        <w:rPr>
          <w:sz w:val="20"/>
          <w:szCs w:val="20"/>
          <w:color w:val="auto"/>
        </w:rPr>
      </w:pPr>
    </w:p>
    <w:p>
      <w:pPr>
        <w:jc w:val="center"/>
        <w:ind w:right="-139"/>
        <w:spacing w:after="0"/>
        <w:rPr>
          <w:sz w:val="20"/>
          <w:szCs w:val="20"/>
          <w:color w:val="auto"/>
        </w:rPr>
      </w:pPr>
      <w:r>
        <w:rPr>
          <w:rFonts w:ascii="Times New Roman" w:cs="Times New Roman" w:eastAsia="Times New Roman" w:hAnsi="Times New Roman"/>
          <w:sz w:val="24"/>
          <w:szCs w:val="24"/>
          <w:color w:val="auto"/>
        </w:rPr>
        <w:t>58</w:t>
      </w:r>
    </w:p>
    <w:p>
      <w:pPr>
        <w:sectPr>
          <w:pgSz w:w="11900" w:h="16836" w:orient="portrait"/>
          <w:cols w:equalWidth="0" w:num="1">
            <w:col w:w="9600"/>
          </w:cols>
          <w:pgMar w:left="1020" w:top="1156" w:right="1284" w:bottom="103" w:gutter="0" w:footer="0" w:header="0"/>
        </w:sectPr>
      </w:pPr>
    </w:p>
    <w:bookmarkStart w:id="58" w:name="page59"/>
    <w:bookmarkEnd w:id="5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Manner of calls</w:t>
      </w:r>
    </w:p>
    <w:p>
      <w:pPr>
        <w:spacing w:after="0" w:line="147" w:lineRule="exact"/>
        <w:rPr>
          <w:sz w:val="20"/>
          <w:szCs w:val="20"/>
          <w:color w:val="auto"/>
        </w:rPr>
      </w:pPr>
    </w:p>
    <w:p>
      <w:pPr>
        <w:jc w:val="both"/>
        <w:ind w:left="8" w:hanging="8"/>
        <w:spacing w:after="0" w:line="357" w:lineRule="auto"/>
        <w:tabs>
          <w:tab w:leader="none" w:pos="444" w:val="left"/>
        </w:tabs>
        <w:numPr>
          <w:ilvl w:val="0"/>
          <w:numId w:val="24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If the issuer proposes to receive subscription monies in calls, it shall ensure that the outstanding subscription money is called within twelve months from the date of allotment in the issue and if any applicant fails to pay the call money within the said twelve months, the equity shares on which there are calls in arrear along with the subscription money already paid on such shares shall be forfeited:</w:t>
      </w:r>
    </w:p>
    <w:p>
      <w:pPr>
        <w:spacing w:after="0" w:line="16" w:lineRule="exact"/>
        <w:rPr>
          <w:rFonts w:ascii="Times New Roman" w:cs="Times New Roman" w:eastAsia="Times New Roman" w:hAnsi="Times New Roman"/>
          <w:sz w:val="24"/>
          <w:szCs w:val="24"/>
          <w:b w:val="1"/>
          <w:bCs w:val="1"/>
          <w:color w:val="auto"/>
        </w:rPr>
      </w:pPr>
    </w:p>
    <w:p>
      <w:pPr>
        <w:ind w:left="8"/>
        <w:spacing w:after="0" w:line="350"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further that it shall not be necessary to call the outstanding subscription money within twelve months, if the issuer has appointed a monitoring agency in terms of regulation 82.</w:t>
      </w:r>
    </w:p>
    <w:p>
      <w:pPr>
        <w:spacing w:after="0" w:line="200" w:lineRule="exact"/>
        <w:rPr>
          <w:sz w:val="20"/>
          <w:szCs w:val="20"/>
          <w:color w:val="auto"/>
        </w:rPr>
      </w:pPr>
    </w:p>
    <w:p>
      <w:pPr>
        <w:spacing w:after="0" w:line="231"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Allotment procedure and basis of allotment</w:t>
      </w:r>
    </w:p>
    <w:p>
      <w:pPr>
        <w:spacing w:after="0" w:line="144" w:lineRule="exact"/>
        <w:rPr>
          <w:sz w:val="20"/>
          <w:szCs w:val="20"/>
          <w:color w:val="auto"/>
        </w:rPr>
      </w:pPr>
    </w:p>
    <w:p>
      <w:pPr>
        <w:ind w:left="348" w:hanging="348"/>
        <w:spacing w:after="0"/>
        <w:tabs>
          <w:tab w:leader="none" w:pos="348" w:val="left"/>
        </w:tabs>
        <w:numPr>
          <w:ilvl w:val="0"/>
          <w:numId w:val="245"/>
        </w:numPr>
        <w:rPr>
          <w:rFonts w:ascii="Times New Roman" w:cs="Times New Roman" w:eastAsia="Times New Roman" w:hAnsi="Times New Roman"/>
          <w:sz w:val="23"/>
          <w:szCs w:val="23"/>
          <w:b w:val="1"/>
          <w:bCs w:val="1"/>
          <w:color w:val="auto"/>
        </w:rPr>
      </w:pPr>
      <w:r>
        <w:rPr>
          <w:rFonts w:ascii="Times New Roman" w:cs="Times New Roman" w:eastAsia="Times New Roman" w:hAnsi="Times New Roman"/>
          <w:sz w:val="23"/>
          <w:szCs w:val="23"/>
          <w:color w:val="auto"/>
        </w:rPr>
        <w:t>(1) The issuer shall not make any allotment in excess of the specified securities offered through</w:t>
      </w:r>
    </w:p>
    <w:p>
      <w:pPr>
        <w:spacing w:after="0" w:line="131" w:lineRule="exact"/>
        <w:rPr>
          <w:rFonts w:ascii="Times New Roman" w:cs="Times New Roman" w:eastAsia="Times New Roman" w:hAnsi="Times New Roman"/>
          <w:sz w:val="23"/>
          <w:szCs w:val="23"/>
          <w:b w:val="1"/>
          <w:bCs w:val="1"/>
          <w:color w:val="auto"/>
        </w:rPr>
      </w:pPr>
    </w:p>
    <w:p>
      <w:pPr>
        <w:ind w:left="8"/>
        <w:spacing w:after="0"/>
        <w:rPr>
          <w:rFonts w:ascii="Times New Roman" w:cs="Times New Roman" w:eastAsia="Times New Roman" w:hAnsi="Times New Roman"/>
          <w:sz w:val="23"/>
          <w:szCs w:val="23"/>
          <w:b w:val="1"/>
          <w:bCs w:val="1"/>
          <w:color w:val="auto"/>
        </w:rPr>
      </w:pPr>
      <w:r>
        <w:rPr>
          <w:rFonts w:ascii="Times New Roman" w:cs="Times New Roman" w:eastAsia="Times New Roman" w:hAnsi="Times New Roman"/>
          <w:sz w:val="24"/>
          <w:szCs w:val="24"/>
          <w:color w:val="auto"/>
        </w:rPr>
        <w:t>the letter of offer</w:t>
      </w:r>
      <w:r>
        <w:rPr>
          <w:rFonts w:ascii="Times New Roman" w:cs="Times New Roman" w:eastAsia="Times New Roman" w:hAnsi="Times New Roman"/>
          <w:sz w:val="32"/>
          <w:szCs w:val="32"/>
          <w:color w:val="auto"/>
          <w:vertAlign w:val="superscript"/>
        </w:rPr>
        <w:t>47</w:t>
      </w:r>
      <w:r>
        <w:rPr>
          <w:rFonts w:ascii="Times New Roman" w:cs="Times New Roman" w:eastAsia="Times New Roman" w:hAnsi="Times New Roman"/>
          <w:sz w:val="24"/>
          <w:szCs w:val="24"/>
          <w:color w:val="auto"/>
        </w:rPr>
        <w:t>[, except as provided in regulation 74(1) and (2)].</w:t>
      </w:r>
    </w:p>
    <w:p>
      <w:pPr>
        <w:spacing w:after="0" w:line="52" w:lineRule="exact"/>
        <w:rPr>
          <w:rFonts w:ascii="Times New Roman" w:cs="Times New Roman" w:eastAsia="Times New Roman" w:hAnsi="Times New Roman"/>
          <w:sz w:val="23"/>
          <w:szCs w:val="23"/>
          <w:b w:val="1"/>
          <w:bCs w:val="1"/>
          <w:color w:val="auto"/>
        </w:rPr>
      </w:pPr>
    </w:p>
    <w:p>
      <w:pPr>
        <w:ind w:left="8"/>
        <w:spacing w:after="0"/>
        <w:rPr>
          <w:rFonts w:ascii="Times New Roman" w:cs="Times New Roman" w:eastAsia="Times New Roman" w:hAnsi="Times New Roman"/>
          <w:sz w:val="23"/>
          <w:szCs w:val="23"/>
          <w:b w:val="1"/>
          <w:bCs w:val="1"/>
          <w:color w:val="auto"/>
        </w:rPr>
      </w:pPr>
      <w:r>
        <w:rPr>
          <w:rFonts w:ascii="Times New Roman" w:cs="Times New Roman" w:eastAsia="Times New Roman" w:hAnsi="Times New Roman"/>
          <w:sz w:val="24"/>
          <w:szCs w:val="24"/>
          <w:color w:val="auto"/>
        </w:rPr>
        <w:t>(2) Allotment shall be made in the following manner:</w:t>
      </w:r>
    </w:p>
    <w:p>
      <w:pPr>
        <w:spacing w:after="0" w:line="151" w:lineRule="exact"/>
        <w:rPr>
          <w:rFonts w:ascii="Times New Roman" w:cs="Times New Roman" w:eastAsia="Times New Roman" w:hAnsi="Times New Roman"/>
          <w:sz w:val="23"/>
          <w:szCs w:val="23"/>
          <w:b w:val="1"/>
          <w:bCs w:val="1"/>
          <w:color w:val="auto"/>
        </w:rPr>
      </w:pPr>
    </w:p>
    <w:p>
      <w:pPr>
        <w:jc w:val="both"/>
        <w:ind w:left="728" w:hanging="368"/>
        <w:spacing w:after="0" w:line="354" w:lineRule="auto"/>
        <w:tabs>
          <w:tab w:leader="none" w:pos="728" w:val="left"/>
        </w:tabs>
        <w:numPr>
          <w:ilvl w:val="1"/>
          <w:numId w:val="24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Full allotment to those eligible shareholders who have applied for their rights entitlement either in full or in part and also to the renouncee(s), who has/have applied for the specified securities renounced in their favour, in full or in part, as adjusted for fractional entitlement</w:t>
      </w:r>
    </w:p>
    <w:p>
      <w:pPr>
        <w:spacing w:after="0" w:line="19" w:lineRule="exact"/>
        <w:rPr>
          <w:rFonts w:ascii="Times New Roman" w:cs="Times New Roman" w:eastAsia="Times New Roman" w:hAnsi="Times New Roman"/>
          <w:sz w:val="24"/>
          <w:szCs w:val="24"/>
          <w:color w:val="auto"/>
        </w:rPr>
      </w:pPr>
    </w:p>
    <w:p>
      <w:pPr>
        <w:jc w:val="both"/>
        <w:ind w:left="728" w:hanging="368"/>
        <w:spacing w:after="0" w:line="357" w:lineRule="auto"/>
        <w:tabs>
          <w:tab w:leader="none" w:pos="728" w:val="left"/>
        </w:tabs>
        <w:numPr>
          <w:ilvl w:val="1"/>
          <w:numId w:val="24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Allotment to eligible shareholders who having applied for the specified securities in full to the extent of their rights entitlement and have also applied for additional specified securities, shall be made as far as possible on an equitable basis having due regard to the number of specified securities held by them on the record date, provided there is an under-subscribed portion after making allotment in (a) above.</w:t>
      </w:r>
    </w:p>
    <w:p>
      <w:pPr>
        <w:spacing w:after="0" w:line="19" w:lineRule="exact"/>
        <w:rPr>
          <w:rFonts w:ascii="Times New Roman" w:cs="Times New Roman" w:eastAsia="Times New Roman" w:hAnsi="Times New Roman"/>
          <w:sz w:val="24"/>
          <w:szCs w:val="24"/>
          <w:color w:val="auto"/>
        </w:rPr>
      </w:pPr>
    </w:p>
    <w:p>
      <w:pPr>
        <w:jc w:val="both"/>
        <w:ind w:left="728" w:hanging="368"/>
        <w:spacing w:after="0" w:line="348" w:lineRule="auto"/>
        <w:tabs>
          <w:tab w:leader="none" w:pos="728" w:val="left"/>
        </w:tabs>
        <w:numPr>
          <w:ilvl w:val="1"/>
          <w:numId w:val="24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Allotment to the renouncees, who having applied for the specified securities renounced in their favour and also applied for additional specified securities, provided there is an under-</w:t>
      </w:r>
    </w:p>
    <w:p>
      <w:pPr>
        <w:spacing w:after="0" w:line="28" w:lineRule="exact"/>
        <w:rPr>
          <w:sz w:val="20"/>
          <w:szCs w:val="20"/>
          <w:color w:val="auto"/>
        </w:rPr>
      </w:pPr>
    </w:p>
    <w:p>
      <w:pPr>
        <w:ind w:left="728"/>
        <w:spacing w:after="0" w:line="348" w:lineRule="auto"/>
        <w:rPr>
          <w:sz w:val="20"/>
          <w:szCs w:val="20"/>
          <w:color w:val="auto"/>
        </w:rPr>
      </w:pPr>
      <w:r>
        <w:rPr>
          <w:rFonts w:ascii="Times New Roman" w:cs="Times New Roman" w:eastAsia="Times New Roman" w:hAnsi="Times New Roman"/>
          <w:sz w:val="24"/>
          <w:szCs w:val="24"/>
          <w:color w:val="auto"/>
        </w:rPr>
        <w:t>subscribed portion after making full allotment specified in (a) and (b) above. The allotment of such additional specified securities may be made on a proportionate basis.</w:t>
      </w:r>
    </w:p>
    <w:p>
      <w:pPr>
        <w:spacing w:after="0" w:line="28" w:lineRule="exact"/>
        <w:rPr>
          <w:sz w:val="20"/>
          <w:szCs w:val="20"/>
          <w:color w:val="auto"/>
        </w:rPr>
      </w:pPr>
    </w:p>
    <w:p>
      <w:pPr>
        <w:jc w:val="both"/>
        <w:ind w:left="8" w:hanging="8"/>
        <w:spacing w:after="0" w:line="354" w:lineRule="auto"/>
        <w:tabs>
          <w:tab w:leader="none" w:pos="440" w:val="left"/>
        </w:tabs>
        <w:numPr>
          <w:ilvl w:val="0"/>
          <w:numId w:val="24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authorised employees of the designated stock exchange along with the lead manager(s) and registrars to the issue shall ensure that the basis of allotment is finalised in a fair and proper manner as may be prescribed by the Board.</w:t>
      </w: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ind w:left="188" w:hanging="188"/>
        <w:spacing w:after="0"/>
        <w:tabs>
          <w:tab w:leader="none" w:pos="188" w:val="left"/>
        </w:tabs>
        <w:numPr>
          <w:ilvl w:val="0"/>
          <w:numId w:val="247"/>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Inserted by the SEBI (Issue of Capital and Disclosure Requirements) (Sixth Amendment) Regulations, 2019 w.e.f.</w:t>
      </w:r>
    </w:p>
    <w:p>
      <w:pPr>
        <w:spacing w:after="0" w:line="19" w:lineRule="exact"/>
        <w:rPr>
          <w:rFonts w:ascii="Times New Roman" w:cs="Times New Roman" w:eastAsia="Times New Roman" w:hAnsi="Times New Roman"/>
          <w:sz w:val="26"/>
          <w:szCs w:val="26"/>
          <w:color w:val="auto"/>
          <w:vertAlign w:val="superscript"/>
        </w:rPr>
      </w:pPr>
    </w:p>
    <w:p>
      <w:pPr>
        <w:ind w:left="248" w:hanging="248"/>
        <w:spacing w:after="0" w:line="231" w:lineRule="auto"/>
        <w:tabs>
          <w:tab w:leader="none" w:pos="248" w:val="left"/>
        </w:tabs>
        <w:numPr>
          <w:ilvl w:val="0"/>
          <w:numId w:val="248"/>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12.2019.</w:t>
      </w:r>
    </w:p>
    <w:p>
      <w:pPr>
        <w:ind w:left="188" w:hanging="188"/>
        <w:spacing w:after="0" w:line="184" w:lineRule="auto"/>
        <w:tabs>
          <w:tab w:leader="none" w:pos="188" w:val="left"/>
        </w:tabs>
        <w:numPr>
          <w:ilvl w:val="0"/>
          <w:numId w:val="249"/>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Inserted by the SEBI (Issue of Capital and Disclosure Requirements) (Fourth Amendment) Regulations, 2020 w.e.f.</w:t>
      </w:r>
    </w:p>
    <w:p>
      <w:pPr>
        <w:spacing w:after="0" w:line="20" w:lineRule="exact"/>
        <w:rPr>
          <w:rFonts w:ascii="Times New Roman" w:cs="Times New Roman" w:eastAsia="Times New Roman" w:hAnsi="Times New Roman"/>
          <w:sz w:val="26"/>
          <w:szCs w:val="26"/>
          <w:color w:val="auto"/>
          <w:vertAlign w:val="superscript"/>
        </w:rPr>
      </w:pPr>
    </w:p>
    <w:p>
      <w:pPr>
        <w:ind w:left="248" w:hanging="248"/>
        <w:spacing w:after="0" w:line="231" w:lineRule="auto"/>
        <w:tabs>
          <w:tab w:leader="none" w:pos="248" w:val="left"/>
        </w:tabs>
        <w:numPr>
          <w:ilvl w:val="0"/>
          <w:numId w:val="250"/>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09.2020.</w:t>
      </w:r>
    </w:p>
    <w:p>
      <w:pPr>
        <w:spacing w:after="0" w:line="29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59</w:t>
      </w:r>
    </w:p>
    <w:p>
      <w:pPr>
        <w:sectPr>
          <w:pgSz w:w="11900" w:h="16836" w:orient="portrait"/>
          <w:cols w:equalWidth="0" w:num="1">
            <w:col w:w="9468"/>
          </w:cols>
          <w:pgMar w:left="1152" w:top="1440" w:right="1284" w:bottom="103" w:gutter="0" w:footer="0" w:header="0"/>
        </w:sectPr>
      </w:pPr>
    </w:p>
    <w:bookmarkStart w:id="59" w:name="page60"/>
    <w:bookmarkEnd w:id="59"/>
    <w:p>
      <w:pPr>
        <w:spacing w:after="0" w:line="12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Allotment, refund and payment of interest</w:t>
      </w:r>
    </w:p>
    <w:p>
      <w:pPr>
        <w:spacing w:after="0" w:line="147" w:lineRule="exact"/>
        <w:rPr>
          <w:sz w:val="20"/>
          <w:szCs w:val="20"/>
          <w:color w:val="auto"/>
        </w:rPr>
      </w:pPr>
    </w:p>
    <w:p>
      <w:pPr>
        <w:jc w:val="both"/>
        <w:ind w:left="8" w:hanging="8"/>
        <w:spacing w:after="0" w:line="354" w:lineRule="auto"/>
        <w:tabs>
          <w:tab w:leader="none" w:pos="375" w:val="left"/>
        </w:tabs>
        <w:numPr>
          <w:ilvl w:val="0"/>
          <w:numId w:val="25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and lead manager(s) shall ensure that the specified securities are allotted and/or application monies are refunded or unblocked within such period as may be specified by the Board.</w:t>
      </w:r>
    </w:p>
    <w:p>
      <w:pPr>
        <w:spacing w:after="0" w:line="19" w:lineRule="exact"/>
        <w:rPr>
          <w:rFonts w:ascii="Times New Roman" w:cs="Times New Roman" w:eastAsia="Times New Roman" w:hAnsi="Times New Roman"/>
          <w:sz w:val="24"/>
          <w:szCs w:val="24"/>
          <w:b w:val="1"/>
          <w:bCs w:val="1"/>
          <w:color w:val="auto"/>
        </w:rPr>
      </w:pPr>
    </w:p>
    <w:p>
      <w:pPr>
        <w:ind w:left="8"/>
        <w:spacing w:after="0" w:line="350"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The lead manager(s) shall ensure that the allotment, credit of dematerialised securities, refunding or unblocking of application monies, as may be applicable, are done electronically.</w:t>
      </w:r>
    </w:p>
    <w:p>
      <w:pPr>
        <w:spacing w:after="0" w:line="23" w:lineRule="exact"/>
        <w:rPr>
          <w:rFonts w:ascii="Times New Roman" w:cs="Times New Roman" w:eastAsia="Times New Roman" w:hAnsi="Times New Roman"/>
          <w:sz w:val="24"/>
          <w:szCs w:val="24"/>
          <w:b w:val="1"/>
          <w:bCs w:val="1"/>
          <w:color w:val="auto"/>
        </w:rPr>
      </w:pPr>
    </w:p>
    <w:p>
      <w:pPr>
        <w:jc w:val="both"/>
        <w:ind w:left="8"/>
        <w:spacing w:after="0" w:line="357"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(3) Where the specified securities are not allotted and/or application monies are not refunded or unblocked within the period stipulated in sub-regulation (1) above, the issuer shall undertake to pay interest at the rate of fifteen per cent. per annum to the shareholders within such time as disclosed in the draft letter of offer and the letter of offer and the lead manager(s) shall ensure the same.</w:t>
      </w:r>
    </w:p>
    <w:p>
      <w:pPr>
        <w:spacing w:after="0" w:line="200" w:lineRule="exact"/>
        <w:rPr>
          <w:sz w:val="20"/>
          <w:szCs w:val="20"/>
          <w:color w:val="auto"/>
        </w:rPr>
      </w:pPr>
    </w:p>
    <w:p>
      <w:pPr>
        <w:spacing w:after="0" w:line="225"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Post-issue advertisements</w:t>
      </w:r>
    </w:p>
    <w:p>
      <w:pPr>
        <w:spacing w:after="0" w:line="147" w:lineRule="exact"/>
        <w:rPr>
          <w:sz w:val="20"/>
          <w:szCs w:val="20"/>
          <w:color w:val="auto"/>
        </w:rPr>
      </w:pPr>
    </w:p>
    <w:p>
      <w:pPr>
        <w:jc w:val="both"/>
        <w:ind w:left="8" w:hanging="8"/>
        <w:spacing w:after="0" w:line="358" w:lineRule="auto"/>
        <w:tabs>
          <w:tab w:leader="none" w:pos="452" w:val="left"/>
        </w:tabs>
        <w:numPr>
          <w:ilvl w:val="0"/>
          <w:numId w:val="25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lead manager(s) shall ensure that an advertisement giving details relating to subscription, basis of allotment, number, value and percentage of all applications including ASBA, number, value and percentage of successful allottees for all applications including ASBA, date of completion of despatch of refund orders, as applicable, or instructions to self- certified syndicate banks by the Registrar, date of despatch of certificates or date of credit of specified securities, as applicable, and date of filing of listing application, etc. is released within ten days from the date of completion of the various activities in at least one English national daily newspaper with wide circulation, one Hindi national daily newspaper with wide circulation and one regional language daily newspaper with wide circulation at the place where registered office of the issuer is situated.</w:t>
      </w:r>
    </w:p>
    <w:p>
      <w:pPr>
        <w:spacing w:after="0" w:line="24" w:lineRule="exact"/>
        <w:rPr>
          <w:rFonts w:ascii="Times New Roman" w:cs="Times New Roman" w:eastAsia="Times New Roman" w:hAnsi="Times New Roman"/>
          <w:sz w:val="24"/>
          <w:szCs w:val="24"/>
          <w:b w:val="1"/>
          <w:bCs w:val="1"/>
          <w:color w:val="auto"/>
        </w:rPr>
      </w:pPr>
    </w:p>
    <w:p>
      <w:pPr>
        <w:ind w:left="8"/>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Details specified in sub regulation (1) shall also be placed on the websites of the stock exchanges where the securities are listed.</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Post-issue responsibilities of the lead manager(s)</w:t>
      </w:r>
    </w:p>
    <w:p>
      <w:pPr>
        <w:spacing w:after="0" w:line="147" w:lineRule="exact"/>
        <w:rPr>
          <w:sz w:val="20"/>
          <w:szCs w:val="20"/>
          <w:color w:val="auto"/>
        </w:rPr>
      </w:pPr>
    </w:p>
    <w:p>
      <w:pPr>
        <w:ind w:left="8" w:hanging="8"/>
        <w:spacing w:after="0" w:line="348" w:lineRule="auto"/>
        <w:tabs>
          <w:tab w:leader="none" w:pos="413" w:val="left"/>
        </w:tabs>
        <w:numPr>
          <w:ilvl w:val="0"/>
          <w:numId w:val="25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responsibility of the lead manager(s) shall continue until completion of the issue process and for any issue related matter thereafter.</w:t>
      </w:r>
    </w:p>
    <w:p>
      <w:pPr>
        <w:spacing w:after="0" w:line="27" w:lineRule="exact"/>
        <w:rPr>
          <w:rFonts w:ascii="Times New Roman" w:cs="Times New Roman" w:eastAsia="Times New Roman" w:hAnsi="Times New Roman"/>
          <w:sz w:val="24"/>
          <w:szCs w:val="24"/>
          <w:b w:val="1"/>
          <w:bCs w:val="1"/>
          <w:color w:val="auto"/>
        </w:rPr>
      </w:pPr>
    </w:p>
    <w:p>
      <w:pPr>
        <w:ind w:left="8"/>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The lead manager(s) shall regularly monitor redressal of investor grievances arising from any issue related activities.</w:t>
      </w:r>
    </w:p>
    <w:p>
      <w:pPr>
        <w:spacing w:after="0" w:line="28" w:lineRule="exact"/>
        <w:rPr>
          <w:sz w:val="20"/>
          <w:szCs w:val="20"/>
          <w:color w:val="auto"/>
        </w:rPr>
      </w:pPr>
    </w:p>
    <w:p>
      <w:pPr>
        <w:ind w:left="8"/>
        <w:spacing w:after="0" w:line="348" w:lineRule="auto"/>
        <w:rPr>
          <w:sz w:val="20"/>
          <w:szCs w:val="20"/>
          <w:color w:val="auto"/>
        </w:rPr>
      </w:pPr>
      <w:r>
        <w:rPr>
          <w:rFonts w:ascii="Times New Roman" w:cs="Times New Roman" w:eastAsia="Times New Roman" w:hAnsi="Times New Roman"/>
          <w:sz w:val="24"/>
          <w:szCs w:val="24"/>
          <w:color w:val="auto"/>
        </w:rPr>
        <w:t>(3) The lead manager(s) shall continue to be responsible for post-issue activities till the applicants have received the securities certificates, credit to their demat account or refund of</w:t>
      </w: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60</w:t>
      </w:r>
    </w:p>
    <w:p>
      <w:pPr>
        <w:sectPr>
          <w:pgSz w:w="11900" w:h="16836" w:orient="portrait"/>
          <w:cols w:equalWidth="0" w:num="1">
            <w:col w:w="9468"/>
          </w:cols>
          <w:pgMar w:left="1152" w:top="1440" w:right="1284" w:bottom="103" w:gutter="0" w:footer="0" w:header="0"/>
        </w:sectPr>
      </w:pPr>
    </w:p>
    <w:bookmarkStart w:id="60" w:name="page61"/>
    <w:bookmarkEnd w:id="60"/>
    <w:p>
      <w:pPr>
        <w:ind w:left="8"/>
        <w:spacing w:after="0" w:line="348" w:lineRule="auto"/>
        <w:rPr>
          <w:sz w:val="20"/>
          <w:szCs w:val="20"/>
          <w:color w:val="auto"/>
        </w:rPr>
      </w:pPr>
      <w:r>
        <w:rPr>
          <w:rFonts w:ascii="Times New Roman" w:cs="Times New Roman" w:eastAsia="Times New Roman" w:hAnsi="Times New Roman"/>
          <w:sz w:val="24"/>
          <w:szCs w:val="24"/>
          <w:color w:val="auto"/>
        </w:rPr>
        <w:t>application monies and the listing agreement is entered into by the issuer with the stock exchange and listing or trading permission is obtained.</w:t>
      </w:r>
    </w:p>
    <w:p>
      <w:pPr>
        <w:spacing w:after="0" w:line="28" w:lineRule="exact"/>
        <w:rPr>
          <w:sz w:val="20"/>
          <w:szCs w:val="20"/>
          <w:color w:val="auto"/>
        </w:rPr>
      </w:pPr>
    </w:p>
    <w:p>
      <w:pPr>
        <w:jc w:val="both"/>
        <w:ind w:left="8" w:hanging="8"/>
        <w:spacing w:after="0" w:line="348" w:lineRule="auto"/>
        <w:tabs>
          <w:tab w:leader="none" w:pos="370" w:val="left"/>
        </w:tabs>
        <w:numPr>
          <w:ilvl w:val="0"/>
          <w:numId w:val="25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 shall be responsible for and co-ordinate with the registrars to the issue and with various intermediaries at regular intervals after the closure of the issue to monitor the</w:t>
      </w:r>
    </w:p>
    <w:p>
      <w:pPr>
        <w:spacing w:after="0" w:line="7" w:lineRule="exact"/>
        <w:rPr>
          <w:rFonts w:ascii="Times New Roman" w:cs="Times New Roman" w:eastAsia="Times New Roman" w:hAnsi="Times New Roman"/>
          <w:sz w:val="24"/>
          <w:szCs w:val="24"/>
          <w:color w:val="auto"/>
        </w:rPr>
      </w:pPr>
    </w:p>
    <w:p>
      <w:pPr>
        <w:jc w:val="both"/>
        <w:ind w:left="8"/>
        <w:spacing w:after="0" w:line="285"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flow of applications from </w:t>
      </w:r>
      <w:r>
        <w:rPr>
          <w:rFonts w:ascii="Times New Roman" w:cs="Times New Roman" w:eastAsia="Times New Roman" w:hAnsi="Times New Roman"/>
          <w:sz w:val="32"/>
          <w:szCs w:val="32"/>
          <w:color w:val="auto"/>
          <w:vertAlign w:val="superscript"/>
        </w:rPr>
        <w:t>48</w:t>
      </w:r>
      <w:r>
        <w:rPr>
          <w:rFonts w:ascii="Times New Roman" w:cs="Times New Roman" w:eastAsia="Times New Roman" w:hAnsi="Times New Roman"/>
          <w:sz w:val="24"/>
          <w:szCs w:val="24"/>
          <w:color w:val="auto"/>
        </w:rPr>
        <w:t>[***] self-certified syndicate banks, processing of the applications including application form for ASBA and other matters till the basis of allotment is finalised,</w:t>
      </w:r>
    </w:p>
    <w:p>
      <w:pPr>
        <w:spacing w:after="0" w:line="63" w:lineRule="exact"/>
        <w:rPr>
          <w:sz w:val="20"/>
          <w:szCs w:val="20"/>
          <w:color w:val="auto"/>
        </w:rPr>
      </w:pPr>
    </w:p>
    <w:p>
      <w:pPr>
        <w:jc w:val="both"/>
        <w:ind w:left="8"/>
        <w:spacing w:after="0" w:line="311" w:lineRule="auto"/>
        <w:rPr>
          <w:sz w:val="20"/>
          <w:szCs w:val="20"/>
          <w:color w:val="auto"/>
        </w:rPr>
      </w:pPr>
      <w:r>
        <w:rPr>
          <w:rFonts w:ascii="Times New Roman" w:cs="Times New Roman" w:eastAsia="Times New Roman" w:hAnsi="Times New Roman"/>
          <w:sz w:val="32"/>
          <w:szCs w:val="32"/>
          <w:color w:val="auto"/>
          <w:vertAlign w:val="superscript"/>
        </w:rPr>
        <w:t>49</w:t>
      </w:r>
      <w:r>
        <w:rPr>
          <w:rFonts w:ascii="Times New Roman" w:cs="Times New Roman" w:eastAsia="Times New Roman" w:hAnsi="Times New Roman"/>
          <w:sz w:val="24"/>
          <w:szCs w:val="24"/>
          <w:color w:val="auto"/>
        </w:rPr>
        <w:t>[***] credit of the specified securities to the dematerialised accounts of the allottees, as applicable and unblocking of ASBA accounts/ despatch of refund orders are completed and securities are listed, as applicable.</w:t>
      </w:r>
    </w:p>
    <w:p>
      <w:pPr>
        <w:spacing w:after="0" w:line="69" w:lineRule="exact"/>
        <w:rPr>
          <w:sz w:val="20"/>
          <w:szCs w:val="20"/>
          <w:color w:val="auto"/>
        </w:rPr>
      </w:pPr>
    </w:p>
    <w:p>
      <w:pPr>
        <w:ind w:left="8" w:hanging="8"/>
        <w:spacing w:after="0" w:line="350" w:lineRule="auto"/>
        <w:tabs>
          <w:tab w:leader="none" w:pos="348" w:val="left"/>
        </w:tabs>
        <w:numPr>
          <w:ilvl w:val="0"/>
          <w:numId w:val="25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act of omission or commission on the part of any of the intermediaries noticed by the lead manager(s) shall be duly reported by them to the Board.</w:t>
      </w:r>
    </w:p>
    <w:p>
      <w:pPr>
        <w:spacing w:after="0" w:line="23"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351" w:val="left"/>
        </w:tabs>
        <w:numPr>
          <w:ilvl w:val="0"/>
          <w:numId w:val="25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there is a devolvement on underwriters, the lead manager(s) shall ensure that the notice for devolvement containing the obligation of the underwriters is issued within ten days from the date of closure of the issue.</w:t>
      </w:r>
    </w:p>
    <w:p>
      <w:pPr>
        <w:spacing w:after="0" w:line="22"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394" w:val="left"/>
        </w:tabs>
        <w:numPr>
          <w:ilvl w:val="0"/>
          <w:numId w:val="25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In case of undersubscribed issues that are underwritten, the lead manager(s) shall furnish information to the Board in respect of underwriters who have failed to meet their underwriting devolvement in the format specified in </w:t>
      </w:r>
      <w:r>
        <w:rPr>
          <w:rFonts w:ascii="Times New Roman" w:cs="Times New Roman" w:eastAsia="Times New Roman" w:hAnsi="Times New Roman"/>
          <w:sz w:val="24"/>
          <w:szCs w:val="24"/>
          <w:b w:val="1"/>
          <w:bCs w:val="1"/>
          <w:color w:val="auto"/>
        </w:rPr>
        <w:t>Schedule XVIII</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22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Release of subscription money</w:t>
      </w:r>
    </w:p>
    <w:p>
      <w:pPr>
        <w:spacing w:after="0" w:line="144" w:lineRule="exact"/>
        <w:rPr>
          <w:sz w:val="20"/>
          <w:szCs w:val="20"/>
          <w:color w:val="auto"/>
        </w:rPr>
      </w:pPr>
    </w:p>
    <w:p>
      <w:pPr>
        <w:jc w:val="both"/>
        <w:ind w:left="8" w:hanging="8"/>
        <w:spacing w:after="0" w:line="356" w:lineRule="auto"/>
        <w:tabs>
          <w:tab w:leader="none" w:pos="384" w:val="left"/>
        </w:tabs>
        <w:numPr>
          <w:ilvl w:val="0"/>
          <w:numId w:val="25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lead manager(s) shall confirm to the bankers to the issue by way of copies of listing and trading approvals that all formalities in connection with the issue have been completed and that the banker is free to release the money to the issuer or release the money for refund in case of failure of the issue.</w:t>
      </w:r>
    </w:p>
    <w:p>
      <w:pPr>
        <w:spacing w:after="0" w:line="19" w:lineRule="exact"/>
        <w:rPr>
          <w:rFonts w:ascii="Times New Roman" w:cs="Times New Roman" w:eastAsia="Times New Roman" w:hAnsi="Times New Roman"/>
          <w:sz w:val="24"/>
          <w:szCs w:val="24"/>
          <w:b w:val="1"/>
          <w:bCs w:val="1"/>
          <w:color w:val="auto"/>
        </w:rPr>
      </w:pPr>
    </w:p>
    <w:p>
      <w:pPr>
        <w:jc w:val="both"/>
        <w:ind w:left="8"/>
        <w:spacing w:after="0" w:line="35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In case the issuer fails to obtain listing or trading permission from the stock exchanges where the specified securities were listed, it shall refund through verifiable means the entire monies received within seven days of receipt of intimation from stock exchanges rejecting the application for listing of specified securities, and if any such money is not repaid within eight days after the issuer becomes liable to repay it the issuer and every director of the company who is an officer in default shall, on and from the expiry of the eighth day, be jointly and severally liable to repay that money with interest at the rate of fifteen per cent. per annum.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ind w:left="188" w:hanging="188"/>
        <w:spacing w:after="0"/>
        <w:tabs>
          <w:tab w:leader="none" w:pos="188" w:val="left"/>
        </w:tabs>
        <w:numPr>
          <w:ilvl w:val="0"/>
          <w:numId w:val="257"/>
        </w:numPr>
        <w:rPr>
          <w:rFonts w:ascii="Times New Roman" w:cs="Times New Roman" w:eastAsia="Times New Roman" w:hAnsi="Times New Roman"/>
          <w:sz w:val="25"/>
          <w:szCs w:val="25"/>
          <w:color w:val="auto"/>
          <w:vertAlign w:val="superscript"/>
        </w:rPr>
      </w:pPr>
      <w:r>
        <w:rPr>
          <w:rFonts w:ascii="Times New Roman" w:cs="Times New Roman" w:eastAsia="Times New Roman" w:hAnsi="Times New Roman"/>
          <w:sz w:val="19"/>
          <w:szCs w:val="19"/>
          <w:color w:val="auto"/>
        </w:rPr>
        <w:t>Omitted by the SEBI (Issue of Capital and Disclosure Requirements) (Fourth Amendment) Regulations, 2020 w.e.f.</w:t>
      </w:r>
    </w:p>
    <w:p>
      <w:pPr>
        <w:spacing w:after="0" w:line="19" w:lineRule="exact"/>
        <w:rPr>
          <w:rFonts w:ascii="Times New Roman" w:cs="Times New Roman" w:eastAsia="Times New Roman" w:hAnsi="Times New Roman"/>
          <w:sz w:val="25"/>
          <w:szCs w:val="25"/>
          <w:color w:val="auto"/>
          <w:vertAlign w:val="superscript"/>
        </w:rPr>
      </w:pPr>
    </w:p>
    <w:p>
      <w:pPr>
        <w:ind w:left="248" w:hanging="248"/>
        <w:spacing w:after="0" w:line="231" w:lineRule="auto"/>
        <w:tabs>
          <w:tab w:leader="none" w:pos="248" w:val="left"/>
        </w:tabs>
        <w:numPr>
          <w:ilvl w:val="0"/>
          <w:numId w:val="258"/>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09.2020. Prior to omission it read as “collecting bank branches and/ or”.</w:t>
      </w:r>
    </w:p>
    <w:p>
      <w:pPr>
        <w:ind w:left="188" w:hanging="188"/>
        <w:spacing w:after="0" w:line="192" w:lineRule="auto"/>
        <w:tabs>
          <w:tab w:leader="none" w:pos="188" w:val="left"/>
        </w:tabs>
        <w:numPr>
          <w:ilvl w:val="0"/>
          <w:numId w:val="259"/>
        </w:numPr>
        <w:rPr>
          <w:rFonts w:ascii="Times New Roman" w:cs="Times New Roman" w:eastAsia="Times New Roman" w:hAnsi="Times New Roman"/>
          <w:sz w:val="25"/>
          <w:szCs w:val="25"/>
          <w:color w:val="auto"/>
          <w:vertAlign w:val="superscript"/>
        </w:rPr>
      </w:pPr>
      <w:r>
        <w:rPr>
          <w:rFonts w:ascii="Times New Roman" w:cs="Times New Roman" w:eastAsia="Times New Roman" w:hAnsi="Times New Roman"/>
          <w:sz w:val="19"/>
          <w:szCs w:val="19"/>
          <w:color w:val="auto"/>
        </w:rPr>
        <w:t>Omitted by the SEBI (Issue of Capital and Disclosure Requirements) (Fourth Amendment) Regulations, 2020 w.e.f.</w:t>
      </w:r>
    </w:p>
    <w:p>
      <w:pPr>
        <w:spacing w:after="0" w:line="19" w:lineRule="exact"/>
        <w:rPr>
          <w:rFonts w:ascii="Times New Roman" w:cs="Times New Roman" w:eastAsia="Times New Roman" w:hAnsi="Times New Roman"/>
          <w:sz w:val="25"/>
          <w:szCs w:val="25"/>
          <w:color w:val="auto"/>
          <w:vertAlign w:val="superscript"/>
        </w:rPr>
      </w:pPr>
    </w:p>
    <w:p>
      <w:pPr>
        <w:ind w:left="248" w:hanging="248"/>
        <w:spacing w:after="0" w:line="231" w:lineRule="auto"/>
        <w:tabs>
          <w:tab w:leader="none" w:pos="248" w:val="left"/>
        </w:tabs>
        <w:numPr>
          <w:ilvl w:val="0"/>
          <w:numId w:val="260"/>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09.2020. Prior to omission it read as “despatch of security certificates or”.</w:t>
      </w:r>
    </w:p>
    <w:p>
      <w:pPr>
        <w:spacing w:after="0" w:line="29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61</w:t>
      </w:r>
    </w:p>
    <w:p>
      <w:pPr>
        <w:sectPr>
          <w:pgSz w:w="11900" w:h="16836" w:orient="portrait"/>
          <w:cols w:equalWidth="0" w:num="1">
            <w:col w:w="9468"/>
          </w:cols>
          <w:pgMar w:left="1152" w:top="1156" w:right="1284" w:bottom="103" w:gutter="0" w:footer="0" w:header="0"/>
        </w:sectPr>
      </w:pPr>
    </w:p>
    <w:bookmarkStart w:id="61" w:name="page62"/>
    <w:bookmarkEnd w:id="61"/>
    <w:p>
      <w:pPr>
        <w:jc w:val="both"/>
        <w:ind w:left="8" w:hanging="8"/>
        <w:spacing w:after="0" w:line="354" w:lineRule="auto"/>
        <w:tabs>
          <w:tab w:leader="none" w:pos="454" w:val="left"/>
        </w:tabs>
        <w:numPr>
          <w:ilvl w:val="0"/>
          <w:numId w:val="26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 shall ensure that the monies received in respect of the rights issue are released to the issuer in compliance with the provisions of sub-section (3) of section 40 of the Companies Act, 2013, as applicable.</w:t>
      </w:r>
    </w:p>
    <w:p>
      <w:pPr>
        <w:spacing w:after="0" w:line="200" w:lineRule="exact"/>
        <w:rPr>
          <w:sz w:val="20"/>
          <w:szCs w:val="20"/>
          <w:color w:val="auto"/>
        </w:rPr>
      </w:pPr>
    </w:p>
    <w:p>
      <w:pPr>
        <w:spacing w:after="0" w:line="22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Reporting of transactions of the promoters and promoter group</w:t>
      </w:r>
    </w:p>
    <w:p>
      <w:pPr>
        <w:spacing w:after="0" w:line="144" w:lineRule="exact"/>
        <w:rPr>
          <w:sz w:val="20"/>
          <w:szCs w:val="20"/>
          <w:color w:val="auto"/>
        </w:rPr>
      </w:pPr>
    </w:p>
    <w:p>
      <w:pPr>
        <w:jc w:val="both"/>
        <w:ind w:left="8" w:hanging="8"/>
        <w:spacing w:after="0" w:line="357" w:lineRule="auto"/>
        <w:tabs>
          <w:tab w:leader="none" w:pos="437" w:val="left"/>
        </w:tabs>
        <w:numPr>
          <w:ilvl w:val="0"/>
          <w:numId w:val="26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issuer shall ensure that all transactions in securities by the promoters and promoter group between the date of filing of the draft letter of offer or letter of offer, as the case may be, and the date of closure of the issue shall be reported to the stock exchanges where the specified securities of the issuer are to be listed, within twenty four hours of such transactions.</w:t>
      </w:r>
    </w:p>
    <w:p>
      <w:pPr>
        <w:spacing w:after="0" w:line="200" w:lineRule="exact"/>
        <w:rPr>
          <w:sz w:val="20"/>
          <w:szCs w:val="20"/>
          <w:color w:val="auto"/>
        </w:rPr>
      </w:pPr>
    </w:p>
    <w:p>
      <w:pPr>
        <w:spacing w:after="0" w:line="22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Post-issue reports</w:t>
      </w:r>
    </w:p>
    <w:p>
      <w:pPr>
        <w:spacing w:after="0" w:line="132" w:lineRule="exact"/>
        <w:rPr>
          <w:sz w:val="20"/>
          <w:szCs w:val="20"/>
          <w:color w:val="auto"/>
        </w:rPr>
      </w:pPr>
    </w:p>
    <w:p>
      <w:pPr>
        <w:ind w:left="428" w:hanging="428"/>
        <w:spacing w:after="0"/>
        <w:tabs>
          <w:tab w:leader="none" w:pos="428" w:val="left"/>
        </w:tabs>
        <w:numPr>
          <w:ilvl w:val="0"/>
          <w:numId w:val="26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lead manager(s) shall submit post-issue reports as follows:</w:t>
      </w:r>
    </w:p>
    <w:p>
      <w:pPr>
        <w:spacing w:after="0" w:line="151" w:lineRule="exact"/>
        <w:rPr>
          <w:sz w:val="20"/>
          <w:szCs w:val="20"/>
          <w:color w:val="auto"/>
        </w:rPr>
      </w:pPr>
    </w:p>
    <w:p>
      <w:pPr>
        <w:ind w:left="548" w:hanging="548"/>
        <w:spacing w:after="0" w:line="348" w:lineRule="auto"/>
        <w:tabs>
          <w:tab w:leader="none" w:pos="548" w:val="left"/>
        </w:tabs>
        <w:numPr>
          <w:ilvl w:val="0"/>
          <w:numId w:val="26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initial post-issue report as specified in </w:t>
      </w:r>
      <w:r>
        <w:rPr>
          <w:rFonts w:ascii="Times New Roman" w:cs="Times New Roman" w:eastAsia="Times New Roman" w:hAnsi="Times New Roman"/>
          <w:sz w:val="24"/>
          <w:szCs w:val="24"/>
          <w:b w:val="1"/>
          <w:bCs w:val="1"/>
          <w:color w:val="auto"/>
        </w:rPr>
        <w:t>Part B</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 XVII</w:t>
      </w:r>
      <w:r>
        <w:rPr>
          <w:rFonts w:ascii="Times New Roman" w:cs="Times New Roman" w:eastAsia="Times New Roman" w:hAnsi="Times New Roman"/>
          <w:sz w:val="24"/>
          <w:szCs w:val="24"/>
          <w:color w:val="auto"/>
        </w:rPr>
        <w:t>, within three working days of closure of the issue;</w:t>
      </w:r>
    </w:p>
    <w:p>
      <w:pPr>
        <w:spacing w:after="0" w:line="27" w:lineRule="exact"/>
        <w:rPr>
          <w:rFonts w:ascii="Times New Roman" w:cs="Times New Roman" w:eastAsia="Times New Roman" w:hAnsi="Times New Roman"/>
          <w:sz w:val="24"/>
          <w:szCs w:val="24"/>
          <w:color w:val="auto"/>
        </w:rPr>
      </w:pPr>
    </w:p>
    <w:p>
      <w:pPr>
        <w:jc w:val="both"/>
        <w:ind w:left="548" w:hanging="548"/>
        <w:spacing w:after="0" w:line="354" w:lineRule="auto"/>
        <w:tabs>
          <w:tab w:leader="none" w:pos="548" w:val="left"/>
        </w:tabs>
        <w:numPr>
          <w:ilvl w:val="0"/>
          <w:numId w:val="26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final post-issue report as specified in </w:t>
      </w:r>
      <w:r>
        <w:rPr>
          <w:rFonts w:ascii="Times New Roman" w:cs="Times New Roman" w:eastAsia="Times New Roman" w:hAnsi="Times New Roman"/>
          <w:sz w:val="24"/>
          <w:szCs w:val="24"/>
          <w:b w:val="1"/>
          <w:bCs w:val="1"/>
          <w:color w:val="auto"/>
        </w:rPr>
        <w:t>Part C</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 XVII</w:t>
      </w:r>
      <w:r>
        <w:rPr>
          <w:rFonts w:ascii="Times New Roman" w:cs="Times New Roman" w:eastAsia="Times New Roman" w:hAnsi="Times New Roman"/>
          <w:sz w:val="24"/>
          <w:szCs w:val="24"/>
          <w:color w:val="auto"/>
        </w:rPr>
        <w:t>, within fifteen days of the date of finalization of basis of allotment or within fifteen days of refund of money in case of failure of the issue.</w:t>
      </w:r>
    </w:p>
    <w:p>
      <w:pPr>
        <w:spacing w:after="0" w:line="200" w:lineRule="exact"/>
        <w:rPr>
          <w:sz w:val="20"/>
          <w:szCs w:val="20"/>
          <w:color w:val="auto"/>
        </w:rPr>
      </w:pPr>
    </w:p>
    <w:p>
      <w:pPr>
        <w:spacing w:after="0" w:line="22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VIII: MISCELLEANEOUS</w:t>
      </w:r>
    </w:p>
    <w:p>
      <w:pPr>
        <w:spacing w:after="0" w:line="200" w:lineRule="exact"/>
        <w:rPr>
          <w:sz w:val="20"/>
          <w:szCs w:val="20"/>
          <w:color w:val="auto"/>
        </w:rPr>
      </w:pPr>
    </w:p>
    <w:p>
      <w:pPr>
        <w:spacing w:after="0" w:line="35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Restriction on further capital issues</w:t>
      </w:r>
    </w:p>
    <w:p>
      <w:pPr>
        <w:spacing w:after="0" w:line="144" w:lineRule="exact"/>
        <w:rPr>
          <w:sz w:val="20"/>
          <w:szCs w:val="20"/>
          <w:color w:val="auto"/>
        </w:rPr>
      </w:pPr>
    </w:p>
    <w:p>
      <w:pPr>
        <w:jc w:val="both"/>
        <w:ind w:left="8" w:hanging="8"/>
        <w:spacing w:after="0" w:line="354" w:lineRule="auto"/>
        <w:tabs>
          <w:tab w:leader="none" w:pos="461" w:val="left"/>
        </w:tabs>
        <w:numPr>
          <w:ilvl w:val="0"/>
          <w:numId w:val="26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An issuer shall not make any further issue of specified securities in any manner whether by way of public issue, rights issue, preferential issue, qualified institutions placement, issue of bonus shares or otherwise, except pursuant to an employee stock option scheme:</w:t>
      </w:r>
    </w:p>
    <w:p>
      <w:pPr>
        <w:spacing w:after="0" w:line="23" w:lineRule="exact"/>
        <w:rPr>
          <w:sz w:val="20"/>
          <w:szCs w:val="20"/>
          <w:color w:val="auto"/>
        </w:rPr>
      </w:pPr>
    </w:p>
    <w:p>
      <w:pPr>
        <w:jc w:val="both"/>
        <w:ind w:left="548" w:hanging="548"/>
        <w:spacing w:after="0" w:line="354" w:lineRule="auto"/>
        <w:tabs>
          <w:tab w:leader="none" w:pos="548" w:val="left"/>
        </w:tabs>
        <w:numPr>
          <w:ilvl w:val="0"/>
          <w:numId w:val="2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a fast track issue, during the period between the date of filing the letter of offer with the stock exchanges where the securities are proposed to be listed and the listing of the specified securities offered through the letter of offer or refund of application monies; or</w:t>
      </w:r>
    </w:p>
    <w:p>
      <w:pPr>
        <w:spacing w:after="0" w:line="19" w:lineRule="exact"/>
        <w:rPr>
          <w:rFonts w:ascii="Times New Roman" w:cs="Times New Roman" w:eastAsia="Times New Roman" w:hAnsi="Times New Roman"/>
          <w:sz w:val="24"/>
          <w:szCs w:val="24"/>
          <w:color w:val="auto"/>
        </w:rPr>
      </w:pPr>
    </w:p>
    <w:p>
      <w:pPr>
        <w:jc w:val="both"/>
        <w:ind w:left="548" w:hanging="548"/>
        <w:spacing w:after="0" w:line="354" w:lineRule="auto"/>
        <w:tabs>
          <w:tab w:leader="none" w:pos="548" w:val="left"/>
        </w:tabs>
        <w:numPr>
          <w:ilvl w:val="0"/>
          <w:numId w:val="2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other issues, during the period between the date of filing the draft letter of offer with the Board and the listing of the specified securities offered through the letter of offer or refund of application monies;</w:t>
      </w:r>
    </w:p>
    <w:p>
      <w:pPr>
        <w:spacing w:after="0" w:line="22" w:lineRule="exact"/>
        <w:rPr>
          <w:sz w:val="20"/>
          <w:szCs w:val="20"/>
          <w:color w:val="auto"/>
        </w:rPr>
      </w:pPr>
    </w:p>
    <w:p>
      <w:pPr>
        <w:jc w:val="both"/>
        <w:ind w:left="8"/>
        <w:spacing w:after="0" w:line="354" w:lineRule="auto"/>
        <w:rPr>
          <w:sz w:val="20"/>
          <w:szCs w:val="20"/>
          <w:color w:val="auto"/>
        </w:rPr>
      </w:pPr>
      <w:r>
        <w:rPr>
          <w:rFonts w:ascii="Times New Roman" w:cs="Times New Roman" w:eastAsia="Times New Roman" w:hAnsi="Times New Roman"/>
          <w:sz w:val="24"/>
          <w:szCs w:val="24"/>
          <w:color w:val="auto"/>
        </w:rPr>
        <w:t>unless full disclosures regarding the total number of specified securities or amount proposed to be raised from such further issue are made in such draft letter of offer or letter of offer, as the case may be.</w:t>
      </w:r>
    </w:p>
    <w:p>
      <w:pPr>
        <w:spacing w:after="0" w:line="200" w:lineRule="exact"/>
        <w:rPr>
          <w:sz w:val="20"/>
          <w:szCs w:val="20"/>
          <w:color w:val="auto"/>
        </w:rPr>
      </w:pPr>
    </w:p>
    <w:p>
      <w:pPr>
        <w:spacing w:after="0" w:line="22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Alteration of rights of holders of specified securities</w:t>
      </w:r>
    </w:p>
    <w:p>
      <w:pPr>
        <w:spacing w:after="0" w:line="38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62</w:t>
      </w:r>
    </w:p>
    <w:p>
      <w:pPr>
        <w:sectPr>
          <w:pgSz w:w="11900" w:h="16836" w:orient="portrait"/>
          <w:cols w:equalWidth="0" w:num="1">
            <w:col w:w="9468"/>
          </w:cols>
          <w:pgMar w:left="1152" w:top="1156" w:right="1284" w:bottom="103" w:gutter="0" w:footer="0" w:header="0"/>
        </w:sectPr>
      </w:pPr>
    </w:p>
    <w:bookmarkStart w:id="62" w:name="page63"/>
    <w:bookmarkEnd w:id="62"/>
    <w:p>
      <w:pPr>
        <w:jc w:val="both"/>
        <w:ind w:left="8" w:hanging="8"/>
        <w:spacing w:after="0" w:line="357" w:lineRule="auto"/>
        <w:tabs>
          <w:tab w:leader="none" w:pos="437" w:val="left"/>
        </w:tabs>
        <w:numPr>
          <w:ilvl w:val="0"/>
          <w:numId w:val="26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issuer shall not alter the terms (including the terms of issue) of specified securities which may adversely affect the interests of the holders of those specified securities, except with the consent in writing of the holders of not less than three-fourths of the specified securities of that class or with the sanction of a special resolution passed at a meeting of the holders of the specified securities of that class.</w:t>
      </w:r>
    </w:p>
    <w:p>
      <w:pPr>
        <w:spacing w:after="0" w:line="200" w:lineRule="exact"/>
        <w:rPr>
          <w:sz w:val="20"/>
          <w:szCs w:val="20"/>
          <w:color w:val="auto"/>
        </w:rPr>
      </w:pPr>
    </w:p>
    <w:p>
      <w:pPr>
        <w:spacing w:after="0" w:line="224"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IX: FAST TRACK RIGHTS ISSUE</w:t>
      </w:r>
    </w:p>
    <w:p>
      <w:pPr>
        <w:spacing w:after="0" w:line="200" w:lineRule="exact"/>
        <w:rPr>
          <w:sz w:val="20"/>
          <w:szCs w:val="20"/>
          <w:color w:val="auto"/>
        </w:rPr>
      </w:pPr>
    </w:p>
    <w:p>
      <w:pPr>
        <w:spacing w:after="0" w:line="35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Eligibility conditions</w:t>
      </w:r>
    </w:p>
    <w:p>
      <w:pPr>
        <w:spacing w:after="0" w:line="144" w:lineRule="exact"/>
        <w:rPr>
          <w:sz w:val="20"/>
          <w:szCs w:val="20"/>
          <w:color w:val="auto"/>
        </w:rPr>
      </w:pPr>
    </w:p>
    <w:p>
      <w:pPr>
        <w:jc w:val="both"/>
        <w:ind w:left="8" w:hanging="8"/>
        <w:spacing w:after="0" w:line="354" w:lineRule="auto"/>
        <w:tabs>
          <w:tab w:leader="none" w:pos="528" w:val="left"/>
        </w:tabs>
        <w:numPr>
          <w:ilvl w:val="0"/>
          <w:numId w:val="26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Unless otherwise specified, nothing contained in sub-regulations (1), (2), (4) and (5) of regulation 71 shall apply if the issuer satisfies the following conditions for making a rights issue through the fast track route -</w:t>
      </w:r>
    </w:p>
    <w:p>
      <w:pPr>
        <w:spacing w:after="0" w:line="22" w:lineRule="exact"/>
        <w:rPr>
          <w:sz w:val="20"/>
          <w:szCs w:val="20"/>
          <w:color w:val="auto"/>
        </w:rPr>
      </w:pPr>
    </w:p>
    <w:p>
      <w:pPr>
        <w:ind w:left="368" w:hanging="368"/>
        <w:spacing w:after="0" w:line="348" w:lineRule="auto"/>
        <w:tabs>
          <w:tab w:leader="none" w:pos="368" w:val="left"/>
        </w:tabs>
        <w:numPr>
          <w:ilvl w:val="0"/>
          <w:numId w:val="26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equity shares of the issuer have been listed on any stock exchange for a period of at least three years immediately preceding the reference date;</w:t>
      </w:r>
    </w:p>
    <w:p>
      <w:pPr>
        <w:spacing w:after="0" w:line="27" w:lineRule="exact"/>
        <w:rPr>
          <w:rFonts w:ascii="Times New Roman" w:cs="Times New Roman" w:eastAsia="Times New Roman" w:hAnsi="Times New Roman"/>
          <w:sz w:val="24"/>
          <w:szCs w:val="24"/>
          <w:color w:val="auto"/>
        </w:rPr>
      </w:pPr>
    </w:p>
    <w:p>
      <w:pPr>
        <w:ind w:left="368" w:hanging="368"/>
        <w:spacing w:after="0" w:line="348" w:lineRule="auto"/>
        <w:tabs>
          <w:tab w:leader="none" w:pos="368" w:val="left"/>
        </w:tabs>
        <w:numPr>
          <w:ilvl w:val="0"/>
          <w:numId w:val="26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entire shareholding of the promoter group of the issuer is held in dematerialised form on the reference date;</w:t>
      </w:r>
    </w:p>
    <w:p>
      <w:pPr>
        <w:spacing w:after="0" w:line="28" w:lineRule="exact"/>
        <w:rPr>
          <w:rFonts w:ascii="Times New Roman" w:cs="Times New Roman" w:eastAsia="Times New Roman" w:hAnsi="Times New Roman"/>
          <w:sz w:val="24"/>
          <w:szCs w:val="24"/>
          <w:color w:val="auto"/>
        </w:rPr>
      </w:pPr>
    </w:p>
    <w:p>
      <w:pPr>
        <w:ind w:left="368" w:hanging="368"/>
        <w:spacing w:after="0" w:line="348" w:lineRule="auto"/>
        <w:tabs>
          <w:tab w:leader="none" w:pos="368" w:val="left"/>
        </w:tabs>
        <w:numPr>
          <w:ilvl w:val="0"/>
          <w:numId w:val="26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average market capitalisation of public shareholding of the issuer is at least two hundred and fifty crore rupees;</w:t>
      </w:r>
    </w:p>
    <w:p>
      <w:pPr>
        <w:spacing w:after="0" w:line="27" w:lineRule="exact"/>
        <w:rPr>
          <w:rFonts w:ascii="Times New Roman" w:cs="Times New Roman" w:eastAsia="Times New Roman" w:hAnsi="Times New Roman"/>
          <w:sz w:val="24"/>
          <w:szCs w:val="24"/>
          <w:color w:val="auto"/>
        </w:rPr>
      </w:pPr>
    </w:p>
    <w:p>
      <w:pPr>
        <w:jc w:val="both"/>
        <w:ind w:left="368" w:hanging="368"/>
        <w:spacing w:after="0" w:line="354" w:lineRule="auto"/>
        <w:tabs>
          <w:tab w:leader="none" w:pos="368" w:val="left"/>
        </w:tabs>
        <w:numPr>
          <w:ilvl w:val="0"/>
          <w:numId w:val="26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annualised trading turnover of the equity shares of the issuer during six calendar months immediately preceding the month of the reference date has been at least two per cent. of the weighted average number of equity shares listed during such six months‘ period:</w:t>
      </w:r>
    </w:p>
    <w:p>
      <w:pPr>
        <w:spacing w:after="0" w:line="19" w:lineRule="exact"/>
        <w:rPr>
          <w:rFonts w:ascii="Times New Roman" w:cs="Times New Roman" w:eastAsia="Times New Roman" w:hAnsi="Times New Roman"/>
          <w:sz w:val="24"/>
          <w:szCs w:val="24"/>
          <w:color w:val="auto"/>
        </w:rPr>
      </w:pPr>
    </w:p>
    <w:p>
      <w:pPr>
        <w:jc w:val="both"/>
        <w:ind w:left="368"/>
        <w:spacing w:after="0" w:line="357"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for issuers, whose public shareholding is less than fifteen per cent. of its issued equity capital, the annualised trading turnover of its equity shares has been at least two per cent. of the weighted average number of equity shares available as free float during such six months‘ period;</w:t>
      </w:r>
    </w:p>
    <w:p>
      <w:pPr>
        <w:spacing w:after="0" w:line="14" w:lineRule="exact"/>
        <w:rPr>
          <w:rFonts w:ascii="Times New Roman" w:cs="Times New Roman" w:eastAsia="Times New Roman" w:hAnsi="Times New Roman"/>
          <w:sz w:val="24"/>
          <w:szCs w:val="24"/>
          <w:color w:val="auto"/>
        </w:rPr>
      </w:pPr>
    </w:p>
    <w:p>
      <w:pPr>
        <w:jc w:val="both"/>
        <w:ind w:left="368" w:hanging="368"/>
        <w:spacing w:after="0" w:line="354" w:lineRule="auto"/>
        <w:tabs>
          <w:tab w:leader="none" w:pos="368" w:val="left"/>
        </w:tabs>
        <w:numPr>
          <w:ilvl w:val="0"/>
          <w:numId w:val="26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annualized delivery-based trading turnover of the equity shares during six calendar months immediately preceding the month of the reference date has been at least ten per cent. of the annualized trading turnover of equity shares during such six months‘ period;</w:t>
      </w:r>
    </w:p>
    <w:p>
      <w:pPr>
        <w:spacing w:after="0" w:line="22" w:lineRule="exact"/>
        <w:rPr>
          <w:rFonts w:ascii="Times New Roman" w:cs="Times New Roman" w:eastAsia="Times New Roman" w:hAnsi="Times New Roman"/>
          <w:sz w:val="24"/>
          <w:szCs w:val="24"/>
          <w:color w:val="auto"/>
        </w:rPr>
      </w:pPr>
    </w:p>
    <w:p>
      <w:pPr>
        <w:jc w:val="both"/>
        <w:ind w:left="368" w:hanging="368"/>
        <w:spacing w:after="0" w:line="356" w:lineRule="auto"/>
        <w:tabs>
          <w:tab w:leader="none" w:pos="368" w:val="left"/>
        </w:tabs>
        <w:numPr>
          <w:ilvl w:val="0"/>
          <w:numId w:val="26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has been in compliance with the equity listing agreement or the Securities and Exchange Board of India (Listing Obligations and Disclosure Requirements) Regulations, 2015, as applicable, for a period of at least three years immediately preceding the reference date:</w:t>
      </w:r>
    </w:p>
    <w:p>
      <w:pPr>
        <w:spacing w:after="0" w:line="18" w:lineRule="exact"/>
        <w:rPr>
          <w:rFonts w:ascii="Times New Roman" w:cs="Times New Roman" w:eastAsia="Times New Roman" w:hAnsi="Times New Roman"/>
          <w:sz w:val="24"/>
          <w:szCs w:val="24"/>
          <w:color w:val="auto"/>
        </w:rPr>
      </w:pPr>
    </w:p>
    <w:p>
      <w:pPr>
        <w:jc w:val="both"/>
        <w:ind w:left="368"/>
        <w:spacing w:after="0" w:line="35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if the issuer has not complied with the provisions of the listing agreement or the Securities and Exchange Board of India (Listing Obligations and Disclosure Requirements) Regulations, 2015, as applicable, relating to composition of board of directors, for any quarter</w:t>
      </w:r>
    </w:p>
    <w:p>
      <w:pPr>
        <w:spacing w:after="0" w:line="264"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63</w:t>
      </w:r>
    </w:p>
    <w:p>
      <w:pPr>
        <w:sectPr>
          <w:pgSz w:w="11900" w:h="16836" w:orient="portrait"/>
          <w:cols w:equalWidth="0" w:num="1">
            <w:col w:w="9468"/>
          </w:cols>
          <w:pgMar w:left="1152" w:top="1156" w:right="1284" w:bottom="103" w:gutter="0" w:footer="0" w:header="0"/>
        </w:sectPr>
      </w:pPr>
    </w:p>
    <w:bookmarkStart w:id="63" w:name="page64"/>
    <w:bookmarkEnd w:id="63"/>
    <w:p>
      <w:pPr>
        <w:jc w:val="both"/>
        <w:ind w:left="368"/>
        <w:spacing w:after="0" w:line="356" w:lineRule="auto"/>
        <w:rPr>
          <w:sz w:val="20"/>
          <w:szCs w:val="20"/>
          <w:color w:val="auto"/>
        </w:rPr>
      </w:pPr>
      <w:r>
        <w:rPr>
          <w:rFonts w:ascii="Times New Roman" w:cs="Times New Roman" w:eastAsia="Times New Roman" w:hAnsi="Times New Roman"/>
          <w:sz w:val="24"/>
          <w:szCs w:val="24"/>
          <w:color w:val="auto"/>
        </w:rPr>
        <w:t>during the last three years immediately preceding the reference date, but is compliant with such provisions at the time of filing of letter of offer, and adequate disclosures are made in the letter of offer about such non-compliances during the three years immediately preceding the reference date, it shall be deemed as compliance with the condition;</w:t>
      </w:r>
    </w:p>
    <w:p>
      <w:pPr>
        <w:spacing w:after="0" w:line="19" w:lineRule="exact"/>
        <w:rPr>
          <w:sz w:val="20"/>
          <w:szCs w:val="20"/>
          <w:color w:val="auto"/>
        </w:rPr>
      </w:pPr>
    </w:p>
    <w:p>
      <w:pPr>
        <w:jc w:val="both"/>
        <w:ind w:left="368"/>
        <w:spacing w:after="0" w:line="348" w:lineRule="auto"/>
        <w:rPr>
          <w:sz w:val="20"/>
          <w:szCs w:val="20"/>
          <w:color w:val="auto"/>
        </w:rPr>
      </w:pPr>
      <w:r>
        <w:rPr>
          <w:rFonts w:ascii="Times New Roman" w:cs="Times New Roman" w:eastAsia="Times New Roman" w:hAnsi="Times New Roman"/>
          <w:sz w:val="24"/>
          <w:szCs w:val="24"/>
          <w:color w:val="auto"/>
        </w:rPr>
        <w:t>Provided further that imposition of only monetary fines by stock exchanges on the issuer shall not be a ground for ineligibility for undertaking issuances under this regulation;</w:t>
      </w:r>
    </w:p>
    <w:p>
      <w:pPr>
        <w:spacing w:after="0" w:line="28" w:lineRule="exact"/>
        <w:rPr>
          <w:sz w:val="20"/>
          <w:szCs w:val="20"/>
          <w:color w:val="auto"/>
        </w:rPr>
      </w:pPr>
    </w:p>
    <w:p>
      <w:pPr>
        <w:ind w:left="368" w:hanging="368"/>
        <w:spacing w:after="0" w:line="348" w:lineRule="auto"/>
        <w:tabs>
          <w:tab w:leader="none" w:pos="368" w:val="left"/>
        </w:tabs>
        <w:numPr>
          <w:ilvl w:val="0"/>
          <w:numId w:val="27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has redressed at least ninety five per cent. of the complaints received from the investors till the end of the quarter immediately preceding the month of the reference date;</w:t>
      </w:r>
    </w:p>
    <w:p>
      <w:pPr>
        <w:spacing w:after="0" w:line="7" w:lineRule="exact"/>
        <w:rPr>
          <w:rFonts w:ascii="Times New Roman" w:cs="Times New Roman" w:eastAsia="Times New Roman" w:hAnsi="Times New Roman"/>
          <w:sz w:val="24"/>
          <w:szCs w:val="24"/>
          <w:color w:val="auto"/>
        </w:rPr>
      </w:pPr>
    </w:p>
    <w:p>
      <w:pPr>
        <w:jc w:val="both"/>
        <w:ind w:left="368" w:hanging="368"/>
        <w:spacing w:after="0" w:line="311" w:lineRule="auto"/>
        <w:tabs>
          <w:tab w:leader="none" w:pos="368" w:val="left"/>
        </w:tabs>
        <w:numPr>
          <w:ilvl w:val="0"/>
          <w:numId w:val="270"/>
        </w:numPr>
        <w:rPr>
          <w:rFonts w:ascii="Times New Roman" w:cs="Times New Roman" w:eastAsia="Times New Roman" w:hAnsi="Times New Roman"/>
          <w:sz w:val="24"/>
          <w:szCs w:val="24"/>
          <w:color w:val="auto"/>
        </w:rPr>
      </w:pPr>
      <w:r>
        <w:rPr>
          <w:rFonts w:ascii="Times New Roman" w:cs="Times New Roman" w:eastAsia="Times New Roman" w:hAnsi="Times New Roman"/>
          <w:sz w:val="32"/>
          <w:szCs w:val="32"/>
          <w:color w:val="auto"/>
          <w:vertAlign w:val="superscript"/>
        </w:rPr>
        <w:t>50</w:t>
      </w:r>
      <w:r>
        <w:rPr>
          <w:rFonts w:ascii="Times New Roman" w:cs="Times New Roman" w:eastAsia="Times New Roman" w:hAnsi="Times New Roman"/>
          <w:sz w:val="24"/>
          <w:szCs w:val="24"/>
          <w:color w:val="auto"/>
        </w:rPr>
        <w:t>[that no show-cause notices, excluding proceedings for imposition of penalty, have been issued by the Board and pending against the issuer or its promoters or whole-time directors as on the reference date.;</w:t>
      </w:r>
    </w:p>
    <w:p>
      <w:pPr>
        <w:spacing w:after="0" w:line="57" w:lineRule="exact"/>
        <w:rPr>
          <w:rFonts w:ascii="Times New Roman" w:cs="Times New Roman" w:eastAsia="Times New Roman" w:hAnsi="Times New Roman"/>
          <w:sz w:val="24"/>
          <w:szCs w:val="24"/>
          <w:color w:val="auto"/>
        </w:rPr>
      </w:pPr>
    </w:p>
    <w:p>
      <w:pPr>
        <w:ind w:left="368"/>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cases where against the issuer or its promoters or whole-time directors,</w:t>
      </w:r>
    </w:p>
    <w:p>
      <w:pPr>
        <w:spacing w:after="0" w:line="151" w:lineRule="exact"/>
        <w:rPr>
          <w:rFonts w:ascii="Times New Roman" w:cs="Times New Roman" w:eastAsia="Times New Roman" w:hAnsi="Times New Roman"/>
          <w:sz w:val="24"/>
          <w:szCs w:val="24"/>
          <w:color w:val="auto"/>
        </w:rPr>
      </w:pPr>
    </w:p>
    <w:p>
      <w:pPr>
        <w:ind w:left="728" w:hanging="8"/>
        <w:spacing w:after="0" w:line="348" w:lineRule="auto"/>
        <w:tabs>
          <w:tab w:leader="none" w:pos="965" w:val="left"/>
        </w:tabs>
        <w:numPr>
          <w:ilvl w:val="1"/>
          <w:numId w:val="27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show-cause notice(s) has been issued by the Board in a proceeding for imposition of penalty; or</w:t>
      </w:r>
    </w:p>
    <w:p>
      <w:pPr>
        <w:spacing w:after="0" w:line="15" w:lineRule="exact"/>
        <w:rPr>
          <w:rFonts w:ascii="Times New Roman" w:cs="Times New Roman" w:eastAsia="Times New Roman" w:hAnsi="Times New Roman"/>
          <w:sz w:val="24"/>
          <w:szCs w:val="24"/>
          <w:color w:val="auto"/>
        </w:rPr>
      </w:pPr>
    </w:p>
    <w:p>
      <w:pPr>
        <w:ind w:left="988" w:hanging="268"/>
        <w:spacing w:after="0"/>
        <w:tabs>
          <w:tab w:leader="none" w:pos="988" w:val="left"/>
        </w:tabs>
        <w:numPr>
          <w:ilvl w:val="1"/>
          <w:numId w:val="27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prosecution proceedings have been initiated by the Board;</w:t>
      </w:r>
    </w:p>
    <w:p>
      <w:pPr>
        <w:spacing w:after="0" w:line="149" w:lineRule="exact"/>
        <w:rPr>
          <w:sz w:val="20"/>
          <w:szCs w:val="20"/>
          <w:color w:val="auto"/>
        </w:rPr>
      </w:pPr>
    </w:p>
    <w:p>
      <w:pPr>
        <w:ind w:left="728"/>
        <w:spacing w:after="0" w:line="350" w:lineRule="auto"/>
        <w:rPr>
          <w:sz w:val="20"/>
          <w:szCs w:val="20"/>
          <w:color w:val="auto"/>
        </w:rPr>
      </w:pPr>
      <w:r>
        <w:rPr>
          <w:rFonts w:ascii="Times New Roman" w:cs="Times New Roman" w:eastAsia="Times New Roman" w:hAnsi="Times New Roman"/>
          <w:sz w:val="24"/>
          <w:szCs w:val="24"/>
          <w:color w:val="auto"/>
        </w:rPr>
        <w:t>necessary disclosures in respect of such action(s) along-with its potential adverse impact on the issuer shall be made in the letter of offer.];</w:t>
      </w:r>
    </w:p>
    <w:p>
      <w:pPr>
        <w:spacing w:after="0" w:line="225" w:lineRule="exact"/>
        <w:rPr>
          <w:sz w:val="20"/>
          <w:szCs w:val="20"/>
          <w:color w:val="auto"/>
        </w:rPr>
      </w:pPr>
    </w:p>
    <w:p>
      <w:pPr>
        <w:jc w:val="both"/>
        <w:ind w:left="368" w:hanging="368"/>
        <w:spacing w:after="0" w:line="354" w:lineRule="auto"/>
        <w:tabs>
          <w:tab w:leader="none" w:pos="368" w:val="left"/>
        </w:tabs>
        <w:numPr>
          <w:ilvl w:val="0"/>
          <w:numId w:val="2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or promoter or promoter group or director of the issuer has not settled any alleged violation of securities laws through the consent or settlement mechanism with the Board during three years immediately preceding the reference date;</w:t>
      </w:r>
    </w:p>
    <w:p>
      <w:pPr>
        <w:spacing w:after="0" w:line="19" w:lineRule="exact"/>
        <w:rPr>
          <w:rFonts w:ascii="Times New Roman" w:cs="Times New Roman" w:eastAsia="Times New Roman" w:hAnsi="Times New Roman"/>
          <w:sz w:val="24"/>
          <w:szCs w:val="24"/>
          <w:color w:val="auto"/>
        </w:rPr>
      </w:pPr>
    </w:p>
    <w:p>
      <w:pPr>
        <w:ind w:left="368" w:hanging="368"/>
        <w:spacing w:after="0" w:line="350" w:lineRule="auto"/>
        <w:tabs>
          <w:tab w:leader="none" w:pos="368" w:val="left"/>
        </w:tabs>
        <w:numPr>
          <w:ilvl w:val="0"/>
          <w:numId w:val="2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equity shares of the issuer have not been suspended from trading as a disciplinary measure during last three years immediately preceding the reference date;</w:t>
      </w:r>
    </w:p>
    <w:p>
      <w:pPr>
        <w:spacing w:after="0" w:line="23" w:lineRule="exact"/>
        <w:rPr>
          <w:rFonts w:ascii="Times New Roman" w:cs="Times New Roman" w:eastAsia="Times New Roman" w:hAnsi="Times New Roman"/>
          <w:sz w:val="24"/>
          <w:szCs w:val="24"/>
          <w:color w:val="auto"/>
        </w:rPr>
      </w:pPr>
    </w:p>
    <w:p>
      <w:pPr>
        <w:ind w:left="368" w:hanging="368"/>
        <w:spacing w:after="0" w:line="348" w:lineRule="auto"/>
        <w:tabs>
          <w:tab w:leader="none" w:pos="368" w:val="left"/>
        </w:tabs>
        <w:numPr>
          <w:ilvl w:val="0"/>
          <w:numId w:val="2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there shall be no conflict of interest between the lead manager(s) and the issuer or its group companies in accordance with the applicable regulations.</w:t>
      </w:r>
    </w:p>
    <w:p>
      <w:pPr>
        <w:spacing w:after="0" w:line="28" w:lineRule="exact"/>
        <w:rPr>
          <w:rFonts w:ascii="Times New Roman" w:cs="Times New Roman" w:eastAsia="Times New Roman" w:hAnsi="Times New Roman"/>
          <w:sz w:val="24"/>
          <w:szCs w:val="24"/>
          <w:color w:val="auto"/>
        </w:rPr>
      </w:pPr>
    </w:p>
    <w:p>
      <w:pPr>
        <w:jc w:val="both"/>
        <w:ind w:left="368" w:hanging="368"/>
        <w:spacing w:after="0" w:line="355" w:lineRule="auto"/>
        <w:tabs>
          <w:tab w:leader="none" w:pos="368" w:val="left"/>
        </w:tabs>
        <w:numPr>
          <w:ilvl w:val="0"/>
          <w:numId w:val="2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promoters and promoter group shall mandatorily subscribe to their rights entitlement and shall not renounce their rights, except to the extent of renunciation within the promoter group or for the purpose of complying with minimum public shareholding norms prescribed under the Securities Contracts (Regulation) Rules, 1957;</w:t>
      </w:r>
    </w:p>
    <w:p>
      <w:pPr>
        <w:spacing w:after="0" w:line="3" w:lineRule="exact"/>
        <w:rPr>
          <w:rFonts w:ascii="Times New Roman" w:cs="Times New Roman" w:eastAsia="Times New Roman" w:hAnsi="Times New Roman"/>
          <w:sz w:val="24"/>
          <w:szCs w:val="24"/>
          <w:color w:val="auto"/>
        </w:rPr>
      </w:pPr>
    </w:p>
    <w:p>
      <w:pPr>
        <w:jc w:val="both"/>
        <w:ind w:left="368" w:hanging="368"/>
        <w:spacing w:after="0" w:line="311" w:lineRule="auto"/>
        <w:tabs>
          <w:tab w:leader="none" w:pos="368" w:val="left"/>
        </w:tabs>
        <w:numPr>
          <w:ilvl w:val="0"/>
          <w:numId w:val="271"/>
        </w:numPr>
        <w:rPr>
          <w:rFonts w:ascii="Times New Roman" w:cs="Times New Roman" w:eastAsia="Times New Roman" w:hAnsi="Times New Roman"/>
          <w:sz w:val="24"/>
          <w:szCs w:val="24"/>
          <w:color w:val="auto"/>
        </w:rPr>
      </w:pPr>
      <w:r>
        <w:rPr>
          <w:rFonts w:ascii="Times New Roman" w:cs="Times New Roman" w:eastAsia="Times New Roman" w:hAnsi="Times New Roman"/>
          <w:sz w:val="32"/>
          <w:szCs w:val="32"/>
          <w:color w:val="auto"/>
          <w:vertAlign w:val="superscript"/>
        </w:rPr>
        <w:t>51</w:t>
      </w:r>
      <w:r>
        <w:rPr>
          <w:rFonts w:ascii="Times New Roman" w:cs="Times New Roman" w:eastAsia="Times New Roman" w:hAnsi="Times New Roman"/>
          <w:sz w:val="24"/>
          <w:szCs w:val="24"/>
          <w:color w:val="auto"/>
        </w:rPr>
        <w:t>[for audit qualifications, if any, in respect of any of the financial years for which accounts are disclosed in the letter of offer, the issuer shall provide the restated financial statements adjusting for the impact of the audit qualifications.</w:t>
      </w:r>
    </w:p>
    <w:p>
      <w:pPr>
        <w:spacing w:after="0" w:line="200" w:lineRule="exact"/>
        <w:rPr>
          <w:sz w:val="20"/>
          <w:szCs w:val="20"/>
          <w:color w:val="auto"/>
        </w:rPr>
      </w:pPr>
    </w:p>
    <w:p>
      <w:pPr>
        <w:spacing w:after="0" w:line="362" w:lineRule="exact"/>
        <w:rPr>
          <w:sz w:val="20"/>
          <w:szCs w:val="20"/>
          <w:color w:val="auto"/>
        </w:rPr>
      </w:pPr>
    </w:p>
    <w:p>
      <w:pPr>
        <w:jc w:val="both"/>
        <w:ind w:left="8" w:hanging="8"/>
        <w:spacing w:after="0" w:line="220" w:lineRule="auto"/>
        <w:tabs>
          <w:tab w:leader="none" w:pos="207" w:val="left"/>
        </w:tabs>
        <w:numPr>
          <w:ilvl w:val="0"/>
          <w:numId w:val="272"/>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SEBI (Issue of Capital and Disclosure Requirements) (Fourth Amendment) Regulations, 2020 w.e.f. 28.09.2020. Prior to its substitution, it read as “that no show-cause notices have been issued or prosecution proceedings have been initiated by the Board and pending against the issuer or its promoters or whole-time directors as on the reference date”.</w:t>
      </w:r>
    </w:p>
    <w:p>
      <w:pPr>
        <w:spacing w:after="0" w:line="302"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64</w:t>
      </w:r>
    </w:p>
    <w:p>
      <w:pPr>
        <w:sectPr>
          <w:pgSz w:w="11900" w:h="16836" w:orient="portrait"/>
          <w:cols w:equalWidth="0" w:num="1">
            <w:col w:w="9468"/>
          </w:cols>
          <w:pgMar w:left="1152" w:top="1156" w:right="1284" w:bottom="103" w:gutter="0" w:footer="0" w:header="0"/>
        </w:sectPr>
      </w:pPr>
    </w:p>
    <w:bookmarkStart w:id="64" w:name="page65"/>
    <w:bookmarkEnd w:id="64"/>
    <w:p>
      <w:pPr>
        <w:ind w:left="368"/>
        <w:spacing w:after="0" w:line="348" w:lineRule="auto"/>
        <w:rPr>
          <w:sz w:val="20"/>
          <w:szCs w:val="20"/>
          <w:color w:val="auto"/>
        </w:rPr>
      </w:pPr>
      <w:r>
        <w:rPr>
          <w:rFonts w:ascii="Times New Roman" w:cs="Times New Roman" w:eastAsia="Times New Roman" w:hAnsi="Times New Roman"/>
          <w:sz w:val="24"/>
          <w:szCs w:val="24"/>
          <w:color w:val="auto"/>
        </w:rPr>
        <w:t>Further, that for the qualifications wherein impact on the financials cannot be ascertained the same shall be disclosed appropriately in the letter of offer.]</w:t>
      </w:r>
    </w:p>
    <w:p>
      <w:pPr>
        <w:spacing w:after="0" w:line="200" w:lineRule="exact"/>
        <w:rPr>
          <w:sz w:val="20"/>
          <w:szCs w:val="20"/>
          <w:color w:val="auto"/>
        </w:rPr>
      </w:pPr>
    </w:p>
    <w:p>
      <w:pPr>
        <w:spacing w:after="0" w:line="229" w:lineRule="exact"/>
        <w:rPr>
          <w:sz w:val="20"/>
          <w:szCs w:val="20"/>
          <w:color w:val="auto"/>
        </w:rPr>
      </w:pPr>
    </w:p>
    <w:p>
      <w:pPr>
        <w:ind w:left="368"/>
        <w:spacing w:after="0"/>
        <w:rPr>
          <w:sz w:val="20"/>
          <w:szCs w:val="20"/>
          <w:color w:val="auto"/>
        </w:rPr>
      </w:pPr>
      <w:r>
        <w:rPr>
          <w:rFonts w:ascii="Times New Roman" w:cs="Times New Roman" w:eastAsia="Times New Roman" w:hAnsi="Times New Roman"/>
          <w:sz w:val="24"/>
          <w:szCs w:val="24"/>
          <w:b w:val="1"/>
          <w:bCs w:val="1"/>
          <w:color w:val="auto"/>
        </w:rPr>
        <w:t xml:space="preserve">Explanation: </w:t>
      </w:r>
      <w:r>
        <w:rPr>
          <w:rFonts w:ascii="Times New Roman" w:cs="Times New Roman" w:eastAsia="Times New Roman" w:hAnsi="Times New Roman"/>
          <w:sz w:val="24"/>
          <w:szCs w:val="24"/>
          <w:color w:val="auto"/>
        </w:rPr>
        <w:t>For the purpose of this regulation:</w:t>
      </w:r>
    </w:p>
    <w:p>
      <w:pPr>
        <w:spacing w:after="0" w:line="139" w:lineRule="exact"/>
        <w:rPr>
          <w:sz w:val="20"/>
          <w:szCs w:val="20"/>
          <w:color w:val="auto"/>
        </w:rPr>
      </w:pPr>
    </w:p>
    <w:p>
      <w:pPr>
        <w:ind w:left="688" w:hanging="328"/>
        <w:spacing w:after="0"/>
        <w:tabs>
          <w:tab w:leader="none" w:pos="688" w:val="left"/>
        </w:tabs>
        <w:numPr>
          <w:ilvl w:val="0"/>
          <w:numId w:val="27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“average market capitalisation of public shareholding” means the sum of daily market</w:t>
      </w:r>
    </w:p>
    <w:p>
      <w:pPr>
        <w:spacing w:after="0" w:line="149" w:lineRule="exact"/>
        <w:rPr>
          <w:sz w:val="20"/>
          <w:szCs w:val="20"/>
          <w:color w:val="auto"/>
        </w:rPr>
      </w:pPr>
    </w:p>
    <w:p>
      <w:pPr>
        <w:jc w:val="both"/>
        <w:ind w:left="368"/>
        <w:spacing w:after="0" w:line="354" w:lineRule="auto"/>
        <w:rPr>
          <w:sz w:val="20"/>
          <w:szCs w:val="20"/>
          <w:color w:val="auto"/>
        </w:rPr>
      </w:pPr>
      <w:r>
        <w:rPr>
          <w:rFonts w:ascii="Times New Roman" w:cs="Times New Roman" w:eastAsia="Times New Roman" w:hAnsi="Times New Roman"/>
          <w:sz w:val="24"/>
          <w:szCs w:val="24"/>
          <w:color w:val="auto"/>
        </w:rPr>
        <w:t>capitalisation of public shareholding for a period of one year up to the end of the quarter preceding the month in which the proposed issue was approved by the shareholders or the board of the issuer, as the case may be, divided by the number of trading days.</w:t>
      </w:r>
    </w:p>
    <w:p>
      <w:pPr>
        <w:spacing w:after="0" w:line="23" w:lineRule="exact"/>
        <w:rPr>
          <w:sz w:val="20"/>
          <w:szCs w:val="20"/>
          <w:color w:val="auto"/>
        </w:rPr>
      </w:pPr>
    </w:p>
    <w:p>
      <w:pPr>
        <w:ind w:left="368" w:hanging="8"/>
        <w:spacing w:after="0" w:line="348" w:lineRule="auto"/>
        <w:tabs>
          <w:tab w:leader="none" w:pos="740" w:val="left"/>
        </w:tabs>
        <w:numPr>
          <w:ilvl w:val="0"/>
          <w:numId w:val="27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“public shareholding” shall have the same meaning as assigned to it under the Securities Contracts (Regulation) Rules, 1957.</w:t>
      </w:r>
    </w:p>
    <w:p>
      <w:pPr>
        <w:spacing w:after="0" w:line="15" w:lineRule="exact"/>
        <w:rPr>
          <w:rFonts w:ascii="Times New Roman" w:cs="Times New Roman" w:eastAsia="Times New Roman" w:hAnsi="Times New Roman"/>
          <w:sz w:val="24"/>
          <w:szCs w:val="24"/>
          <w:color w:val="auto"/>
        </w:rPr>
      </w:pPr>
    </w:p>
    <w:p>
      <w:pPr>
        <w:ind w:left="828" w:hanging="468"/>
        <w:spacing w:after="0"/>
        <w:tabs>
          <w:tab w:leader="none" w:pos="828" w:val="left"/>
        </w:tabs>
        <w:numPr>
          <w:ilvl w:val="0"/>
          <w:numId w:val="27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“reference date” means the date of filing the letter of offer with the designated stock</w:t>
      </w:r>
    </w:p>
    <w:p>
      <w:pPr>
        <w:spacing w:after="0" w:line="137" w:lineRule="exact"/>
        <w:rPr>
          <w:sz w:val="20"/>
          <w:szCs w:val="20"/>
          <w:color w:val="auto"/>
        </w:rPr>
      </w:pPr>
    </w:p>
    <w:p>
      <w:pPr>
        <w:ind w:left="368"/>
        <w:spacing w:after="0"/>
        <w:rPr>
          <w:sz w:val="20"/>
          <w:szCs w:val="20"/>
          <w:color w:val="auto"/>
        </w:rPr>
      </w:pPr>
      <w:r>
        <w:rPr>
          <w:rFonts w:ascii="Times New Roman" w:cs="Times New Roman" w:eastAsia="Times New Roman" w:hAnsi="Times New Roman"/>
          <w:sz w:val="24"/>
          <w:szCs w:val="24"/>
          <w:color w:val="auto"/>
        </w:rPr>
        <w:t>exchange.</w:t>
      </w:r>
    </w:p>
    <w:p>
      <w:pPr>
        <w:spacing w:after="0" w:line="139" w:lineRule="exact"/>
        <w:rPr>
          <w:sz w:val="20"/>
          <w:szCs w:val="20"/>
          <w:color w:val="auto"/>
        </w:rPr>
      </w:pPr>
    </w:p>
    <w:p>
      <w:pPr>
        <w:ind w:left="848" w:hanging="488"/>
        <w:spacing w:after="0"/>
        <w:tabs>
          <w:tab w:leader="none" w:pos="848" w:val="left"/>
        </w:tabs>
        <w:numPr>
          <w:ilvl w:val="0"/>
          <w:numId w:val="27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“audit  qualifications”  for  this  regulation  shall  be  those  disclosed  under  applicable</w:t>
      </w:r>
    </w:p>
    <w:p>
      <w:pPr>
        <w:spacing w:after="0" w:line="149" w:lineRule="exact"/>
        <w:rPr>
          <w:sz w:val="20"/>
          <w:szCs w:val="20"/>
          <w:color w:val="auto"/>
        </w:rPr>
      </w:pPr>
    </w:p>
    <w:p>
      <w:pPr>
        <w:jc w:val="both"/>
        <w:ind w:left="368"/>
        <w:spacing w:after="0" w:line="354" w:lineRule="auto"/>
        <w:rPr>
          <w:sz w:val="20"/>
          <w:szCs w:val="20"/>
          <w:color w:val="auto"/>
        </w:rPr>
      </w:pPr>
      <w:r>
        <w:rPr>
          <w:rFonts w:ascii="Times New Roman" w:cs="Times New Roman" w:eastAsia="Times New Roman" w:hAnsi="Times New Roman"/>
          <w:sz w:val="24"/>
          <w:szCs w:val="24"/>
          <w:color w:val="auto"/>
        </w:rPr>
        <w:t>accounting standard relating to modification to the opinion in the independent auditor’s report and requires a qualified opinion, adverse opinion or disclaimer of opinion for material misstatements.</w:t>
      </w:r>
    </w:p>
    <w:p>
      <w:pPr>
        <w:spacing w:after="0" w:line="200" w:lineRule="exact"/>
        <w:rPr>
          <w:sz w:val="20"/>
          <w:szCs w:val="20"/>
          <w:color w:val="auto"/>
        </w:rPr>
      </w:pPr>
    </w:p>
    <w:p>
      <w:pPr>
        <w:spacing w:after="0" w:line="22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Issue conditions</w:t>
      </w:r>
    </w:p>
    <w:p>
      <w:pPr>
        <w:spacing w:after="0" w:line="147" w:lineRule="exact"/>
        <w:rPr>
          <w:sz w:val="20"/>
          <w:szCs w:val="20"/>
          <w:color w:val="auto"/>
        </w:rPr>
      </w:pPr>
    </w:p>
    <w:p>
      <w:pPr>
        <w:ind w:left="8" w:hanging="8"/>
        <w:spacing w:after="0" w:line="348" w:lineRule="auto"/>
        <w:tabs>
          <w:tab w:leader="none" w:pos="524" w:val="left"/>
        </w:tabs>
        <w:numPr>
          <w:ilvl w:val="0"/>
          <w:numId w:val="27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(1) The issuer shall file the letter of offer in accordance with sub-regulation 8 and 9 of regulation 71 and shall pay fees to the Board as specified in </w:t>
      </w:r>
      <w:r>
        <w:rPr>
          <w:rFonts w:ascii="Times New Roman" w:cs="Times New Roman" w:eastAsia="Times New Roman" w:hAnsi="Times New Roman"/>
          <w:sz w:val="24"/>
          <w:szCs w:val="24"/>
          <w:b w:val="1"/>
          <w:bCs w:val="1"/>
          <w:color w:val="auto"/>
        </w:rPr>
        <w:t>Schedule III</w:t>
      </w:r>
      <w:r>
        <w:rPr>
          <w:rFonts w:ascii="Times New Roman" w:cs="Times New Roman" w:eastAsia="Times New Roman" w:hAnsi="Times New Roman"/>
          <w:sz w:val="24"/>
          <w:szCs w:val="24"/>
          <w:color w:val="auto"/>
        </w:rPr>
        <w:t>.</w:t>
      </w:r>
    </w:p>
    <w:p>
      <w:pPr>
        <w:spacing w:after="0" w:line="27" w:lineRule="exact"/>
        <w:rPr>
          <w:rFonts w:ascii="Times New Roman" w:cs="Times New Roman" w:eastAsia="Times New Roman" w:hAnsi="Times New Roman"/>
          <w:sz w:val="24"/>
          <w:szCs w:val="24"/>
          <w:b w:val="1"/>
          <w:bCs w:val="1"/>
          <w:color w:val="auto"/>
        </w:rPr>
      </w:pPr>
    </w:p>
    <w:p>
      <w:pPr>
        <w:ind w:left="8" w:right="180"/>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The lead manager(s) shall submit to the Board, the following documents along with the letter of offer:</w:t>
      </w:r>
    </w:p>
    <w:p>
      <w:pPr>
        <w:spacing w:after="0" w:line="27" w:lineRule="exact"/>
        <w:rPr>
          <w:rFonts w:ascii="Times New Roman" w:cs="Times New Roman" w:eastAsia="Times New Roman" w:hAnsi="Times New Roman"/>
          <w:sz w:val="24"/>
          <w:szCs w:val="24"/>
          <w:b w:val="1"/>
          <w:bCs w:val="1"/>
          <w:color w:val="auto"/>
        </w:rPr>
      </w:pPr>
    </w:p>
    <w:p>
      <w:pPr>
        <w:ind w:left="1268" w:hanging="636"/>
        <w:spacing w:after="0" w:line="348" w:lineRule="auto"/>
        <w:tabs>
          <w:tab w:leader="none" w:pos="1268" w:val="left"/>
        </w:tabs>
        <w:numPr>
          <w:ilvl w:val="1"/>
          <w:numId w:val="27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a due diligence certificate as per </w:t>
      </w:r>
      <w:r>
        <w:rPr>
          <w:rFonts w:ascii="Times New Roman" w:cs="Times New Roman" w:eastAsia="Times New Roman" w:hAnsi="Times New Roman"/>
          <w:sz w:val="24"/>
          <w:szCs w:val="24"/>
          <w:b w:val="1"/>
          <w:bCs w:val="1"/>
          <w:color w:val="auto"/>
        </w:rPr>
        <w:t>Form A</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 V</w:t>
      </w:r>
      <w:r>
        <w:rPr>
          <w:rFonts w:ascii="Times New Roman" w:cs="Times New Roman" w:eastAsia="Times New Roman" w:hAnsi="Times New Roman"/>
          <w:sz w:val="24"/>
          <w:szCs w:val="24"/>
          <w:color w:val="auto"/>
        </w:rPr>
        <w:t xml:space="preserve"> including additional confirmations as specified in </w:t>
      </w:r>
      <w:r>
        <w:rPr>
          <w:rFonts w:ascii="Times New Roman" w:cs="Times New Roman" w:eastAsia="Times New Roman" w:hAnsi="Times New Roman"/>
          <w:sz w:val="24"/>
          <w:szCs w:val="24"/>
          <w:b w:val="1"/>
          <w:bCs w:val="1"/>
          <w:color w:val="auto"/>
        </w:rPr>
        <w:t>Form E</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 V</w:t>
      </w:r>
      <w:r>
        <w:rPr>
          <w:rFonts w:ascii="Times New Roman" w:cs="Times New Roman" w:eastAsia="Times New Roman" w:hAnsi="Times New Roman"/>
          <w:sz w:val="24"/>
          <w:szCs w:val="24"/>
          <w:color w:val="auto"/>
        </w:rPr>
        <w:t>;</w:t>
      </w:r>
    </w:p>
    <w:p>
      <w:pPr>
        <w:spacing w:after="0" w:line="28" w:lineRule="exact"/>
        <w:rPr>
          <w:rFonts w:ascii="Times New Roman" w:cs="Times New Roman" w:eastAsia="Times New Roman" w:hAnsi="Times New Roman"/>
          <w:sz w:val="24"/>
          <w:szCs w:val="24"/>
          <w:color w:val="auto"/>
        </w:rPr>
      </w:pPr>
    </w:p>
    <w:p>
      <w:pPr>
        <w:ind w:left="1268" w:hanging="636"/>
        <w:spacing w:after="0" w:line="348" w:lineRule="auto"/>
        <w:tabs>
          <w:tab w:leader="none" w:pos="1268" w:val="left"/>
        </w:tabs>
        <w:numPr>
          <w:ilvl w:val="1"/>
          <w:numId w:val="27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in case of a fast track issue of convertible debt instruments, a due diligence certificate from the debenture trustee as per </w:t>
      </w:r>
      <w:r>
        <w:rPr>
          <w:rFonts w:ascii="Times New Roman" w:cs="Times New Roman" w:eastAsia="Times New Roman" w:hAnsi="Times New Roman"/>
          <w:sz w:val="24"/>
          <w:szCs w:val="24"/>
          <w:b w:val="1"/>
          <w:bCs w:val="1"/>
          <w:color w:val="auto"/>
        </w:rPr>
        <w:t>Form B</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 V</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233"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CHAPTER IV - FURTHER PUBLIC OFFER</w:t>
      </w:r>
    </w:p>
    <w:p>
      <w:pPr>
        <w:spacing w:after="0" w:line="200" w:lineRule="exact"/>
        <w:rPr>
          <w:sz w:val="20"/>
          <w:szCs w:val="20"/>
          <w:color w:val="auto"/>
        </w:rPr>
      </w:pPr>
    </w:p>
    <w:p>
      <w:pPr>
        <w:spacing w:after="0" w:line="35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I: ELIGIBILITY REQUIREMENTS</w:t>
      </w:r>
    </w:p>
    <w:p>
      <w:pPr>
        <w:spacing w:after="0" w:line="200" w:lineRule="exact"/>
        <w:rPr>
          <w:sz w:val="20"/>
          <w:szCs w:val="20"/>
          <w:color w:val="auto"/>
        </w:rPr>
      </w:pPr>
    </w:p>
    <w:p>
      <w:pPr>
        <w:spacing w:after="0" w:line="35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Reference date</w:t>
      </w: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jc w:val="both"/>
        <w:ind w:left="8" w:hanging="8"/>
        <w:spacing w:after="0" w:line="215" w:lineRule="auto"/>
        <w:tabs>
          <w:tab w:leader="none" w:pos="207" w:val="left"/>
        </w:tabs>
        <w:numPr>
          <w:ilvl w:val="0"/>
          <w:numId w:val="277"/>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SEBI (Issue of Capital and Disclosure Requirements) (Fourth Amendment) Regulations, 2020 w.e.f. 28.09.2020. Prior to its substitution, it read as “there are no audit qualifications on the audited accounts of the issuer in respect of those financial years for which such accounts are disclosed in the letter of offer”.</w:t>
      </w:r>
    </w:p>
    <w:p>
      <w:pPr>
        <w:spacing w:after="0" w:line="298"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65</w:t>
      </w:r>
    </w:p>
    <w:p>
      <w:pPr>
        <w:sectPr>
          <w:pgSz w:w="11900" w:h="16836" w:orient="portrait"/>
          <w:cols w:equalWidth="0" w:num="1">
            <w:col w:w="9468"/>
          </w:cols>
          <w:pgMar w:left="1152" w:top="1156" w:right="1284" w:bottom="103" w:gutter="0" w:footer="0" w:header="0"/>
        </w:sectPr>
      </w:pPr>
    </w:p>
    <w:bookmarkStart w:id="65" w:name="page66"/>
    <w:bookmarkEnd w:id="65"/>
    <w:p>
      <w:pPr>
        <w:jc w:val="both"/>
        <w:ind w:left="8" w:hanging="8"/>
        <w:spacing w:after="0" w:line="348" w:lineRule="auto"/>
        <w:tabs>
          <w:tab w:leader="none" w:pos="550" w:val="left"/>
        </w:tabs>
        <w:numPr>
          <w:ilvl w:val="0"/>
          <w:numId w:val="27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Unless otherwise provided in this Chapter, an issuer making a further public offer of specified securities shall satisfy the conditions of this Chapter as on the date of filing of the draft</w:t>
      </w:r>
    </w:p>
    <w:p>
      <w:pPr>
        <w:spacing w:after="0" w:line="8" w:lineRule="exact"/>
        <w:rPr>
          <w:rFonts w:ascii="Times New Roman" w:cs="Times New Roman" w:eastAsia="Times New Roman" w:hAnsi="Times New Roman"/>
          <w:sz w:val="24"/>
          <w:szCs w:val="24"/>
          <w:b w:val="1"/>
          <w:bCs w:val="1"/>
          <w:color w:val="auto"/>
        </w:rPr>
      </w:pPr>
    </w:p>
    <w:p>
      <w:pPr>
        <w:ind w:left="8"/>
        <w:spacing w:after="0" w:line="285"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offer document with the Board and also as on the date of </w:t>
      </w:r>
      <w:r>
        <w:rPr>
          <w:rFonts w:ascii="Times New Roman" w:cs="Times New Roman" w:eastAsia="Times New Roman" w:hAnsi="Times New Roman"/>
          <w:sz w:val="32"/>
          <w:szCs w:val="32"/>
          <w:color w:val="auto"/>
          <w:vertAlign w:val="superscript"/>
        </w:rPr>
        <w:t>52</w:t>
      </w:r>
      <w:r>
        <w:rPr>
          <w:rFonts w:ascii="Times New Roman" w:cs="Times New Roman" w:eastAsia="Times New Roman" w:hAnsi="Times New Roman"/>
          <w:sz w:val="24"/>
          <w:szCs w:val="24"/>
          <w:color w:val="auto"/>
        </w:rPr>
        <w:t>[filing] the offer document with the Registrar of Companies.</w:t>
      </w:r>
    </w:p>
    <w:p>
      <w:pPr>
        <w:spacing w:after="0" w:line="200" w:lineRule="exact"/>
        <w:rPr>
          <w:sz w:val="20"/>
          <w:szCs w:val="20"/>
          <w:color w:val="auto"/>
        </w:rPr>
      </w:pPr>
    </w:p>
    <w:p>
      <w:pPr>
        <w:spacing w:after="0" w:line="289"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Entities not eligible to make a further public offer</w:t>
      </w:r>
    </w:p>
    <w:p>
      <w:pPr>
        <w:spacing w:after="0" w:line="134" w:lineRule="exact"/>
        <w:rPr>
          <w:sz w:val="20"/>
          <w:szCs w:val="20"/>
          <w:color w:val="auto"/>
        </w:rPr>
      </w:pPr>
    </w:p>
    <w:p>
      <w:pPr>
        <w:ind w:left="488" w:hanging="488"/>
        <w:spacing w:after="0"/>
        <w:tabs>
          <w:tab w:leader="none" w:pos="488" w:val="left"/>
        </w:tabs>
        <w:numPr>
          <w:ilvl w:val="0"/>
          <w:numId w:val="27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An issuer shall not be eligible to make a further public offer:</w:t>
      </w:r>
    </w:p>
    <w:p>
      <w:pPr>
        <w:spacing w:after="0" w:line="149" w:lineRule="exact"/>
        <w:rPr>
          <w:sz w:val="20"/>
          <w:szCs w:val="20"/>
          <w:color w:val="auto"/>
        </w:rPr>
      </w:pPr>
    </w:p>
    <w:p>
      <w:pPr>
        <w:ind w:left="548" w:hanging="512"/>
        <w:spacing w:after="0" w:line="350" w:lineRule="auto"/>
        <w:tabs>
          <w:tab w:leader="none" w:pos="548" w:val="left"/>
        </w:tabs>
        <w:numPr>
          <w:ilvl w:val="0"/>
          <w:numId w:val="28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issuer, any of its promoters, promoter group or directors, selling shareholders are debarred from accessing the capital market by the Board;</w:t>
      </w:r>
    </w:p>
    <w:p>
      <w:pPr>
        <w:spacing w:after="0" w:line="23" w:lineRule="exact"/>
        <w:rPr>
          <w:rFonts w:ascii="Times New Roman" w:cs="Times New Roman" w:eastAsia="Times New Roman" w:hAnsi="Times New Roman"/>
          <w:sz w:val="24"/>
          <w:szCs w:val="24"/>
          <w:color w:val="auto"/>
        </w:rPr>
      </w:pPr>
    </w:p>
    <w:p>
      <w:pPr>
        <w:ind w:left="548" w:hanging="512"/>
        <w:spacing w:after="0" w:line="350" w:lineRule="auto"/>
        <w:tabs>
          <w:tab w:leader="none" w:pos="548" w:val="left"/>
        </w:tabs>
        <w:numPr>
          <w:ilvl w:val="0"/>
          <w:numId w:val="28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any of the promoters or directors of the issuer is a promoter or director of any other company which is debarred from accessing the capital market by the Board;</w:t>
      </w:r>
    </w:p>
    <w:p>
      <w:pPr>
        <w:spacing w:after="0" w:line="10" w:lineRule="exact"/>
        <w:rPr>
          <w:rFonts w:ascii="Times New Roman" w:cs="Times New Roman" w:eastAsia="Times New Roman" w:hAnsi="Times New Roman"/>
          <w:sz w:val="24"/>
          <w:szCs w:val="24"/>
          <w:color w:val="auto"/>
        </w:rPr>
      </w:pPr>
    </w:p>
    <w:p>
      <w:pPr>
        <w:ind w:left="548" w:hanging="512"/>
        <w:spacing w:after="0"/>
        <w:tabs>
          <w:tab w:leader="none" w:pos="548" w:val="left"/>
        </w:tabs>
        <w:numPr>
          <w:ilvl w:val="0"/>
          <w:numId w:val="28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issuer or any of its promoters or directors is a wilful defaulter ;</w:t>
      </w:r>
    </w:p>
    <w:p>
      <w:pPr>
        <w:spacing w:after="0" w:line="139" w:lineRule="exact"/>
        <w:rPr>
          <w:rFonts w:ascii="Times New Roman" w:cs="Times New Roman" w:eastAsia="Times New Roman" w:hAnsi="Times New Roman"/>
          <w:sz w:val="24"/>
          <w:szCs w:val="24"/>
          <w:color w:val="auto"/>
        </w:rPr>
      </w:pPr>
    </w:p>
    <w:p>
      <w:pPr>
        <w:ind w:left="548" w:hanging="512"/>
        <w:spacing w:after="0"/>
        <w:tabs>
          <w:tab w:leader="none" w:pos="548" w:val="left"/>
        </w:tabs>
        <w:numPr>
          <w:ilvl w:val="0"/>
          <w:numId w:val="28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any of its promoters or directors is a fugitive economic offender.</w:t>
      </w:r>
    </w:p>
    <w:p>
      <w:pPr>
        <w:spacing w:after="0" w:line="149" w:lineRule="exact"/>
        <w:rPr>
          <w:sz w:val="20"/>
          <w:szCs w:val="20"/>
          <w:color w:val="auto"/>
        </w:rPr>
      </w:pPr>
    </w:p>
    <w:p>
      <w:pPr>
        <w:jc w:val="both"/>
        <w:ind w:left="28"/>
        <w:spacing w:after="0" w:line="354" w:lineRule="auto"/>
        <w:rPr>
          <w:sz w:val="20"/>
          <w:szCs w:val="20"/>
          <w:color w:val="auto"/>
        </w:rPr>
      </w:pPr>
      <w:r>
        <w:rPr>
          <w:rFonts w:ascii="Times New Roman" w:cs="Times New Roman" w:eastAsia="Times New Roman" w:hAnsi="Times New Roman"/>
          <w:sz w:val="24"/>
          <w:szCs w:val="24"/>
          <w:b w:val="1"/>
          <w:bCs w:val="1"/>
          <w:color w:val="auto"/>
        </w:rPr>
        <w:t>Explanation</w:t>
      </w:r>
      <w:r>
        <w:rPr>
          <w:rFonts w:ascii="Times New Roman" w:cs="Times New Roman" w:eastAsia="Times New Roman" w:hAnsi="Times New Roman"/>
          <w:sz w:val="24"/>
          <w:szCs w:val="24"/>
          <w:color w:val="auto"/>
        </w:rPr>
        <w:t>: The restrictions under (a) and (b) above shall not apply to the persons or entities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mentioned therein, who were debarred in the past by the Board and the period of debarment is already over as on the date of filing of the draft offer document with the Board.</w:t>
      </w:r>
    </w:p>
    <w:p>
      <w:pPr>
        <w:spacing w:after="0" w:line="200" w:lineRule="exact"/>
        <w:rPr>
          <w:sz w:val="20"/>
          <w:szCs w:val="20"/>
          <w:color w:val="auto"/>
        </w:rPr>
      </w:pPr>
    </w:p>
    <w:p>
      <w:pPr>
        <w:spacing w:after="0" w:line="22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Eligibility requirements for further public offer</w:t>
      </w:r>
    </w:p>
    <w:p>
      <w:pPr>
        <w:spacing w:after="0" w:line="147" w:lineRule="exact"/>
        <w:rPr>
          <w:sz w:val="20"/>
          <w:szCs w:val="20"/>
          <w:color w:val="auto"/>
        </w:rPr>
      </w:pPr>
    </w:p>
    <w:p>
      <w:pPr>
        <w:jc w:val="both"/>
        <w:ind w:left="8" w:hanging="8"/>
        <w:spacing w:after="0" w:line="354" w:lineRule="auto"/>
        <w:tabs>
          <w:tab w:leader="none" w:pos="495" w:val="left"/>
        </w:tabs>
        <w:numPr>
          <w:ilvl w:val="0"/>
          <w:numId w:val="28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An issuer may make a further public offer, if it has changed its name within the last one year, at least fifty per cent. of the revenue for the preceding one full year has been earned by it from the activity indicated by its new name.</w:t>
      </w:r>
    </w:p>
    <w:p>
      <w:pPr>
        <w:spacing w:after="0" w:line="20" w:lineRule="exact"/>
        <w:rPr>
          <w:sz w:val="20"/>
          <w:szCs w:val="20"/>
          <w:color w:val="auto"/>
        </w:rPr>
      </w:pPr>
    </w:p>
    <w:p>
      <w:pPr>
        <w:jc w:val="both"/>
        <w:ind w:left="8" w:hanging="8"/>
        <w:spacing w:after="0" w:line="357" w:lineRule="auto"/>
        <w:tabs>
          <w:tab w:leader="none" w:pos="728" w:val="left"/>
        </w:tabs>
        <w:numPr>
          <w:ilvl w:val="0"/>
          <w:numId w:val="28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 issuer not satisfying the condition stipulated in sub-regulation (1) may make a further public offer only if the issue is made through the book-building process and the issuer undertakes to allot at least seventy five per cent. of the net offer, to qualified institutional buyers and to refund full subscription money if it fails to make the said minimum allotment to qualified institutional buyers.</w:t>
      </w:r>
    </w:p>
    <w:p>
      <w:pPr>
        <w:spacing w:after="0" w:line="200" w:lineRule="exact"/>
        <w:rPr>
          <w:sz w:val="20"/>
          <w:szCs w:val="20"/>
          <w:color w:val="auto"/>
        </w:rPr>
      </w:pPr>
    </w:p>
    <w:p>
      <w:pPr>
        <w:spacing w:after="0" w:line="225"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General conditions</w:t>
      </w:r>
    </w:p>
    <w:p>
      <w:pPr>
        <w:spacing w:after="0" w:line="134" w:lineRule="exact"/>
        <w:rPr>
          <w:sz w:val="20"/>
          <w:szCs w:val="20"/>
          <w:color w:val="auto"/>
        </w:rPr>
      </w:pPr>
    </w:p>
    <w:p>
      <w:pPr>
        <w:ind w:left="488" w:hanging="488"/>
        <w:spacing w:after="0"/>
        <w:tabs>
          <w:tab w:leader="none" w:pos="488" w:val="left"/>
        </w:tabs>
        <w:numPr>
          <w:ilvl w:val="0"/>
          <w:numId w:val="28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An issuer making a further public offer shall ensure that -</w:t>
      </w:r>
    </w:p>
    <w:p>
      <w:pPr>
        <w:spacing w:after="0" w:line="149" w:lineRule="exact"/>
        <w:rPr>
          <w:sz w:val="20"/>
          <w:szCs w:val="20"/>
          <w:color w:val="auto"/>
        </w:rPr>
      </w:pPr>
    </w:p>
    <w:p>
      <w:pPr>
        <w:jc w:val="both"/>
        <w:ind w:left="548" w:hanging="512"/>
        <w:spacing w:after="0" w:line="354" w:lineRule="auto"/>
        <w:tabs>
          <w:tab w:leader="none" w:pos="548" w:val="left"/>
        </w:tabs>
        <w:numPr>
          <w:ilvl w:val="0"/>
          <w:numId w:val="28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it has made an application to one or more stock exchanges to seek an in-principle approval for listing of its specified securities on such stock exchanges and has chosen one of them as the designated stock exchange, in terms of </w:t>
      </w:r>
      <w:r>
        <w:rPr>
          <w:rFonts w:ascii="Times New Roman" w:cs="Times New Roman" w:eastAsia="Times New Roman" w:hAnsi="Times New Roman"/>
          <w:sz w:val="24"/>
          <w:szCs w:val="24"/>
          <w:b w:val="1"/>
          <w:bCs w:val="1"/>
          <w:color w:val="auto"/>
        </w:rPr>
        <w:t>Schedule XIX</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ind w:left="8" w:hanging="8"/>
        <w:spacing w:after="0" w:line="203" w:lineRule="auto"/>
        <w:tabs>
          <w:tab w:leader="none" w:pos="188" w:val="left"/>
        </w:tabs>
        <w:numPr>
          <w:ilvl w:val="0"/>
          <w:numId w:val="285"/>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Securities and Exchange Board of India (Issue of Capital and Disclosure Requirements) (Seventh Amendment) Regulations, 2019, w-e-f 01.01.2020 for the word “registering”.</w:t>
      </w:r>
    </w:p>
    <w:p>
      <w:pPr>
        <w:spacing w:after="0" w:line="30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66</w:t>
      </w:r>
    </w:p>
    <w:p>
      <w:pPr>
        <w:sectPr>
          <w:pgSz w:w="11900" w:h="16836" w:orient="portrait"/>
          <w:cols w:equalWidth="0" w:num="1">
            <w:col w:w="9468"/>
          </w:cols>
          <w:pgMar w:left="1152" w:top="1156" w:right="1284" w:bottom="103" w:gutter="0" w:footer="0" w:header="0"/>
        </w:sectPr>
      </w:pPr>
    </w:p>
    <w:bookmarkStart w:id="66" w:name="page67"/>
    <w:bookmarkEnd w:id="66"/>
    <w:p>
      <w:pPr>
        <w:ind w:left="548" w:hanging="512"/>
        <w:spacing w:after="0" w:line="348" w:lineRule="auto"/>
        <w:tabs>
          <w:tab w:leader="none" w:pos="548" w:val="left"/>
        </w:tabs>
        <w:numPr>
          <w:ilvl w:val="1"/>
          <w:numId w:val="28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 has entered into an agreement with a depository for dematerialisation of specified securities already issued and proposed to be issued;</w:t>
      </w:r>
    </w:p>
    <w:p>
      <w:pPr>
        <w:spacing w:after="0" w:line="28" w:lineRule="exact"/>
        <w:rPr>
          <w:rFonts w:ascii="Times New Roman" w:cs="Times New Roman" w:eastAsia="Times New Roman" w:hAnsi="Times New Roman"/>
          <w:sz w:val="24"/>
          <w:szCs w:val="24"/>
          <w:color w:val="auto"/>
        </w:rPr>
      </w:pPr>
    </w:p>
    <w:p>
      <w:pPr>
        <w:ind w:left="548" w:hanging="512"/>
        <w:spacing w:after="0" w:line="348" w:lineRule="auto"/>
        <w:tabs>
          <w:tab w:leader="none" w:pos="548" w:val="left"/>
        </w:tabs>
        <w:numPr>
          <w:ilvl w:val="1"/>
          <w:numId w:val="28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all its existing partly paid-up equity shares have either been fully paid-up or have been forfeited;</w:t>
      </w:r>
    </w:p>
    <w:p>
      <w:pPr>
        <w:spacing w:after="0" w:line="27" w:lineRule="exact"/>
        <w:rPr>
          <w:rFonts w:ascii="Times New Roman" w:cs="Times New Roman" w:eastAsia="Times New Roman" w:hAnsi="Times New Roman"/>
          <w:sz w:val="24"/>
          <w:szCs w:val="24"/>
          <w:color w:val="auto"/>
        </w:rPr>
      </w:pPr>
    </w:p>
    <w:p>
      <w:pPr>
        <w:jc w:val="both"/>
        <w:ind w:left="548" w:hanging="512"/>
        <w:spacing w:after="0" w:line="356" w:lineRule="auto"/>
        <w:tabs>
          <w:tab w:leader="none" w:pos="548" w:val="left"/>
        </w:tabs>
        <w:numPr>
          <w:ilvl w:val="1"/>
          <w:numId w:val="28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 has made firm arrangements of finance through verifiable means towards seventy five per cent. of the stated means of finance for the specific project proposed to be funded from the issue proceeds, excluding the amount to be raised through the proposed public issue or through existing identifiable internal accruals.</w:t>
      </w:r>
    </w:p>
    <w:p>
      <w:pPr>
        <w:spacing w:after="0" w:line="200" w:lineRule="exact"/>
        <w:rPr>
          <w:rFonts w:ascii="Times New Roman" w:cs="Times New Roman" w:eastAsia="Times New Roman" w:hAnsi="Times New Roman"/>
          <w:sz w:val="24"/>
          <w:szCs w:val="24"/>
          <w:color w:val="auto"/>
        </w:rPr>
      </w:pPr>
    </w:p>
    <w:p>
      <w:pPr>
        <w:spacing w:after="0" w:line="219" w:lineRule="exact"/>
        <w:rPr>
          <w:rFonts w:ascii="Times New Roman" w:cs="Times New Roman" w:eastAsia="Times New Roman" w:hAnsi="Times New Roman"/>
          <w:sz w:val="24"/>
          <w:szCs w:val="24"/>
          <w:color w:val="auto"/>
        </w:rPr>
      </w:pPr>
    </w:p>
    <w:p>
      <w:pPr>
        <w:ind w:left="368" w:hanging="368"/>
        <w:spacing w:after="0"/>
        <w:tabs>
          <w:tab w:leader="none" w:pos="368" w:val="left"/>
        </w:tabs>
        <w:numPr>
          <w:ilvl w:val="0"/>
          <w:numId w:val="28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amount for general corporate purposes, as mentioned in objects of the issue in the draft</w:t>
      </w:r>
    </w:p>
    <w:p>
      <w:pPr>
        <w:spacing w:after="0" w:line="151" w:lineRule="exact"/>
        <w:rPr>
          <w:sz w:val="20"/>
          <w:szCs w:val="20"/>
          <w:color w:val="auto"/>
        </w:rPr>
      </w:pPr>
    </w:p>
    <w:p>
      <w:pPr>
        <w:ind w:left="8"/>
        <w:spacing w:after="0" w:line="348" w:lineRule="auto"/>
        <w:rPr>
          <w:sz w:val="20"/>
          <w:szCs w:val="20"/>
          <w:color w:val="auto"/>
        </w:rPr>
      </w:pPr>
      <w:r>
        <w:rPr>
          <w:rFonts w:ascii="Times New Roman" w:cs="Times New Roman" w:eastAsia="Times New Roman" w:hAnsi="Times New Roman"/>
          <w:sz w:val="24"/>
          <w:szCs w:val="24"/>
          <w:color w:val="auto"/>
        </w:rPr>
        <w:t>offer document and the offer document, shall not exceed twenty five per cent. of the amount being raised by the issuer.</w:t>
      </w:r>
    </w:p>
    <w:p>
      <w:pPr>
        <w:spacing w:after="0" w:line="28" w:lineRule="exact"/>
        <w:rPr>
          <w:sz w:val="20"/>
          <w:szCs w:val="20"/>
          <w:color w:val="auto"/>
        </w:rPr>
      </w:pPr>
    </w:p>
    <w:p>
      <w:pPr>
        <w:ind w:left="8"/>
        <w:spacing w:after="0" w:line="348" w:lineRule="auto"/>
        <w:rPr>
          <w:sz w:val="20"/>
          <w:szCs w:val="20"/>
          <w:color w:val="auto"/>
        </w:rPr>
      </w:pPr>
      <w:r>
        <w:rPr>
          <w:rFonts w:ascii="Times New Roman" w:cs="Times New Roman" w:eastAsia="Times New Roman" w:hAnsi="Times New Roman"/>
          <w:sz w:val="24"/>
          <w:szCs w:val="24"/>
          <w:b w:val="1"/>
          <w:bCs w:val="1"/>
          <w:color w:val="auto"/>
        </w:rPr>
        <w:t xml:space="preserve">Explanation: </w:t>
      </w:r>
      <w:r>
        <w:rPr>
          <w:rFonts w:ascii="Times New Roman" w:cs="Times New Roman" w:eastAsia="Times New Roman" w:hAnsi="Times New Roman"/>
          <w:sz w:val="24"/>
          <w:szCs w:val="24"/>
          <w:color w:val="auto"/>
        </w:rPr>
        <w:t>For the purposes of this regulation, “project” means the object for which monies are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proposed to be raised to cover the objects of the issue.</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Additional conditions for an offer for sale</w:t>
      </w:r>
    </w:p>
    <w:p>
      <w:pPr>
        <w:spacing w:after="0" w:line="147" w:lineRule="exact"/>
        <w:rPr>
          <w:sz w:val="20"/>
          <w:szCs w:val="20"/>
          <w:color w:val="auto"/>
        </w:rPr>
      </w:pPr>
    </w:p>
    <w:p>
      <w:pPr>
        <w:jc w:val="both"/>
        <w:ind w:left="8" w:hanging="8"/>
        <w:spacing w:after="0" w:line="354" w:lineRule="auto"/>
        <w:tabs>
          <w:tab w:leader="none" w:pos="490" w:val="left"/>
        </w:tabs>
        <w:numPr>
          <w:ilvl w:val="0"/>
          <w:numId w:val="28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Only such fully paid-up equity shares may be offered for sale to public which have been held by the selling shareholder(s) for a period of at least one year prior to the filing of the draft offer document:</w:t>
      </w:r>
    </w:p>
    <w:p>
      <w:pPr>
        <w:spacing w:after="0" w:line="19" w:lineRule="exact"/>
        <w:rPr>
          <w:rFonts w:ascii="Times New Roman" w:cs="Times New Roman" w:eastAsia="Times New Roman" w:hAnsi="Times New Roman"/>
          <w:sz w:val="24"/>
          <w:szCs w:val="24"/>
          <w:b w:val="1"/>
          <w:bCs w:val="1"/>
          <w:color w:val="auto"/>
        </w:rPr>
      </w:pPr>
    </w:p>
    <w:p>
      <w:pPr>
        <w:ind w:left="8"/>
        <w:spacing w:after="0" w:line="350"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further that such holding period of one year shall be required to be complied with at the time of filing of the draft offer document.</w:t>
      </w:r>
    </w:p>
    <w:p>
      <w:pPr>
        <w:spacing w:after="0" w:line="23" w:lineRule="exact"/>
        <w:rPr>
          <w:rFonts w:ascii="Times New Roman" w:cs="Times New Roman" w:eastAsia="Times New Roman" w:hAnsi="Times New Roman"/>
          <w:sz w:val="24"/>
          <w:szCs w:val="24"/>
          <w:b w:val="1"/>
          <w:bCs w:val="1"/>
          <w:color w:val="auto"/>
        </w:rPr>
      </w:pPr>
    </w:p>
    <w:p>
      <w:pPr>
        <w:jc w:val="both"/>
        <w:ind w:left="8"/>
        <w:spacing w:after="0" w:line="357"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in case the equity shares received on conversion or exchange of fully paid-up compulsorily convertible securities including depository receipts are being offered for sale, the holding period of such convertible securities, including depository receipts, as well as that of resultant equity shares together shall be considered for the purpose of calculation of one year period referred in this sub-regulation.</w:t>
      </w:r>
    </w:p>
    <w:p>
      <w:pPr>
        <w:spacing w:after="0" w:line="19" w:lineRule="exact"/>
        <w:rPr>
          <w:sz w:val="20"/>
          <w:szCs w:val="20"/>
          <w:color w:val="auto"/>
        </w:rPr>
      </w:pPr>
    </w:p>
    <w:p>
      <w:pPr>
        <w:jc w:val="both"/>
        <w:ind w:left="8"/>
        <w:spacing w:after="0" w:line="357" w:lineRule="auto"/>
        <w:rPr>
          <w:sz w:val="20"/>
          <w:szCs w:val="20"/>
          <w:color w:val="auto"/>
        </w:rPr>
      </w:pPr>
      <w:r>
        <w:rPr>
          <w:rFonts w:ascii="Times New Roman" w:cs="Times New Roman" w:eastAsia="Times New Roman" w:hAnsi="Times New Roman"/>
          <w:sz w:val="24"/>
          <w:szCs w:val="24"/>
          <w:b w:val="1"/>
          <w:bCs w:val="1"/>
          <w:color w:val="auto"/>
        </w:rPr>
        <w:t>Explanation</w:t>
      </w:r>
      <w:r>
        <w:rPr>
          <w:rFonts w:ascii="Times New Roman" w:cs="Times New Roman" w:eastAsia="Times New Roman" w:hAnsi="Times New Roman"/>
          <w:sz w:val="24"/>
          <w:szCs w:val="24"/>
          <w:color w:val="auto"/>
        </w:rPr>
        <w:t>: If the equity shares arising out of the conversion or exchange of the fully paid-up</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compulsorily convertible securities are being offered for sale, the conversion or exchange should be completed prior to filing of the offer document (i.e. red herring prospectus in the case of a book built issue and prospectus in the case of a fixed price issue), provided full disclosures of the terms of conversion or exchange are made in the draft offer document.</w:t>
      </w:r>
    </w:p>
    <w:p>
      <w:pPr>
        <w:spacing w:after="0" w:line="17" w:lineRule="exact"/>
        <w:rPr>
          <w:sz w:val="20"/>
          <w:szCs w:val="20"/>
          <w:color w:val="auto"/>
        </w:rPr>
      </w:pPr>
    </w:p>
    <w:p>
      <w:pPr>
        <w:jc w:val="both"/>
        <w:ind w:left="8"/>
        <w:spacing w:after="0" w:line="350" w:lineRule="auto"/>
        <w:rPr>
          <w:sz w:val="20"/>
          <w:szCs w:val="20"/>
          <w:color w:val="auto"/>
        </w:rPr>
      </w:pPr>
      <w:r>
        <w:rPr>
          <w:rFonts w:ascii="Times New Roman" w:cs="Times New Roman" w:eastAsia="Times New Roman" w:hAnsi="Times New Roman"/>
          <w:sz w:val="24"/>
          <w:szCs w:val="24"/>
          <w:color w:val="auto"/>
        </w:rPr>
        <w:t>Provided further that the requirement of holding the equity shares for a period of one year shall not apply: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67</w:t>
      </w:r>
    </w:p>
    <w:p>
      <w:pPr>
        <w:sectPr>
          <w:pgSz w:w="11900" w:h="16836" w:orient="portrait"/>
          <w:cols w:equalWidth="0" w:num="1">
            <w:col w:w="9468"/>
          </w:cols>
          <w:pgMar w:left="1152" w:top="1156" w:right="1284" w:bottom="103" w:gutter="0" w:footer="0" w:header="0"/>
        </w:sectPr>
      </w:pPr>
    </w:p>
    <w:bookmarkStart w:id="67" w:name="page68"/>
    <w:bookmarkEnd w:id="67"/>
    <w:p>
      <w:pPr>
        <w:jc w:val="both"/>
        <w:ind w:left="508" w:hanging="508"/>
        <w:spacing w:after="0" w:line="354" w:lineRule="auto"/>
        <w:tabs>
          <w:tab w:leader="none" w:pos="508" w:val="left"/>
        </w:tabs>
        <w:numPr>
          <w:ilvl w:val="0"/>
          <w:numId w:val="2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an offer for sale of a government company or statutory authority or corporation or any special purpose vehicle set up and controlled by any one or more of them, which is engaged in the infrastructure sector;</w:t>
      </w:r>
    </w:p>
    <w:p>
      <w:pPr>
        <w:spacing w:after="0" w:line="20" w:lineRule="exact"/>
        <w:rPr>
          <w:rFonts w:ascii="Times New Roman" w:cs="Times New Roman" w:eastAsia="Times New Roman" w:hAnsi="Times New Roman"/>
          <w:sz w:val="24"/>
          <w:szCs w:val="24"/>
          <w:color w:val="auto"/>
        </w:rPr>
      </w:pPr>
    </w:p>
    <w:p>
      <w:pPr>
        <w:jc w:val="both"/>
        <w:ind w:left="508" w:hanging="508"/>
        <w:spacing w:after="0" w:line="357" w:lineRule="auto"/>
        <w:tabs>
          <w:tab w:leader="none" w:pos="508" w:val="left"/>
        </w:tabs>
        <w:numPr>
          <w:ilvl w:val="0"/>
          <w:numId w:val="2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equity shares offered for sale were acquired pursuant to any scheme approved by a High Court under the sections 391 to 394 of the Companies Act, 1956, or approved by a tribunal or the Central Government under the sections 230 to 234 of the Companies Act, 2013, as applicable, in lieu of business and invested capital which had been in existence for a period of more than one year prior to approval of such scheme;</w:t>
      </w:r>
    </w:p>
    <w:p>
      <w:pPr>
        <w:spacing w:after="0" w:line="19" w:lineRule="exact"/>
        <w:rPr>
          <w:rFonts w:ascii="Times New Roman" w:cs="Times New Roman" w:eastAsia="Times New Roman" w:hAnsi="Times New Roman"/>
          <w:sz w:val="24"/>
          <w:szCs w:val="24"/>
          <w:color w:val="auto"/>
        </w:rPr>
      </w:pPr>
    </w:p>
    <w:p>
      <w:pPr>
        <w:jc w:val="both"/>
        <w:ind w:left="508" w:hanging="508"/>
        <w:spacing w:after="0" w:line="354" w:lineRule="auto"/>
        <w:tabs>
          <w:tab w:leader="none" w:pos="508" w:val="left"/>
        </w:tabs>
        <w:numPr>
          <w:ilvl w:val="0"/>
          <w:numId w:val="2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equity shared offered for sale were issued under a bonus issue on securities held for a period of at least one year prior to the filing of the draft offer document with the Board and further subject to the following:</w:t>
      </w:r>
    </w:p>
    <w:p>
      <w:pPr>
        <w:spacing w:after="0" w:line="19" w:lineRule="exact"/>
        <w:rPr>
          <w:rFonts w:ascii="Times New Roman" w:cs="Times New Roman" w:eastAsia="Times New Roman" w:hAnsi="Times New Roman"/>
          <w:sz w:val="24"/>
          <w:szCs w:val="24"/>
          <w:color w:val="auto"/>
        </w:rPr>
      </w:pPr>
    </w:p>
    <w:p>
      <w:pPr>
        <w:jc w:val="both"/>
        <w:ind w:left="1088" w:hanging="368"/>
        <w:spacing w:after="0" w:line="354" w:lineRule="auto"/>
        <w:tabs>
          <w:tab w:leader="none" w:pos="1088" w:val="left"/>
        </w:tabs>
        <w:numPr>
          <w:ilvl w:val="1"/>
          <w:numId w:val="2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such specified securities being issued out of free reserves and share premium existing in the books of account as at the end of the financial year preceding the financial year in which the draft offer document is filed with the Board; and</w:t>
      </w:r>
    </w:p>
    <w:p>
      <w:pPr>
        <w:spacing w:after="0" w:line="22" w:lineRule="exact"/>
        <w:rPr>
          <w:rFonts w:ascii="Times New Roman" w:cs="Times New Roman" w:eastAsia="Times New Roman" w:hAnsi="Times New Roman"/>
          <w:sz w:val="24"/>
          <w:szCs w:val="24"/>
          <w:color w:val="auto"/>
        </w:rPr>
      </w:pPr>
    </w:p>
    <w:p>
      <w:pPr>
        <w:ind w:left="1088" w:hanging="368"/>
        <w:spacing w:after="0" w:line="348" w:lineRule="auto"/>
        <w:tabs>
          <w:tab w:leader="none" w:pos="1088" w:val="left"/>
        </w:tabs>
        <w:numPr>
          <w:ilvl w:val="1"/>
          <w:numId w:val="2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such equity shares not being issued by utilisation of revaluation reserves or unrealized profits of the issuer.</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II: ISSUE OF CONVERTIBLE DEBT INSTRUMENTS AND WARRANTS</w:t>
      </w:r>
    </w:p>
    <w:p>
      <w:pPr>
        <w:spacing w:after="0" w:line="200" w:lineRule="exact"/>
        <w:rPr>
          <w:sz w:val="20"/>
          <w:szCs w:val="20"/>
          <w:color w:val="auto"/>
        </w:rPr>
      </w:pPr>
    </w:p>
    <w:p>
      <w:pPr>
        <w:spacing w:after="0" w:line="359" w:lineRule="exact"/>
        <w:rPr>
          <w:sz w:val="20"/>
          <w:szCs w:val="20"/>
          <w:color w:val="auto"/>
        </w:rPr>
      </w:pPr>
    </w:p>
    <w:p>
      <w:pPr>
        <w:ind w:left="8" w:hanging="8"/>
        <w:spacing w:after="0" w:line="350" w:lineRule="auto"/>
        <w:tabs>
          <w:tab w:leader="none" w:pos="490" w:val="left"/>
        </w:tabs>
        <w:numPr>
          <w:ilvl w:val="0"/>
          <w:numId w:val="29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An issuer shall be eligible to make a further public offer of convertible debt instruments if its equity shares are already listed;</w:t>
      </w:r>
    </w:p>
    <w:p>
      <w:pPr>
        <w:spacing w:after="0" w:line="23" w:lineRule="exact"/>
        <w:rPr>
          <w:rFonts w:ascii="Times New Roman" w:cs="Times New Roman" w:eastAsia="Times New Roman" w:hAnsi="Times New Roman"/>
          <w:sz w:val="24"/>
          <w:szCs w:val="24"/>
          <w:b w:val="1"/>
          <w:bCs w:val="1"/>
          <w:color w:val="auto"/>
        </w:rPr>
      </w:pPr>
    </w:p>
    <w:p>
      <w:pPr>
        <w:ind w:left="8"/>
        <w:spacing w:after="0" w:line="350"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it is not in default in payment of interest or repayment of principal amount in respect of debt instruments issued by it to the public, if any, for a period of more than six months.</w:t>
      </w:r>
    </w:p>
    <w:p>
      <w:pPr>
        <w:spacing w:after="0" w:line="200" w:lineRule="exact"/>
        <w:rPr>
          <w:sz w:val="20"/>
          <w:szCs w:val="20"/>
          <w:color w:val="auto"/>
        </w:rPr>
      </w:pPr>
    </w:p>
    <w:p>
      <w:pPr>
        <w:spacing w:after="0" w:line="231"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Additional requirements for issue of convertible debt instruments</w:t>
      </w:r>
    </w:p>
    <w:p>
      <w:pPr>
        <w:spacing w:after="0" w:line="144" w:lineRule="exact"/>
        <w:rPr>
          <w:sz w:val="20"/>
          <w:szCs w:val="20"/>
          <w:color w:val="auto"/>
        </w:rPr>
      </w:pPr>
    </w:p>
    <w:p>
      <w:pPr>
        <w:ind w:left="8" w:hanging="8"/>
        <w:spacing w:after="0" w:line="350" w:lineRule="auto"/>
        <w:tabs>
          <w:tab w:leader="none" w:pos="531" w:val="left"/>
        </w:tabs>
        <w:numPr>
          <w:ilvl w:val="0"/>
          <w:numId w:val="29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In addition to other requirements laid down in these regulations, an issuer making a public issue of convertible debt instruments shall also comply with the following conditions:</w:t>
      </w:r>
    </w:p>
    <w:p>
      <w:pPr>
        <w:spacing w:after="0" w:line="23" w:lineRule="exact"/>
        <w:rPr>
          <w:sz w:val="20"/>
          <w:szCs w:val="20"/>
          <w:color w:val="auto"/>
        </w:rPr>
      </w:pPr>
    </w:p>
    <w:p>
      <w:pPr>
        <w:ind w:left="508" w:hanging="508"/>
        <w:spacing w:after="0" w:line="350" w:lineRule="auto"/>
        <w:tabs>
          <w:tab w:leader="none" w:pos="508" w:val="left"/>
        </w:tabs>
        <w:numPr>
          <w:ilvl w:val="0"/>
          <w:numId w:val="29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 has obtained credit rating for such convertible debt instrument from one or more credit rating agencies;</w:t>
      </w:r>
    </w:p>
    <w:p>
      <w:pPr>
        <w:spacing w:after="0" w:line="23" w:lineRule="exact"/>
        <w:rPr>
          <w:rFonts w:ascii="Times New Roman" w:cs="Times New Roman" w:eastAsia="Times New Roman" w:hAnsi="Times New Roman"/>
          <w:sz w:val="24"/>
          <w:szCs w:val="24"/>
          <w:color w:val="auto"/>
        </w:rPr>
      </w:pPr>
    </w:p>
    <w:p>
      <w:pPr>
        <w:jc w:val="both"/>
        <w:ind w:left="508" w:hanging="508"/>
        <w:spacing w:after="0" w:line="354" w:lineRule="auto"/>
        <w:tabs>
          <w:tab w:leader="none" w:pos="508" w:val="left"/>
        </w:tabs>
        <w:numPr>
          <w:ilvl w:val="0"/>
          <w:numId w:val="29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 has appointed at least one debenture trustee in accordance with the provisions of the Companies Act, 2013 and the Securities and Exchange Board of India (Debenture Trustees) Regulations, 1993;</w:t>
      </w:r>
    </w:p>
    <w:p>
      <w:pPr>
        <w:spacing w:after="0" w:line="22" w:lineRule="exact"/>
        <w:rPr>
          <w:rFonts w:ascii="Times New Roman" w:cs="Times New Roman" w:eastAsia="Times New Roman" w:hAnsi="Times New Roman"/>
          <w:sz w:val="24"/>
          <w:szCs w:val="24"/>
          <w:color w:val="auto"/>
        </w:rPr>
      </w:pPr>
    </w:p>
    <w:p>
      <w:pPr>
        <w:ind w:left="508" w:hanging="508"/>
        <w:spacing w:after="0" w:line="348" w:lineRule="auto"/>
        <w:tabs>
          <w:tab w:leader="none" w:pos="508" w:val="left"/>
        </w:tabs>
        <w:numPr>
          <w:ilvl w:val="0"/>
          <w:numId w:val="29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 shall create a debenture redemption reserve in accordance with the provisions of the Companies Act, 2013 and rules made thereunder;</w:t>
      </w: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68</w:t>
      </w:r>
    </w:p>
    <w:p>
      <w:pPr>
        <w:sectPr>
          <w:pgSz w:w="11900" w:h="16836" w:orient="portrait"/>
          <w:cols w:equalWidth="0" w:num="1">
            <w:col w:w="9468"/>
          </w:cols>
          <w:pgMar w:left="1152" w:top="1156" w:right="1284" w:bottom="103" w:gutter="0" w:footer="0" w:header="0"/>
        </w:sectPr>
      </w:pPr>
    </w:p>
    <w:bookmarkStart w:id="68" w:name="page69"/>
    <w:bookmarkEnd w:id="68"/>
    <w:p>
      <w:pPr>
        <w:ind w:left="508" w:hanging="508"/>
        <w:spacing w:after="0" w:line="348" w:lineRule="auto"/>
        <w:tabs>
          <w:tab w:leader="none" w:pos="508" w:val="left"/>
        </w:tabs>
        <w:numPr>
          <w:ilvl w:val="0"/>
          <w:numId w:val="29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issuer proposes to create a charge or security on its assets in respect of secured convertible debt instruments, it shall ensure that:</w:t>
      </w:r>
    </w:p>
    <w:p>
      <w:pPr>
        <w:spacing w:after="0" w:line="15" w:lineRule="exact"/>
        <w:rPr>
          <w:rFonts w:ascii="Times New Roman" w:cs="Times New Roman" w:eastAsia="Times New Roman" w:hAnsi="Times New Roman"/>
          <w:sz w:val="24"/>
          <w:szCs w:val="24"/>
          <w:color w:val="auto"/>
        </w:rPr>
      </w:pPr>
    </w:p>
    <w:p>
      <w:pPr>
        <w:ind w:left="1088" w:hanging="548"/>
        <w:spacing w:after="0"/>
        <w:tabs>
          <w:tab w:leader="none" w:pos="1088" w:val="left"/>
        </w:tabs>
        <w:numPr>
          <w:ilvl w:val="1"/>
          <w:numId w:val="29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such assets are sufficient to discharge the principal amount at all times;</w:t>
      </w:r>
    </w:p>
    <w:p>
      <w:pPr>
        <w:spacing w:after="0" w:line="136" w:lineRule="exact"/>
        <w:rPr>
          <w:rFonts w:ascii="Times New Roman" w:cs="Times New Roman" w:eastAsia="Times New Roman" w:hAnsi="Times New Roman"/>
          <w:sz w:val="24"/>
          <w:szCs w:val="24"/>
          <w:color w:val="auto"/>
        </w:rPr>
      </w:pPr>
    </w:p>
    <w:p>
      <w:pPr>
        <w:ind w:left="1088" w:hanging="548"/>
        <w:spacing w:after="0"/>
        <w:tabs>
          <w:tab w:leader="none" w:pos="1088" w:val="left"/>
        </w:tabs>
        <w:numPr>
          <w:ilvl w:val="1"/>
          <w:numId w:val="29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such assets are free from any encumbrance;</w:t>
      </w:r>
    </w:p>
    <w:p>
      <w:pPr>
        <w:spacing w:after="0" w:line="151" w:lineRule="exact"/>
        <w:rPr>
          <w:rFonts w:ascii="Times New Roman" w:cs="Times New Roman" w:eastAsia="Times New Roman" w:hAnsi="Times New Roman"/>
          <w:sz w:val="24"/>
          <w:szCs w:val="24"/>
          <w:color w:val="auto"/>
        </w:rPr>
      </w:pPr>
    </w:p>
    <w:p>
      <w:pPr>
        <w:jc w:val="both"/>
        <w:ind w:left="1088" w:hanging="548"/>
        <w:spacing w:after="0" w:line="357" w:lineRule="auto"/>
        <w:tabs>
          <w:tab w:leader="none" w:pos="1088" w:val="left"/>
        </w:tabs>
        <w:numPr>
          <w:ilvl w:val="1"/>
          <w:numId w:val="29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where security is already created on such assets in favour of public financial institutions or scheduled commercial banks or the issue of convertible debt instruments is proposed to be secured by creation of security on a leasehold land, the consent of such public financial institution, scheduled commercial bank or lessor for a second or pari passu charge has been obtained and submitted to the debenture trustee before the opening of the issue;</w:t>
      </w:r>
    </w:p>
    <w:p>
      <w:pPr>
        <w:spacing w:after="0" w:line="21" w:lineRule="exact"/>
        <w:rPr>
          <w:rFonts w:ascii="Times New Roman" w:cs="Times New Roman" w:eastAsia="Times New Roman" w:hAnsi="Times New Roman"/>
          <w:sz w:val="24"/>
          <w:szCs w:val="24"/>
          <w:color w:val="auto"/>
        </w:rPr>
      </w:pPr>
    </w:p>
    <w:p>
      <w:pPr>
        <w:jc w:val="both"/>
        <w:ind w:left="1088" w:hanging="548"/>
        <w:spacing w:after="0" w:line="348" w:lineRule="auto"/>
        <w:tabs>
          <w:tab w:leader="none" w:pos="1088" w:val="left"/>
        </w:tabs>
        <w:numPr>
          <w:ilvl w:val="1"/>
          <w:numId w:val="29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security or asset cover shall be arrived at after reduction of the liabilities having a first or prior charge, in case the convertible debt instruments are secured by a second</w:t>
      </w:r>
    </w:p>
    <w:p>
      <w:pPr>
        <w:spacing w:after="0" w:line="15" w:lineRule="exact"/>
        <w:rPr>
          <w:sz w:val="20"/>
          <w:szCs w:val="20"/>
          <w:color w:val="auto"/>
        </w:rPr>
      </w:pPr>
    </w:p>
    <w:p>
      <w:pPr>
        <w:ind w:left="1088"/>
        <w:spacing w:after="0"/>
        <w:rPr>
          <w:sz w:val="20"/>
          <w:szCs w:val="20"/>
          <w:color w:val="auto"/>
        </w:rPr>
      </w:pPr>
      <w:r>
        <w:rPr>
          <w:rFonts w:ascii="Times New Roman" w:cs="Times New Roman" w:eastAsia="Times New Roman" w:hAnsi="Times New Roman"/>
          <w:sz w:val="24"/>
          <w:szCs w:val="24"/>
          <w:color w:val="auto"/>
        </w:rPr>
        <w:t>or subsequent charge.</w:t>
      </w:r>
    </w:p>
    <w:p>
      <w:pPr>
        <w:spacing w:after="0" w:line="13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(2) The issuer shall redeem the convertible debt instruments in terms of the offer document.</w:t>
      </w:r>
    </w:p>
    <w:p>
      <w:pPr>
        <w:spacing w:after="0" w:line="200" w:lineRule="exact"/>
        <w:rPr>
          <w:sz w:val="20"/>
          <w:szCs w:val="20"/>
          <w:color w:val="auto"/>
        </w:rPr>
      </w:pPr>
    </w:p>
    <w:p>
      <w:pPr>
        <w:spacing w:after="0" w:line="35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Roll over of non-convertible portion of partly convertible debt instruments</w:t>
      </w:r>
    </w:p>
    <w:p>
      <w:pPr>
        <w:spacing w:after="0" w:line="147" w:lineRule="exact"/>
        <w:rPr>
          <w:sz w:val="20"/>
          <w:szCs w:val="20"/>
          <w:color w:val="auto"/>
        </w:rPr>
      </w:pPr>
    </w:p>
    <w:p>
      <w:pPr>
        <w:jc w:val="both"/>
        <w:ind w:left="8" w:hanging="8"/>
        <w:spacing w:after="0" w:line="354" w:lineRule="auto"/>
        <w:tabs>
          <w:tab w:leader="none" w:pos="504" w:val="left"/>
        </w:tabs>
        <w:numPr>
          <w:ilvl w:val="0"/>
          <w:numId w:val="29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non-convertible portion of partly convertible debt instruments issued by a listed issuer, the value of which exceeds ten crore rupees, may be rolled over, subject to compliance with the provisions of the Companies Act, 2013 and the following conditions:</w:t>
      </w:r>
    </w:p>
    <w:p>
      <w:pPr>
        <w:spacing w:after="0" w:line="20" w:lineRule="exact"/>
        <w:rPr>
          <w:sz w:val="20"/>
          <w:szCs w:val="20"/>
          <w:color w:val="auto"/>
        </w:rPr>
      </w:pPr>
    </w:p>
    <w:p>
      <w:pPr>
        <w:ind w:left="508" w:hanging="508"/>
        <w:spacing w:after="0" w:line="350" w:lineRule="auto"/>
        <w:tabs>
          <w:tab w:leader="none" w:pos="508" w:val="left"/>
        </w:tabs>
        <w:numPr>
          <w:ilvl w:val="0"/>
          <w:numId w:val="2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seventy five per cent. of the holders (in value) of the convertible debt instruments of the issuer have, through a resolution, approved the rollover through postal ballot;</w:t>
      </w:r>
    </w:p>
    <w:p>
      <w:pPr>
        <w:spacing w:after="0" w:line="23" w:lineRule="exact"/>
        <w:rPr>
          <w:rFonts w:ascii="Times New Roman" w:cs="Times New Roman" w:eastAsia="Times New Roman" w:hAnsi="Times New Roman"/>
          <w:sz w:val="24"/>
          <w:szCs w:val="24"/>
          <w:color w:val="auto"/>
        </w:rPr>
      </w:pPr>
    </w:p>
    <w:p>
      <w:pPr>
        <w:jc w:val="both"/>
        <w:ind w:left="508" w:hanging="508"/>
        <w:spacing w:after="0" w:line="354" w:lineRule="auto"/>
        <w:tabs>
          <w:tab w:leader="none" w:pos="508" w:val="left"/>
        </w:tabs>
        <w:numPr>
          <w:ilvl w:val="0"/>
          <w:numId w:val="2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has, along with the notice for passing the resolution, sent to all holders of the convertible debt instruments, an auditors’ certificate on the cash flow of the issuer and with comments on the liquidity position of the issuer;</w:t>
      </w:r>
    </w:p>
    <w:p>
      <w:pPr>
        <w:spacing w:after="0" w:line="22" w:lineRule="exact"/>
        <w:rPr>
          <w:rFonts w:ascii="Times New Roman" w:cs="Times New Roman" w:eastAsia="Times New Roman" w:hAnsi="Times New Roman"/>
          <w:sz w:val="24"/>
          <w:szCs w:val="24"/>
          <w:color w:val="auto"/>
        </w:rPr>
      </w:pPr>
    </w:p>
    <w:p>
      <w:pPr>
        <w:jc w:val="both"/>
        <w:ind w:left="508" w:hanging="508"/>
        <w:spacing w:after="0" w:line="354" w:lineRule="auto"/>
        <w:tabs>
          <w:tab w:leader="none" w:pos="508" w:val="left"/>
        </w:tabs>
        <w:numPr>
          <w:ilvl w:val="0"/>
          <w:numId w:val="2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has undertaken to redeem the non-convertible portion of the partly convertible debt instruments of all the holders of the convertible debt instruments who have not agreed to the resolution;</w:t>
      </w:r>
    </w:p>
    <w:p>
      <w:pPr>
        <w:spacing w:after="0" w:line="19" w:lineRule="exact"/>
        <w:rPr>
          <w:rFonts w:ascii="Times New Roman" w:cs="Times New Roman" w:eastAsia="Times New Roman" w:hAnsi="Times New Roman"/>
          <w:sz w:val="24"/>
          <w:szCs w:val="24"/>
          <w:color w:val="auto"/>
        </w:rPr>
      </w:pPr>
    </w:p>
    <w:p>
      <w:pPr>
        <w:jc w:val="both"/>
        <w:ind w:left="508" w:hanging="508"/>
        <w:spacing w:after="0" w:line="354" w:lineRule="auto"/>
        <w:tabs>
          <w:tab w:leader="none" w:pos="508" w:val="left"/>
        </w:tabs>
        <w:numPr>
          <w:ilvl w:val="0"/>
          <w:numId w:val="2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credit rating has been obtained from at least one credit rating agency registered with the Board within a period of one month prior to the due date of redemption and has been communicated to the holders of the convertible debt instruments, before the roll over.</w:t>
      </w:r>
    </w:p>
    <w:p>
      <w:pPr>
        <w:spacing w:after="0" w:line="22" w:lineRule="exact"/>
        <w:rPr>
          <w:sz w:val="20"/>
          <w:szCs w:val="20"/>
          <w:color w:val="auto"/>
        </w:rPr>
      </w:pPr>
    </w:p>
    <w:p>
      <w:pPr>
        <w:jc w:val="both"/>
        <w:ind w:left="8" w:hanging="8"/>
        <w:spacing w:after="0" w:line="354" w:lineRule="auto"/>
        <w:tabs>
          <w:tab w:leader="none" w:pos="368" w:val="left"/>
        </w:tabs>
        <w:numPr>
          <w:ilvl w:val="0"/>
          <w:numId w:val="29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creation of fresh security and execution of fresh trust deed shall not be mandatory if the existing trust deed or the security documents provide for continuance of the security till redemption of secured convertible debt instruments:</w:t>
      </w:r>
    </w:p>
    <w:p>
      <w:pPr>
        <w:spacing w:after="0" w:line="20" w:lineRule="exact"/>
        <w:rPr>
          <w:rFonts w:ascii="Times New Roman" w:cs="Times New Roman" w:eastAsia="Times New Roman" w:hAnsi="Times New Roman"/>
          <w:sz w:val="24"/>
          <w:szCs w:val="24"/>
          <w:color w:val="auto"/>
        </w:rPr>
      </w:pPr>
    </w:p>
    <w:p>
      <w:pPr>
        <w:ind w:left="8"/>
        <w:spacing w:after="0" w:line="350"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the debenture trustee shall decide if the issuer is required to create fresh security and to execute fresh trust deed.</w:t>
      </w:r>
    </w:p>
    <w:p>
      <w:pPr>
        <w:spacing w:after="0" w:line="268"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69</w:t>
      </w:r>
    </w:p>
    <w:p>
      <w:pPr>
        <w:sectPr>
          <w:pgSz w:w="11900" w:h="16836" w:orient="portrait"/>
          <w:cols w:equalWidth="0" w:num="1">
            <w:col w:w="9468"/>
          </w:cols>
          <w:pgMar w:left="1152" w:top="1156" w:right="1284" w:bottom="103" w:gutter="0" w:footer="0" w:header="0"/>
        </w:sectPr>
      </w:pPr>
    </w:p>
    <w:bookmarkStart w:id="69" w:name="page70"/>
    <w:bookmarkEnd w:id="69"/>
    <w:p>
      <w:pPr>
        <w:spacing w:after="0" w:line="12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Conversion of optionally convertible debt instruments into equity share capital</w:t>
      </w:r>
    </w:p>
    <w:p>
      <w:pPr>
        <w:spacing w:after="0" w:line="147" w:lineRule="exact"/>
        <w:rPr>
          <w:sz w:val="20"/>
          <w:szCs w:val="20"/>
          <w:color w:val="auto"/>
        </w:rPr>
      </w:pPr>
    </w:p>
    <w:p>
      <w:pPr>
        <w:jc w:val="both"/>
        <w:ind w:left="8" w:right="20" w:hanging="8"/>
        <w:spacing w:after="0" w:line="356" w:lineRule="auto"/>
        <w:tabs>
          <w:tab w:leader="none" w:pos="497" w:val="left"/>
        </w:tabs>
        <w:numPr>
          <w:ilvl w:val="0"/>
          <w:numId w:val="29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shall not convert its optionally convertible debt instruments into equity shares unless the holders of such convertible debt instruments have sent their positive consent to the issuer and non-receipt of reply to any notice sent by the issuer for this purpose shall not be construed as consent for conversion of any convertible debt instruments.</w:t>
      </w:r>
    </w:p>
    <w:p>
      <w:pPr>
        <w:spacing w:after="0" w:line="18" w:lineRule="exact"/>
        <w:rPr>
          <w:rFonts w:ascii="Times New Roman" w:cs="Times New Roman" w:eastAsia="Times New Roman" w:hAnsi="Times New Roman"/>
          <w:sz w:val="24"/>
          <w:szCs w:val="24"/>
          <w:b w:val="1"/>
          <w:bCs w:val="1"/>
          <w:color w:val="auto"/>
        </w:rPr>
      </w:pPr>
    </w:p>
    <w:p>
      <w:pPr>
        <w:jc w:val="both"/>
        <w:ind w:left="8" w:right="20"/>
        <w:spacing w:after="0" w:line="356"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Where the value of the convertible portion of any listed convertible debt instruments issued by an issuer exceeds ten crore rupees and the issuer has not determined the conversion price of such convertible debt instruments at the time of making the issue, the holders of such convertible debt instruments shall be given the option of not converting the convertible portion into equity shares:</w:t>
      </w:r>
    </w:p>
    <w:p>
      <w:pPr>
        <w:spacing w:after="0" w:line="19" w:lineRule="exact"/>
        <w:rPr>
          <w:rFonts w:ascii="Times New Roman" w:cs="Times New Roman" w:eastAsia="Times New Roman" w:hAnsi="Times New Roman"/>
          <w:sz w:val="24"/>
          <w:szCs w:val="24"/>
          <w:b w:val="1"/>
          <w:bCs w:val="1"/>
          <w:color w:val="auto"/>
        </w:rPr>
      </w:pPr>
    </w:p>
    <w:p>
      <w:pPr>
        <w:jc w:val="both"/>
        <w:ind w:left="8" w:right="20"/>
        <w:spacing w:after="0" w:line="357"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where the upper limit or conversion formula on the price of such convertible debt instruments and justification thereon is determined and disclosed to the investors at the time of making the issue, it shall not be necessary to give such option to the holders of the convertible debt instruments for converting the convertible portion into equity share capital within the said upper limit.</w:t>
      </w:r>
    </w:p>
    <w:p>
      <w:pPr>
        <w:spacing w:after="0" w:line="16" w:lineRule="exact"/>
        <w:rPr>
          <w:rFonts w:ascii="Times New Roman" w:cs="Times New Roman" w:eastAsia="Times New Roman" w:hAnsi="Times New Roman"/>
          <w:sz w:val="24"/>
          <w:szCs w:val="24"/>
          <w:b w:val="1"/>
          <w:bCs w:val="1"/>
          <w:color w:val="auto"/>
        </w:rPr>
      </w:pPr>
    </w:p>
    <w:p>
      <w:pPr>
        <w:jc w:val="both"/>
        <w:ind w:left="8" w:right="20"/>
        <w:spacing w:after="0" w:line="357"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(3) Where an option is to be given to the holders of the convertible debt instruments in terms of sub-regulation (2) and if one or more of such holders do not exercise the option to convert the instruments into equity share capital at a price determined in the general meeting of the shareholders, the issuer shall redeem that part of the instruments within one month from the last date by which option is to be exercised, at a price which shall not be less than its face value.</w:t>
      </w:r>
    </w:p>
    <w:p>
      <w:pPr>
        <w:spacing w:after="0" w:line="19" w:lineRule="exact"/>
        <w:rPr>
          <w:rFonts w:ascii="Times New Roman" w:cs="Times New Roman" w:eastAsia="Times New Roman" w:hAnsi="Times New Roman"/>
          <w:sz w:val="24"/>
          <w:szCs w:val="24"/>
          <w:b w:val="1"/>
          <w:bCs w:val="1"/>
          <w:color w:val="auto"/>
        </w:rPr>
      </w:pPr>
    </w:p>
    <w:p>
      <w:pPr>
        <w:ind w:left="8" w:right="20"/>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(4) The provisions of sub-regulation (3) shall not apply if such redemption is in terms of the disclosures made in the offer document.</w:t>
      </w:r>
    </w:p>
    <w:p>
      <w:pPr>
        <w:spacing w:after="0" w:line="200" w:lineRule="exact"/>
        <w:rPr>
          <w:sz w:val="20"/>
          <w:szCs w:val="20"/>
          <w:color w:val="auto"/>
        </w:rPr>
      </w:pPr>
    </w:p>
    <w:p>
      <w:pPr>
        <w:spacing w:after="0" w:line="234"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Issue of convertible debt instruments for financing</w:t>
      </w:r>
    </w:p>
    <w:p>
      <w:pPr>
        <w:spacing w:after="0" w:line="147" w:lineRule="exact"/>
        <w:rPr>
          <w:sz w:val="20"/>
          <w:szCs w:val="20"/>
          <w:color w:val="auto"/>
        </w:rPr>
      </w:pPr>
    </w:p>
    <w:p>
      <w:pPr>
        <w:ind w:left="8" w:hanging="8"/>
        <w:spacing w:after="0" w:line="348" w:lineRule="auto"/>
        <w:tabs>
          <w:tab w:leader="none" w:pos="552" w:val="left"/>
        </w:tabs>
        <w:numPr>
          <w:ilvl w:val="0"/>
          <w:numId w:val="29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An issuer shall not issue convertible debt instruments for financing or for providing loans to or for acquiring shares of any person who is part of the promoter group or group companies:</w:t>
      </w:r>
    </w:p>
    <w:p>
      <w:pPr>
        <w:spacing w:after="0" w:line="27" w:lineRule="exact"/>
        <w:rPr>
          <w:rFonts w:ascii="Times New Roman" w:cs="Times New Roman" w:eastAsia="Times New Roman" w:hAnsi="Times New Roman"/>
          <w:sz w:val="24"/>
          <w:szCs w:val="24"/>
          <w:b w:val="1"/>
          <w:bCs w:val="1"/>
          <w:color w:val="auto"/>
        </w:rPr>
      </w:pPr>
    </w:p>
    <w:p>
      <w:pPr>
        <w:jc w:val="both"/>
        <w:ind w:left="8" w:right="20"/>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an issuer shall be eligible to issue fully convertible debt instruments for these purposes if the period of conversion of such debt instruments is less than eighteen months from the date of issue of such debt instruments.</w:t>
      </w:r>
    </w:p>
    <w:p>
      <w:pPr>
        <w:spacing w:after="0" w:line="200" w:lineRule="exact"/>
        <w:rPr>
          <w:sz w:val="20"/>
          <w:szCs w:val="20"/>
          <w:color w:val="auto"/>
        </w:rPr>
      </w:pPr>
    </w:p>
    <w:p>
      <w:pPr>
        <w:spacing w:after="0" w:line="22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Issue of warrants</w:t>
      </w:r>
    </w:p>
    <w:p>
      <w:pPr>
        <w:spacing w:after="0" w:line="145" w:lineRule="exact"/>
        <w:rPr>
          <w:sz w:val="20"/>
          <w:szCs w:val="20"/>
          <w:color w:val="auto"/>
        </w:rPr>
      </w:pPr>
    </w:p>
    <w:p>
      <w:pPr>
        <w:ind w:left="8" w:right="20" w:hanging="8"/>
        <w:spacing w:after="0" w:line="350" w:lineRule="auto"/>
        <w:tabs>
          <w:tab w:leader="none" w:pos="562" w:val="left"/>
        </w:tabs>
        <w:numPr>
          <w:ilvl w:val="0"/>
          <w:numId w:val="29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An issuer shall be eligible to issue warrants in a further public offer subject to the following conditions:</w:t>
      </w:r>
    </w:p>
    <w:p>
      <w:pPr>
        <w:spacing w:after="0" w:line="23" w:lineRule="exact"/>
        <w:rPr>
          <w:sz w:val="20"/>
          <w:szCs w:val="20"/>
          <w:color w:val="auto"/>
        </w:rPr>
      </w:pPr>
    </w:p>
    <w:p>
      <w:pPr>
        <w:ind w:left="548" w:right="20" w:hanging="548"/>
        <w:spacing w:after="0" w:line="350" w:lineRule="auto"/>
        <w:tabs>
          <w:tab w:leader="none" w:pos="548" w:val="left"/>
        </w:tabs>
        <w:numPr>
          <w:ilvl w:val="0"/>
          <w:numId w:val="30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tenure of such warrants shall not exceed eighteen months from the date of their allotment in the public issue;</w:t>
      </w:r>
    </w:p>
    <w:p>
      <w:pPr>
        <w:spacing w:after="0" w:line="268" w:lineRule="exact"/>
        <w:rPr>
          <w:sz w:val="20"/>
          <w:szCs w:val="20"/>
          <w:color w:val="auto"/>
        </w:rPr>
      </w:pPr>
    </w:p>
    <w:p>
      <w:pPr>
        <w:jc w:val="center"/>
        <w:ind w:right="12"/>
        <w:spacing w:after="0"/>
        <w:rPr>
          <w:sz w:val="20"/>
          <w:szCs w:val="20"/>
          <w:color w:val="auto"/>
        </w:rPr>
      </w:pPr>
      <w:r>
        <w:rPr>
          <w:rFonts w:ascii="Times New Roman" w:cs="Times New Roman" w:eastAsia="Times New Roman" w:hAnsi="Times New Roman"/>
          <w:sz w:val="24"/>
          <w:szCs w:val="24"/>
          <w:color w:val="auto"/>
        </w:rPr>
        <w:t>70</w:t>
      </w:r>
    </w:p>
    <w:p>
      <w:pPr>
        <w:sectPr>
          <w:pgSz w:w="11900" w:h="16836" w:orient="portrait"/>
          <w:cols w:equalWidth="0" w:num="1">
            <w:col w:w="9488"/>
          </w:cols>
          <w:pgMar w:left="1152" w:top="1440" w:right="1264" w:bottom="103" w:gutter="0" w:footer="0" w:header="0"/>
        </w:sectPr>
      </w:pPr>
    </w:p>
    <w:bookmarkStart w:id="70" w:name="page71"/>
    <w:bookmarkEnd w:id="70"/>
    <w:p>
      <w:pPr>
        <w:ind w:left="548" w:hanging="548"/>
        <w:spacing w:after="0"/>
        <w:tabs>
          <w:tab w:leader="none" w:pos="548" w:val="left"/>
        </w:tabs>
        <w:numPr>
          <w:ilvl w:val="0"/>
          <w:numId w:val="30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specified security may have one or more warrants attached to it;</w:t>
      </w:r>
    </w:p>
    <w:p>
      <w:pPr>
        <w:spacing w:after="0" w:line="149" w:lineRule="exact"/>
        <w:rPr>
          <w:rFonts w:ascii="Times New Roman" w:cs="Times New Roman" w:eastAsia="Times New Roman" w:hAnsi="Times New Roman"/>
          <w:sz w:val="24"/>
          <w:szCs w:val="24"/>
          <w:color w:val="auto"/>
        </w:rPr>
      </w:pPr>
    </w:p>
    <w:p>
      <w:pPr>
        <w:jc w:val="both"/>
        <w:ind w:left="548" w:hanging="548"/>
        <w:spacing w:after="0" w:line="354" w:lineRule="auto"/>
        <w:tabs>
          <w:tab w:leader="none" w:pos="608" w:val="left"/>
        </w:tabs>
        <w:numPr>
          <w:ilvl w:val="0"/>
          <w:numId w:val="30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price or formula for determination of exercise price of the warrants shall be determined upfront and at least twenty-five per cent. of the consideration amount based on the exercise price shall also be received upfront;</w:t>
      </w:r>
    </w:p>
    <w:p>
      <w:pPr>
        <w:spacing w:after="0" w:line="22" w:lineRule="exact"/>
        <w:rPr>
          <w:rFonts w:ascii="Times New Roman" w:cs="Times New Roman" w:eastAsia="Times New Roman" w:hAnsi="Times New Roman"/>
          <w:sz w:val="24"/>
          <w:szCs w:val="24"/>
          <w:color w:val="auto"/>
        </w:rPr>
      </w:pPr>
    </w:p>
    <w:p>
      <w:pPr>
        <w:jc w:val="both"/>
        <w:ind w:left="548"/>
        <w:spacing w:after="0" w:line="35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in case the exercise price of warrants is based on a formula, twenty-five per cent. consideration amount based on the cap price of the price band determined for the linked equity shares or convertible securities shall be received upfront.</w:t>
      </w:r>
    </w:p>
    <w:p>
      <w:pPr>
        <w:spacing w:after="0" w:line="19" w:lineRule="exact"/>
        <w:rPr>
          <w:rFonts w:ascii="Times New Roman" w:cs="Times New Roman" w:eastAsia="Times New Roman" w:hAnsi="Times New Roman"/>
          <w:sz w:val="24"/>
          <w:szCs w:val="24"/>
          <w:color w:val="auto"/>
        </w:rPr>
      </w:pPr>
    </w:p>
    <w:p>
      <w:pPr>
        <w:jc w:val="both"/>
        <w:ind w:left="548" w:hanging="548"/>
        <w:spacing w:after="0" w:line="357" w:lineRule="auto"/>
        <w:tabs>
          <w:tab w:leader="none" w:pos="548" w:val="left"/>
        </w:tabs>
        <w:numPr>
          <w:ilvl w:val="0"/>
          <w:numId w:val="30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the warrant holder does not exercise the option to take equity shares against any of the warrants held by the warrant holder, within three months from the date of payment of consideration, such consideration made in respect of such warrants shall be forfeited by the issuer.</w:t>
      </w:r>
    </w:p>
    <w:p>
      <w:pPr>
        <w:spacing w:after="0" w:line="200" w:lineRule="exact"/>
        <w:rPr>
          <w:sz w:val="20"/>
          <w:szCs w:val="20"/>
          <w:color w:val="auto"/>
        </w:rPr>
      </w:pPr>
    </w:p>
    <w:p>
      <w:pPr>
        <w:spacing w:after="0" w:line="22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III: PROMOTERS’ CONTRIBUTION</w:t>
      </w:r>
    </w:p>
    <w:p>
      <w:pPr>
        <w:spacing w:after="0" w:line="200" w:lineRule="exact"/>
        <w:rPr>
          <w:sz w:val="20"/>
          <w:szCs w:val="20"/>
          <w:color w:val="auto"/>
        </w:rPr>
      </w:pPr>
    </w:p>
    <w:p>
      <w:pPr>
        <w:spacing w:after="0" w:line="35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Requirement of minimum promoters’ contribution not applicable in certain cases</w:t>
      </w:r>
    </w:p>
    <w:p>
      <w:pPr>
        <w:spacing w:after="0" w:line="132" w:lineRule="exact"/>
        <w:rPr>
          <w:sz w:val="20"/>
          <w:szCs w:val="20"/>
          <w:color w:val="auto"/>
        </w:rPr>
      </w:pPr>
    </w:p>
    <w:p>
      <w:pPr>
        <w:ind w:left="548" w:hanging="548"/>
        <w:spacing w:after="0"/>
        <w:tabs>
          <w:tab w:leader="none" w:pos="548" w:val="left"/>
        </w:tabs>
        <w:numPr>
          <w:ilvl w:val="0"/>
          <w:numId w:val="30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requirements of minimum promoters’ contribution shall not apply in case of:</w:t>
      </w:r>
    </w:p>
    <w:p>
      <w:pPr>
        <w:spacing w:after="0" w:line="140" w:lineRule="exact"/>
        <w:rPr>
          <w:sz w:val="20"/>
          <w:szCs w:val="20"/>
          <w:color w:val="auto"/>
        </w:rPr>
      </w:pPr>
    </w:p>
    <w:p>
      <w:pPr>
        <w:ind w:left="548" w:hanging="512"/>
        <w:spacing w:after="0"/>
        <w:tabs>
          <w:tab w:leader="none" w:pos="548" w:val="left"/>
        </w:tabs>
        <w:numPr>
          <w:ilvl w:val="0"/>
          <w:numId w:val="30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 issuer which does not have any identifiable promoter;</w:t>
      </w:r>
    </w:p>
    <w:p>
      <w:pPr>
        <w:spacing w:after="0" w:line="149" w:lineRule="exact"/>
        <w:rPr>
          <w:rFonts w:ascii="Times New Roman" w:cs="Times New Roman" w:eastAsia="Times New Roman" w:hAnsi="Times New Roman"/>
          <w:sz w:val="24"/>
          <w:szCs w:val="24"/>
          <w:color w:val="auto"/>
        </w:rPr>
      </w:pPr>
    </w:p>
    <w:p>
      <w:pPr>
        <w:jc w:val="both"/>
        <w:ind w:left="548" w:hanging="512"/>
        <w:spacing w:after="0" w:line="354" w:lineRule="auto"/>
        <w:tabs>
          <w:tab w:leader="none" w:pos="548" w:val="left"/>
        </w:tabs>
        <w:numPr>
          <w:ilvl w:val="0"/>
          <w:numId w:val="30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where the equity shares of the issuer are frequently traded on a stock exchange for a period of at least three years and the issuer has a track record of dividend payment for at least three immediately preceding years:</w:t>
      </w:r>
    </w:p>
    <w:p>
      <w:pPr>
        <w:spacing w:after="0" w:line="22" w:lineRule="exact"/>
        <w:rPr>
          <w:rFonts w:ascii="Times New Roman" w:cs="Times New Roman" w:eastAsia="Times New Roman" w:hAnsi="Times New Roman"/>
          <w:sz w:val="24"/>
          <w:szCs w:val="24"/>
          <w:color w:val="auto"/>
        </w:rPr>
      </w:pPr>
    </w:p>
    <w:p>
      <w:pPr>
        <w:jc w:val="both"/>
        <w:ind w:left="548"/>
        <w:spacing w:after="0" w:line="356"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where the promoters propose to subscribe to the specified securities offered to the extent greater than higher of the two options available in clause (a) of sub-regulation (1) of regulation 113, the subscription in excess of such percentage shall be made at a price determined in terms of the provisions of regulation 164 or the issue price, whichever is</w:t>
      </w:r>
    </w:p>
    <w:p>
      <w:pPr>
        <w:spacing w:after="0" w:line="7" w:lineRule="exact"/>
        <w:rPr>
          <w:sz w:val="20"/>
          <w:szCs w:val="20"/>
          <w:color w:val="auto"/>
        </w:rPr>
      </w:pPr>
    </w:p>
    <w:p>
      <w:pPr>
        <w:ind w:left="548"/>
        <w:spacing w:after="0"/>
        <w:rPr>
          <w:sz w:val="20"/>
          <w:szCs w:val="20"/>
          <w:color w:val="auto"/>
        </w:rPr>
      </w:pPr>
      <w:r>
        <w:rPr>
          <w:rFonts w:ascii="Times New Roman" w:cs="Times New Roman" w:eastAsia="Times New Roman" w:hAnsi="Times New Roman"/>
          <w:sz w:val="24"/>
          <w:szCs w:val="24"/>
          <w:color w:val="auto"/>
        </w:rPr>
        <w:t>higher.</w:t>
      </w:r>
    </w:p>
    <w:p>
      <w:pPr>
        <w:spacing w:after="0" w:line="149" w:lineRule="exact"/>
        <w:rPr>
          <w:sz w:val="20"/>
          <w:szCs w:val="20"/>
          <w:color w:val="auto"/>
        </w:rPr>
      </w:pPr>
    </w:p>
    <w:p>
      <w:pPr>
        <w:jc w:val="both"/>
        <w:ind w:left="8"/>
        <w:spacing w:after="0" w:line="356" w:lineRule="auto"/>
        <w:rPr>
          <w:sz w:val="20"/>
          <w:szCs w:val="20"/>
          <w:color w:val="auto"/>
        </w:rPr>
      </w:pPr>
      <w:r>
        <w:rPr>
          <w:rFonts w:ascii="Times New Roman" w:cs="Times New Roman" w:eastAsia="Times New Roman" w:hAnsi="Times New Roman"/>
          <w:sz w:val="24"/>
          <w:szCs w:val="24"/>
          <w:b w:val="1"/>
          <w:bCs w:val="1"/>
          <w:color w:val="auto"/>
        </w:rPr>
        <w:t xml:space="preserve">Explanation: </w:t>
      </w:r>
      <w:r>
        <w:rPr>
          <w:rFonts w:ascii="Times New Roman" w:cs="Times New Roman" w:eastAsia="Times New Roman" w:hAnsi="Times New Roman"/>
          <w:sz w:val="24"/>
          <w:szCs w:val="24"/>
          <w:color w:val="auto"/>
        </w:rPr>
        <w:t>The reference date for the purpose of computing the annualised trading turnover</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referred to in the said Explanation shall be the date of filing the draft offer document with the Board and in case of a fast track issue, the date of filing the offer document with the Registrar of Companies, and before opening of the issue.</w:t>
      </w:r>
    </w:p>
    <w:p>
      <w:pPr>
        <w:spacing w:after="0" w:line="200" w:lineRule="exact"/>
        <w:rPr>
          <w:sz w:val="20"/>
          <w:szCs w:val="20"/>
          <w:color w:val="auto"/>
        </w:rPr>
      </w:pPr>
    </w:p>
    <w:p>
      <w:pPr>
        <w:spacing w:after="0" w:line="226"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Minimum promoters’ contribution</w:t>
      </w:r>
    </w:p>
    <w:p>
      <w:pPr>
        <w:spacing w:after="0" w:line="132" w:lineRule="exact"/>
        <w:rPr>
          <w:sz w:val="20"/>
          <w:szCs w:val="20"/>
          <w:color w:val="auto"/>
        </w:rPr>
      </w:pPr>
    </w:p>
    <w:p>
      <w:pPr>
        <w:ind w:left="488" w:hanging="488"/>
        <w:spacing w:after="0"/>
        <w:tabs>
          <w:tab w:leader="none" w:pos="488" w:val="left"/>
        </w:tabs>
        <w:numPr>
          <w:ilvl w:val="0"/>
          <w:numId w:val="30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promoters shall contribute in the public issue as follows:</w:t>
      </w:r>
    </w:p>
    <w:p>
      <w:pPr>
        <w:spacing w:after="0" w:line="151" w:lineRule="exact"/>
        <w:rPr>
          <w:sz w:val="20"/>
          <w:szCs w:val="20"/>
          <w:color w:val="auto"/>
        </w:rPr>
      </w:pPr>
    </w:p>
    <w:p>
      <w:pPr>
        <w:ind w:left="508" w:hanging="508"/>
        <w:spacing w:after="0" w:line="348" w:lineRule="auto"/>
        <w:tabs>
          <w:tab w:leader="none" w:pos="508" w:val="left"/>
        </w:tabs>
        <w:numPr>
          <w:ilvl w:val="0"/>
          <w:numId w:val="30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either to the extent of twenty per cent. of the proposed issue size or to the extent of twenty per cent. of the post-issue capital;</w:t>
      </w: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71</w:t>
      </w:r>
    </w:p>
    <w:p>
      <w:pPr>
        <w:sectPr>
          <w:pgSz w:w="11900" w:h="16836" w:orient="portrait"/>
          <w:cols w:equalWidth="0" w:num="1">
            <w:col w:w="9468"/>
          </w:cols>
          <w:pgMar w:left="1152" w:top="1144" w:right="1284" w:bottom="103" w:gutter="0" w:footer="0" w:header="0"/>
        </w:sectPr>
      </w:pPr>
    </w:p>
    <w:bookmarkStart w:id="71" w:name="page72"/>
    <w:bookmarkEnd w:id="71"/>
    <w:p>
      <w:pPr>
        <w:jc w:val="both"/>
        <w:ind w:left="508" w:hanging="508"/>
        <w:spacing w:after="0" w:line="348" w:lineRule="auto"/>
        <w:tabs>
          <w:tab w:leader="none" w:pos="508" w:val="left"/>
        </w:tabs>
        <w:numPr>
          <w:ilvl w:val="0"/>
          <w:numId w:val="30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a composite issue (i.e. further public offer cum rights issue), either to the extent of twenty per cent. of the proposed issue size or to the extent of twenty per cent. of the post-</w:t>
      </w:r>
    </w:p>
    <w:p>
      <w:pPr>
        <w:spacing w:after="0" w:line="16" w:lineRule="exact"/>
        <w:rPr>
          <w:sz w:val="20"/>
          <w:szCs w:val="20"/>
          <w:color w:val="auto"/>
        </w:rPr>
      </w:pPr>
    </w:p>
    <w:p>
      <w:pPr>
        <w:ind w:left="508"/>
        <w:spacing w:after="0"/>
        <w:rPr>
          <w:sz w:val="20"/>
          <w:szCs w:val="20"/>
          <w:color w:val="auto"/>
        </w:rPr>
      </w:pPr>
      <w:r>
        <w:rPr>
          <w:rFonts w:ascii="Times New Roman" w:cs="Times New Roman" w:eastAsia="Times New Roman" w:hAnsi="Times New Roman"/>
          <w:sz w:val="24"/>
          <w:szCs w:val="24"/>
          <w:color w:val="auto"/>
        </w:rPr>
        <w:t>issue capital excluding the rights issue component.</w:t>
      </w:r>
    </w:p>
    <w:p>
      <w:pPr>
        <w:spacing w:after="0" w:line="149" w:lineRule="exact"/>
        <w:rPr>
          <w:sz w:val="20"/>
          <w:szCs w:val="20"/>
          <w:color w:val="auto"/>
        </w:rPr>
      </w:pPr>
    </w:p>
    <w:p>
      <w:pPr>
        <w:ind w:left="8"/>
        <w:spacing w:after="0" w:line="350" w:lineRule="auto"/>
        <w:rPr>
          <w:sz w:val="20"/>
          <w:szCs w:val="20"/>
          <w:color w:val="auto"/>
        </w:rPr>
      </w:pPr>
      <w:r>
        <w:rPr>
          <w:rFonts w:ascii="Times New Roman" w:cs="Times New Roman" w:eastAsia="Times New Roman" w:hAnsi="Times New Roman"/>
          <w:sz w:val="24"/>
          <w:szCs w:val="24"/>
          <w:color w:val="auto"/>
        </w:rPr>
        <w:t>(2) In case of a public issue or composite issue of convertible securities, the minimum promoters’ contribution shall be as follows:</w:t>
      </w:r>
    </w:p>
    <w:p>
      <w:pPr>
        <w:spacing w:after="0" w:line="23" w:lineRule="exact"/>
        <w:rPr>
          <w:sz w:val="20"/>
          <w:szCs w:val="20"/>
          <w:color w:val="auto"/>
        </w:rPr>
      </w:pPr>
    </w:p>
    <w:p>
      <w:pPr>
        <w:jc w:val="both"/>
        <w:ind w:left="548" w:hanging="548"/>
        <w:spacing w:after="0" w:line="354" w:lineRule="auto"/>
        <w:tabs>
          <w:tab w:leader="none" w:pos="548" w:val="left"/>
        </w:tabs>
        <w:numPr>
          <w:ilvl w:val="0"/>
          <w:numId w:val="30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promoters shall contribute twenty per cent. as stipulated in clause (a) or (b) of sub-regulation (1), as the case may be, either by way of equity shares or by way of subscription to the convertible securities:</w:t>
      </w:r>
    </w:p>
    <w:p>
      <w:pPr>
        <w:spacing w:after="0" w:line="22" w:lineRule="exact"/>
        <w:rPr>
          <w:rFonts w:ascii="Times New Roman" w:cs="Times New Roman" w:eastAsia="Times New Roman" w:hAnsi="Times New Roman"/>
          <w:sz w:val="24"/>
          <w:szCs w:val="24"/>
          <w:color w:val="auto"/>
        </w:rPr>
      </w:pPr>
    </w:p>
    <w:p>
      <w:pPr>
        <w:jc w:val="both"/>
        <w:ind w:left="548"/>
        <w:spacing w:after="0" w:line="357"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if the price of the equity shares allotted pursuant to conversion is not pre-determined and not disclosed in the offer document, the promoters shall contribute only by way of subscription to the convertible securities being issued in the public issue and shall undertake in writing to subscribe to the equity shares pursuant to conversion of such securities.</w:t>
      </w:r>
    </w:p>
    <w:p>
      <w:pPr>
        <w:spacing w:after="0" w:line="16" w:lineRule="exact"/>
        <w:rPr>
          <w:rFonts w:ascii="Times New Roman" w:cs="Times New Roman" w:eastAsia="Times New Roman" w:hAnsi="Times New Roman"/>
          <w:sz w:val="24"/>
          <w:szCs w:val="24"/>
          <w:color w:val="auto"/>
        </w:rPr>
      </w:pPr>
    </w:p>
    <w:p>
      <w:pPr>
        <w:jc w:val="both"/>
        <w:ind w:left="548" w:hanging="548"/>
        <w:spacing w:after="0" w:line="354" w:lineRule="auto"/>
        <w:tabs>
          <w:tab w:leader="none" w:pos="548" w:val="left"/>
        </w:tabs>
        <w:numPr>
          <w:ilvl w:val="0"/>
          <w:numId w:val="30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any issue of convertible securities which are convertible or exchangeable on different dates and if the promoters’ contribution is by way of equity shares (conversion price being pre-determined), such contribution shall not be at a price lower than the</w:t>
      </w:r>
    </w:p>
    <w:p>
      <w:pPr>
        <w:spacing w:after="0" w:line="22" w:lineRule="exact"/>
        <w:rPr>
          <w:sz w:val="20"/>
          <w:szCs w:val="20"/>
          <w:color w:val="auto"/>
        </w:rPr>
      </w:pPr>
    </w:p>
    <w:p>
      <w:pPr>
        <w:ind w:left="548"/>
        <w:spacing w:after="0" w:line="348" w:lineRule="auto"/>
        <w:rPr>
          <w:sz w:val="20"/>
          <w:szCs w:val="20"/>
          <w:color w:val="auto"/>
        </w:rPr>
      </w:pPr>
      <w:r>
        <w:rPr>
          <w:rFonts w:ascii="Times New Roman" w:cs="Times New Roman" w:eastAsia="Times New Roman" w:hAnsi="Times New Roman"/>
          <w:sz w:val="24"/>
          <w:szCs w:val="24"/>
          <w:color w:val="auto"/>
        </w:rPr>
        <w:t>weighted average price of the equity share capital arising out of conversion of such securities.</w:t>
      </w:r>
    </w:p>
    <w:p>
      <w:pPr>
        <w:spacing w:after="0" w:line="28" w:lineRule="exact"/>
        <w:rPr>
          <w:sz w:val="20"/>
          <w:szCs w:val="20"/>
          <w:color w:val="auto"/>
        </w:rPr>
      </w:pPr>
    </w:p>
    <w:p>
      <w:pPr>
        <w:jc w:val="both"/>
        <w:ind w:left="8"/>
        <w:spacing w:after="0" w:line="356" w:lineRule="auto"/>
        <w:rPr>
          <w:sz w:val="20"/>
          <w:szCs w:val="20"/>
          <w:color w:val="auto"/>
        </w:rPr>
      </w:pPr>
      <w:r>
        <w:rPr>
          <w:rFonts w:ascii="Times New Roman" w:cs="Times New Roman" w:eastAsia="Times New Roman" w:hAnsi="Times New Roman"/>
          <w:sz w:val="24"/>
          <w:szCs w:val="24"/>
          <w:color w:val="auto"/>
        </w:rPr>
        <w:t>(3) In case of a further public offer or composite issue where the promoters contribute more than the stipulated minimum promoters’ contribution, the allotment with respect to excess contribution shall be made at a price determined in terms of the provisions of regulation 164 or the issue price, whichever is higher.</w:t>
      </w:r>
    </w:p>
    <w:p>
      <w:pPr>
        <w:spacing w:after="0" w:line="19" w:lineRule="exact"/>
        <w:rPr>
          <w:sz w:val="20"/>
          <w:szCs w:val="20"/>
          <w:color w:val="auto"/>
        </w:rPr>
      </w:pPr>
    </w:p>
    <w:p>
      <w:pPr>
        <w:jc w:val="both"/>
        <w:ind w:left="8"/>
        <w:spacing w:after="0" w:line="357" w:lineRule="auto"/>
        <w:rPr>
          <w:sz w:val="20"/>
          <w:szCs w:val="20"/>
          <w:color w:val="auto"/>
        </w:rPr>
      </w:pPr>
      <w:r>
        <w:rPr>
          <w:rFonts w:ascii="Times New Roman" w:cs="Times New Roman" w:eastAsia="Times New Roman" w:hAnsi="Times New Roman"/>
          <w:sz w:val="24"/>
          <w:szCs w:val="24"/>
          <w:color w:val="auto"/>
        </w:rPr>
        <w:t>(4) In case the promoters have to subscribe to equity shares or convertible securities towards promoters’ contribution, the promoters shall satisfy the requirements of this regulation at least one day prior to the date of opening of the issue and the amount of promoters’ contribution shall be kept in an escrow account with a scheduled commercial bank and shall be released to the issuer along with the release of the issue proceeds:</w:t>
      </w:r>
    </w:p>
    <w:p>
      <w:pPr>
        <w:spacing w:after="0" w:line="17" w:lineRule="exact"/>
        <w:rPr>
          <w:sz w:val="20"/>
          <w:szCs w:val="20"/>
          <w:color w:val="auto"/>
        </w:rPr>
      </w:pPr>
    </w:p>
    <w:p>
      <w:pPr>
        <w:jc w:val="both"/>
        <w:ind w:left="8"/>
        <w:spacing w:after="0" w:line="356" w:lineRule="auto"/>
        <w:rPr>
          <w:sz w:val="20"/>
          <w:szCs w:val="20"/>
          <w:color w:val="auto"/>
        </w:rPr>
      </w:pPr>
      <w:r>
        <w:rPr>
          <w:rFonts w:ascii="Times New Roman" w:cs="Times New Roman" w:eastAsia="Times New Roman" w:hAnsi="Times New Roman"/>
          <w:sz w:val="24"/>
          <w:szCs w:val="24"/>
          <w:color w:val="auto"/>
        </w:rPr>
        <w:t>Provided further that where the minimum promoters’ contribution is more than one hundred crore rupees and the further public offer is for partly paid shares, the promoters shall bring in at least one hundred crore rupees before the date of opening of the issue and the remaining amount may be brought on a pro-rata basis before the calls are made to the public.</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72</w:t>
      </w:r>
    </w:p>
    <w:p>
      <w:pPr>
        <w:sectPr>
          <w:pgSz w:w="11900" w:h="16836" w:orient="portrait"/>
          <w:cols w:equalWidth="0" w:num="1">
            <w:col w:w="9468"/>
          </w:cols>
          <w:pgMar w:left="1152" w:top="1156" w:right="1284" w:bottom="103" w:gutter="0" w:footer="0" w:header="0"/>
        </w:sectPr>
      </w:pPr>
    </w:p>
    <w:bookmarkStart w:id="72" w:name="page73"/>
    <w:bookmarkEnd w:id="72"/>
    <w:p>
      <w:pPr>
        <w:ind w:left="8"/>
        <w:spacing w:after="0" w:line="286" w:lineRule="auto"/>
        <w:rPr>
          <w:sz w:val="20"/>
          <w:szCs w:val="20"/>
          <w:color w:val="auto"/>
        </w:rPr>
      </w:pPr>
      <w:r>
        <w:rPr>
          <w:rFonts w:ascii="Times New Roman" w:cs="Times New Roman" w:eastAsia="Times New Roman" w:hAnsi="Times New Roman"/>
          <w:sz w:val="32"/>
          <w:szCs w:val="32"/>
          <w:color w:val="auto"/>
          <w:vertAlign w:val="superscript"/>
        </w:rPr>
        <w:t>53</w:t>
      </w:r>
      <w:r>
        <w:rPr>
          <w:rFonts w:ascii="Times New Roman" w:cs="Times New Roman" w:eastAsia="Times New Roman" w:hAnsi="Times New Roman"/>
          <w:sz w:val="24"/>
          <w:szCs w:val="24"/>
          <w:color w:val="auto"/>
        </w:rPr>
        <w:t>[(5) The SR equity shares of promoters, if any, shall be eligible towards computation of minimum promoters’ contribution.]</w:t>
      </w:r>
    </w:p>
    <w:p>
      <w:pPr>
        <w:spacing w:after="0" w:line="200" w:lineRule="exact"/>
        <w:rPr>
          <w:sz w:val="20"/>
          <w:szCs w:val="20"/>
          <w:color w:val="auto"/>
        </w:rPr>
      </w:pPr>
    </w:p>
    <w:p>
      <w:pPr>
        <w:spacing w:after="0" w:line="28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Explanation</w:t>
      </w:r>
      <w:r>
        <w:rPr>
          <w:rFonts w:ascii="Times New Roman" w:cs="Times New Roman" w:eastAsia="Times New Roman" w:hAnsi="Times New Roman"/>
          <w:sz w:val="24"/>
          <w:szCs w:val="24"/>
          <w:color w:val="auto"/>
        </w:rPr>
        <w:t>:</w:t>
      </w:r>
    </w:p>
    <w:p>
      <w:pPr>
        <w:spacing w:after="0" w:line="151" w:lineRule="exact"/>
        <w:rPr>
          <w:sz w:val="20"/>
          <w:szCs w:val="20"/>
          <w:color w:val="auto"/>
        </w:rPr>
      </w:pPr>
    </w:p>
    <w:p>
      <w:pPr>
        <w:ind w:left="508" w:hanging="508"/>
        <w:spacing w:after="0" w:line="348" w:lineRule="auto"/>
        <w:tabs>
          <w:tab w:leader="none" w:pos="508" w:val="left"/>
        </w:tabs>
        <w:numPr>
          <w:ilvl w:val="0"/>
          <w:numId w:val="30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For the purpose of this regulation, promoters’ contribution shall be computed on the basis of the post-issue expanded capital:</w:t>
      </w:r>
    </w:p>
    <w:p>
      <w:pPr>
        <w:spacing w:after="0" w:line="15" w:lineRule="exact"/>
        <w:rPr>
          <w:rFonts w:ascii="Times New Roman" w:cs="Times New Roman" w:eastAsia="Times New Roman" w:hAnsi="Times New Roman"/>
          <w:sz w:val="24"/>
          <w:szCs w:val="24"/>
          <w:color w:val="auto"/>
        </w:rPr>
      </w:pPr>
    </w:p>
    <w:p>
      <w:pPr>
        <w:ind w:left="1008" w:hanging="504"/>
        <w:spacing w:after="0"/>
        <w:tabs>
          <w:tab w:leader="none" w:pos="1008" w:val="left"/>
        </w:tabs>
        <w:numPr>
          <w:ilvl w:val="1"/>
          <w:numId w:val="30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assuming full proposed conversion of convertible securities into equity shares;</w:t>
      </w:r>
    </w:p>
    <w:p>
      <w:pPr>
        <w:spacing w:after="0" w:line="136" w:lineRule="exact"/>
        <w:rPr>
          <w:rFonts w:ascii="Times New Roman" w:cs="Times New Roman" w:eastAsia="Times New Roman" w:hAnsi="Times New Roman"/>
          <w:sz w:val="24"/>
          <w:szCs w:val="24"/>
          <w:color w:val="auto"/>
        </w:rPr>
      </w:pPr>
    </w:p>
    <w:p>
      <w:pPr>
        <w:ind w:left="1008" w:hanging="504"/>
        <w:spacing w:after="0"/>
        <w:tabs>
          <w:tab w:leader="none" w:pos="1008" w:val="left"/>
        </w:tabs>
        <w:numPr>
          <w:ilvl w:val="1"/>
          <w:numId w:val="30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assuming  exercise  of  all  vested  options,  where  any  employee  stock  options  are</w:t>
      </w:r>
    </w:p>
    <w:p>
      <w:pPr>
        <w:spacing w:after="0" w:line="140" w:lineRule="exact"/>
        <w:rPr>
          <w:sz w:val="20"/>
          <w:szCs w:val="20"/>
          <w:color w:val="auto"/>
        </w:rPr>
      </w:pPr>
    </w:p>
    <w:p>
      <w:pPr>
        <w:ind w:left="1008"/>
        <w:spacing w:after="0"/>
        <w:rPr>
          <w:sz w:val="20"/>
          <w:szCs w:val="20"/>
          <w:color w:val="auto"/>
        </w:rPr>
      </w:pPr>
      <w:r>
        <w:rPr>
          <w:rFonts w:ascii="Times New Roman" w:cs="Times New Roman" w:eastAsia="Times New Roman" w:hAnsi="Times New Roman"/>
          <w:sz w:val="24"/>
          <w:szCs w:val="24"/>
          <w:color w:val="auto"/>
        </w:rPr>
        <w:t>outstanding at the time of further public offer.</w:t>
      </w:r>
    </w:p>
    <w:p>
      <w:pPr>
        <w:spacing w:after="0" w:line="137" w:lineRule="exact"/>
        <w:rPr>
          <w:sz w:val="20"/>
          <w:szCs w:val="20"/>
          <w:color w:val="auto"/>
        </w:rPr>
      </w:pPr>
    </w:p>
    <w:p>
      <w:pPr>
        <w:ind w:left="508" w:hanging="508"/>
        <w:spacing w:after="0"/>
        <w:tabs>
          <w:tab w:leader="none" w:pos="508" w:val="left"/>
        </w:tabs>
        <w:numPr>
          <w:ilvl w:val="0"/>
          <w:numId w:val="30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For computation of “weighted average price”:</w:t>
      </w:r>
    </w:p>
    <w:p>
      <w:pPr>
        <w:spacing w:after="0" w:line="151" w:lineRule="exact"/>
        <w:rPr>
          <w:rFonts w:ascii="Times New Roman" w:cs="Times New Roman" w:eastAsia="Times New Roman" w:hAnsi="Times New Roman"/>
          <w:sz w:val="24"/>
          <w:szCs w:val="24"/>
          <w:color w:val="auto"/>
        </w:rPr>
      </w:pPr>
    </w:p>
    <w:p>
      <w:pPr>
        <w:ind w:left="1008" w:hanging="504"/>
        <w:spacing w:after="0" w:line="348" w:lineRule="auto"/>
        <w:tabs>
          <w:tab w:leader="none" w:pos="1008" w:val="left"/>
        </w:tabs>
        <w:numPr>
          <w:ilvl w:val="1"/>
          <w:numId w:val="30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“weight” means the number of equity shares arising out of conversion of such specified securities into equity shares at various stages;</w:t>
      </w:r>
    </w:p>
    <w:p>
      <w:pPr>
        <w:spacing w:after="0" w:line="27" w:lineRule="exact"/>
        <w:rPr>
          <w:rFonts w:ascii="Times New Roman" w:cs="Times New Roman" w:eastAsia="Times New Roman" w:hAnsi="Times New Roman"/>
          <w:sz w:val="24"/>
          <w:szCs w:val="24"/>
          <w:color w:val="auto"/>
        </w:rPr>
      </w:pPr>
    </w:p>
    <w:p>
      <w:pPr>
        <w:ind w:left="1008" w:hanging="504"/>
        <w:spacing w:after="0" w:line="348" w:lineRule="auto"/>
        <w:tabs>
          <w:tab w:leader="none" w:pos="1008" w:val="left"/>
        </w:tabs>
        <w:numPr>
          <w:ilvl w:val="1"/>
          <w:numId w:val="30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“price” means the price of equity shares on conversion arrived at after taking into account predetermined conversion price at various stages.</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Securities ineligible for minimum promoters’ contribution</w:t>
      </w:r>
    </w:p>
    <w:p>
      <w:pPr>
        <w:spacing w:after="0" w:line="135" w:lineRule="exact"/>
        <w:rPr>
          <w:sz w:val="20"/>
          <w:szCs w:val="20"/>
          <w:color w:val="auto"/>
        </w:rPr>
      </w:pPr>
    </w:p>
    <w:p>
      <w:pPr>
        <w:ind w:left="548" w:hanging="548"/>
        <w:spacing w:after="0"/>
        <w:tabs>
          <w:tab w:leader="none" w:pos="548" w:val="left"/>
        </w:tabs>
        <w:numPr>
          <w:ilvl w:val="0"/>
          <w:numId w:val="31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For  the  computation  of  minimum  promoters’  contribution,  the  following  specified</w:t>
      </w:r>
    </w:p>
    <w:p>
      <w:pPr>
        <w:spacing w:after="0" w:line="13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securities shall not be eligible:</w:t>
      </w:r>
    </w:p>
    <w:p>
      <w:pPr>
        <w:spacing w:after="0" w:line="139" w:lineRule="exact"/>
        <w:rPr>
          <w:sz w:val="20"/>
          <w:szCs w:val="20"/>
          <w:color w:val="auto"/>
        </w:rPr>
      </w:pPr>
    </w:p>
    <w:p>
      <w:pPr>
        <w:ind w:left="508" w:hanging="508"/>
        <w:spacing w:after="0"/>
        <w:tabs>
          <w:tab w:leader="none" w:pos="508" w:val="left"/>
        </w:tabs>
        <w:numPr>
          <w:ilvl w:val="0"/>
          <w:numId w:val="3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specified securities acquired during the preceding three years, if these are:</w:t>
      </w:r>
    </w:p>
    <w:p>
      <w:pPr>
        <w:spacing w:after="0" w:line="149" w:lineRule="exact"/>
        <w:rPr>
          <w:rFonts w:ascii="Times New Roman" w:cs="Times New Roman" w:eastAsia="Times New Roman" w:hAnsi="Times New Roman"/>
          <w:sz w:val="24"/>
          <w:szCs w:val="24"/>
          <w:color w:val="auto"/>
        </w:rPr>
      </w:pPr>
    </w:p>
    <w:p>
      <w:pPr>
        <w:ind w:left="868" w:hanging="328"/>
        <w:spacing w:after="0" w:line="350" w:lineRule="auto"/>
        <w:tabs>
          <w:tab w:leader="none" w:pos="868" w:val="left"/>
        </w:tabs>
        <w:numPr>
          <w:ilvl w:val="1"/>
          <w:numId w:val="3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acquired for consideration other than cash and revaluation of assets or capitalisation of intangible assets is involved in such transaction; or</w:t>
      </w:r>
    </w:p>
    <w:p>
      <w:pPr>
        <w:spacing w:after="0" w:line="23" w:lineRule="exact"/>
        <w:rPr>
          <w:rFonts w:ascii="Times New Roman" w:cs="Times New Roman" w:eastAsia="Times New Roman" w:hAnsi="Times New Roman"/>
          <w:sz w:val="24"/>
          <w:szCs w:val="24"/>
          <w:color w:val="auto"/>
        </w:rPr>
      </w:pPr>
    </w:p>
    <w:p>
      <w:pPr>
        <w:jc w:val="both"/>
        <w:ind w:left="868" w:hanging="328"/>
        <w:spacing w:after="0" w:line="354" w:lineRule="auto"/>
        <w:tabs>
          <w:tab w:leader="none" w:pos="868" w:val="left"/>
        </w:tabs>
        <w:numPr>
          <w:ilvl w:val="1"/>
          <w:numId w:val="3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resulting from a bonus issue by utilisation of revaluation reserves or unrealised profits of the issuer or from bonus issue against equity shares which are ineligible for minimum promoters’ contribution;</w:t>
      </w:r>
    </w:p>
    <w:p>
      <w:pPr>
        <w:spacing w:after="0" w:line="22" w:lineRule="exact"/>
        <w:rPr>
          <w:rFonts w:ascii="Times New Roman" w:cs="Times New Roman" w:eastAsia="Times New Roman" w:hAnsi="Times New Roman"/>
          <w:sz w:val="24"/>
          <w:szCs w:val="24"/>
          <w:color w:val="auto"/>
        </w:rPr>
      </w:pPr>
    </w:p>
    <w:p>
      <w:pPr>
        <w:ind w:left="508" w:hanging="508"/>
        <w:spacing w:after="0" w:line="348" w:lineRule="auto"/>
        <w:tabs>
          <w:tab w:leader="none" w:pos="508" w:val="left"/>
        </w:tabs>
        <w:numPr>
          <w:ilvl w:val="0"/>
          <w:numId w:val="3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specified securities pledged with any creditor other than those for borrowings by the issuer or its subsidiaries.</w:t>
      </w:r>
    </w:p>
    <w:p>
      <w:pPr>
        <w:spacing w:after="0" w:line="28" w:lineRule="exact"/>
        <w:rPr>
          <w:sz w:val="20"/>
          <w:szCs w:val="20"/>
          <w:color w:val="auto"/>
        </w:rPr>
      </w:pPr>
    </w:p>
    <w:p>
      <w:pPr>
        <w:jc w:val="both"/>
        <w:ind w:left="8"/>
        <w:spacing w:after="0" w:line="357" w:lineRule="auto"/>
        <w:rPr>
          <w:sz w:val="20"/>
          <w:szCs w:val="20"/>
          <w:color w:val="auto"/>
        </w:rPr>
      </w:pPr>
      <w:r>
        <w:rPr>
          <w:rFonts w:ascii="Times New Roman" w:cs="Times New Roman" w:eastAsia="Times New Roman" w:hAnsi="Times New Roman"/>
          <w:sz w:val="24"/>
          <w:szCs w:val="24"/>
          <w:color w:val="auto"/>
        </w:rPr>
        <w:t>(2) Specified securities referred to in clauses (a) of sub-regulation (1) shall be eligible for the computation of promoters’ contribution, if such securities are acquired pursuant to a scheme which has been approved by the High Court under section 391 to 394 of the Companies Act, 1956 or approved by a tribunal or the Central Government under section 230 to 234 of the Companies Act, 2013.</w:t>
      </w:r>
    </w:p>
    <w:p>
      <w:pPr>
        <w:spacing w:after="0" w:line="200" w:lineRule="exact"/>
        <w:rPr>
          <w:sz w:val="20"/>
          <w:szCs w:val="20"/>
          <w:color w:val="auto"/>
        </w:rPr>
      </w:pPr>
    </w:p>
    <w:p>
      <w:pPr>
        <w:spacing w:after="0" w:line="224"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IV: LOCK-IN AND RESTRICTIONS ON TRANSFERABILITY</w:t>
      </w:r>
    </w:p>
    <w:p>
      <w:pPr>
        <w:spacing w:after="0" w:line="200" w:lineRule="exact"/>
        <w:rPr>
          <w:sz w:val="20"/>
          <w:szCs w:val="20"/>
          <w:color w:val="auto"/>
        </w:rPr>
      </w:pPr>
    </w:p>
    <w:p>
      <w:pPr>
        <w:spacing w:after="0" w:line="262" w:lineRule="exact"/>
        <w:rPr>
          <w:sz w:val="20"/>
          <w:szCs w:val="20"/>
          <w:color w:val="auto"/>
        </w:rPr>
      </w:pPr>
    </w:p>
    <w:p>
      <w:pPr>
        <w:jc w:val="both"/>
        <w:ind w:left="8"/>
        <w:spacing w:after="0" w:line="211" w:lineRule="auto"/>
        <w:rPr>
          <w:sz w:val="20"/>
          <w:szCs w:val="20"/>
          <w:color w:val="auto"/>
        </w:rPr>
      </w:pPr>
      <w:r>
        <w:rPr>
          <w:rFonts w:ascii="Times New Roman" w:cs="Times New Roman" w:eastAsia="Times New Roman" w:hAnsi="Times New Roman"/>
          <w:sz w:val="25"/>
          <w:szCs w:val="25"/>
          <w:color w:val="auto"/>
          <w:vertAlign w:val="superscript"/>
        </w:rPr>
        <w:t>53</w:t>
      </w:r>
      <w:r>
        <w:rPr>
          <w:rFonts w:ascii="Times New Roman" w:cs="Times New Roman" w:eastAsia="Times New Roman" w:hAnsi="Times New Roman"/>
          <w:sz w:val="20"/>
          <w:szCs w:val="20"/>
          <w:color w:val="auto"/>
        </w:rPr>
        <w:t xml:space="preserve"> Inserted by the SEBI (Issue of Capital and Disclosure Requirements) (Third Amendment) Regulations, 2019 w.e.f.29.07.2019.</w:t>
      </w:r>
    </w:p>
    <w:p>
      <w:pPr>
        <w:spacing w:after="0" w:line="300"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73</w:t>
      </w:r>
    </w:p>
    <w:p>
      <w:pPr>
        <w:sectPr>
          <w:pgSz w:w="11900" w:h="16836" w:orient="portrait"/>
          <w:cols w:equalWidth="0" w:num="1">
            <w:col w:w="9468"/>
          </w:cols>
          <w:pgMar w:left="1152" w:top="1136" w:right="1284" w:bottom="103" w:gutter="0" w:footer="0" w:header="0"/>
        </w:sectPr>
      </w:pPr>
    </w:p>
    <w:bookmarkStart w:id="73" w:name="page74"/>
    <w:bookmarkEnd w:id="73"/>
    <w:p>
      <w:pPr>
        <w:spacing w:after="0" w:line="122"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4"/>
          <w:szCs w:val="24"/>
          <w:b w:val="1"/>
          <w:bCs w:val="1"/>
          <w:color w:val="auto"/>
        </w:rPr>
        <w:t>Lock-in of specified securities held by the promoters</w:t>
      </w:r>
    </w:p>
    <w:p>
      <w:pPr>
        <w:spacing w:after="0" w:line="134" w:lineRule="exact"/>
        <w:rPr>
          <w:sz w:val="20"/>
          <w:szCs w:val="20"/>
          <w:color w:val="auto"/>
        </w:rPr>
      </w:pPr>
    </w:p>
    <w:p>
      <w:pPr>
        <w:ind w:left="500" w:hanging="488"/>
        <w:spacing w:after="0"/>
        <w:tabs>
          <w:tab w:leader="none" w:pos="500" w:val="left"/>
        </w:tabs>
        <w:numPr>
          <w:ilvl w:val="0"/>
          <w:numId w:val="31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specified securities held by the promoters shall not be transferable (hereinafter referred</w:t>
      </w:r>
    </w:p>
    <w:p>
      <w:pPr>
        <w:spacing w:after="0" w:line="137"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4"/>
          <w:szCs w:val="24"/>
          <w:color w:val="auto"/>
        </w:rPr>
        <w:t>to as “locked-in”) for the periods as stipulated hereunder:</w:t>
      </w:r>
    </w:p>
    <w:p>
      <w:pPr>
        <w:spacing w:after="0" w:line="151" w:lineRule="exact"/>
        <w:rPr>
          <w:sz w:val="20"/>
          <w:szCs w:val="20"/>
          <w:color w:val="auto"/>
        </w:rPr>
      </w:pPr>
    </w:p>
    <w:p>
      <w:pPr>
        <w:jc w:val="both"/>
        <w:ind w:left="520" w:hanging="508"/>
        <w:spacing w:after="0" w:line="356" w:lineRule="auto"/>
        <w:tabs>
          <w:tab w:leader="none" w:pos="520" w:val="left"/>
        </w:tabs>
        <w:numPr>
          <w:ilvl w:val="0"/>
          <w:numId w:val="3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minimum promoters’ contribution including contribution made by alternative investment funds, or foreign venture capital investors, as applicable, shall be locked-in for a period of three years from the date of commencement of commercial production or from the date of allotment in the further public offer, whichever is later;</w:t>
      </w:r>
    </w:p>
    <w:p>
      <w:pPr>
        <w:spacing w:after="0" w:line="19" w:lineRule="exact"/>
        <w:rPr>
          <w:rFonts w:ascii="Times New Roman" w:cs="Times New Roman" w:eastAsia="Times New Roman" w:hAnsi="Times New Roman"/>
          <w:sz w:val="24"/>
          <w:szCs w:val="24"/>
          <w:color w:val="auto"/>
        </w:rPr>
      </w:pPr>
    </w:p>
    <w:p>
      <w:pPr>
        <w:ind w:left="520" w:hanging="508"/>
        <w:spacing w:after="0" w:line="348" w:lineRule="auto"/>
        <w:tabs>
          <w:tab w:leader="none" w:pos="520" w:val="left"/>
        </w:tabs>
        <w:numPr>
          <w:ilvl w:val="0"/>
          <w:numId w:val="3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promoters’ holding in excess of minimum promoters’ contribution shall be locked-in for a period of one year:</w:t>
      </w:r>
    </w:p>
    <w:p>
      <w:pPr>
        <w:spacing w:after="0" w:line="8" w:lineRule="exact"/>
        <w:rPr>
          <w:sz w:val="20"/>
          <w:szCs w:val="20"/>
          <w:color w:val="auto"/>
        </w:rPr>
      </w:pPr>
    </w:p>
    <w:p>
      <w:pPr>
        <w:jc w:val="both"/>
        <w:ind w:left="560" w:hanging="719"/>
        <w:spacing w:after="0" w:line="311" w:lineRule="auto"/>
        <w:rPr>
          <w:sz w:val="20"/>
          <w:szCs w:val="20"/>
          <w:color w:val="auto"/>
        </w:rPr>
      </w:pPr>
      <w:r>
        <w:rPr>
          <w:rFonts w:ascii="Times New Roman" w:cs="Times New Roman" w:eastAsia="Times New Roman" w:hAnsi="Times New Roman"/>
          <w:sz w:val="32"/>
          <w:szCs w:val="32"/>
          <w:color w:val="auto"/>
          <w:vertAlign w:val="superscript"/>
        </w:rPr>
        <w:t>54</w:t>
      </w:r>
      <w:r>
        <w:rPr>
          <w:rFonts w:ascii="Times New Roman" w:cs="Times New Roman" w:eastAsia="Times New Roman" w:hAnsi="Times New Roman"/>
          <w:sz w:val="24"/>
          <w:szCs w:val="24"/>
          <w:color w:val="auto"/>
        </w:rPr>
        <w:t>[(c) The SR equity shares shall be under lock-in until their conversion to equity shares having voting rights same as that of ordinary shares, provided they are in compliance with the other provisions of these regulations.]</w:t>
      </w:r>
    </w:p>
    <w:p>
      <w:pPr>
        <w:spacing w:after="0" w:line="69" w:lineRule="exact"/>
        <w:rPr>
          <w:sz w:val="20"/>
          <w:szCs w:val="20"/>
          <w:color w:val="auto"/>
        </w:rPr>
      </w:pPr>
    </w:p>
    <w:p>
      <w:pPr>
        <w:jc w:val="both"/>
        <w:ind w:left="20"/>
        <w:spacing w:after="0" w:line="350" w:lineRule="auto"/>
        <w:rPr>
          <w:sz w:val="20"/>
          <w:szCs w:val="20"/>
          <w:color w:val="auto"/>
        </w:rPr>
      </w:pPr>
      <w:r>
        <w:rPr>
          <w:rFonts w:ascii="Times New Roman" w:cs="Times New Roman" w:eastAsia="Times New Roman" w:hAnsi="Times New Roman"/>
          <w:sz w:val="24"/>
          <w:szCs w:val="24"/>
          <w:color w:val="auto"/>
        </w:rPr>
        <w:t>Provided that the excess promoters’ contribution as provided in the proviso to clause (b) of regulation 112 shall not be subject to lock-in.</w:t>
      </w:r>
    </w:p>
    <w:p>
      <w:pPr>
        <w:spacing w:after="0" w:line="23" w:lineRule="exact"/>
        <w:rPr>
          <w:sz w:val="20"/>
          <w:szCs w:val="20"/>
          <w:color w:val="auto"/>
        </w:rPr>
      </w:pPr>
    </w:p>
    <w:p>
      <w:pPr>
        <w:jc w:val="both"/>
        <w:ind w:left="20"/>
        <w:spacing w:after="0" w:line="356" w:lineRule="auto"/>
        <w:rPr>
          <w:sz w:val="20"/>
          <w:szCs w:val="20"/>
          <w:color w:val="auto"/>
        </w:rPr>
      </w:pPr>
      <w:r>
        <w:rPr>
          <w:rFonts w:ascii="Times New Roman" w:cs="Times New Roman" w:eastAsia="Times New Roman" w:hAnsi="Times New Roman"/>
          <w:sz w:val="24"/>
          <w:szCs w:val="24"/>
          <w:b w:val="1"/>
          <w:bCs w:val="1"/>
          <w:color w:val="auto"/>
        </w:rPr>
        <w:t xml:space="preserve">Explanation: </w:t>
      </w:r>
      <w:r>
        <w:rPr>
          <w:rFonts w:ascii="Times New Roman" w:cs="Times New Roman" w:eastAsia="Times New Roman" w:hAnsi="Times New Roman"/>
          <w:sz w:val="24"/>
          <w:szCs w:val="24"/>
          <w:color w:val="auto"/>
        </w:rPr>
        <w:t>For the purposes of this regulation, the expression "date of commencement of</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commercial production" means the last date of the month in which commercial production of the project in respect of which the funds raised are proposed to be utilised as stated in the offer document, is expected to commence.</w:t>
      </w:r>
    </w:p>
    <w:p>
      <w:pPr>
        <w:spacing w:after="0" w:line="200" w:lineRule="exact"/>
        <w:rPr>
          <w:sz w:val="20"/>
          <w:szCs w:val="20"/>
          <w:color w:val="auto"/>
        </w:rPr>
      </w:pPr>
    </w:p>
    <w:p>
      <w:pPr>
        <w:spacing w:after="0" w:line="227"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4"/>
          <w:szCs w:val="24"/>
          <w:b w:val="1"/>
          <w:bCs w:val="1"/>
          <w:color w:val="auto"/>
        </w:rPr>
        <w:t>Lock-in of specified securities lent to stabilising agent under green shoe option</w:t>
      </w:r>
    </w:p>
    <w:p>
      <w:pPr>
        <w:spacing w:after="0" w:line="144" w:lineRule="exact"/>
        <w:rPr>
          <w:sz w:val="20"/>
          <w:szCs w:val="20"/>
          <w:color w:val="auto"/>
        </w:rPr>
      </w:pPr>
    </w:p>
    <w:p>
      <w:pPr>
        <w:jc w:val="both"/>
        <w:ind w:left="20" w:hanging="8"/>
        <w:spacing w:after="0" w:line="357" w:lineRule="auto"/>
        <w:tabs>
          <w:tab w:leader="none" w:pos="507" w:val="left"/>
        </w:tabs>
        <w:numPr>
          <w:ilvl w:val="0"/>
          <w:numId w:val="31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lock-in provisions of this part shall not apply with respect to the specified securities lent to stabilising agent for the purpose of green shoe option, during the period starting from the date of lending of such specified securities and ending on the date on which they are returned to the lender in terms of sub-regulation (5) or (6) of regulation 153:</w:t>
      </w:r>
    </w:p>
    <w:p>
      <w:pPr>
        <w:spacing w:after="0" w:line="14" w:lineRule="exact"/>
        <w:rPr>
          <w:rFonts w:ascii="Times New Roman" w:cs="Times New Roman" w:eastAsia="Times New Roman" w:hAnsi="Times New Roman"/>
          <w:sz w:val="24"/>
          <w:szCs w:val="24"/>
          <w:b w:val="1"/>
          <w:bCs w:val="1"/>
          <w:color w:val="auto"/>
        </w:rPr>
      </w:pPr>
    </w:p>
    <w:p>
      <w:pPr>
        <w:ind w:left="20"/>
        <w:spacing w:after="0" w:line="350"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the specified securities shall be locked-in for the remaining period from the date on which they are returned to the lender.</w:t>
      </w:r>
    </w:p>
    <w:p>
      <w:pPr>
        <w:spacing w:after="0" w:line="200" w:lineRule="exact"/>
        <w:rPr>
          <w:sz w:val="20"/>
          <w:szCs w:val="20"/>
          <w:color w:val="auto"/>
        </w:rPr>
      </w:pPr>
    </w:p>
    <w:p>
      <w:pPr>
        <w:spacing w:after="0" w:line="231"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4"/>
          <w:szCs w:val="24"/>
          <w:b w:val="1"/>
          <w:bCs w:val="1"/>
          <w:color w:val="auto"/>
        </w:rPr>
        <w:t>Lock-in of party-paid securities</w:t>
      </w:r>
    </w:p>
    <w:p>
      <w:pPr>
        <w:spacing w:after="0" w:line="144" w:lineRule="exact"/>
        <w:rPr>
          <w:sz w:val="20"/>
          <w:szCs w:val="20"/>
          <w:color w:val="auto"/>
        </w:rPr>
      </w:pPr>
    </w:p>
    <w:p>
      <w:pPr>
        <w:jc w:val="both"/>
        <w:ind w:left="20" w:hanging="8"/>
        <w:spacing w:after="0" w:line="356" w:lineRule="auto"/>
        <w:tabs>
          <w:tab w:leader="none" w:pos="505" w:val="left"/>
        </w:tabs>
        <w:numPr>
          <w:ilvl w:val="0"/>
          <w:numId w:val="31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Where the specified securities which are subject to lock-in are partly paid-up and the amount called-up on such specified securities is less than the amount called-up on the specified securities issued to the public, the lock-in shall end only on the expiry of three years after such specified securities have become pari passu with the specified securities issued to the public.</w:t>
      </w:r>
    </w:p>
    <w:p>
      <w:pPr>
        <w:spacing w:after="0" w:line="337" w:lineRule="exact"/>
        <w:rPr>
          <w:sz w:val="20"/>
          <w:szCs w:val="20"/>
          <w:color w:val="auto"/>
        </w:rPr>
      </w:pPr>
    </w:p>
    <w:p>
      <w:pPr>
        <w:ind w:left="20"/>
        <w:spacing w:after="0" w:line="211" w:lineRule="auto"/>
        <w:rPr>
          <w:sz w:val="20"/>
          <w:szCs w:val="20"/>
          <w:color w:val="auto"/>
        </w:rPr>
      </w:pPr>
      <w:r>
        <w:rPr>
          <w:rFonts w:ascii="Times New Roman" w:cs="Times New Roman" w:eastAsia="Times New Roman" w:hAnsi="Times New Roman"/>
          <w:sz w:val="25"/>
          <w:szCs w:val="25"/>
          <w:color w:val="auto"/>
          <w:vertAlign w:val="superscript"/>
        </w:rPr>
        <w:t>54</w:t>
      </w:r>
      <w:r>
        <w:rPr>
          <w:rFonts w:ascii="Times New Roman" w:cs="Times New Roman" w:eastAsia="Times New Roman" w:hAnsi="Times New Roman"/>
          <w:sz w:val="20"/>
          <w:szCs w:val="20"/>
          <w:color w:val="auto"/>
        </w:rPr>
        <w:t xml:space="preserve"> Inserted by the SEBI (Issue of Capital and Disclosure Requirements) (Third Amendment) Regulations, 2019 w.e.f.29.07.2019.</w:t>
      </w:r>
    </w:p>
    <w:p>
      <w:pPr>
        <w:spacing w:after="0" w:line="30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74</w:t>
      </w:r>
    </w:p>
    <w:p>
      <w:pPr>
        <w:sectPr>
          <w:pgSz w:w="11900" w:h="16836" w:orient="portrait"/>
          <w:cols w:equalWidth="0" w:num="1">
            <w:col w:w="9480"/>
          </w:cols>
          <w:pgMar w:left="1140" w:top="1440" w:right="1284" w:bottom="103" w:gutter="0" w:footer="0" w:header="0"/>
        </w:sectPr>
      </w:pPr>
    </w:p>
    <w:bookmarkStart w:id="74" w:name="page75"/>
    <w:bookmarkEnd w:id="74"/>
    <w:p>
      <w:pPr>
        <w:ind w:left="8"/>
        <w:spacing w:after="0"/>
        <w:rPr>
          <w:sz w:val="20"/>
          <w:szCs w:val="20"/>
          <w:color w:val="auto"/>
        </w:rPr>
      </w:pPr>
      <w:r>
        <w:rPr>
          <w:rFonts w:ascii="Times New Roman" w:cs="Times New Roman" w:eastAsia="Times New Roman" w:hAnsi="Times New Roman"/>
          <w:sz w:val="24"/>
          <w:szCs w:val="24"/>
          <w:b w:val="1"/>
          <w:bCs w:val="1"/>
          <w:color w:val="auto"/>
        </w:rPr>
        <w:t>Inscription or recording of non-transferability</w:t>
      </w:r>
    </w:p>
    <w:p>
      <w:pPr>
        <w:spacing w:after="0" w:line="132" w:lineRule="exact"/>
        <w:rPr>
          <w:sz w:val="20"/>
          <w:szCs w:val="20"/>
          <w:color w:val="auto"/>
        </w:rPr>
      </w:pPr>
    </w:p>
    <w:p>
      <w:pPr>
        <w:ind w:left="548" w:hanging="548"/>
        <w:spacing w:after="0"/>
        <w:tabs>
          <w:tab w:leader="none" w:pos="548" w:val="left"/>
        </w:tabs>
        <w:numPr>
          <w:ilvl w:val="0"/>
          <w:numId w:val="31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certificates  of  specified  securities  which  are  subject  to  lock-in  shall  contain  the</w:t>
      </w:r>
    </w:p>
    <w:p>
      <w:pPr>
        <w:spacing w:after="0" w:line="151" w:lineRule="exact"/>
        <w:rPr>
          <w:sz w:val="20"/>
          <w:szCs w:val="20"/>
          <w:color w:val="auto"/>
        </w:rPr>
      </w:pPr>
    </w:p>
    <w:p>
      <w:pPr>
        <w:ind w:left="8"/>
        <w:spacing w:after="0" w:line="348" w:lineRule="auto"/>
        <w:rPr>
          <w:sz w:val="20"/>
          <w:szCs w:val="20"/>
          <w:color w:val="auto"/>
        </w:rPr>
      </w:pPr>
      <w:r>
        <w:rPr>
          <w:rFonts w:ascii="Times New Roman" w:cs="Times New Roman" w:eastAsia="Times New Roman" w:hAnsi="Times New Roman"/>
          <w:sz w:val="24"/>
          <w:szCs w:val="24"/>
          <w:color w:val="auto"/>
        </w:rPr>
        <w:t>inscription “non- transferable” and specify the lock-in period and in case such specified securities are dematerialised, the issuer shall ensure that the lock-in is recorded by the depository.</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Pledge of locked-in specified securities</w:t>
      </w:r>
    </w:p>
    <w:p>
      <w:pPr>
        <w:spacing w:after="0" w:line="127" w:lineRule="exact"/>
        <w:rPr>
          <w:sz w:val="20"/>
          <w:szCs w:val="20"/>
          <w:color w:val="auto"/>
        </w:rPr>
      </w:pPr>
    </w:p>
    <w:p>
      <w:pPr>
        <w:jc w:val="both"/>
        <w:ind w:left="8" w:hanging="8"/>
        <w:spacing w:after="0" w:line="325" w:lineRule="auto"/>
        <w:tabs>
          <w:tab w:leader="none" w:pos="507" w:val="left"/>
        </w:tabs>
        <w:numPr>
          <w:ilvl w:val="0"/>
          <w:numId w:val="31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Specified securities </w:t>
      </w:r>
      <w:r>
        <w:rPr>
          <w:rFonts w:ascii="Times New Roman" w:cs="Times New Roman" w:eastAsia="Times New Roman" w:hAnsi="Times New Roman"/>
          <w:sz w:val="32"/>
          <w:szCs w:val="32"/>
          <w:color w:val="auto"/>
          <w:vertAlign w:val="superscript"/>
        </w:rPr>
        <w:t>55</w:t>
      </w:r>
      <w:r>
        <w:rPr>
          <w:rFonts w:ascii="Times New Roman" w:cs="Times New Roman" w:eastAsia="Times New Roman" w:hAnsi="Times New Roman"/>
          <w:sz w:val="24"/>
          <w:szCs w:val="24"/>
          <w:color w:val="auto"/>
        </w:rPr>
        <w:t>[, except SR equity shares,] held by the promoters and locked in may be pledged as collateral security for a loan granted by a scheduled commercial bank or a public financial institution or a systemically important non-banking finance company or a housing finance company, subject to the following:</w:t>
      </w:r>
    </w:p>
    <w:p>
      <w:pPr>
        <w:spacing w:after="0" w:line="57" w:lineRule="exact"/>
        <w:rPr>
          <w:sz w:val="20"/>
          <w:szCs w:val="20"/>
          <w:color w:val="auto"/>
        </w:rPr>
      </w:pPr>
    </w:p>
    <w:p>
      <w:pPr>
        <w:jc w:val="both"/>
        <w:ind w:left="368" w:hanging="368"/>
        <w:spacing w:after="0" w:line="356" w:lineRule="auto"/>
        <w:tabs>
          <w:tab w:leader="none" w:pos="368" w:val="left"/>
        </w:tabs>
        <w:numPr>
          <w:ilvl w:val="0"/>
          <w:numId w:val="3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specified securities are locked-in in terms of clause (a) of regulation 115, the loan has been granted to the issuer company or its subsidiary/subsidiaries for the purpose of financing one or more of the objects of the issue and pledge of specified securities is one of the terms of sanction of the loan</w:t>
      </w:r>
    </w:p>
    <w:p>
      <w:pPr>
        <w:spacing w:after="0" w:line="18" w:lineRule="exact"/>
        <w:rPr>
          <w:rFonts w:ascii="Times New Roman" w:cs="Times New Roman" w:eastAsia="Times New Roman" w:hAnsi="Times New Roman"/>
          <w:sz w:val="24"/>
          <w:szCs w:val="24"/>
          <w:color w:val="auto"/>
        </w:rPr>
      </w:pPr>
    </w:p>
    <w:p>
      <w:pPr>
        <w:ind w:left="368" w:hanging="368"/>
        <w:spacing w:after="0" w:line="348" w:lineRule="auto"/>
        <w:tabs>
          <w:tab w:leader="none" w:pos="368" w:val="left"/>
        </w:tabs>
        <w:numPr>
          <w:ilvl w:val="0"/>
          <w:numId w:val="3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specified securities are locked-in in terms of clause (b) of regulation 115 and the pledge of specified securities is one of the terms of sanction of the loan.</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Transferability of locked-in specified securities</w:t>
      </w:r>
    </w:p>
    <w:p>
      <w:pPr>
        <w:spacing w:after="0" w:line="134" w:lineRule="exact"/>
        <w:rPr>
          <w:sz w:val="20"/>
          <w:szCs w:val="20"/>
          <w:color w:val="auto"/>
        </w:rPr>
      </w:pPr>
    </w:p>
    <w:p>
      <w:pPr>
        <w:ind w:left="668" w:hanging="668"/>
        <w:spacing w:after="0"/>
        <w:tabs>
          <w:tab w:leader="none" w:pos="668" w:val="left"/>
        </w:tabs>
        <w:numPr>
          <w:ilvl w:val="0"/>
          <w:numId w:val="31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Subject to the provisions of  the Securities and Exchange  Board  of  India  (Substantial</w:t>
      </w:r>
    </w:p>
    <w:p>
      <w:pPr>
        <w:spacing w:after="0" w:line="129" w:lineRule="exact"/>
        <w:rPr>
          <w:rFonts w:ascii="Times New Roman" w:cs="Times New Roman" w:eastAsia="Times New Roman" w:hAnsi="Times New Roman"/>
          <w:sz w:val="24"/>
          <w:szCs w:val="24"/>
          <w:b w:val="1"/>
          <w:bCs w:val="1"/>
          <w:color w:val="auto"/>
        </w:rPr>
      </w:pPr>
    </w:p>
    <w:p>
      <w:pPr>
        <w:jc w:val="both"/>
        <w:ind w:left="8"/>
        <w:spacing w:after="0" w:line="326"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Acquisition of shares and Takeovers) Regulations, 2011, the specified securities</w:t>
      </w:r>
      <w:r>
        <w:rPr>
          <w:rFonts w:ascii="Times New Roman" w:cs="Times New Roman" w:eastAsia="Times New Roman" w:hAnsi="Times New Roman"/>
          <w:sz w:val="32"/>
          <w:szCs w:val="32"/>
          <w:color w:val="auto"/>
          <w:vertAlign w:val="superscript"/>
        </w:rPr>
        <w:t>56</w:t>
      </w:r>
      <w:r>
        <w:rPr>
          <w:rFonts w:ascii="Times New Roman" w:cs="Times New Roman" w:eastAsia="Times New Roman" w:hAnsi="Times New Roman"/>
          <w:sz w:val="24"/>
          <w:szCs w:val="24"/>
          <w:color w:val="auto"/>
        </w:rPr>
        <w:t>[, except SR equity shares,] held by the promoters and locked-in as per regulation 115 may be transferred to another promoter or any person of the promoter group or a new promoter or a person in control of the issuer:</w:t>
      </w:r>
    </w:p>
    <w:p>
      <w:pPr>
        <w:spacing w:after="0" w:line="52"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lock-in on such specified securities shall continue for the remaining period with the transferee and such transferee shall not be eligible to transfer them till the lock-in period stipulated in these regulations has expired.</w:t>
      </w:r>
    </w:p>
    <w:p>
      <w:pPr>
        <w:spacing w:after="0" w:line="200" w:lineRule="exact"/>
        <w:rPr>
          <w:sz w:val="20"/>
          <w:szCs w:val="20"/>
          <w:color w:val="auto"/>
        </w:rPr>
      </w:pPr>
    </w:p>
    <w:p>
      <w:pPr>
        <w:spacing w:after="0" w:line="240" w:lineRule="exact"/>
        <w:rPr>
          <w:sz w:val="20"/>
          <w:szCs w:val="20"/>
          <w:color w:val="auto"/>
        </w:rPr>
      </w:pPr>
    </w:p>
    <w:p>
      <w:pPr>
        <w:ind w:left="8" w:right="300"/>
        <w:spacing w:after="0" w:line="350" w:lineRule="auto"/>
        <w:rPr>
          <w:sz w:val="20"/>
          <w:szCs w:val="20"/>
          <w:color w:val="auto"/>
        </w:rPr>
      </w:pPr>
      <w:r>
        <w:rPr>
          <w:rFonts w:ascii="Times New Roman" w:cs="Times New Roman" w:eastAsia="Times New Roman" w:hAnsi="Times New Roman"/>
          <w:sz w:val="24"/>
          <w:szCs w:val="24"/>
          <w:b w:val="1"/>
          <w:bCs w:val="1"/>
          <w:color w:val="auto"/>
        </w:rPr>
        <w:t>PART V: APPOINTMENT OF LEAD MANAGERS, OTHER INTERMEDIARIES AND COMPLIANCE OFFICER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ind w:left="8"/>
        <w:spacing w:after="0" w:line="211" w:lineRule="auto"/>
        <w:rPr>
          <w:sz w:val="20"/>
          <w:szCs w:val="20"/>
          <w:color w:val="auto"/>
        </w:rPr>
      </w:pPr>
      <w:r>
        <w:rPr>
          <w:rFonts w:ascii="Times New Roman" w:cs="Times New Roman" w:eastAsia="Times New Roman" w:hAnsi="Times New Roman"/>
          <w:sz w:val="25"/>
          <w:szCs w:val="25"/>
          <w:color w:val="auto"/>
          <w:vertAlign w:val="superscript"/>
        </w:rPr>
        <w:t>55</w:t>
      </w:r>
      <w:r>
        <w:rPr>
          <w:rFonts w:ascii="Times New Roman" w:cs="Times New Roman" w:eastAsia="Times New Roman" w:hAnsi="Times New Roman"/>
          <w:sz w:val="20"/>
          <w:szCs w:val="20"/>
          <w:color w:val="auto"/>
        </w:rPr>
        <w:t xml:space="preserve"> Inserted by the SEBI (Issue of Capital and Disclosure Requirements) (Third Amendment) Regulations, 2019 w.e.f.29.07.2019.</w:t>
      </w:r>
    </w:p>
    <w:p>
      <w:pPr>
        <w:spacing w:after="0" w:line="6" w:lineRule="exact"/>
        <w:rPr>
          <w:sz w:val="20"/>
          <w:szCs w:val="20"/>
          <w:color w:val="auto"/>
        </w:rPr>
      </w:pPr>
    </w:p>
    <w:p>
      <w:pPr>
        <w:ind w:left="8"/>
        <w:spacing w:after="0" w:line="211" w:lineRule="auto"/>
        <w:rPr>
          <w:sz w:val="20"/>
          <w:szCs w:val="20"/>
          <w:color w:val="auto"/>
        </w:rPr>
      </w:pPr>
      <w:r>
        <w:rPr>
          <w:rFonts w:ascii="Times New Roman" w:cs="Times New Roman" w:eastAsia="Times New Roman" w:hAnsi="Times New Roman"/>
          <w:sz w:val="25"/>
          <w:szCs w:val="25"/>
          <w:color w:val="auto"/>
          <w:vertAlign w:val="superscript"/>
        </w:rPr>
        <w:t>56</w:t>
      </w:r>
      <w:r>
        <w:rPr>
          <w:rFonts w:ascii="Times New Roman" w:cs="Times New Roman" w:eastAsia="Times New Roman" w:hAnsi="Times New Roman"/>
          <w:sz w:val="20"/>
          <w:szCs w:val="20"/>
          <w:color w:val="auto"/>
        </w:rPr>
        <w:t xml:space="preserve"> Inserted by the SEBI (Issue of Capital and Disclosure Requirements) (Third Amendment) Regulations, 2019 w.e.f.29.07.2019.</w:t>
      </w:r>
    </w:p>
    <w:p>
      <w:pPr>
        <w:spacing w:after="0" w:line="300"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75</w:t>
      </w:r>
    </w:p>
    <w:p>
      <w:pPr>
        <w:sectPr>
          <w:pgSz w:w="11900" w:h="16836" w:orient="portrait"/>
          <w:cols w:equalWidth="0" w:num="1">
            <w:col w:w="9468"/>
          </w:cols>
          <w:pgMar w:left="1152" w:top="1149" w:right="1284" w:bottom="103" w:gutter="0" w:footer="0" w:header="0"/>
        </w:sectPr>
      </w:pPr>
    </w:p>
    <w:bookmarkStart w:id="75" w:name="page76"/>
    <w:bookmarkEnd w:id="75"/>
    <w:p>
      <w:pPr>
        <w:ind w:left="8" w:hanging="8"/>
        <w:spacing w:after="0" w:line="348" w:lineRule="auto"/>
        <w:tabs>
          <w:tab w:leader="none" w:pos="519" w:val="left"/>
        </w:tabs>
        <w:numPr>
          <w:ilvl w:val="0"/>
          <w:numId w:val="32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shall appoint one or more merchant bankers, which are registered with the Board, as lead manager(s) to the issue.</w:t>
      </w:r>
    </w:p>
    <w:p>
      <w:pPr>
        <w:spacing w:after="0" w:line="28" w:lineRule="exact"/>
        <w:rPr>
          <w:rFonts w:ascii="Times New Roman" w:cs="Times New Roman" w:eastAsia="Times New Roman" w:hAnsi="Times New Roman"/>
          <w:sz w:val="24"/>
          <w:szCs w:val="24"/>
          <w:b w:val="1"/>
          <w:bCs w:val="1"/>
          <w:color w:val="auto"/>
        </w:rPr>
      </w:pPr>
    </w:p>
    <w:p>
      <w:pPr>
        <w:jc w:val="both"/>
        <w:ind w:left="8"/>
        <w:spacing w:after="0" w:line="356"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(2) Where the issue is managed by more than one lead manager, the rights, obligations and responsibilities, relating </w:t>
      </w:r>
      <w:r>
        <w:rPr>
          <w:rFonts w:ascii="Times New Roman" w:cs="Times New Roman" w:eastAsia="Times New Roman" w:hAnsi="Times New Roman"/>
          <w:sz w:val="24"/>
          <w:szCs w:val="24"/>
          <w:i w:val="1"/>
          <w:iCs w:val="1"/>
          <w:color w:val="auto"/>
        </w:rPr>
        <w:t>inter alia</w:t>
      </w:r>
      <w:r>
        <w:rPr>
          <w:rFonts w:ascii="Times New Roman" w:cs="Times New Roman" w:eastAsia="Times New Roman" w:hAnsi="Times New Roman"/>
          <w:sz w:val="24"/>
          <w:szCs w:val="24"/>
          <w:color w:val="auto"/>
        </w:rPr>
        <w:t xml:space="preserve"> to disclosures, allotment, refund and underwriting obligations, if any, of each lead manager shall be predetermined and be disclosed in the draft offer document and the offer document as specified in </w:t>
      </w:r>
      <w:r>
        <w:rPr>
          <w:rFonts w:ascii="Times New Roman" w:cs="Times New Roman" w:eastAsia="Times New Roman" w:hAnsi="Times New Roman"/>
          <w:sz w:val="24"/>
          <w:szCs w:val="24"/>
          <w:b w:val="1"/>
          <w:bCs w:val="1"/>
          <w:color w:val="auto"/>
        </w:rPr>
        <w:t>Schedule I</w:t>
      </w:r>
      <w:r>
        <w:rPr>
          <w:rFonts w:ascii="Times New Roman" w:cs="Times New Roman" w:eastAsia="Times New Roman" w:hAnsi="Times New Roman"/>
          <w:sz w:val="24"/>
          <w:szCs w:val="24"/>
          <w:color w:val="auto"/>
        </w:rPr>
        <w:t>:</w:t>
      </w:r>
    </w:p>
    <w:p>
      <w:pPr>
        <w:spacing w:after="0" w:line="18" w:lineRule="exact"/>
        <w:rPr>
          <w:rFonts w:ascii="Times New Roman" w:cs="Times New Roman" w:eastAsia="Times New Roman" w:hAnsi="Times New Roman"/>
          <w:sz w:val="24"/>
          <w:szCs w:val="24"/>
          <w:b w:val="1"/>
          <w:bCs w:val="1"/>
          <w:color w:val="auto"/>
        </w:rPr>
      </w:pPr>
    </w:p>
    <w:p>
      <w:pPr>
        <w:jc w:val="both"/>
        <w:ind w:left="8"/>
        <w:spacing w:after="0" w:line="356"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(3) At least one lead manager to the issue shall not be an associate [as defined under the Securities and Exchange Board of India (Merchant Bankers) Regulations, 1992] of the issuer and if any of the lead managers is an associate of the issuer, it shall disclose itself as an associate of the issuer and its role shall be limited to the marketing of the issue.</w:t>
      </w:r>
    </w:p>
    <w:p>
      <w:pPr>
        <w:spacing w:after="0" w:line="19"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(4) The issuer shall, in consultation with the lead manager(s), appoint other intermediaries which are registered with the Board after the lead manager(s) have independently assessed the capability of other intermediaries to carry out their obligations.</w:t>
      </w:r>
    </w:p>
    <w:p>
      <w:pPr>
        <w:spacing w:after="0" w:line="7" w:lineRule="exact"/>
        <w:rPr>
          <w:sz w:val="20"/>
          <w:szCs w:val="20"/>
          <w:color w:val="auto"/>
        </w:rPr>
      </w:pPr>
    </w:p>
    <w:p>
      <w:pPr>
        <w:ind w:left="548" w:hanging="548"/>
        <w:spacing w:after="0"/>
        <w:tabs>
          <w:tab w:leader="none" w:pos="548" w:val="left"/>
        </w:tabs>
        <w:numPr>
          <w:ilvl w:val="0"/>
          <w:numId w:val="3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enter into an agreement with the lead manager(s) in the format specified in</w:t>
      </w:r>
    </w:p>
    <w:p>
      <w:pPr>
        <w:spacing w:after="0" w:line="151" w:lineRule="exact"/>
        <w:rPr>
          <w:sz w:val="20"/>
          <w:szCs w:val="20"/>
          <w:color w:val="auto"/>
        </w:rPr>
      </w:pPr>
    </w:p>
    <w:p>
      <w:pPr>
        <w:jc w:val="both"/>
        <w:ind w:left="8"/>
        <w:spacing w:after="0" w:line="348" w:lineRule="auto"/>
        <w:rPr>
          <w:sz w:val="20"/>
          <w:szCs w:val="20"/>
          <w:color w:val="auto"/>
        </w:rPr>
      </w:pPr>
      <w:r>
        <w:rPr>
          <w:rFonts w:ascii="Times New Roman" w:cs="Times New Roman" w:eastAsia="Times New Roman" w:hAnsi="Times New Roman"/>
          <w:sz w:val="24"/>
          <w:szCs w:val="24"/>
          <w:b w:val="1"/>
          <w:bCs w:val="1"/>
          <w:color w:val="auto"/>
        </w:rPr>
        <w:t xml:space="preserve">Schedule II </w:t>
      </w:r>
      <w:r>
        <w:rPr>
          <w:rFonts w:ascii="Times New Roman" w:cs="Times New Roman" w:eastAsia="Times New Roman" w:hAnsi="Times New Roman"/>
          <w:sz w:val="24"/>
          <w:szCs w:val="24"/>
          <w:color w:val="auto"/>
        </w:rPr>
        <w:t>and enter into agreements with other intermediaries as required under the respective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regulations applicable to the intermediary concerned:</w:t>
      </w:r>
    </w:p>
    <w:p>
      <w:pPr>
        <w:spacing w:after="0" w:line="28" w:lineRule="exact"/>
        <w:rPr>
          <w:sz w:val="20"/>
          <w:szCs w:val="20"/>
          <w:color w:val="auto"/>
        </w:rPr>
      </w:pPr>
    </w:p>
    <w:p>
      <w:pPr>
        <w:jc w:val="both"/>
        <w:ind w:left="8" w:firstLine="60"/>
        <w:spacing w:after="0" w:line="357" w:lineRule="auto"/>
        <w:rPr>
          <w:sz w:val="20"/>
          <w:szCs w:val="20"/>
          <w:color w:val="auto"/>
        </w:rPr>
      </w:pPr>
      <w:r>
        <w:rPr>
          <w:rFonts w:ascii="Times New Roman" w:cs="Times New Roman" w:eastAsia="Times New Roman" w:hAnsi="Times New Roman"/>
          <w:sz w:val="24"/>
          <w:szCs w:val="24"/>
          <w:color w:val="auto"/>
        </w:rPr>
        <w:t>Provided that such agreements may include such other clauses as the issuer and the intermediaries may deem fit without diminishing or limiting in any way the liabilities and obligations of the lead manager(s), other intermediaries and the issuer under the Act, the Companies Act, 2013 or the Companies Act, 1956 (to the extent applicable), the Securities Contracts (Regulation) Act, 1956, the Depositories Act, 1996 and the rules and regulations made thereunder or any statutory modification or statutory enactment thereof:</w:t>
      </w:r>
    </w:p>
    <w:p>
      <w:pPr>
        <w:spacing w:after="0" w:line="21" w:lineRule="exact"/>
        <w:rPr>
          <w:sz w:val="20"/>
          <w:szCs w:val="20"/>
          <w:color w:val="auto"/>
        </w:rPr>
      </w:pPr>
    </w:p>
    <w:p>
      <w:pPr>
        <w:jc w:val="both"/>
        <w:ind w:left="8"/>
        <w:spacing w:after="0" w:line="348" w:lineRule="auto"/>
        <w:rPr>
          <w:sz w:val="20"/>
          <w:szCs w:val="20"/>
          <w:color w:val="auto"/>
        </w:rPr>
      </w:pPr>
      <w:r>
        <w:rPr>
          <w:rFonts w:ascii="Times New Roman" w:cs="Times New Roman" w:eastAsia="Times New Roman" w:hAnsi="Times New Roman"/>
          <w:sz w:val="24"/>
          <w:szCs w:val="24"/>
          <w:color w:val="auto"/>
        </w:rPr>
        <w:t>Provided further that in case of ASBA process, the issuer shall take cognisance of the deemed agreement of the issuer with the self-certified syndicate banks.</w:t>
      </w:r>
    </w:p>
    <w:p>
      <w:pPr>
        <w:spacing w:after="0" w:line="28" w:lineRule="exact"/>
        <w:rPr>
          <w:sz w:val="20"/>
          <w:szCs w:val="20"/>
          <w:color w:val="auto"/>
        </w:rPr>
      </w:pPr>
    </w:p>
    <w:p>
      <w:pPr>
        <w:jc w:val="both"/>
        <w:ind w:left="8" w:hanging="8"/>
        <w:spacing w:after="0" w:line="354" w:lineRule="auto"/>
        <w:tabs>
          <w:tab w:leader="none" w:pos="387" w:val="left"/>
        </w:tabs>
        <w:numPr>
          <w:ilvl w:val="0"/>
          <w:numId w:val="3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The issuer shall, in the case of an issue made through the book building process, appoint syndicate member(s) and in the case of any other issue, appoint bankers to an issue, at centres as specified in </w:t>
      </w:r>
      <w:r>
        <w:rPr>
          <w:rFonts w:ascii="Times New Roman" w:cs="Times New Roman" w:eastAsia="Times New Roman" w:hAnsi="Times New Roman"/>
          <w:sz w:val="24"/>
          <w:szCs w:val="24"/>
          <w:b w:val="1"/>
          <w:bCs w:val="1"/>
          <w:color w:val="auto"/>
        </w:rPr>
        <w:t>Schedule XII</w:t>
      </w:r>
      <w:r>
        <w:rPr>
          <w:rFonts w:ascii="Times New Roman" w:cs="Times New Roman" w:eastAsia="Times New Roman" w:hAnsi="Times New Roman"/>
          <w:sz w:val="24"/>
          <w:szCs w:val="24"/>
          <w:color w:val="auto"/>
        </w:rPr>
        <w:t>.</w:t>
      </w:r>
    </w:p>
    <w:p>
      <w:pPr>
        <w:spacing w:after="0" w:line="19" w:lineRule="exact"/>
        <w:rPr>
          <w:rFonts w:ascii="Times New Roman" w:cs="Times New Roman" w:eastAsia="Times New Roman" w:hAnsi="Times New Roman"/>
          <w:sz w:val="24"/>
          <w:szCs w:val="24"/>
          <w:color w:val="auto"/>
        </w:rPr>
      </w:pPr>
    </w:p>
    <w:p>
      <w:pPr>
        <w:ind w:left="8" w:hanging="8"/>
        <w:spacing w:after="0" w:line="350" w:lineRule="auto"/>
        <w:tabs>
          <w:tab w:leader="none" w:pos="415" w:val="left"/>
        </w:tabs>
        <w:numPr>
          <w:ilvl w:val="0"/>
          <w:numId w:val="3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appoint a registrar to the issue, registered with the Board, which has connectivity with all the depositories:</w:t>
      </w:r>
    </w:p>
    <w:p>
      <w:pPr>
        <w:spacing w:after="0" w:line="23" w:lineRule="exact"/>
        <w:rPr>
          <w:rFonts w:ascii="Times New Roman" w:cs="Times New Roman" w:eastAsia="Times New Roman" w:hAnsi="Times New Roman"/>
          <w:sz w:val="24"/>
          <w:szCs w:val="24"/>
          <w:color w:val="auto"/>
        </w:rPr>
      </w:pPr>
    </w:p>
    <w:p>
      <w:pPr>
        <w:ind w:left="8"/>
        <w:spacing w:after="0" w:line="35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if issuer itself is a registrar, it shall not appoint itself as a registrar to the issue: Provided further that the lead manager shall not act as a registrar to the issue in which it is also handling the post-issue responsibilities.</w:t>
      </w:r>
    </w:p>
    <w:p>
      <w:pPr>
        <w:spacing w:after="0" w:line="10" w:lineRule="exact"/>
        <w:rPr>
          <w:rFonts w:ascii="Times New Roman" w:cs="Times New Roman" w:eastAsia="Times New Roman" w:hAnsi="Times New Roman"/>
          <w:sz w:val="24"/>
          <w:szCs w:val="24"/>
          <w:color w:val="auto"/>
        </w:rPr>
      </w:pPr>
    </w:p>
    <w:p>
      <w:pPr>
        <w:ind w:left="388" w:hanging="388"/>
        <w:spacing w:after="0"/>
        <w:tabs>
          <w:tab w:leader="none" w:pos="388" w:val="left"/>
        </w:tabs>
        <w:numPr>
          <w:ilvl w:val="0"/>
          <w:numId w:val="3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appoint a compliance officer who shall be responsible for monitoring the</w:t>
      </w:r>
    </w:p>
    <w:p>
      <w:pPr>
        <w:spacing w:after="0" w:line="13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compliance of the securities laws and for redressal of investors’ grievances.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76</w:t>
      </w:r>
    </w:p>
    <w:p>
      <w:pPr>
        <w:sectPr>
          <w:pgSz w:w="11900" w:h="16836" w:orient="portrait"/>
          <w:cols w:equalWidth="0" w:num="1">
            <w:col w:w="9468"/>
          </w:cols>
          <w:pgMar w:left="1152" w:top="1156" w:right="1284" w:bottom="103" w:gutter="0" w:footer="0" w:header="0"/>
        </w:sectPr>
      </w:pPr>
    </w:p>
    <w:bookmarkStart w:id="76" w:name="page77"/>
    <w:bookmarkEnd w:id="76"/>
    <w:p>
      <w:pPr>
        <w:ind w:left="8"/>
        <w:spacing w:after="0"/>
        <w:rPr>
          <w:sz w:val="20"/>
          <w:szCs w:val="20"/>
          <w:color w:val="auto"/>
        </w:rPr>
      </w:pPr>
      <w:r>
        <w:rPr>
          <w:rFonts w:ascii="Times New Roman" w:cs="Times New Roman" w:eastAsia="Times New Roman" w:hAnsi="Times New Roman"/>
          <w:sz w:val="24"/>
          <w:szCs w:val="24"/>
          <w:b w:val="1"/>
          <w:bCs w:val="1"/>
          <w:color w:val="auto"/>
        </w:rPr>
        <w:t>PART VI: DISCLOSURES IN AND FILING OF OFFER DOCUMENTS</w:t>
      </w:r>
    </w:p>
    <w:p>
      <w:pPr>
        <w:spacing w:after="0" w:line="200" w:lineRule="exact"/>
        <w:rPr>
          <w:sz w:val="20"/>
          <w:szCs w:val="20"/>
          <w:color w:val="auto"/>
        </w:rPr>
      </w:pPr>
    </w:p>
    <w:p>
      <w:pPr>
        <w:spacing w:after="0" w:line="35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Disclosures in the draft offer document and the offer document</w:t>
      </w:r>
    </w:p>
    <w:p>
      <w:pPr>
        <w:spacing w:after="0" w:line="144" w:lineRule="exact"/>
        <w:rPr>
          <w:sz w:val="20"/>
          <w:szCs w:val="20"/>
          <w:color w:val="auto"/>
        </w:rPr>
      </w:pPr>
    </w:p>
    <w:p>
      <w:pPr>
        <w:ind w:left="8" w:hanging="8"/>
        <w:spacing w:after="0" w:line="350" w:lineRule="auto"/>
        <w:tabs>
          <w:tab w:leader="none" w:pos="504" w:val="left"/>
        </w:tabs>
        <w:numPr>
          <w:ilvl w:val="0"/>
          <w:numId w:val="32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draft offer document and the offer document shall contain all material disclosures which are true and adequate to enable the applicants to take an informed investment decision.</w:t>
      </w:r>
    </w:p>
    <w:p>
      <w:pPr>
        <w:spacing w:after="0" w:line="23" w:lineRule="exact"/>
        <w:rPr>
          <w:rFonts w:ascii="Times New Roman" w:cs="Times New Roman" w:eastAsia="Times New Roman" w:hAnsi="Times New Roman"/>
          <w:sz w:val="24"/>
          <w:szCs w:val="24"/>
          <w:b w:val="1"/>
          <w:bCs w:val="1"/>
          <w:color w:val="auto"/>
        </w:rPr>
      </w:pPr>
    </w:p>
    <w:p>
      <w:pPr>
        <w:ind w:left="8"/>
        <w:spacing w:after="0" w:line="350"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Without prejudice to the generality of sub-regulation (1), the red-herring prospectus, shelf prospectus and prospectus shall contain:</w:t>
      </w:r>
    </w:p>
    <w:p>
      <w:pPr>
        <w:spacing w:after="0" w:line="10" w:lineRule="exact"/>
        <w:rPr>
          <w:rFonts w:ascii="Times New Roman" w:cs="Times New Roman" w:eastAsia="Times New Roman" w:hAnsi="Times New Roman"/>
          <w:sz w:val="24"/>
          <w:szCs w:val="24"/>
          <w:b w:val="1"/>
          <w:bCs w:val="1"/>
          <w:color w:val="auto"/>
        </w:rPr>
      </w:pPr>
    </w:p>
    <w:p>
      <w:pPr>
        <w:ind w:left="1368" w:hanging="504"/>
        <w:spacing w:after="0"/>
        <w:tabs>
          <w:tab w:leader="none" w:pos="1368" w:val="left"/>
        </w:tabs>
        <w:numPr>
          <w:ilvl w:val="1"/>
          <w:numId w:val="3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disclosures specified in the Companies Act, 2013; and</w:t>
      </w:r>
    </w:p>
    <w:p>
      <w:pPr>
        <w:spacing w:after="0" w:line="152" w:lineRule="exact"/>
        <w:rPr>
          <w:rFonts w:ascii="Times New Roman" w:cs="Times New Roman" w:eastAsia="Times New Roman" w:hAnsi="Times New Roman"/>
          <w:sz w:val="24"/>
          <w:szCs w:val="24"/>
          <w:color w:val="auto"/>
        </w:rPr>
      </w:pPr>
    </w:p>
    <w:p>
      <w:pPr>
        <w:ind w:left="1368" w:hanging="504"/>
        <w:spacing w:after="0" w:line="348" w:lineRule="auto"/>
        <w:tabs>
          <w:tab w:leader="none" w:pos="1368" w:val="left"/>
        </w:tabs>
        <w:numPr>
          <w:ilvl w:val="1"/>
          <w:numId w:val="3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disclosures specified in </w:t>
      </w:r>
      <w:r>
        <w:rPr>
          <w:rFonts w:ascii="Times New Roman" w:cs="Times New Roman" w:eastAsia="Times New Roman" w:hAnsi="Times New Roman"/>
          <w:sz w:val="24"/>
          <w:szCs w:val="24"/>
          <w:b w:val="1"/>
          <w:bCs w:val="1"/>
          <w:color w:val="auto"/>
        </w:rPr>
        <w:t>Part A</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 VI</w:t>
      </w:r>
      <w:r>
        <w:rPr>
          <w:rFonts w:ascii="Times New Roman" w:cs="Times New Roman" w:eastAsia="Times New Roman" w:hAnsi="Times New Roman"/>
          <w:sz w:val="24"/>
          <w:szCs w:val="24"/>
          <w:color w:val="auto"/>
        </w:rPr>
        <w:t xml:space="preserve">, subject to the provisions of </w:t>
      </w:r>
      <w:r>
        <w:rPr>
          <w:rFonts w:ascii="Times New Roman" w:cs="Times New Roman" w:eastAsia="Times New Roman" w:hAnsi="Times New Roman"/>
          <w:sz w:val="24"/>
          <w:szCs w:val="24"/>
          <w:b w:val="1"/>
          <w:bCs w:val="1"/>
          <w:color w:val="auto"/>
        </w:rPr>
        <w:t>Parts</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 xml:space="preserve">C and D </w:t>
      </w:r>
      <w:r>
        <w:rPr>
          <w:rFonts w:ascii="Times New Roman" w:cs="Times New Roman" w:eastAsia="Times New Roman" w:hAnsi="Times New Roman"/>
          <w:sz w:val="24"/>
          <w:szCs w:val="24"/>
          <w:color w:val="auto"/>
        </w:rPr>
        <w:t>thereof.</w:t>
      </w:r>
    </w:p>
    <w:p>
      <w:pPr>
        <w:spacing w:after="0" w:line="28" w:lineRule="exact"/>
        <w:rPr>
          <w:sz w:val="20"/>
          <w:szCs w:val="20"/>
          <w:color w:val="auto"/>
        </w:rPr>
      </w:pPr>
    </w:p>
    <w:p>
      <w:pPr>
        <w:jc w:val="both"/>
        <w:ind w:left="8" w:hanging="8"/>
        <w:spacing w:after="0" w:line="354" w:lineRule="auto"/>
        <w:tabs>
          <w:tab w:leader="none" w:pos="370" w:val="left"/>
        </w:tabs>
        <w:numPr>
          <w:ilvl w:val="0"/>
          <w:numId w:val="32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 shall exercise due diligence and satisfy themselves about all aspects of the issue including the veracity and adequacy of disclosures made in the draft offer document and the offer document.</w:t>
      </w:r>
    </w:p>
    <w:p>
      <w:pPr>
        <w:spacing w:after="0" w:line="19"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358" w:val="left"/>
        </w:tabs>
        <w:numPr>
          <w:ilvl w:val="0"/>
          <w:numId w:val="32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 shall call upon the issuer, its promoters and its directors or in case of an offer for sale, the selling shareholders, to fulfil their obligations as disclosed by them in the draft offer document and the offer document and as required in terms of these Regulations.</w:t>
      </w:r>
    </w:p>
    <w:p>
      <w:pPr>
        <w:spacing w:after="0" w:line="22"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368" w:val="left"/>
        </w:tabs>
        <w:numPr>
          <w:ilvl w:val="0"/>
          <w:numId w:val="32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 shall ensure that the information contained in the offer document and the particulars as per audited financial statements in the offer document are not more than six months old from the issue opening date.</w:t>
      </w:r>
    </w:p>
    <w:p>
      <w:pPr>
        <w:spacing w:after="0" w:line="200" w:lineRule="exact"/>
        <w:rPr>
          <w:sz w:val="20"/>
          <w:szCs w:val="20"/>
          <w:color w:val="auto"/>
        </w:rPr>
      </w:pPr>
    </w:p>
    <w:p>
      <w:pPr>
        <w:spacing w:after="0" w:line="22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Filing of the draft offer document and offer documents</w:t>
      </w:r>
    </w:p>
    <w:p>
      <w:pPr>
        <w:spacing w:after="0" w:line="144" w:lineRule="exact"/>
        <w:rPr>
          <w:sz w:val="20"/>
          <w:szCs w:val="20"/>
          <w:color w:val="auto"/>
        </w:rPr>
      </w:pPr>
    </w:p>
    <w:p>
      <w:pPr>
        <w:jc w:val="both"/>
        <w:ind w:left="8" w:hanging="8"/>
        <w:spacing w:after="0" w:line="357" w:lineRule="auto"/>
        <w:tabs>
          <w:tab w:leader="none" w:pos="495" w:val="left"/>
        </w:tabs>
        <w:numPr>
          <w:ilvl w:val="0"/>
          <w:numId w:val="32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(1) Prior to making a further public offer, the issuer shall file three copies of the draft offer document with the concerned regional office of the Board under the jurisdiction of which the registered office of the issuer company is located, in accordance with </w:t>
      </w:r>
      <w:r>
        <w:rPr>
          <w:rFonts w:ascii="Times New Roman" w:cs="Times New Roman" w:eastAsia="Times New Roman" w:hAnsi="Times New Roman"/>
          <w:sz w:val="24"/>
          <w:szCs w:val="24"/>
          <w:b w:val="1"/>
          <w:bCs w:val="1"/>
          <w:color w:val="auto"/>
        </w:rPr>
        <w:t>Schedule IV</w:t>
      </w:r>
      <w:r>
        <w:rPr>
          <w:rFonts w:ascii="Times New Roman" w:cs="Times New Roman" w:eastAsia="Times New Roman" w:hAnsi="Times New Roman"/>
          <w:sz w:val="24"/>
          <w:szCs w:val="24"/>
          <w:color w:val="auto"/>
        </w:rPr>
        <w:t xml:space="preserve">, along with fees as specified in </w:t>
      </w:r>
      <w:r>
        <w:rPr>
          <w:rFonts w:ascii="Times New Roman" w:cs="Times New Roman" w:eastAsia="Times New Roman" w:hAnsi="Times New Roman"/>
          <w:sz w:val="24"/>
          <w:szCs w:val="24"/>
          <w:b w:val="1"/>
          <w:bCs w:val="1"/>
          <w:color w:val="auto"/>
        </w:rPr>
        <w:t>Schedule III</w:t>
      </w:r>
      <w:r>
        <w:rPr>
          <w:rFonts w:ascii="Times New Roman" w:cs="Times New Roman" w:eastAsia="Times New Roman" w:hAnsi="Times New Roman"/>
          <w:sz w:val="24"/>
          <w:szCs w:val="24"/>
          <w:color w:val="auto"/>
        </w:rPr>
        <w:t>, through the lead manager(s).</w:t>
      </w:r>
    </w:p>
    <w:p>
      <w:pPr>
        <w:spacing w:after="0" w:line="14" w:lineRule="exact"/>
        <w:rPr>
          <w:rFonts w:ascii="Times New Roman" w:cs="Times New Roman" w:eastAsia="Times New Roman" w:hAnsi="Times New Roman"/>
          <w:sz w:val="24"/>
          <w:szCs w:val="24"/>
          <w:b w:val="1"/>
          <w:bCs w:val="1"/>
          <w:color w:val="auto"/>
        </w:rPr>
      </w:pPr>
    </w:p>
    <w:p>
      <w:pPr>
        <w:ind w:left="8"/>
        <w:spacing w:after="0" w:line="350"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The lead manager(s) shall submit the following to the Board along with the draft offer document:</w:t>
      </w:r>
    </w:p>
    <w:p>
      <w:pPr>
        <w:spacing w:after="0" w:line="23" w:lineRule="exact"/>
        <w:rPr>
          <w:rFonts w:ascii="Times New Roman" w:cs="Times New Roman" w:eastAsia="Times New Roman" w:hAnsi="Times New Roman"/>
          <w:sz w:val="24"/>
          <w:szCs w:val="24"/>
          <w:b w:val="1"/>
          <w:bCs w:val="1"/>
          <w:color w:val="auto"/>
        </w:rPr>
      </w:pPr>
    </w:p>
    <w:p>
      <w:pPr>
        <w:ind w:left="728" w:hanging="368"/>
        <w:spacing w:after="0" w:line="350" w:lineRule="auto"/>
        <w:tabs>
          <w:tab w:leader="none" w:pos="728" w:val="left"/>
        </w:tabs>
        <w:numPr>
          <w:ilvl w:val="1"/>
          <w:numId w:val="32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certificate, confirming that an agreement has been entered into between the issuer and the lead manager(s)</w:t>
      </w:r>
    </w:p>
    <w:p>
      <w:pPr>
        <w:spacing w:after="0" w:line="10" w:lineRule="exact"/>
        <w:rPr>
          <w:rFonts w:ascii="Times New Roman" w:cs="Times New Roman" w:eastAsia="Times New Roman" w:hAnsi="Times New Roman"/>
          <w:sz w:val="24"/>
          <w:szCs w:val="24"/>
          <w:color w:val="auto"/>
        </w:rPr>
      </w:pPr>
    </w:p>
    <w:p>
      <w:pPr>
        <w:ind w:left="728" w:hanging="368"/>
        <w:spacing w:after="0"/>
        <w:tabs>
          <w:tab w:leader="none" w:pos="728" w:val="left"/>
        </w:tabs>
        <w:numPr>
          <w:ilvl w:val="1"/>
          <w:numId w:val="32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a due diligence certificate as per </w:t>
      </w:r>
      <w:r>
        <w:rPr>
          <w:rFonts w:ascii="Times New Roman" w:cs="Times New Roman" w:eastAsia="Times New Roman" w:hAnsi="Times New Roman"/>
          <w:sz w:val="24"/>
          <w:szCs w:val="24"/>
          <w:b w:val="1"/>
          <w:bCs w:val="1"/>
          <w:color w:val="auto"/>
        </w:rPr>
        <w:t>Form A</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 V;</w:t>
      </w:r>
    </w:p>
    <w:p>
      <w:pPr>
        <w:spacing w:after="0" w:line="151" w:lineRule="exact"/>
        <w:rPr>
          <w:rFonts w:ascii="Times New Roman" w:cs="Times New Roman" w:eastAsia="Times New Roman" w:hAnsi="Times New Roman"/>
          <w:sz w:val="24"/>
          <w:szCs w:val="24"/>
          <w:color w:val="auto"/>
        </w:rPr>
      </w:pPr>
    </w:p>
    <w:p>
      <w:pPr>
        <w:ind w:left="728" w:hanging="368"/>
        <w:spacing w:after="0" w:line="348" w:lineRule="auto"/>
        <w:tabs>
          <w:tab w:leader="none" w:pos="728" w:val="left"/>
        </w:tabs>
        <w:numPr>
          <w:ilvl w:val="1"/>
          <w:numId w:val="32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in case of an issue of convertible debt instruments, a due diligence certificate from the debenture trustee as per </w:t>
      </w:r>
      <w:r>
        <w:rPr>
          <w:rFonts w:ascii="Times New Roman" w:cs="Times New Roman" w:eastAsia="Times New Roman" w:hAnsi="Times New Roman"/>
          <w:sz w:val="24"/>
          <w:szCs w:val="24"/>
          <w:b w:val="1"/>
          <w:bCs w:val="1"/>
          <w:color w:val="auto"/>
        </w:rPr>
        <w:t>Form B</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 V;</w:t>
      </w:r>
    </w:p>
    <w:p>
      <w:pPr>
        <w:spacing w:after="0" w:line="15" w:lineRule="exact"/>
        <w:rPr>
          <w:rFonts w:ascii="Times New Roman" w:cs="Times New Roman" w:eastAsia="Times New Roman" w:hAnsi="Times New Roman"/>
          <w:sz w:val="24"/>
          <w:szCs w:val="24"/>
          <w:color w:val="auto"/>
        </w:rPr>
      </w:pPr>
    </w:p>
    <w:p>
      <w:pPr>
        <w:ind w:left="728" w:hanging="368"/>
        <w:spacing w:after="0"/>
        <w:tabs>
          <w:tab w:leader="none" w:pos="728" w:val="left"/>
        </w:tabs>
        <w:numPr>
          <w:ilvl w:val="1"/>
          <w:numId w:val="32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a certificate confirming compliance of the conditions specified in </w:t>
      </w:r>
      <w:r>
        <w:rPr>
          <w:rFonts w:ascii="Times New Roman" w:cs="Times New Roman" w:eastAsia="Times New Roman" w:hAnsi="Times New Roman"/>
          <w:sz w:val="24"/>
          <w:szCs w:val="24"/>
          <w:b w:val="1"/>
          <w:bCs w:val="1"/>
          <w:color w:val="auto"/>
        </w:rPr>
        <w:t>Part C</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 VI</w:t>
      </w:r>
      <w:r>
        <w:rPr>
          <w:rFonts w:ascii="Times New Roman" w:cs="Times New Roman" w:eastAsia="Times New Roman" w:hAnsi="Times New Roman"/>
          <w:sz w:val="24"/>
          <w:szCs w:val="24"/>
          <w:color w:val="auto"/>
        </w:rPr>
        <w:t>.</w:t>
      </w:r>
    </w:p>
    <w:p>
      <w:pPr>
        <w:spacing w:after="0" w:line="149" w:lineRule="exact"/>
        <w:rPr>
          <w:rFonts w:ascii="Times New Roman" w:cs="Times New Roman" w:eastAsia="Times New Roman" w:hAnsi="Times New Roman"/>
          <w:sz w:val="24"/>
          <w:szCs w:val="24"/>
          <w:color w:val="auto"/>
        </w:rPr>
      </w:pPr>
    </w:p>
    <w:p>
      <w:pPr>
        <w:jc w:val="both"/>
        <w:ind w:left="8"/>
        <w:spacing w:after="0" w:line="350"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(3) The issuer shall also file the draft offer document with the stock exchange(s) where the specified securities are proposed to be listed, and shall submit to the stock exchange(s), the</w:t>
      </w:r>
    </w:p>
    <w:p>
      <w:pPr>
        <w:spacing w:after="0" w:line="268"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77</w:t>
      </w:r>
    </w:p>
    <w:p>
      <w:pPr>
        <w:sectPr>
          <w:pgSz w:w="11900" w:h="16836" w:orient="portrait"/>
          <w:cols w:equalWidth="0" w:num="1">
            <w:col w:w="9468"/>
          </w:cols>
          <w:pgMar w:left="1152" w:top="1149" w:right="1284" w:bottom="103" w:gutter="0" w:footer="0" w:header="0"/>
        </w:sectPr>
      </w:pPr>
    </w:p>
    <w:bookmarkStart w:id="77" w:name="page78"/>
    <w:bookmarkEnd w:id="77"/>
    <w:p>
      <w:pPr>
        <w:jc w:val="both"/>
        <w:ind w:left="8"/>
        <w:spacing w:after="0" w:line="356" w:lineRule="auto"/>
        <w:rPr>
          <w:sz w:val="20"/>
          <w:szCs w:val="20"/>
          <w:color w:val="auto"/>
        </w:rPr>
      </w:pPr>
      <w:r>
        <w:rPr>
          <w:rFonts w:ascii="Times New Roman" w:cs="Times New Roman" w:eastAsia="Times New Roman" w:hAnsi="Times New Roman"/>
          <w:sz w:val="24"/>
          <w:szCs w:val="24"/>
          <w:color w:val="auto"/>
        </w:rPr>
        <w:t>Permanent Account Number, bank account number and passport number of its promoters where they are individuals, and Permanent Account Number, bank account number, company registration number or equivalent and the address of the Registrar of Companies with which the promoter is registered, where the promoter is a body corporate.</w:t>
      </w:r>
    </w:p>
    <w:p>
      <w:pPr>
        <w:spacing w:after="0" w:line="200" w:lineRule="exact"/>
        <w:rPr>
          <w:sz w:val="20"/>
          <w:szCs w:val="20"/>
          <w:color w:val="auto"/>
        </w:rPr>
      </w:pPr>
    </w:p>
    <w:p>
      <w:pPr>
        <w:spacing w:after="0" w:line="232" w:lineRule="exact"/>
        <w:rPr>
          <w:sz w:val="20"/>
          <w:szCs w:val="20"/>
          <w:color w:val="auto"/>
        </w:rPr>
      </w:pPr>
    </w:p>
    <w:p>
      <w:pPr>
        <w:ind w:left="8" w:hanging="8"/>
        <w:spacing w:after="0" w:line="350" w:lineRule="auto"/>
        <w:tabs>
          <w:tab w:leader="none" w:pos="454" w:val="left"/>
        </w:tabs>
        <w:numPr>
          <w:ilvl w:val="0"/>
          <w:numId w:val="3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Board may specify changes or issue observations on the draft offer document within a period of thirty days from the later of the following dates:</w:t>
      </w:r>
    </w:p>
    <w:p>
      <w:pPr>
        <w:spacing w:after="0" w:line="10" w:lineRule="exact"/>
        <w:rPr>
          <w:rFonts w:ascii="Times New Roman" w:cs="Times New Roman" w:eastAsia="Times New Roman" w:hAnsi="Times New Roman"/>
          <w:sz w:val="24"/>
          <w:szCs w:val="24"/>
          <w:color w:val="auto"/>
        </w:rPr>
      </w:pPr>
    </w:p>
    <w:p>
      <w:pPr>
        <w:ind w:left="868" w:hanging="508"/>
        <w:spacing w:after="0"/>
        <w:tabs>
          <w:tab w:leader="none" w:pos="868" w:val="left"/>
        </w:tabs>
        <w:numPr>
          <w:ilvl w:val="1"/>
          <w:numId w:val="3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date of receipt of the draft offer document under sub-regulation (1); or</w:t>
      </w:r>
    </w:p>
    <w:p>
      <w:pPr>
        <w:spacing w:after="0" w:line="152" w:lineRule="exact"/>
        <w:rPr>
          <w:rFonts w:ascii="Times New Roman" w:cs="Times New Roman" w:eastAsia="Times New Roman" w:hAnsi="Times New Roman"/>
          <w:sz w:val="24"/>
          <w:szCs w:val="24"/>
          <w:color w:val="auto"/>
        </w:rPr>
      </w:pPr>
    </w:p>
    <w:p>
      <w:pPr>
        <w:ind w:left="868" w:hanging="508"/>
        <w:spacing w:after="0" w:line="348" w:lineRule="auto"/>
        <w:tabs>
          <w:tab w:leader="none" w:pos="868" w:val="left"/>
        </w:tabs>
        <w:numPr>
          <w:ilvl w:val="1"/>
          <w:numId w:val="3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date of receipt of satisfactory reply from the lead manager(s), where the Board has sought any clarification or additional information from them; or</w:t>
      </w:r>
    </w:p>
    <w:p>
      <w:pPr>
        <w:spacing w:after="0" w:line="27" w:lineRule="exact"/>
        <w:rPr>
          <w:rFonts w:ascii="Times New Roman" w:cs="Times New Roman" w:eastAsia="Times New Roman" w:hAnsi="Times New Roman"/>
          <w:sz w:val="24"/>
          <w:szCs w:val="24"/>
          <w:color w:val="auto"/>
        </w:rPr>
      </w:pPr>
    </w:p>
    <w:p>
      <w:pPr>
        <w:ind w:left="868" w:hanging="508"/>
        <w:spacing w:after="0" w:line="348" w:lineRule="auto"/>
        <w:tabs>
          <w:tab w:leader="none" w:pos="868" w:val="left"/>
        </w:tabs>
        <w:numPr>
          <w:ilvl w:val="1"/>
          <w:numId w:val="3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date of receipt of clarification or information from any regulator or agency, where the Board has sought any clarification or information from such regulator or agency; or</w:t>
      </w:r>
    </w:p>
    <w:p>
      <w:pPr>
        <w:spacing w:after="0" w:line="27" w:lineRule="exact"/>
        <w:rPr>
          <w:rFonts w:ascii="Times New Roman" w:cs="Times New Roman" w:eastAsia="Times New Roman" w:hAnsi="Times New Roman"/>
          <w:sz w:val="24"/>
          <w:szCs w:val="24"/>
          <w:color w:val="auto"/>
        </w:rPr>
      </w:pPr>
    </w:p>
    <w:p>
      <w:pPr>
        <w:ind w:left="868" w:hanging="508"/>
        <w:spacing w:after="0" w:line="348" w:lineRule="auto"/>
        <w:tabs>
          <w:tab w:leader="none" w:pos="868" w:val="left"/>
        </w:tabs>
        <w:numPr>
          <w:ilvl w:val="1"/>
          <w:numId w:val="3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date of receipt of a copy of in-principle approval letter issued by the stock exchange(s).</w:t>
      </w:r>
    </w:p>
    <w:p>
      <w:pPr>
        <w:spacing w:after="0" w:line="27"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370" w:val="left"/>
        </w:tabs>
        <w:numPr>
          <w:ilvl w:val="0"/>
          <w:numId w:val="3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Board specifies changes or issues observations on the draft offer document, the issuer and the lead manager(s) shall carry out such changes in the draft offer document and shall submit to the Board an updated draft offer document complying with the observations issued by the</w:t>
      </w:r>
    </w:p>
    <w:p>
      <w:pPr>
        <w:ind w:left="8"/>
        <w:spacing w:after="0" w:line="287"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Board and highlighting all changes made in the draft offer document before </w:t>
      </w:r>
      <w:r>
        <w:rPr>
          <w:rFonts w:ascii="Times New Roman" w:cs="Times New Roman" w:eastAsia="Times New Roman" w:hAnsi="Times New Roman"/>
          <w:sz w:val="32"/>
          <w:szCs w:val="32"/>
          <w:color w:val="auto"/>
          <w:vertAlign w:val="superscript"/>
        </w:rPr>
        <w:t>57</w:t>
      </w:r>
      <w:r>
        <w:rPr>
          <w:rFonts w:ascii="Times New Roman" w:cs="Times New Roman" w:eastAsia="Times New Roman" w:hAnsi="Times New Roman"/>
          <w:sz w:val="24"/>
          <w:szCs w:val="24"/>
          <w:color w:val="auto"/>
        </w:rPr>
        <w:t>[***] filing the offer documents with the Registrar of Companies or the appropriate authority, as applicable.</w:t>
      </w:r>
    </w:p>
    <w:p>
      <w:pPr>
        <w:spacing w:after="0" w:line="65" w:lineRule="exact"/>
        <w:rPr>
          <w:rFonts w:ascii="Times New Roman" w:cs="Times New Roman" w:eastAsia="Times New Roman" w:hAnsi="Times New Roman"/>
          <w:sz w:val="24"/>
          <w:szCs w:val="24"/>
          <w:color w:val="auto"/>
        </w:rPr>
      </w:pPr>
    </w:p>
    <w:p>
      <w:pPr>
        <w:ind w:left="368" w:hanging="368"/>
        <w:spacing w:after="0"/>
        <w:tabs>
          <w:tab w:leader="none" w:pos="368" w:val="left"/>
        </w:tabs>
        <w:numPr>
          <w:ilvl w:val="0"/>
          <w:numId w:val="3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there are any changes in the draft offer document in relation to the matters specified in</w:t>
      </w:r>
    </w:p>
    <w:p>
      <w:pPr>
        <w:spacing w:after="0" w:line="151" w:lineRule="exact"/>
        <w:rPr>
          <w:sz w:val="20"/>
          <w:szCs w:val="20"/>
          <w:color w:val="auto"/>
        </w:rPr>
      </w:pPr>
    </w:p>
    <w:p>
      <w:pPr>
        <w:ind w:left="8"/>
        <w:spacing w:after="0" w:line="348" w:lineRule="auto"/>
        <w:rPr>
          <w:sz w:val="20"/>
          <w:szCs w:val="20"/>
          <w:color w:val="auto"/>
        </w:rPr>
      </w:pPr>
      <w:r>
        <w:rPr>
          <w:rFonts w:ascii="Times New Roman" w:cs="Times New Roman" w:eastAsia="Times New Roman" w:hAnsi="Times New Roman"/>
          <w:sz w:val="24"/>
          <w:szCs w:val="24"/>
          <w:b w:val="1"/>
          <w:bCs w:val="1"/>
          <w:color w:val="auto"/>
        </w:rPr>
        <w:t>Schedule XVI</w:t>
      </w:r>
      <w:r>
        <w:rPr>
          <w:rFonts w:ascii="Times New Roman" w:cs="Times New Roman" w:eastAsia="Times New Roman" w:hAnsi="Times New Roman"/>
          <w:sz w:val="24"/>
          <w:szCs w:val="24"/>
          <w:color w:val="auto"/>
        </w:rPr>
        <w:t>, the updated offer document or a fresh draft offer document, as the case may be,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 xml:space="preserve">shall be filed with the Board along with fees specified in </w:t>
      </w:r>
      <w:r>
        <w:rPr>
          <w:rFonts w:ascii="Times New Roman" w:cs="Times New Roman" w:eastAsia="Times New Roman" w:hAnsi="Times New Roman"/>
          <w:sz w:val="24"/>
          <w:szCs w:val="24"/>
          <w:b w:val="1"/>
          <w:bCs w:val="1"/>
          <w:color w:val="auto"/>
        </w:rPr>
        <w:t>Schedule III</w:t>
      </w:r>
      <w:r>
        <w:rPr>
          <w:rFonts w:ascii="Times New Roman" w:cs="Times New Roman" w:eastAsia="Times New Roman" w:hAnsi="Times New Roman"/>
          <w:sz w:val="24"/>
          <w:szCs w:val="24"/>
          <w:color w:val="auto"/>
        </w:rPr>
        <w:t>.</w:t>
      </w:r>
    </w:p>
    <w:p>
      <w:pPr>
        <w:spacing w:after="0" w:line="15" w:lineRule="exact"/>
        <w:rPr>
          <w:sz w:val="20"/>
          <w:szCs w:val="20"/>
          <w:color w:val="auto"/>
        </w:rPr>
      </w:pPr>
    </w:p>
    <w:p>
      <w:pPr>
        <w:ind w:left="388" w:hanging="388"/>
        <w:spacing w:after="0"/>
        <w:tabs>
          <w:tab w:leader="none" w:pos="388" w:val="left"/>
        </w:tabs>
        <w:numPr>
          <w:ilvl w:val="0"/>
          <w:numId w:val="32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Copy of the offer documents shall also be filed with the Board and the stock exchanges</w:t>
      </w:r>
    </w:p>
    <w:p>
      <w:pPr>
        <w:spacing w:after="0" w:line="129" w:lineRule="exact"/>
        <w:rPr>
          <w:rFonts w:ascii="Times New Roman" w:cs="Times New Roman" w:eastAsia="Times New Roman" w:hAnsi="Times New Roman"/>
          <w:sz w:val="24"/>
          <w:szCs w:val="24"/>
          <w:color w:val="auto"/>
        </w:rPr>
      </w:pPr>
    </w:p>
    <w:p>
      <w:pPr>
        <w:ind w:left="8"/>
        <w:spacing w:after="0" w:line="288"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through the lead manager(s) simultaneously while </w:t>
      </w:r>
      <w:r>
        <w:rPr>
          <w:rFonts w:ascii="Times New Roman" w:cs="Times New Roman" w:eastAsia="Times New Roman" w:hAnsi="Times New Roman"/>
          <w:sz w:val="32"/>
          <w:szCs w:val="32"/>
          <w:color w:val="auto"/>
          <w:vertAlign w:val="superscript"/>
        </w:rPr>
        <w:t>58</w:t>
      </w:r>
      <w:r>
        <w:rPr>
          <w:rFonts w:ascii="Times New Roman" w:cs="Times New Roman" w:eastAsia="Times New Roman" w:hAnsi="Times New Roman"/>
          <w:sz w:val="24"/>
          <w:szCs w:val="24"/>
          <w:color w:val="auto"/>
        </w:rPr>
        <w:t>[filing] the offer documents with Registrar of Companies.</w:t>
      </w:r>
    </w:p>
    <w:p>
      <w:pPr>
        <w:spacing w:after="0" w:line="75" w:lineRule="exact"/>
        <w:rPr>
          <w:rFonts w:ascii="Times New Roman" w:cs="Times New Roman" w:eastAsia="Times New Roman" w:hAnsi="Times New Roman"/>
          <w:sz w:val="24"/>
          <w:szCs w:val="24"/>
          <w:color w:val="auto"/>
        </w:rPr>
      </w:pPr>
    </w:p>
    <w:p>
      <w:pPr>
        <w:ind w:left="8" w:hanging="8"/>
        <w:spacing w:after="0" w:line="350" w:lineRule="auto"/>
        <w:tabs>
          <w:tab w:leader="none" w:pos="353" w:val="left"/>
        </w:tabs>
        <w:numPr>
          <w:ilvl w:val="0"/>
          <w:numId w:val="32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draft offer document and the offer document shall also be furnished to the Board in a soft copy in the manner as may be specified.</w:t>
      </w:r>
    </w:p>
    <w:p>
      <w:pPr>
        <w:spacing w:after="0" w:line="23"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389" w:val="left"/>
        </w:tabs>
        <w:numPr>
          <w:ilvl w:val="0"/>
          <w:numId w:val="32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 shall submit the following documents to the Board after issuance of observations by the Board or after expiry of the period stipulated in sub-regulation (4) of regulation 123 if the Board has not issued observations: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ind w:left="8" w:hanging="8"/>
        <w:spacing w:after="0" w:line="203" w:lineRule="auto"/>
        <w:tabs>
          <w:tab w:leader="none" w:pos="216" w:val="left"/>
        </w:tabs>
        <w:numPr>
          <w:ilvl w:val="0"/>
          <w:numId w:val="328"/>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Word “registering or” omitted by the Securities and Exchange Board of India (Issue of Capital and Disclosure Requirements) (Seventh Amendment) Regulations, 2019, w-e-f 01.01.2020.</w:t>
      </w:r>
    </w:p>
    <w:p>
      <w:pPr>
        <w:spacing w:after="0" w:line="13" w:lineRule="exact"/>
        <w:rPr>
          <w:rFonts w:ascii="Times New Roman" w:cs="Times New Roman" w:eastAsia="Times New Roman" w:hAnsi="Times New Roman"/>
          <w:sz w:val="26"/>
          <w:szCs w:val="26"/>
          <w:color w:val="auto"/>
          <w:vertAlign w:val="superscript"/>
        </w:rPr>
      </w:pPr>
    </w:p>
    <w:p>
      <w:pPr>
        <w:ind w:left="8" w:hanging="8"/>
        <w:spacing w:after="0" w:line="203" w:lineRule="auto"/>
        <w:tabs>
          <w:tab w:leader="none" w:pos="188" w:val="left"/>
        </w:tabs>
        <w:numPr>
          <w:ilvl w:val="0"/>
          <w:numId w:val="328"/>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Securities and Exchange Board of India (Issue of Capital and Disclosure Requirements) (Seventh Amendment) Regulations, 2019, w-e-f 01.01.2020 for the word “registering”.</w:t>
      </w:r>
    </w:p>
    <w:p>
      <w:pPr>
        <w:spacing w:after="0" w:line="30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78</w:t>
      </w:r>
    </w:p>
    <w:p>
      <w:pPr>
        <w:sectPr>
          <w:pgSz w:w="11900" w:h="16836" w:orient="portrait"/>
          <w:cols w:equalWidth="0" w:num="1">
            <w:col w:w="9468"/>
          </w:cols>
          <w:pgMar w:left="1152" w:top="1156" w:right="1284" w:bottom="103" w:gutter="0" w:footer="0" w:header="0"/>
        </w:sectPr>
      </w:pPr>
    </w:p>
    <w:bookmarkStart w:id="78" w:name="page79"/>
    <w:bookmarkEnd w:id="78"/>
    <w:p>
      <w:pPr>
        <w:ind w:left="728" w:hanging="368"/>
        <w:spacing w:after="0" w:line="348" w:lineRule="auto"/>
        <w:tabs>
          <w:tab w:leader="none" w:pos="728" w:val="left"/>
        </w:tabs>
        <w:numPr>
          <w:ilvl w:val="0"/>
          <w:numId w:val="32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statement certifying that all changes, suggestions and observations made by the Board have been incorporated in the offer document;</w:t>
      </w:r>
    </w:p>
    <w:p>
      <w:pPr>
        <w:spacing w:after="0" w:line="8" w:lineRule="exact"/>
        <w:rPr>
          <w:rFonts w:ascii="Times New Roman" w:cs="Times New Roman" w:eastAsia="Times New Roman" w:hAnsi="Times New Roman"/>
          <w:sz w:val="24"/>
          <w:szCs w:val="24"/>
          <w:color w:val="auto"/>
        </w:rPr>
      </w:pPr>
    </w:p>
    <w:p>
      <w:pPr>
        <w:ind w:left="728" w:hanging="368"/>
        <w:spacing w:after="0" w:line="285" w:lineRule="auto"/>
        <w:tabs>
          <w:tab w:leader="none" w:pos="728" w:val="left"/>
        </w:tabs>
        <w:numPr>
          <w:ilvl w:val="0"/>
          <w:numId w:val="32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a due diligence certificate as per </w:t>
      </w:r>
      <w:r>
        <w:rPr>
          <w:rFonts w:ascii="Times New Roman" w:cs="Times New Roman" w:eastAsia="Times New Roman" w:hAnsi="Times New Roman"/>
          <w:sz w:val="24"/>
          <w:szCs w:val="24"/>
          <w:b w:val="1"/>
          <w:bCs w:val="1"/>
          <w:color w:val="auto"/>
        </w:rPr>
        <w:t>Form C</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 V</w:t>
      </w:r>
      <w:r>
        <w:rPr>
          <w:rFonts w:ascii="Times New Roman" w:cs="Times New Roman" w:eastAsia="Times New Roman" w:hAnsi="Times New Roman"/>
          <w:sz w:val="24"/>
          <w:szCs w:val="24"/>
          <w:color w:val="auto"/>
        </w:rPr>
        <w:t xml:space="preserve">, at the time of </w:t>
      </w:r>
      <w:r>
        <w:rPr>
          <w:rFonts w:ascii="Times New Roman" w:cs="Times New Roman" w:eastAsia="Times New Roman" w:hAnsi="Times New Roman"/>
          <w:sz w:val="32"/>
          <w:szCs w:val="32"/>
          <w:color w:val="auto"/>
          <w:vertAlign w:val="superscript"/>
        </w:rPr>
        <w:t>59</w:t>
      </w:r>
      <w:r>
        <w:rPr>
          <w:rFonts w:ascii="Times New Roman" w:cs="Times New Roman" w:eastAsia="Times New Roman" w:hAnsi="Times New Roman"/>
          <w:sz w:val="24"/>
          <w:szCs w:val="24"/>
          <w:color w:val="auto"/>
        </w:rPr>
        <w:t>[filing] of the offer document;</w:t>
      </w:r>
    </w:p>
    <w:p>
      <w:pPr>
        <w:spacing w:after="0" w:line="83" w:lineRule="exact"/>
        <w:rPr>
          <w:rFonts w:ascii="Times New Roman" w:cs="Times New Roman" w:eastAsia="Times New Roman" w:hAnsi="Times New Roman"/>
          <w:sz w:val="24"/>
          <w:szCs w:val="24"/>
          <w:color w:val="auto"/>
        </w:rPr>
      </w:pPr>
    </w:p>
    <w:p>
      <w:pPr>
        <w:jc w:val="both"/>
        <w:ind w:left="728" w:hanging="368"/>
        <w:spacing w:after="0" w:line="354" w:lineRule="auto"/>
        <w:tabs>
          <w:tab w:leader="none" w:pos="728" w:val="left"/>
        </w:tabs>
        <w:numPr>
          <w:ilvl w:val="0"/>
          <w:numId w:val="32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copy of the resolution passed by the board of directors of the issuer for allotting specified securities to promoters towards amount received against promoters’ contribution, before opening of the issue;</w:t>
      </w:r>
    </w:p>
    <w:p>
      <w:pPr>
        <w:spacing w:after="0" w:line="19" w:lineRule="exact"/>
        <w:rPr>
          <w:rFonts w:ascii="Times New Roman" w:cs="Times New Roman" w:eastAsia="Times New Roman" w:hAnsi="Times New Roman"/>
          <w:sz w:val="24"/>
          <w:szCs w:val="24"/>
          <w:color w:val="auto"/>
        </w:rPr>
      </w:pPr>
    </w:p>
    <w:p>
      <w:pPr>
        <w:jc w:val="both"/>
        <w:ind w:left="728" w:hanging="368"/>
        <w:spacing w:after="0" w:line="357" w:lineRule="auto"/>
        <w:tabs>
          <w:tab w:leader="none" w:pos="728" w:val="left"/>
        </w:tabs>
        <w:numPr>
          <w:ilvl w:val="0"/>
          <w:numId w:val="32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certificate from a Chartered Accountant, before opening of the issue, certifying that promoters’ contribution has been received in accordance with these regulations, accompanying therewith the names and addresses of the promoters who have contributed to the promoters’ contribution and the amount paid and credited to the bank account of the issuer by each of them towards such contribution;</w:t>
      </w:r>
    </w:p>
    <w:p>
      <w:pPr>
        <w:spacing w:after="0" w:line="19" w:lineRule="exact"/>
        <w:rPr>
          <w:rFonts w:ascii="Times New Roman" w:cs="Times New Roman" w:eastAsia="Times New Roman" w:hAnsi="Times New Roman"/>
          <w:sz w:val="24"/>
          <w:szCs w:val="24"/>
          <w:color w:val="auto"/>
        </w:rPr>
      </w:pPr>
    </w:p>
    <w:p>
      <w:pPr>
        <w:ind w:left="728" w:hanging="368"/>
        <w:spacing w:after="0" w:line="348" w:lineRule="auto"/>
        <w:tabs>
          <w:tab w:leader="none" w:pos="728" w:val="left"/>
        </w:tabs>
        <w:numPr>
          <w:ilvl w:val="0"/>
          <w:numId w:val="32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a due diligence certificate as per </w:t>
      </w:r>
      <w:r>
        <w:rPr>
          <w:rFonts w:ascii="Times New Roman" w:cs="Times New Roman" w:eastAsia="Times New Roman" w:hAnsi="Times New Roman"/>
          <w:sz w:val="24"/>
          <w:szCs w:val="24"/>
          <w:b w:val="1"/>
          <w:bCs w:val="1"/>
          <w:color w:val="auto"/>
        </w:rPr>
        <w:t>Form D</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 V</w:t>
      </w:r>
      <w:r>
        <w:rPr>
          <w:rFonts w:ascii="Times New Roman" w:cs="Times New Roman" w:eastAsia="Times New Roman" w:hAnsi="Times New Roman"/>
          <w:sz w:val="24"/>
          <w:szCs w:val="24"/>
          <w:color w:val="auto"/>
        </w:rPr>
        <w:t>, in the event the issuer has made a disclosure of any material development by issuing a public notice.</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Draft offer document and offer document to be available to the public</w:t>
      </w:r>
    </w:p>
    <w:p>
      <w:pPr>
        <w:spacing w:after="0" w:line="147" w:lineRule="exact"/>
        <w:rPr>
          <w:sz w:val="20"/>
          <w:szCs w:val="20"/>
          <w:color w:val="auto"/>
        </w:rPr>
      </w:pPr>
    </w:p>
    <w:p>
      <w:pPr>
        <w:jc w:val="both"/>
        <w:ind w:left="8" w:hanging="8"/>
        <w:spacing w:after="0" w:line="356" w:lineRule="auto"/>
        <w:tabs>
          <w:tab w:leader="none" w:pos="490" w:val="left"/>
        </w:tabs>
        <w:numPr>
          <w:ilvl w:val="0"/>
          <w:numId w:val="33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draft offer document filed with the Board shall be made public for comments, if any, for a period of at least twenty one days from the date of filing, by hosting it on the websites of the Board, stock exchanges where specified securities are proposed to be listed and lead manager(s) associated with the issue.</w:t>
      </w:r>
    </w:p>
    <w:p>
      <w:pPr>
        <w:spacing w:after="0" w:line="19" w:lineRule="exact"/>
        <w:rPr>
          <w:sz w:val="20"/>
          <w:szCs w:val="20"/>
          <w:color w:val="auto"/>
        </w:rPr>
      </w:pPr>
    </w:p>
    <w:p>
      <w:pPr>
        <w:jc w:val="both"/>
        <w:ind w:left="8" w:firstLine="33"/>
        <w:spacing w:after="0" w:line="358" w:lineRule="auto"/>
        <w:tabs>
          <w:tab w:leader="none" w:pos="485" w:val="left"/>
        </w:tabs>
        <w:numPr>
          <w:ilvl w:val="1"/>
          <w:numId w:val="33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within two days of filing the draft offer document with the Board, make a public announcement in one English national daily newspaper with wide circulation, one Hindi national daily newspaper with wide circulation and one regional language newspaper with wide circulation at the place where the registered office of the issuer is situated, disclosing to the public the fact of filing of the draft offer document with the Board and inviting the public to provide their comments to the Board, the issuer or the lead manager(s) in respect of the disclosures made in the draft offer document.</w:t>
      </w:r>
    </w:p>
    <w:p>
      <w:pPr>
        <w:spacing w:after="0" w:line="15" w:lineRule="exact"/>
        <w:rPr>
          <w:rFonts w:ascii="Times New Roman" w:cs="Times New Roman" w:eastAsia="Times New Roman" w:hAnsi="Times New Roman"/>
          <w:sz w:val="24"/>
          <w:szCs w:val="24"/>
          <w:color w:val="auto"/>
        </w:rPr>
      </w:pPr>
    </w:p>
    <w:p>
      <w:pPr>
        <w:jc w:val="both"/>
        <w:ind w:left="8" w:hanging="8"/>
        <w:spacing w:after="0" w:line="356" w:lineRule="auto"/>
        <w:tabs>
          <w:tab w:leader="none" w:pos="358" w:val="left"/>
        </w:tabs>
        <w:numPr>
          <w:ilvl w:val="0"/>
          <w:numId w:val="33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 shall, after expiry of the period stipulated in sub-regulation (1), file with the Board, details of the comments received by them or the issuer from the public, on the draft offer document, during that period and the consequential changes, if any, that are required to be made in the draft offer document.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ind w:left="8" w:hanging="8"/>
        <w:spacing w:after="0" w:line="203" w:lineRule="auto"/>
        <w:tabs>
          <w:tab w:leader="none" w:pos="188" w:val="left"/>
        </w:tabs>
        <w:numPr>
          <w:ilvl w:val="0"/>
          <w:numId w:val="333"/>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Securities and Exchange Board of India (Issue of Capital and Disclosure Requirements) (Seventh Amendment) Regulations, 2019, w-e-f 01.01.2020 for the word “registering”.</w:t>
      </w:r>
    </w:p>
    <w:p>
      <w:pPr>
        <w:spacing w:after="0" w:line="30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79</w:t>
      </w:r>
    </w:p>
    <w:p>
      <w:pPr>
        <w:sectPr>
          <w:pgSz w:w="11900" w:h="16836" w:orient="portrait"/>
          <w:cols w:equalWidth="0" w:num="1">
            <w:col w:w="9468"/>
          </w:cols>
          <w:pgMar w:left="1152" w:top="1156" w:right="1284" w:bottom="103" w:gutter="0" w:footer="0" w:header="0"/>
        </w:sectPr>
      </w:pPr>
    </w:p>
    <w:bookmarkStart w:id="79" w:name="page80"/>
    <w:bookmarkEnd w:id="79"/>
    <w:p>
      <w:pPr>
        <w:jc w:val="both"/>
        <w:ind w:left="8" w:hanging="8"/>
        <w:spacing w:after="0" w:line="354" w:lineRule="auto"/>
        <w:tabs>
          <w:tab w:leader="none" w:pos="375" w:val="left"/>
        </w:tabs>
        <w:numPr>
          <w:ilvl w:val="0"/>
          <w:numId w:val="33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and the lead manager(s) shall ensure that the offer documents are hosted on the websites as required under these regulations and its contents are the same as the versions as filed with the Registrar of Companies, the Board and the stock exchanges, as applicable.</w:t>
      </w:r>
    </w:p>
    <w:p>
      <w:pPr>
        <w:spacing w:after="0" w:line="20"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365" w:val="left"/>
        </w:tabs>
        <w:numPr>
          <w:ilvl w:val="0"/>
          <w:numId w:val="33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 and the stock exchanges shall provide copies of the offer documents, to the public as and when requested and may charge a reasonable sum for providing a copy of the same.</w:t>
      </w:r>
    </w:p>
    <w:p>
      <w:pPr>
        <w:spacing w:after="0" w:line="200" w:lineRule="exact"/>
        <w:rPr>
          <w:sz w:val="20"/>
          <w:szCs w:val="20"/>
          <w:color w:val="auto"/>
        </w:rPr>
      </w:pPr>
    </w:p>
    <w:p>
      <w:pPr>
        <w:spacing w:after="0" w:line="22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VII - PRICING</w:t>
      </w:r>
    </w:p>
    <w:p>
      <w:pPr>
        <w:spacing w:after="0" w:line="200" w:lineRule="exact"/>
        <w:rPr>
          <w:sz w:val="20"/>
          <w:szCs w:val="20"/>
          <w:color w:val="auto"/>
        </w:rPr>
      </w:pPr>
    </w:p>
    <w:p>
      <w:pPr>
        <w:spacing w:after="0" w:line="35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Face value of equity shares</w:t>
      </w:r>
    </w:p>
    <w:p>
      <w:pPr>
        <w:spacing w:after="0" w:line="147" w:lineRule="exact"/>
        <w:rPr>
          <w:sz w:val="20"/>
          <w:szCs w:val="20"/>
          <w:color w:val="auto"/>
        </w:rPr>
      </w:pPr>
    </w:p>
    <w:p>
      <w:pPr>
        <w:jc w:val="both"/>
        <w:ind w:left="8" w:hanging="8"/>
        <w:spacing w:after="0" w:line="354" w:lineRule="auto"/>
        <w:tabs>
          <w:tab w:leader="none" w:pos="538" w:val="left"/>
        </w:tabs>
        <w:numPr>
          <w:ilvl w:val="0"/>
          <w:numId w:val="33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disclosure about the face value of equity shares shall be made in the draft offer document, offer document, advertisements and application forms, along with the price band or the issue price in identical font size.</w:t>
      </w:r>
    </w:p>
    <w:p>
      <w:pPr>
        <w:spacing w:after="0" w:line="200" w:lineRule="exact"/>
        <w:rPr>
          <w:sz w:val="20"/>
          <w:szCs w:val="20"/>
          <w:color w:val="auto"/>
        </w:rPr>
      </w:pPr>
    </w:p>
    <w:p>
      <w:pPr>
        <w:spacing w:after="0" w:line="22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Pricing</w:t>
      </w:r>
    </w:p>
    <w:p>
      <w:pPr>
        <w:spacing w:after="0" w:line="144" w:lineRule="exact"/>
        <w:rPr>
          <w:sz w:val="20"/>
          <w:szCs w:val="20"/>
          <w:color w:val="auto"/>
        </w:rPr>
      </w:pPr>
    </w:p>
    <w:p>
      <w:pPr>
        <w:jc w:val="both"/>
        <w:ind w:left="8" w:hanging="8"/>
        <w:spacing w:after="0" w:line="354" w:lineRule="auto"/>
        <w:tabs>
          <w:tab w:leader="none" w:pos="478" w:val="left"/>
        </w:tabs>
        <w:numPr>
          <w:ilvl w:val="0"/>
          <w:numId w:val="33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may determine the price of equity shares, and in case of convertible securities, the coupon rate and the conversion price, in consultation with the lead manager(s) or through the book building process, as the case may be.</w:t>
      </w:r>
    </w:p>
    <w:p>
      <w:pPr>
        <w:spacing w:after="0" w:line="22" w:lineRule="exact"/>
        <w:rPr>
          <w:rFonts w:ascii="Times New Roman" w:cs="Times New Roman" w:eastAsia="Times New Roman" w:hAnsi="Times New Roman"/>
          <w:sz w:val="24"/>
          <w:szCs w:val="24"/>
          <w:b w:val="1"/>
          <w:bCs w:val="1"/>
          <w:color w:val="auto"/>
        </w:rPr>
      </w:pPr>
    </w:p>
    <w:p>
      <w:pPr>
        <w:ind w:left="8"/>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(2) The issuer shall undertake the book building process in the manner specified in </w:t>
      </w:r>
      <w:r>
        <w:rPr>
          <w:rFonts w:ascii="Times New Roman" w:cs="Times New Roman" w:eastAsia="Times New Roman" w:hAnsi="Times New Roman"/>
          <w:sz w:val="24"/>
          <w:szCs w:val="24"/>
          <w:b w:val="1"/>
          <w:bCs w:val="1"/>
          <w:color w:val="auto"/>
        </w:rPr>
        <w:t>Schedule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XIII</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Price and price band</w:t>
      </w:r>
    </w:p>
    <w:p>
      <w:pPr>
        <w:spacing w:after="0" w:line="147" w:lineRule="exact"/>
        <w:rPr>
          <w:sz w:val="20"/>
          <w:szCs w:val="20"/>
          <w:color w:val="auto"/>
        </w:rPr>
      </w:pPr>
    </w:p>
    <w:p>
      <w:pPr>
        <w:jc w:val="both"/>
        <w:ind w:left="8" w:hanging="8"/>
        <w:spacing w:after="0" w:line="348" w:lineRule="auto"/>
        <w:tabs>
          <w:tab w:leader="none" w:pos="502" w:val="left"/>
        </w:tabs>
        <w:numPr>
          <w:ilvl w:val="0"/>
          <w:numId w:val="33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may mention a price or a price band in the offer document (in case of a fixed price issue) and a floor price or a price band in the red herring prospectus (in case of a book built</w:t>
      </w:r>
    </w:p>
    <w:p>
      <w:pPr>
        <w:spacing w:after="0" w:line="8" w:lineRule="exact"/>
        <w:rPr>
          <w:rFonts w:ascii="Times New Roman" w:cs="Times New Roman" w:eastAsia="Times New Roman" w:hAnsi="Times New Roman"/>
          <w:sz w:val="24"/>
          <w:szCs w:val="24"/>
          <w:b w:val="1"/>
          <w:bCs w:val="1"/>
          <w:color w:val="auto"/>
        </w:rPr>
      </w:pPr>
    </w:p>
    <w:p>
      <w:pPr>
        <w:ind w:left="8"/>
        <w:spacing w:after="0" w:line="285"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issue) and determine the price at a later date before </w:t>
      </w:r>
      <w:r>
        <w:rPr>
          <w:rFonts w:ascii="Times New Roman" w:cs="Times New Roman" w:eastAsia="Times New Roman" w:hAnsi="Times New Roman"/>
          <w:sz w:val="32"/>
          <w:szCs w:val="32"/>
          <w:color w:val="auto"/>
          <w:vertAlign w:val="superscript"/>
        </w:rPr>
        <w:t>60</w:t>
      </w:r>
      <w:r>
        <w:rPr>
          <w:rFonts w:ascii="Times New Roman" w:cs="Times New Roman" w:eastAsia="Times New Roman" w:hAnsi="Times New Roman"/>
          <w:sz w:val="24"/>
          <w:szCs w:val="24"/>
          <w:color w:val="auto"/>
        </w:rPr>
        <w:t>[filing] the prospectus with the Registrar of Companies:</w:t>
      </w:r>
    </w:p>
    <w:p>
      <w:pPr>
        <w:spacing w:after="0" w:line="63" w:lineRule="exact"/>
        <w:rPr>
          <w:rFonts w:ascii="Times New Roman" w:cs="Times New Roman" w:eastAsia="Times New Roman" w:hAnsi="Times New Roman"/>
          <w:sz w:val="24"/>
          <w:szCs w:val="24"/>
          <w:b w:val="1"/>
          <w:bCs w:val="1"/>
          <w:color w:val="auto"/>
        </w:rPr>
      </w:pPr>
    </w:p>
    <w:p>
      <w:pPr>
        <w:ind w:left="8"/>
        <w:spacing w:after="0" w:line="285"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Provided that the prospectus </w:t>
      </w:r>
      <w:r>
        <w:rPr>
          <w:rFonts w:ascii="Times New Roman" w:cs="Times New Roman" w:eastAsia="Times New Roman" w:hAnsi="Times New Roman"/>
          <w:sz w:val="32"/>
          <w:szCs w:val="32"/>
          <w:color w:val="auto"/>
          <w:vertAlign w:val="superscript"/>
        </w:rPr>
        <w:t>61</w:t>
      </w:r>
      <w:r>
        <w:rPr>
          <w:rFonts w:ascii="Times New Roman" w:cs="Times New Roman" w:eastAsia="Times New Roman" w:hAnsi="Times New Roman"/>
          <w:sz w:val="24"/>
          <w:szCs w:val="24"/>
          <w:color w:val="auto"/>
        </w:rPr>
        <w:t>[filed] with the Registrar of Companies shall contain only one price or the specific coupon rate, as the case may be.</w:t>
      </w:r>
    </w:p>
    <w:p>
      <w:pPr>
        <w:spacing w:after="0" w:line="83" w:lineRule="exact"/>
        <w:rPr>
          <w:rFonts w:ascii="Times New Roman" w:cs="Times New Roman" w:eastAsia="Times New Roman" w:hAnsi="Times New Roman"/>
          <w:sz w:val="24"/>
          <w:szCs w:val="24"/>
          <w:b w:val="1"/>
          <w:bCs w:val="1"/>
          <w:color w:val="auto"/>
        </w:rPr>
      </w:pPr>
    </w:p>
    <w:p>
      <w:pPr>
        <w:ind w:left="8"/>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The cap on the price band, and the coupon rate in case of convertible debt instruments, shall be less than or equal to one hundred and twenty per cent. of the floor price.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ind w:left="8" w:hanging="8"/>
        <w:spacing w:after="0" w:line="203" w:lineRule="auto"/>
        <w:tabs>
          <w:tab w:leader="none" w:pos="188" w:val="left"/>
        </w:tabs>
        <w:numPr>
          <w:ilvl w:val="0"/>
          <w:numId w:val="338"/>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Securities and Exchange Board of India (Issue of Capital and Disclosure Requirements) (Seventh Amendment) Regulations, 2019, w-e-f 01.01.2020 for the word “registering”.</w:t>
      </w:r>
    </w:p>
    <w:p>
      <w:pPr>
        <w:spacing w:after="0" w:line="13" w:lineRule="exact"/>
        <w:rPr>
          <w:rFonts w:ascii="Times New Roman" w:cs="Times New Roman" w:eastAsia="Times New Roman" w:hAnsi="Times New Roman"/>
          <w:sz w:val="26"/>
          <w:szCs w:val="26"/>
          <w:color w:val="auto"/>
          <w:vertAlign w:val="superscript"/>
        </w:rPr>
      </w:pPr>
    </w:p>
    <w:p>
      <w:pPr>
        <w:ind w:left="8" w:hanging="8"/>
        <w:spacing w:after="0" w:line="203" w:lineRule="auto"/>
        <w:tabs>
          <w:tab w:leader="none" w:pos="188" w:val="left"/>
        </w:tabs>
        <w:numPr>
          <w:ilvl w:val="0"/>
          <w:numId w:val="338"/>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Securities and Exchange Board of India (Issue of Capital and Disclosure Requirements) (Seventh Amendment) Regulations, 2019, w-e-f 01.01.2020 for the word “registered”.</w:t>
      </w:r>
    </w:p>
    <w:p>
      <w:pPr>
        <w:spacing w:after="0" w:line="30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80</w:t>
      </w:r>
    </w:p>
    <w:p>
      <w:pPr>
        <w:sectPr>
          <w:pgSz w:w="11900" w:h="16836" w:orient="portrait"/>
          <w:cols w:equalWidth="0" w:num="1">
            <w:col w:w="9468"/>
          </w:cols>
          <w:pgMar w:left="1152" w:top="1156" w:right="1284" w:bottom="103" w:gutter="0" w:footer="0" w:header="0"/>
        </w:sectPr>
      </w:pPr>
    </w:p>
    <w:bookmarkStart w:id="80" w:name="page81"/>
    <w:bookmarkEnd w:id="80"/>
    <w:p>
      <w:pPr>
        <w:ind w:left="8" w:hanging="8"/>
        <w:spacing w:after="0" w:line="348" w:lineRule="auto"/>
        <w:tabs>
          <w:tab w:leader="none" w:pos="368" w:val="left"/>
        </w:tabs>
        <w:numPr>
          <w:ilvl w:val="0"/>
          <w:numId w:val="33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floor price or the final price shall not be less than the face value of the specified securities.</w:t>
      </w:r>
    </w:p>
    <w:p>
      <w:pPr>
        <w:spacing w:after="0" w:line="28" w:lineRule="exact"/>
        <w:rPr>
          <w:rFonts w:ascii="Times New Roman" w:cs="Times New Roman" w:eastAsia="Times New Roman" w:hAnsi="Times New Roman"/>
          <w:sz w:val="24"/>
          <w:szCs w:val="24"/>
          <w:color w:val="auto"/>
        </w:rPr>
      </w:pPr>
    </w:p>
    <w:p>
      <w:pPr>
        <w:jc w:val="both"/>
        <w:ind w:left="8" w:hanging="8"/>
        <w:spacing w:after="0" w:line="356" w:lineRule="auto"/>
        <w:tabs>
          <w:tab w:leader="none" w:pos="425" w:val="left"/>
        </w:tabs>
        <w:numPr>
          <w:ilvl w:val="0"/>
          <w:numId w:val="33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Where the issuer opts not to make the disclosure of the floor price or price band in the red herring prospectus, the issuer shall announce the floor price or the price band at least one working day before the opening of the bid in the same newspapers in which the pre-issue advertisement was released or together with the pre-issue advertisement in the format prescribed under Part A of</w:t>
      </w:r>
    </w:p>
    <w:p>
      <w:pPr>
        <w:spacing w:after="0" w:line="200" w:lineRule="exact"/>
        <w:rPr>
          <w:sz w:val="20"/>
          <w:szCs w:val="20"/>
          <w:color w:val="auto"/>
        </w:rPr>
      </w:pPr>
    </w:p>
    <w:p>
      <w:pPr>
        <w:spacing w:after="0" w:line="231" w:lineRule="exact"/>
        <w:rPr>
          <w:sz w:val="20"/>
          <w:szCs w:val="20"/>
          <w:color w:val="auto"/>
        </w:rPr>
      </w:pPr>
    </w:p>
    <w:p>
      <w:pPr>
        <w:jc w:val="both"/>
        <w:ind w:left="8" w:hanging="8"/>
        <w:spacing w:after="0" w:line="350" w:lineRule="auto"/>
        <w:tabs>
          <w:tab w:leader="none" w:pos="368" w:val="left"/>
        </w:tabs>
        <w:numPr>
          <w:ilvl w:val="0"/>
          <w:numId w:val="34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announcement referred to in sub-regulation (4) shall contain relevant financial ratios computed for both upper and lower end of the price band and also a statement drawing attention</w:t>
      </w:r>
    </w:p>
    <w:p>
      <w:pPr>
        <w:spacing w:after="0" w:line="11"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of the investors to the section title “basis of issue price” of the offer document.</w:t>
      </w:r>
    </w:p>
    <w:p>
      <w:pPr>
        <w:spacing w:after="0" w:line="151" w:lineRule="exact"/>
        <w:rPr>
          <w:sz w:val="20"/>
          <w:szCs w:val="20"/>
          <w:color w:val="auto"/>
        </w:rPr>
      </w:pPr>
    </w:p>
    <w:p>
      <w:pPr>
        <w:jc w:val="both"/>
        <w:ind w:left="8" w:hanging="8"/>
        <w:spacing w:after="0" w:line="354" w:lineRule="auto"/>
        <w:tabs>
          <w:tab w:leader="none" w:pos="368" w:val="left"/>
        </w:tabs>
        <w:numPr>
          <w:ilvl w:val="0"/>
          <w:numId w:val="34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announcement referred to in sub-regulation (4) and the relevant financial ratios referred to in sub-regulation (5) shall be disclosed on the websites of the stock exchange(s) and shall also be pre-filled in the application forms to be made available on the websites of the stock exchange(s).</w:t>
      </w:r>
    </w:p>
    <w:p>
      <w:pPr>
        <w:spacing w:after="0" w:line="200" w:lineRule="exact"/>
        <w:rPr>
          <w:sz w:val="20"/>
          <w:szCs w:val="20"/>
          <w:color w:val="auto"/>
        </w:rPr>
      </w:pPr>
    </w:p>
    <w:p>
      <w:pPr>
        <w:spacing w:after="0" w:line="22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Differential pricing</w:t>
      </w:r>
    </w:p>
    <w:p>
      <w:pPr>
        <w:spacing w:after="0" w:line="132" w:lineRule="exact"/>
        <w:rPr>
          <w:sz w:val="20"/>
          <w:szCs w:val="20"/>
          <w:color w:val="auto"/>
        </w:rPr>
      </w:pPr>
    </w:p>
    <w:p>
      <w:pPr>
        <w:ind w:left="468" w:hanging="468"/>
        <w:spacing w:after="0"/>
        <w:tabs>
          <w:tab w:leader="none" w:pos="468" w:val="left"/>
        </w:tabs>
        <w:numPr>
          <w:ilvl w:val="0"/>
          <w:numId w:val="34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may offer its specified securities at different prices, subject to the following:</w:t>
      </w:r>
    </w:p>
    <w:p>
      <w:pPr>
        <w:spacing w:after="0" w:line="152" w:lineRule="exact"/>
        <w:rPr>
          <w:sz w:val="20"/>
          <w:szCs w:val="20"/>
          <w:color w:val="auto"/>
        </w:rPr>
      </w:pPr>
    </w:p>
    <w:p>
      <w:pPr>
        <w:jc w:val="both"/>
        <w:ind w:left="548" w:hanging="548"/>
        <w:spacing w:after="0" w:line="356" w:lineRule="auto"/>
        <w:tabs>
          <w:tab w:leader="none" w:pos="548" w:val="left"/>
        </w:tabs>
        <w:numPr>
          <w:ilvl w:val="0"/>
          <w:numId w:val="34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retail individual investors or retail individual shareholders or employees entitled for reservation made under regulation 130 may be offered specified securities at a price not lower than by more than ten per cent. of the price at which net offer is made to other categories of applicants, excluding anchor investors;</w:t>
      </w:r>
    </w:p>
    <w:p>
      <w:pPr>
        <w:spacing w:after="0" w:line="18" w:lineRule="exact"/>
        <w:rPr>
          <w:rFonts w:ascii="Times New Roman" w:cs="Times New Roman" w:eastAsia="Times New Roman" w:hAnsi="Times New Roman"/>
          <w:sz w:val="24"/>
          <w:szCs w:val="24"/>
          <w:color w:val="auto"/>
        </w:rPr>
      </w:pPr>
    </w:p>
    <w:p>
      <w:pPr>
        <w:ind w:left="548" w:hanging="548"/>
        <w:spacing w:after="0" w:line="348" w:lineRule="auto"/>
        <w:tabs>
          <w:tab w:leader="none" w:pos="548" w:val="left"/>
        </w:tabs>
        <w:numPr>
          <w:ilvl w:val="0"/>
          <w:numId w:val="34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a book built issue, the price of the specified securities offered to the anchor investors shall not be lower than the price offered to other applicants;</w:t>
      </w:r>
    </w:p>
    <w:p>
      <w:pPr>
        <w:spacing w:after="0" w:line="27" w:lineRule="exact"/>
        <w:rPr>
          <w:rFonts w:ascii="Times New Roman" w:cs="Times New Roman" w:eastAsia="Times New Roman" w:hAnsi="Times New Roman"/>
          <w:sz w:val="24"/>
          <w:szCs w:val="24"/>
          <w:color w:val="auto"/>
        </w:rPr>
      </w:pPr>
    </w:p>
    <w:p>
      <w:pPr>
        <w:jc w:val="both"/>
        <w:ind w:left="548" w:hanging="548"/>
        <w:spacing w:after="0" w:line="354" w:lineRule="auto"/>
        <w:tabs>
          <w:tab w:leader="none" w:pos="548" w:val="left"/>
        </w:tabs>
        <w:numPr>
          <w:ilvl w:val="0"/>
          <w:numId w:val="34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a composite issue, the price of the specified securities offered in the public issue may be different from the price offered in rights issue and justification for such price difference shall be given in the offer document.</w:t>
      </w:r>
    </w:p>
    <w:p>
      <w:pPr>
        <w:spacing w:after="0" w:line="7" w:lineRule="exact"/>
        <w:rPr>
          <w:rFonts w:ascii="Times New Roman" w:cs="Times New Roman" w:eastAsia="Times New Roman" w:hAnsi="Times New Roman"/>
          <w:sz w:val="24"/>
          <w:szCs w:val="24"/>
          <w:color w:val="auto"/>
        </w:rPr>
      </w:pPr>
    </w:p>
    <w:p>
      <w:pPr>
        <w:ind w:left="548" w:hanging="548"/>
        <w:spacing w:after="0"/>
        <w:tabs>
          <w:tab w:leader="none" w:pos="548" w:val="left"/>
        </w:tabs>
        <w:numPr>
          <w:ilvl w:val="0"/>
          <w:numId w:val="34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in case the issuer opts for the alternate method of book building in terms of </w:t>
      </w:r>
      <w:r>
        <w:rPr>
          <w:rFonts w:ascii="Times New Roman" w:cs="Times New Roman" w:eastAsia="Times New Roman" w:hAnsi="Times New Roman"/>
          <w:sz w:val="24"/>
          <w:szCs w:val="24"/>
          <w:b w:val="1"/>
          <w:bCs w:val="1"/>
          <w:color w:val="auto"/>
        </w:rPr>
        <w:t>Part D</w:t>
      </w:r>
      <w:r>
        <w:rPr>
          <w:rFonts w:ascii="Times New Roman" w:cs="Times New Roman" w:eastAsia="Times New Roman" w:hAnsi="Times New Roman"/>
          <w:sz w:val="24"/>
          <w:szCs w:val="24"/>
          <w:color w:val="auto"/>
        </w:rPr>
        <w:t xml:space="preserve"> of</w:t>
      </w:r>
    </w:p>
    <w:p>
      <w:pPr>
        <w:spacing w:after="0" w:line="151" w:lineRule="exact"/>
        <w:rPr>
          <w:sz w:val="20"/>
          <w:szCs w:val="20"/>
          <w:color w:val="auto"/>
        </w:rPr>
      </w:pPr>
    </w:p>
    <w:p>
      <w:pPr>
        <w:ind w:left="548"/>
        <w:spacing w:after="0" w:line="348" w:lineRule="auto"/>
        <w:rPr>
          <w:sz w:val="20"/>
          <w:szCs w:val="20"/>
          <w:color w:val="auto"/>
        </w:rPr>
      </w:pPr>
      <w:r>
        <w:rPr>
          <w:rFonts w:ascii="Times New Roman" w:cs="Times New Roman" w:eastAsia="Times New Roman" w:hAnsi="Times New Roman"/>
          <w:sz w:val="24"/>
          <w:szCs w:val="24"/>
          <w:b w:val="1"/>
          <w:bCs w:val="1"/>
          <w:color w:val="auto"/>
        </w:rPr>
        <w:t>Schedule XIII</w:t>
      </w:r>
      <w:r>
        <w:rPr>
          <w:rFonts w:ascii="Times New Roman" w:cs="Times New Roman" w:eastAsia="Times New Roman" w:hAnsi="Times New Roman"/>
          <w:sz w:val="24"/>
          <w:szCs w:val="24"/>
          <w:color w:val="auto"/>
        </w:rPr>
        <w:t>, the issuer may offer the specified securities to its employees at a price not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lower by more than ten per cent. of the floor price.</w:t>
      </w:r>
    </w:p>
    <w:p>
      <w:pPr>
        <w:spacing w:after="0" w:line="15"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(2) Discount, if any, shall be expressed in rupee terms in the offer document.</w:t>
      </w:r>
    </w:p>
    <w:p>
      <w:pPr>
        <w:spacing w:after="0" w:line="200" w:lineRule="exact"/>
        <w:rPr>
          <w:sz w:val="20"/>
          <w:szCs w:val="20"/>
          <w:color w:val="auto"/>
        </w:rPr>
      </w:pPr>
    </w:p>
    <w:p>
      <w:pPr>
        <w:spacing w:after="0" w:line="369" w:lineRule="exact"/>
        <w:rPr>
          <w:sz w:val="20"/>
          <w:szCs w:val="20"/>
          <w:color w:val="auto"/>
        </w:rPr>
      </w:pPr>
    </w:p>
    <w:p>
      <w:pPr>
        <w:ind w:left="8" w:right="3180"/>
        <w:spacing w:after="0" w:line="348" w:lineRule="auto"/>
        <w:rPr>
          <w:sz w:val="20"/>
          <w:szCs w:val="20"/>
          <w:color w:val="auto"/>
        </w:rPr>
      </w:pPr>
      <w:r>
        <w:rPr>
          <w:rFonts w:ascii="Times New Roman" w:cs="Times New Roman" w:eastAsia="Times New Roman" w:hAnsi="Times New Roman"/>
          <w:sz w:val="24"/>
          <w:szCs w:val="24"/>
          <w:b w:val="1"/>
          <w:bCs w:val="1"/>
          <w:color w:val="auto"/>
        </w:rPr>
        <w:t>PART VIII: ISSUANCE CONDITIONS AND PROCEDURE Allocation in the net offer</w:t>
      </w:r>
    </w:p>
    <w:p>
      <w:pPr>
        <w:spacing w:after="0" w:line="23" w:lineRule="exact"/>
        <w:rPr>
          <w:sz w:val="20"/>
          <w:szCs w:val="20"/>
          <w:color w:val="auto"/>
        </w:rPr>
      </w:pPr>
    </w:p>
    <w:p>
      <w:pPr>
        <w:ind w:left="8" w:hanging="8"/>
        <w:spacing w:after="0" w:line="348" w:lineRule="auto"/>
        <w:tabs>
          <w:tab w:leader="none" w:pos="490" w:val="left"/>
        </w:tabs>
        <w:numPr>
          <w:ilvl w:val="0"/>
          <w:numId w:val="34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In an issue made through the book building process under sub-regulation (1) of regulation 103, the allocation in the net offer category shall be as follows:</w:t>
      </w:r>
    </w:p>
    <w:p>
      <w:pPr>
        <w:spacing w:after="0" w:line="28" w:lineRule="exact"/>
        <w:rPr>
          <w:sz w:val="20"/>
          <w:szCs w:val="20"/>
          <w:color w:val="auto"/>
        </w:rPr>
      </w:pPr>
    </w:p>
    <w:p>
      <w:pPr>
        <w:ind w:left="4608" w:right="3380" w:hanging="4608"/>
        <w:spacing w:after="0" w:line="571" w:lineRule="auto"/>
        <w:tabs>
          <w:tab w:leader="none" w:pos="354" w:val="left"/>
        </w:tabs>
        <w:numPr>
          <w:ilvl w:val="0"/>
          <w:numId w:val="34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not less than thirty five per cent. to retail individual investors; 81</w:t>
      </w:r>
    </w:p>
    <w:p>
      <w:pPr>
        <w:sectPr>
          <w:pgSz w:w="11900" w:h="16836" w:orient="portrait"/>
          <w:cols w:equalWidth="0" w:num="1">
            <w:col w:w="9468"/>
          </w:cols>
          <w:pgMar w:left="1152" w:top="1156" w:right="1284" w:bottom="0" w:gutter="0" w:footer="0" w:header="0"/>
        </w:sectPr>
      </w:pPr>
    </w:p>
    <w:bookmarkStart w:id="81" w:name="page82"/>
    <w:bookmarkEnd w:id="81"/>
    <w:p>
      <w:pPr>
        <w:ind w:left="368" w:hanging="368"/>
        <w:spacing w:after="0"/>
        <w:tabs>
          <w:tab w:leader="none" w:pos="368" w:val="left"/>
        </w:tabs>
        <w:numPr>
          <w:ilvl w:val="0"/>
          <w:numId w:val="34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not less than fifteen per cent. to non-institutional investors;</w:t>
      </w:r>
    </w:p>
    <w:p>
      <w:pPr>
        <w:spacing w:after="0" w:line="149" w:lineRule="exact"/>
        <w:rPr>
          <w:rFonts w:ascii="Times New Roman" w:cs="Times New Roman" w:eastAsia="Times New Roman" w:hAnsi="Times New Roman"/>
          <w:sz w:val="24"/>
          <w:szCs w:val="24"/>
          <w:color w:val="auto"/>
        </w:rPr>
      </w:pPr>
    </w:p>
    <w:p>
      <w:pPr>
        <w:ind w:left="368" w:hanging="368"/>
        <w:spacing w:after="0" w:line="350" w:lineRule="auto"/>
        <w:tabs>
          <w:tab w:leader="none" w:pos="368" w:val="left"/>
        </w:tabs>
        <w:numPr>
          <w:ilvl w:val="0"/>
          <w:numId w:val="34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not more than fifty per cent. to qualified institutional buyers, five per cent. of which shall be allocated to mutual funds:</w:t>
      </w:r>
    </w:p>
    <w:p>
      <w:pPr>
        <w:spacing w:after="0" w:line="23" w:lineRule="exact"/>
        <w:rPr>
          <w:rFonts w:ascii="Times New Roman" w:cs="Times New Roman" w:eastAsia="Times New Roman" w:hAnsi="Times New Roman"/>
          <w:sz w:val="24"/>
          <w:szCs w:val="24"/>
          <w:color w:val="auto"/>
        </w:rPr>
      </w:pPr>
    </w:p>
    <w:p>
      <w:pPr>
        <w:ind w:left="548"/>
        <w:spacing w:after="0" w:line="350"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the unsubscribed portion in either of the categories specified in clauses (a) or (b) may be allocated to applicants in any other category:</w:t>
      </w:r>
    </w:p>
    <w:p>
      <w:pPr>
        <w:spacing w:after="0" w:line="23" w:lineRule="exact"/>
        <w:rPr>
          <w:rFonts w:ascii="Times New Roman" w:cs="Times New Roman" w:eastAsia="Times New Roman" w:hAnsi="Times New Roman"/>
          <w:sz w:val="24"/>
          <w:szCs w:val="24"/>
          <w:color w:val="auto"/>
        </w:rPr>
      </w:pPr>
    </w:p>
    <w:p>
      <w:pPr>
        <w:jc w:val="both"/>
        <w:ind w:left="548"/>
        <w:spacing w:after="0" w:line="35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further that in addition to five per cent. allocation available in terms of clause (c), mutual funds shall be eligible for allocation under the balance available for qualified institutional buyers.</w:t>
      </w:r>
    </w:p>
    <w:p>
      <w:pPr>
        <w:spacing w:after="0" w:line="23" w:lineRule="exact"/>
        <w:rPr>
          <w:sz w:val="20"/>
          <w:szCs w:val="20"/>
          <w:color w:val="auto"/>
        </w:rPr>
      </w:pPr>
    </w:p>
    <w:p>
      <w:pPr>
        <w:ind w:left="8" w:hanging="8"/>
        <w:spacing w:after="0" w:line="348" w:lineRule="auto"/>
        <w:tabs>
          <w:tab w:leader="none" w:pos="358" w:val="left"/>
        </w:tabs>
        <w:numPr>
          <w:ilvl w:val="0"/>
          <w:numId w:val="3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an issue made through the book building process under sub-regulation (2) of regulation 103, the allocation in the net offer category shall be as follows:</w:t>
      </w:r>
    </w:p>
    <w:p>
      <w:pPr>
        <w:spacing w:after="0" w:line="15" w:lineRule="exact"/>
        <w:rPr>
          <w:rFonts w:ascii="Times New Roman" w:cs="Times New Roman" w:eastAsia="Times New Roman" w:hAnsi="Times New Roman"/>
          <w:sz w:val="24"/>
          <w:szCs w:val="24"/>
          <w:color w:val="auto"/>
        </w:rPr>
      </w:pPr>
    </w:p>
    <w:p>
      <w:pPr>
        <w:ind w:left="768" w:hanging="316"/>
        <w:spacing w:after="0"/>
        <w:tabs>
          <w:tab w:leader="none" w:pos="768" w:val="left"/>
        </w:tabs>
        <w:numPr>
          <w:ilvl w:val="1"/>
          <w:numId w:val="3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not more than ten per cent. to retail individual investors;</w:t>
      </w:r>
    </w:p>
    <w:p>
      <w:pPr>
        <w:spacing w:after="0" w:line="136" w:lineRule="exact"/>
        <w:rPr>
          <w:rFonts w:ascii="Times New Roman" w:cs="Times New Roman" w:eastAsia="Times New Roman" w:hAnsi="Times New Roman"/>
          <w:sz w:val="24"/>
          <w:szCs w:val="24"/>
          <w:color w:val="auto"/>
        </w:rPr>
      </w:pPr>
    </w:p>
    <w:p>
      <w:pPr>
        <w:ind w:left="788" w:hanging="336"/>
        <w:spacing w:after="0"/>
        <w:tabs>
          <w:tab w:leader="none" w:pos="788" w:val="left"/>
        </w:tabs>
        <w:numPr>
          <w:ilvl w:val="1"/>
          <w:numId w:val="3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not more than fifteen per cent. to non-institutional investors;</w:t>
      </w:r>
    </w:p>
    <w:p>
      <w:pPr>
        <w:spacing w:after="0" w:line="151" w:lineRule="exact"/>
        <w:rPr>
          <w:rFonts w:ascii="Times New Roman" w:cs="Times New Roman" w:eastAsia="Times New Roman" w:hAnsi="Times New Roman"/>
          <w:sz w:val="24"/>
          <w:szCs w:val="24"/>
          <w:color w:val="auto"/>
        </w:rPr>
      </w:pPr>
    </w:p>
    <w:p>
      <w:pPr>
        <w:ind w:left="728" w:hanging="276"/>
        <w:spacing w:after="0" w:line="348" w:lineRule="auto"/>
        <w:tabs>
          <w:tab w:leader="none" w:pos="792" w:val="left"/>
        </w:tabs>
        <w:numPr>
          <w:ilvl w:val="1"/>
          <w:numId w:val="3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not less than seventy five per cent. to qualified institutional buyers, five per cent. of which shall be allocated to mutual funds:</w:t>
      </w:r>
    </w:p>
    <w:p>
      <w:pPr>
        <w:spacing w:after="0" w:line="28" w:lineRule="exact"/>
        <w:rPr>
          <w:sz w:val="20"/>
          <w:szCs w:val="20"/>
          <w:color w:val="auto"/>
        </w:rPr>
      </w:pPr>
    </w:p>
    <w:p>
      <w:pPr>
        <w:ind w:left="8"/>
        <w:spacing w:after="0" w:line="348" w:lineRule="auto"/>
        <w:rPr>
          <w:sz w:val="20"/>
          <w:szCs w:val="20"/>
          <w:color w:val="auto"/>
        </w:rPr>
      </w:pPr>
      <w:r>
        <w:rPr>
          <w:rFonts w:ascii="Times New Roman" w:cs="Times New Roman" w:eastAsia="Times New Roman" w:hAnsi="Times New Roman"/>
          <w:sz w:val="24"/>
          <w:szCs w:val="24"/>
          <w:color w:val="auto"/>
        </w:rPr>
        <w:t>Provided that the unsubscribed portion in either of the categories specified in clauses (a) or (b) may be allocated to applicants in the other category:</w:t>
      </w:r>
    </w:p>
    <w:p>
      <w:pPr>
        <w:spacing w:after="0" w:line="28" w:lineRule="exact"/>
        <w:rPr>
          <w:sz w:val="20"/>
          <w:szCs w:val="20"/>
          <w:color w:val="auto"/>
        </w:rPr>
      </w:pPr>
    </w:p>
    <w:p>
      <w:pPr>
        <w:ind w:left="8"/>
        <w:spacing w:after="0" w:line="373" w:lineRule="auto"/>
        <w:rPr>
          <w:sz w:val="20"/>
          <w:szCs w:val="20"/>
          <w:color w:val="auto"/>
        </w:rPr>
      </w:pPr>
      <w:r>
        <w:rPr>
          <w:rFonts w:ascii="Times New Roman" w:cs="Times New Roman" w:eastAsia="Times New Roman" w:hAnsi="Times New Roman"/>
          <w:sz w:val="23"/>
          <w:szCs w:val="23"/>
          <w:color w:val="auto"/>
        </w:rPr>
        <w:t>Provided further that in addition to five per cent. allocation available in terms of clause (c), mutual funds shall be eligible for allocation under the balance available for qualified institutional buyers.</w:t>
      </w:r>
    </w:p>
    <w:p>
      <w:pPr>
        <w:spacing w:after="0" w:line="6" w:lineRule="exact"/>
        <w:rPr>
          <w:sz w:val="20"/>
          <w:szCs w:val="20"/>
          <w:color w:val="auto"/>
        </w:rPr>
      </w:pPr>
    </w:p>
    <w:p>
      <w:pPr>
        <w:jc w:val="both"/>
        <w:ind w:left="8" w:hanging="8"/>
        <w:spacing w:after="0" w:line="354" w:lineRule="auto"/>
        <w:tabs>
          <w:tab w:leader="none" w:pos="411" w:val="left"/>
        </w:tabs>
        <w:numPr>
          <w:ilvl w:val="0"/>
          <w:numId w:val="34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In an issue made through the book building process, the issuer may allocate up to sixty per cent. of the portion available for allocation to qualified institutional buyers to anchor investors in accordance with the conditions specified in this regard in </w:t>
      </w:r>
      <w:r>
        <w:rPr>
          <w:rFonts w:ascii="Times New Roman" w:cs="Times New Roman" w:eastAsia="Times New Roman" w:hAnsi="Times New Roman"/>
          <w:sz w:val="24"/>
          <w:szCs w:val="24"/>
          <w:b w:val="1"/>
          <w:bCs w:val="1"/>
          <w:color w:val="auto"/>
        </w:rPr>
        <w:t>Schedule XIII</w:t>
      </w:r>
      <w:r>
        <w:rPr>
          <w:rFonts w:ascii="Times New Roman" w:cs="Times New Roman" w:eastAsia="Times New Roman" w:hAnsi="Times New Roman"/>
          <w:sz w:val="24"/>
          <w:szCs w:val="24"/>
          <w:color w:val="auto"/>
        </w:rPr>
        <w:t>.</w:t>
      </w:r>
    </w:p>
    <w:p>
      <w:pPr>
        <w:spacing w:after="0" w:line="19" w:lineRule="exact"/>
        <w:rPr>
          <w:rFonts w:ascii="Times New Roman" w:cs="Times New Roman" w:eastAsia="Times New Roman" w:hAnsi="Times New Roman"/>
          <w:sz w:val="24"/>
          <w:szCs w:val="24"/>
          <w:color w:val="auto"/>
        </w:rPr>
      </w:pPr>
    </w:p>
    <w:p>
      <w:pPr>
        <w:ind w:left="8" w:hanging="8"/>
        <w:spacing w:after="0" w:line="350" w:lineRule="auto"/>
        <w:tabs>
          <w:tab w:leader="none" w:pos="492" w:val="left"/>
        </w:tabs>
        <w:numPr>
          <w:ilvl w:val="0"/>
          <w:numId w:val="34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an issue made other than through the book building process, allocation in the net offer category shall be made as follows:</w:t>
      </w:r>
    </w:p>
    <w:p>
      <w:pPr>
        <w:spacing w:after="0" w:line="11" w:lineRule="exact"/>
        <w:rPr>
          <w:rFonts w:ascii="Times New Roman" w:cs="Times New Roman" w:eastAsia="Times New Roman" w:hAnsi="Times New Roman"/>
          <w:sz w:val="24"/>
          <w:szCs w:val="24"/>
          <w:color w:val="auto"/>
        </w:rPr>
      </w:pPr>
    </w:p>
    <w:p>
      <w:pPr>
        <w:ind w:left="868" w:hanging="508"/>
        <w:spacing w:after="0"/>
        <w:tabs>
          <w:tab w:leader="none" w:pos="868" w:val="left"/>
        </w:tabs>
        <w:numPr>
          <w:ilvl w:val="1"/>
          <w:numId w:val="34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minimum fifty per cent. to retail individual investors; and</w:t>
      </w:r>
    </w:p>
    <w:p>
      <w:pPr>
        <w:spacing w:after="0" w:line="139" w:lineRule="exact"/>
        <w:rPr>
          <w:rFonts w:ascii="Times New Roman" w:cs="Times New Roman" w:eastAsia="Times New Roman" w:hAnsi="Times New Roman"/>
          <w:sz w:val="24"/>
          <w:szCs w:val="24"/>
          <w:color w:val="auto"/>
        </w:rPr>
      </w:pPr>
    </w:p>
    <w:p>
      <w:pPr>
        <w:ind w:left="868" w:hanging="508"/>
        <w:spacing w:after="0"/>
        <w:tabs>
          <w:tab w:leader="none" w:pos="868" w:val="left"/>
        </w:tabs>
        <w:numPr>
          <w:ilvl w:val="1"/>
          <w:numId w:val="34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remaining to:</w:t>
      </w:r>
    </w:p>
    <w:p>
      <w:pPr>
        <w:spacing w:after="0" w:line="136" w:lineRule="exact"/>
        <w:rPr>
          <w:rFonts w:ascii="Times New Roman" w:cs="Times New Roman" w:eastAsia="Times New Roman" w:hAnsi="Times New Roman"/>
          <w:sz w:val="24"/>
          <w:szCs w:val="24"/>
          <w:color w:val="auto"/>
        </w:rPr>
      </w:pPr>
    </w:p>
    <w:p>
      <w:pPr>
        <w:ind w:left="1368" w:hanging="504"/>
        <w:spacing w:after="0"/>
        <w:tabs>
          <w:tab w:leader="none" w:pos="1368" w:val="left"/>
        </w:tabs>
        <w:numPr>
          <w:ilvl w:val="2"/>
          <w:numId w:val="34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individual applicants other than retail individual investors; and</w:t>
      </w:r>
    </w:p>
    <w:p>
      <w:pPr>
        <w:spacing w:after="0" w:line="151" w:lineRule="exact"/>
        <w:rPr>
          <w:rFonts w:ascii="Times New Roman" w:cs="Times New Roman" w:eastAsia="Times New Roman" w:hAnsi="Times New Roman"/>
          <w:sz w:val="24"/>
          <w:szCs w:val="24"/>
          <w:color w:val="auto"/>
        </w:rPr>
      </w:pPr>
    </w:p>
    <w:p>
      <w:pPr>
        <w:ind w:left="1368" w:hanging="504"/>
        <w:spacing w:after="0" w:line="348" w:lineRule="auto"/>
        <w:tabs>
          <w:tab w:leader="none" w:pos="1368" w:val="left"/>
        </w:tabs>
        <w:numPr>
          <w:ilvl w:val="2"/>
          <w:numId w:val="34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other investors including corporate bodies or institutions, irrespective of the number of specified securities applied for;</w:t>
      </w:r>
    </w:p>
    <w:p>
      <w:pPr>
        <w:spacing w:after="0" w:line="28" w:lineRule="exact"/>
        <w:rPr>
          <w:sz w:val="20"/>
          <w:szCs w:val="20"/>
          <w:color w:val="auto"/>
        </w:rPr>
      </w:pPr>
    </w:p>
    <w:p>
      <w:pPr>
        <w:ind w:left="868"/>
        <w:spacing w:after="0" w:line="348" w:lineRule="auto"/>
        <w:rPr>
          <w:sz w:val="20"/>
          <w:szCs w:val="20"/>
          <w:color w:val="auto"/>
        </w:rPr>
      </w:pPr>
      <w:r>
        <w:rPr>
          <w:rFonts w:ascii="Times New Roman" w:cs="Times New Roman" w:eastAsia="Times New Roman" w:hAnsi="Times New Roman"/>
          <w:sz w:val="24"/>
          <w:szCs w:val="24"/>
          <w:color w:val="auto"/>
        </w:rPr>
        <w:t>Provided that the unsubscribed portion in either of the categories specified in clauses (a) or (b) may be allocated to applicants in the other category.</w:t>
      </w:r>
    </w:p>
    <w:p>
      <w:pPr>
        <w:spacing w:after="0" w:line="28" w:lineRule="exact"/>
        <w:rPr>
          <w:sz w:val="20"/>
          <w:szCs w:val="20"/>
          <w:color w:val="auto"/>
        </w:rPr>
      </w:pPr>
    </w:p>
    <w:p>
      <w:pPr>
        <w:jc w:val="both"/>
        <w:ind w:left="8"/>
        <w:spacing w:after="0" w:line="354" w:lineRule="auto"/>
        <w:rPr>
          <w:sz w:val="20"/>
          <w:szCs w:val="20"/>
          <w:color w:val="auto"/>
        </w:rPr>
      </w:pPr>
      <w:r>
        <w:rPr>
          <w:rFonts w:ascii="Times New Roman" w:cs="Times New Roman" w:eastAsia="Times New Roman" w:hAnsi="Times New Roman"/>
          <w:sz w:val="24"/>
          <w:szCs w:val="24"/>
          <w:b w:val="1"/>
          <w:bCs w:val="1"/>
          <w:color w:val="auto"/>
        </w:rPr>
        <w:t>Explanation</w:t>
      </w:r>
      <w:r>
        <w:rPr>
          <w:rFonts w:ascii="Times New Roman" w:cs="Times New Roman" w:eastAsia="Times New Roman" w:hAnsi="Times New Roman"/>
          <w:sz w:val="24"/>
          <w:szCs w:val="24"/>
          <w:color w:val="auto"/>
        </w:rPr>
        <w:t>: For the purpose of sub-regulation (4), if the retail individual investor category is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entitled to more than fifty per cent. of the issue size on a proportionate basis, the retail individual investors shall be allocated that higher percentage.</w:t>
      </w:r>
    </w:p>
    <w:p>
      <w:pPr>
        <w:spacing w:after="0" w:line="200" w:lineRule="exact"/>
        <w:rPr>
          <w:sz w:val="20"/>
          <w:szCs w:val="20"/>
          <w:color w:val="auto"/>
        </w:rPr>
      </w:pPr>
    </w:p>
    <w:p>
      <w:pPr>
        <w:spacing w:after="0" w:line="22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Reservation on a competitive basis</w:t>
      </w:r>
    </w:p>
    <w:p>
      <w:pPr>
        <w:spacing w:after="0" w:line="38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82</w:t>
      </w:r>
    </w:p>
    <w:p>
      <w:pPr>
        <w:sectPr>
          <w:pgSz w:w="11900" w:h="16836" w:orient="portrait"/>
          <w:cols w:equalWidth="0" w:num="1">
            <w:col w:w="9468"/>
          </w:cols>
          <w:pgMar w:left="1152" w:top="1144" w:right="1284" w:bottom="103" w:gutter="0" w:footer="0" w:header="0"/>
        </w:sectPr>
      </w:pPr>
    </w:p>
    <w:bookmarkStart w:id="82" w:name="page83"/>
    <w:bookmarkEnd w:id="82"/>
    <w:p>
      <w:pPr>
        <w:ind w:left="508" w:hanging="508"/>
        <w:spacing w:after="0"/>
        <w:tabs>
          <w:tab w:leader="none" w:pos="508" w:val="left"/>
        </w:tabs>
        <w:numPr>
          <w:ilvl w:val="0"/>
          <w:numId w:val="34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may make reservations on a competitive basis out of the issue size excluding</w:t>
      </w:r>
    </w:p>
    <w:p>
      <w:pPr>
        <w:spacing w:after="0" w:line="13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promoters’ contribution in favour of the following categories of persons:</w:t>
      </w:r>
    </w:p>
    <w:p>
      <w:pPr>
        <w:spacing w:after="0" w:line="139" w:lineRule="exact"/>
        <w:rPr>
          <w:sz w:val="20"/>
          <w:szCs w:val="20"/>
          <w:color w:val="auto"/>
        </w:rPr>
      </w:pPr>
    </w:p>
    <w:p>
      <w:pPr>
        <w:ind w:left="1228" w:hanging="508"/>
        <w:spacing w:after="0"/>
        <w:tabs>
          <w:tab w:leader="none" w:pos="1228" w:val="left"/>
        </w:tabs>
        <w:numPr>
          <w:ilvl w:val="0"/>
          <w:numId w:val="35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employees;</w:t>
      </w:r>
    </w:p>
    <w:p>
      <w:pPr>
        <w:spacing w:after="0" w:line="148" w:lineRule="exact"/>
        <w:rPr>
          <w:rFonts w:ascii="Times New Roman" w:cs="Times New Roman" w:eastAsia="Times New Roman" w:hAnsi="Times New Roman"/>
          <w:sz w:val="24"/>
          <w:szCs w:val="24"/>
          <w:color w:val="auto"/>
        </w:rPr>
      </w:pPr>
    </w:p>
    <w:p>
      <w:pPr>
        <w:ind w:left="1228" w:hanging="508"/>
        <w:spacing w:after="0"/>
        <w:tabs>
          <w:tab w:leader="none" w:pos="1228" w:val="left"/>
        </w:tabs>
        <w:numPr>
          <w:ilvl w:val="0"/>
          <w:numId w:val="350"/>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shareholders (other than promoters and promoter group) of listed subsidiaries or listed</w:t>
      </w:r>
    </w:p>
    <w:p>
      <w:pPr>
        <w:spacing w:after="0" w:line="139" w:lineRule="exact"/>
        <w:rPr>
          <w:sz w:val="20"/>
          <w:szCs w:val="20"/>
          <w:color w:val="auto"/>
        </w:rPr>
      </w:pPr>
    </w:p>
    <w:p>
      <w:pPr>
        <w:ind w:left="1228"/>
        <w:spacing w:after="0"/>
        <w:rPr>
          <w:sz w:val="20"/>
          <w:szCs w:val="20"/>
          <w:color w:val="auto"/>
        </w:rPr>
      </w:pPr>
      <w:r>
        <w:rPr>
          <w:rFonts w:ascii="Times New Roman" w:cs="Times New Roman" w:eastAsia="Times New Roman" w:hAnsi="Times New Roman"/>
          <w:sz w:val="24"/>
          <w:szCs w:val="24"/>
          <w:color w:val="auto"/>
        </w:rPr>
        <w:t>promoter companies:</w:t>
      </w:r>
    </w:p>
    <w:p>
      <w:pPr>
        <w:spacing w:after="0" w:line="149" w:lineRule="exact"/>
        <w:rPr>
          <w:sz w:val="20"/>
          <w:szCs w:val="20"/>
          <w:color w:val="auto"/>
        </w:rPr>
      </w:pPr>
    </w:p>
    <w:p>
      <w:pPr>
        <w:jc w:val="both"/>
        <w:ind w:left="728"/>
        <w:spacing w:after="0" w:line="357" w:lineRule="auto"/>
        <w:rPr>
          <w:sz w:val="20"/>
          <w:szCs w:val="20"/>
          <w:color w:val="auto"/>
        </w:rPr>
      </w:pPr>
      <w:r>
        <w:rPr>
          <w:rFonts w:ascii="Times New Roman" w:cs="Times New Roman" w:eastAsia="Times New Roman" w:hAnsi="Times New Roman"/>
          <w:sz w:val="24"/>
          <w:szCs w:val="24"/>
          <w:color w:val="auto"/>
        </w:rPr>
        <w:t>Provided that the issuer shall not make any reservation for the lead manager(s), registrar, syndicate member(s), their promoters, directors and employees and for the group or associate companies (as defined under the Companies Act, 2013) of the lead manager(s), registrar and syndicate member(s) and their promoters, directors and employees.</w:t>
      </w:r>
    </w:p>
    <w:p>
      <w:pPr>
        <w:spacing w:after="0" w:line="15" w:lineRule="exact"/>
        <w:rPr>
          <w:sz w:val="20"/>
          <w:szCs w:val="20"/>
          <w:color w:val="auto"/>
        </w:rPr>
      </w:pPr>
    </w:p>
    <w:p>
      <w:pPr>
        <w:jc w:val="both"/>
        <w:ind w:left="8"/>
        <w:spacing w:after="0" w:line="354" w:lineRule="auto"/>
        <w:rPr>
          <w:sz w:val="20"/>
          <w:szCs w:val="20"/>
          <w:color w:val="auto"/>
        </w:rPr>
      </w:pPr>
      <w:r>
        <w:rPr>
          <w:rFonts w:ascii="Times New Roman" w:cs="Times New Roman" w:eastAsia="Times New Roman" w:hAnsi="Times New Roman"/>
          <w:sz w:val="24"/>
          <w:szCs w:val="24"/>
          <w:color w:val="auto"/>
        </w:rPr>
        <w:t>(2) In a further public offer, other than in a composite issue, the issuer may make a reservation on a competitive basis out of the issue size excluding promoters’ contribution r for the existing retail individual shareholders of the issuer.</w:t>
      </w:r>
    </w:p>
    <w:p>
      <w:pPr>
        <w:spacing w:after="0" w:line="10" w:lineRule="exact"/>
        <w:rPr>
          <w:sz w:val="20"/>
          <w:szCs w:val="20"/>
          <w:color w:val="auto"/>
        </w:rPr>
      </w:pPr>
    </w:p>
    <w:p>
      <w:pPr>
        <w:ind w:left="368" w:hanging="368"/>
        <w:spacing w:after="0"/>
        <w:tabs>
          <w:tab w:leader="none" w:pos="368" w:val="left"/>
        </w:tabs>
        <w:numPr>
          <w:ilvl w:val="0"/>
          <w:numId w:val="35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reservations on competitive basis shall be subject to following conditions:</w:t>
      </w:r>
    </w:p>
    <w:p>
      <w:pPr>
        <w:spacing w:after="0" w:line="149" w:lineRule="exact"/>
        <w:rPr>
          <w:rFonts w:ascii="Times New Roman" w:cs="Times New Roman" w:eastAsia="Times New Roman" w:hAnsi="Times New Roman"/>
          <w:sz w:val="24"/>
          <w:szCs w:val="24"/>
          <w:color w:val="auto"/>
        </w:rPr>
      </w:pPr>
    </w:p>
    <w:p>
      <w:pPr>
        <w:jc w:val="both"/>
        <w:ind w:left="948" w:hanging="496"/>
        <w:spacing w:after="0" w:line="354" w:lineRule="auto"/>
        <w:tabs>
          <w:tab w:leader="none" w:pos="948" w:val="left"/>
        </w:tabs>
        <w:numPr>
          <w:ilvl w:val="1"/>
          <w:numId w:val="35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aggregate of reservation for employees shall not exceed five per cent. of the post-issue capital of the issuer and the value of allotment to any employee shall not exceed two lakhs rupees:</w:t>
      </w:r>
    </w:p>
    <w:p>
      <w:pPr>
        <w:spacing w:after="0" w:line="22" w:lineRule="exact"/>
        <w:rPr>
          <w:rFonts w:ascii="Times New Roman" w:cs="Times New Roman" w:eastAsia="Times New Roman" w:hAnsi="Times New Roman"/>
          <w:sz w:val="24"/>
          <w:szCs w:val="24"/>
          <w:color w:val="auto"/>
        </w:rPr>
      </w:pPr>
    </w:p>
    <w:p>
      <w:pPr>
        <w:jc w:val="both"/>
        <w:ind w:left="948"/>
        <w:spacing w:after="0" w:line="356"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in the event of under-subscription in the employee reservation portion, the unsubscribed portion may be allotted on a proportionate basis, for a value in excess of two lakhs rupees, subject to the total allotment to an employee not exceeding five lakhs rupees.</w:t>
      </w:r>
    </w:p>
    <w:p>
      <w:pPr>
        <w:spacing w:after="0" w:line="6" w:lineRule="exact"/>
        <w:rPr>
          <w:rFonts w:ascii="Times New Roman" w:cs="Times New Roman" w:eastAsia="Times New Roman" w:hAnsi="Times New Roman"/>
          <w:sz w:val="24"/>
          <w:szCs w:val="24"/>
          <w:color w:val="auto"/>
        </w:rPr>
      </w:pPr>
    </w:p>
    <w:p>
      <w:pPr>
        <w:ind w:left="948" w:hanging="496"/>
        <w:spacing w:after="0"/>
        <w:tabs>
          <w:tab w:leader="none" w:pos="948" w:val="left"/>
        </w:tabs>
        <w:numPr>
          <w:ilvl w:val="1"/>
          <w:numId w:val="35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reservation for shareholders shall not exceed ten per cent. of the issue size;</w:t>
      </w:r>
    </w:p>
    <w:p>
      <w:pPr>
        <w:spacing w:after="0" w:line="149" w:lineRule="exact"/>
        <w:rPr>
          <w:rFonts w:ascii="Times New Roman" w:cs="Times New Roman" w:eastAsia="Times New Roman" w:hAnsi="Times New Roman"/>
          <w:sz w:val="24"/>
          <w:szCs w:val="24"/>
          <w:color w:val="auto"/>
        </w:rPr>
      </w:pPr>
    </w:p>
    <w:p>
      <w:pPr>
        <w:jc w:val="both"/>
        <w:ind w:left="948" w:hanging="496"/>
        <w:spacing w:after="0" w:line="357" w:lineRule="auto"/>
        <w:tabs>
          <w:tab w:leader="none" w:pos="948" w:val="left"/>
        </w:tabs>
        <w:numPr>
          <w:ilvl w:val="1"/>
          <w:numId w:val="35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no further application for subscription in the net offer can be made by persons (except an employee and retail individual shareholder of the listed issuer and retail individual shareholders of listed subsidiaries of listed promoter companies) in favour of whom reservation on a competitive basis is made;</w:t>
      </w:r>
    </w:p>
    <w:p>
      <w:pPr>
        <w:spacing w:after="0" w:line="14" w:lineRule="exact"/>
        <w:rPr>
          <w:rFonts w:ascii="Times New Roman" w:cs="Times New Roman" w:eastAsia="Times New Roman" w:hAnsi="Times New Roman"/>
          <w:sz w:val="24"/>
          <w:szCs w:val="24"/>
          <w:color w:val="auto"/>
        </w:rPr>
      </w:pPr>
    </w:p>
    <w:p>
      <w:pPr>
        <w:jc w:val="both"/>
        <w:ind w:left="948" w:hanging="496"/>
        <w:spacing w:after="0" w:line="354" w:lineRule="auto"/>
        <w:tabs>
          <w:tab w:leader="none" w:pos="948" w:val="left"/>
        </w:tabs>
        <w:numPr>
          <w:ilvl w:val="1"/>
          <w:numId w:val="35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unsubscribed portion in any reserved category may be added to any other reserved category/categories and the unsubscribed portion, if any, after such inter-se adjustments amongst the reserved categories shall be added to the net offer category;</w:t>
      </w:r>
    </w:p>
    <w:p>
      <w:pPr>
        <w:spacing w:after="0" w:line="22" w:lineRule="exact"/>
        <w:rPr>
          <w:rFonts w:ascii="Times New Roman" w:cs="Times New Roman" w:eastAsia="Times New Roman" w:hAnsi="Times New Roman"/>
          <w:sz w:val="24"/>
          <w:szCs w:val="24"/>
          <w:color w:val="auto"/>
        </w:rPr>
      </w:pPr>
    </w:p>
    <w:p>
      <w:pPr>
        <w:ind w:left="948" w:hanging="496"/>
        <w:spacing w:after="0" w:line="348" w:lineRule="auto"/>
        <w:tabs>
          <w:tab w:leader="none" w:pos="948" w:val="left"/>
        </w:tabs>
        <w:numPr>
          <w:ilvl w:val="1"/>
          <w:numId w:val="35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under-subscription in the net offer category, spill-over to the extent of under-subscription shall be permitted from the reserved category to the net public offer.</w:t>
      </w:r>
    </w:p>
    <w:p>
      <w:pPr>
        <w:spacing w:after="0" w:line="27" w:lineRule="exact"/>
        <w:rPr>
          <w:rFonts w:ascii="Times New Roman" w:cs="Times New Roman" w:eastAsia="Times New Roman" w:hAnsi="Times New Roman"/>
          <w:sz w:val="24"/>
          <w:szCs w:val="24"/>
          <w:color w:val="auto"/>
        </w:rPr>
      </w:pPr>
    </w:p>
    <w:p>
      <w:pPr>
        <w:ind w:left="8" w:hanging="8"/>
        <w:spacing w:after="0" w:line="348" w:lineRule="auto"/>
        <w:tabs>
          <w:tab w:leader="none" w:pos="425" w:val="left"/>
        </w:tabs>
        <w:numPr>
          <w:ilvl w:val="0"/>
          <w:numId w:val="35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 applicant in any reserved category may make an application for any number of specified securities, but not exceeding the reserved portion for that category.</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Abridged prospectus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83</w:t>
      </w:r>
    </w:p>
    <w:p>
      <w:pPr>
        <w:sectPr>
          <w:pgSz w:w="11900" w:h="16836" w:orient="portrait"/>
          <w:cols w:equalWidth="0" w:num="1">
            <w:col w:w="9468"/>
          </w:cols>
          <w:pgMar w:left="1152" w:top="1144" w:right="1284" w:bottom="103" w:gutter="0" w:footer="0" w:header="0"/>
        </w:sectPr>
      </w:pPr>
    </w:p>
    <w:bookmarkStart w:id="83" w:name="page84"/>
    <w:bookmarkEnd w:id="83"/>
    <w:p>
      <w:pPr>
        <w:ind w:left="8" w:hanging="8"/>
        <w:spacing w:after="0" w:line="348" w:lineRule="auto"/>
        <w:tabs>
          <w:tab w:leader="none" w:pos="495" w:val="left"/>
        </w:tabs>
        <w:numPr>
          <w:ilvl w:val="0"/>
          <w:numId w:val="35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(1) The abridged prospectus shall contain the disclosures as specified in </w:t>
      </w:r>
      <w:r>
        <w:rPr>
          <w:rFonts w:ascii="Times New Roman" w:cs="Times New Roman" w:eastAsia="Times New Roman" w:hAnsi="Times New Roman"/>
          <w:sz w:val="24"/>
          <w:szCs w:val="24"/>
          <w:b w:val="1"/>
          <w:bCs w:val="1"/>
          <w:color w:val="auto"/>
        </w:rPr>
        <w:t>Part E</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 xml:space="preserve">VI </w:t>
      </w:r>
      <w:r>
        <w:rPr>
          <w:rFonts w:ascii="Times New Roman" w:cs="Times New Roman" w:eastAsia="Times New Roman" w:hAnsi="Times New Roman"/>
          <w:sz w:val="24"/>
          <w:szCs w:val="24"/>
          <w:color w:val="auto"/>
        </w:rPr>
        <w:t>and shall not contain any matter extraneous to the contents of the offer document.</w:t>
      </w:r>
    </w:p>
    <w:p>
      <w:pPr>
        <w:spacing w:after="0" w:line="28" w:lineRule="exact"/>
        <w:rPr>
          <w:rFonts w:ascii="Times New Roman" w:cs="Times New Roman" w:eastAsia="Times New Roman" w:hAnsi="Times New Roman"/>
          <w:sz w:val="24"/>
          <w:szCs w:val="24"/>
          <w:b w:val="1"/>
          <w:bCs w:val="1"/>
          <w:color w:val="auto"/>
        </w:rPr>
      </w:pPr>
    </w:p>
    <w:p>
      <w:pPr>
        <w:ind w:left="8"/>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Every application form distributed by the issuer or any other person in relation to an issue shall be accompanied by a copy of the abridged prospectus.</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ASBA</w:t>
      </w:r>
    </w:p>
    <w:p>
      <w:pPr>
        <w:spacing w:after="0" w:line="147" w:lineRule="exact"/>
        <w:rPr>
          <w:sz w:val="20"/>
          <w:szCs w:val="20"/>
          <w:color w:val="auto"/>
        </w:rPr>
      </w:pPr>
    </w:p>
    <w:p>
      <w:pPr>
        <w:ind w:left="8" w:hanging="8"/>
        <w:spacing w:after="0" w:line="348" w:lineRule="auto"/>
        <w:tabs>
          <w:tab w:leader="none" w:pos="521" w:val="left"/>
        </w:tabs>
        <w:numPr>
          <w:ilvl w:val="0"/>
          <w:numId w:val="35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issuer shall accept bids using only the ASBA facility in the manner specified by the Board.</w:t>
      </w:r>
    </w:p>
    <w:p>
      <w:pPr>
        <w:spacing w:after="0" w:line="200" w:lineRule="exact"/>
        <w:rPr>
          <w:sz w:val="20"/>
          <w:szCs w:val="20"/>
          <w:color w:val="auto"/>
        </w:rPr>
      </w:pPr>
    </w:p>
    <w:p>
      <w:pPr>
        <w:spacing w:after="0" w:line="234"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Availability of issue material</w:t>
      </w:r>
    </w:p>
    <w:p>
      <w:pPr>
        <w:spacing w:after="0" w:line="147" w:lineRule="exact"/>
        <w:rPr>
          <w:sz w:val="20"/>
          <w:szCs w:val="20"/>
          <w:color w:val="auto"/>
        </w:rPr>
      </w:pPr>
    </w:p>
    <w:p>
      <w:pPr>
        <w:jc w:val="both"/>
        <w:ind w:left="8" w:hanging="8"/>
        <w:spacing w:after="0" w:line="356" w:lineRule="auto"/>
        <w:tabs>
          <w:tab w:leader="none" w:pos="500" w:val="left"/>
        </w:tabs>
        <w:numPr>
          <w:ilvl w:val="0"/>
          <w:numId w:val="35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lead manager(s) shall ensure availability of the offer document and other issue material including application forms to stock exchanges, syndicate members, registrar to issue, registrar and share transfer agents, depository participants, stock brokers, underwriters, bankers to the issue, investors’ associations and self certified syndicate banks before the opening of the issue.</w:t>
      </w:r>
    </w:p>
    <w:p>
      <w:pPr>
        <w:spacing w:after="0" w:line="200" w:lineRule="exact"/>
        <w:rPr>
          <w:sz w:val="20"/>
          <w:szCs w:val="20"/>
          <w:color w:val="auto"/>
        </w:rPr>
      </w:pPr>
    </w:p>
    <w:p>
      <w:pPr>
        <w:spacing w:after="0" w:line="224"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Prohibition on payment of incentives</w:t>
      </w:r>
    </w:p>
    <w:p>
      <w:pPr>
        <w:spacing w:after="0" w:line="147" w:lineRule="exact"/>
        <w:rPr>
          <w:sz w:val="20"/>
          <w:szCs w:val="20"/>
          <w:color w:val="auto"/>
        </w:rPr>
      </w:pPr>
    </w:p>
    <w:p>
      <w:pPr>
        <w:jc w:val="both"/>
        <w:ind w:left="8" w:hanging="8"/>
        <w:spacing w:after="0" w:line="356" w:lineRule="auto"/>
        <w:tabs>
          <w:tab w:leader="none" w:pos="495" w:val="left"/>
        </w:tabs>
        <w:numPr>
          <w:ilvl w:val="0"/>
          <w:numId w:val="35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Any person connected with the issue, shall not offer any incentive, whether direct or indirect, in any manner, whether in cash or kind or services or otherwise to any person for making an application in the initial public offer, except for fees or commission for services rendered in relation to the issue.</w:t>
      </w:r>
    </w:p>
    <w:p>
      <w:pPr>
        <w:spacing w:after="0" w:line="200" w:lineRule="exact"/>
        <w:rPr>
          <w:sz w:val="20"/>
          <w:szCs w:val="20"/>
          <w:color w:val="auto"/>
        </w:rPr>
      </w:pPr>
    </w:p>
    <w:p>
      <w:pPr>
        <w:spacing w:after="0" w:line="224"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Security deposit</w:t>
      </w:r>
    </w:p>
    <w:p>
      <w:pPr>
        <w:spacing w:after="0" w:line="147" w:lineRule="exact"/>
        <w:rPr>
          <w:sz w:val="20"/>
          <w:szCs w:val="20"/>
          <w:color w:val="auto"/>
        </w:rPr>
      </w:pPr>
    </w:p>
    <w:p>
      <w:pPr>
        <w:jc w:val="both"/>
        <w:ind w:left="8" w:hanging="8"/>
        <w:spacing w:after="0" w:line="354" w:lineRule="auto"/>
        <w:tabs>
          <w:tab w:leader="none" w:pos="507" w:val="left"/>
        </w:tabs>
        <w:numPr>
          <w:ilvl w:val="0"/>
          <w:numId w:val="35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shall, before the opening of the subscription list, deposit with the designated stock exchange, an amount calculated at the rate of one per cent. of the issue size available for subscription to the public in the manner specified by the Board and/or the stock exchange(s).</w:t>
      </w:r>
    </w:p>
    <w:p>
      <w:pPr>
        <w:spacing w:after="0" w:line="20" w:lineRule="exact"/>
        <w:rPr>
          <w:rFonts w:ascii="Times New Roman" w:cs="Times New Roman" w:eastAsia="Times New Roman" w:hAnsi="Times New Roman"/>
          <w:sz w:val="24"/>
          <w:szCs w:val="24"/>
          <w:b w:val="1"/>
          <w:bCs w:val="1"/>
          <w:color w:val="auto"/>
        </w:rPr>
      </w:pPr>
    </w:p>
    <w:p>
      <w:pPr>
        <w:ind w:left="8"/>
        <w:spacing w:after="0" w:line="350"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The amount specified in sub-regulation (1) shall be refundable or forfeitable in the manner specified by the Board.</w:t>
      </w:r>
    </w:p>
    <w:p>
      <w:pPr>
        <w:spacing w:after="0" w:line="200" w:lineRule="exact"/>
        <w:rPr>
          <w:sz w:val="20"/>
          <w:szCs w:val="20"/>
          <w:color w:val="auto"/>
        </w:rPr>
      </w:pPr>
    </w:p>
    <w:p>
      <w:pPr>
        <w:spacing w:after="0" w:line="231"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Underwriting</w:t>
      </w:r>
    </w:p>
    <w:p>
      <w:pPr>
        <w:spacing w:after="0" w:line="144" w:lineRule="exact"/>
        <w:rPr>
          <w:sz w:val="20"/>
          <w:szCs w:val="20"/>
          <w:color w:val="auto"/>
        </w:rPr>
      </w:pPr>
    </w:p>
    <w:p>
      <w:pPr>
        <w:jc w:val="both"/>
        <w:ind w:left="8" w:hanging="8"/>
        <w:spacing w:after="0" w:line="354" w:lineRule="auto"/>
        <w:tabs>
          <w:tab w:leader="none" w:pos="488" w:val="left"/>
        </w:tabs>
        <w:numPr>
          <w:ilvl w:val="0"/>
          <w:numId w:val="35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If the issuer making a further public offer, other than through the book building process, desires to have the issue underwritten, it shall appoint the underwriters in accordance with the Securities and Exchange Board of India (Underwriters) Regulations, 1993.</w:t>
      </w:r>
    </w:p>
    <w:p>
      <w:pPr>
        <w:spacing w:after="0" w:line="10" w:lineRule="exact"/>
        <w:rPr>
          <w:rFonts w:ascii="Times New Roman" w:cs="Times New Roman" w:eastAsia="Times New Roman" w:hAnsi="Times New Roman"/>
          <w:sz w:val="24"/>
          <w:szCs w:val="24"/>
          <w:b w:val="1"/>
          <w:bCs w:val="1"/>
          <w:color w:val="auto"/>
        </w:rPr>
      </w:pPr>
    </w:p>
    <w:p>
      <w:pPr>
        <w:ind w:left="8"/>
        <w:spacing w:after="0"/>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If the issuer makes a public issue through the book building process,</w:t>
      </w:r>
    </w:p>
    <w:p>
      <w:pPr>
        <w:spacing w:after="0" w:line="136" w:lineRule="exact"/>
        <w:rPr>
          <w:rFonts w:ascii="Times New Roman" w:cs="Times New Roman" w:eastAsia="Times New Roman" w:hAnsi="Times New Roman"/>
          <w:sz w:val="24"/>
          <w:szCs w:val="24"/>
          <w:b w:val="1"/>
          <w:bCs w:val="1"/>
          <w:color w:val="auto"/>
        </w:rPr>
      </w:pPr>
    </w:p>
    <w:p>
      <w:pPr>
        <w:ind w:left="728" w:hanging="368"/>
        <w:spacing w:after="0"/>
        <w:tabs>
          <w:tab w:leader="none" w:pos="728" w:val="left"/>
        </w:tabs>
        <w:numPr>
          <w:ilvl w:val="1"/>
          <w:numId w:val="35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 shall be underwritten by lead manager(s) and syndicate member(s):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84</w:t>
      </w:r>
    </w:p>
    <w:p>
      <w:pPr>
        <w:sectPr>
          <w:pgSz w:w="11900" w:h="16836" w:orient="portrait"/>
          <w:cols w:equalWidth="0" w:num="1">
            <w:col w:w="9468"/>
          </w:cols>
          <w:pgMar w:left="1152" w:top="1156" w:right="1284" w:bottom="103" w:gutter="0" w:footer="0" w:header="0"/>
        </w:sectPr>
      </w:pPr>
    </w:p>
    <w:bookmarkStart w:id="84" w:name="page85"/>
    <w:bookmarkEnd w:id="84"/>
    <w:p>
      <w:pPr>
        <w:jc w:val="both"/>
        <w:ind w:left="728"/>
        <w:spacing w:after="0" w:line="354" w:lineRule="auto"/>
        <w:rPr>
          <w:sz w:val="20"/>
          <w:szCs w:val="20"/>
          <w:color w:val="auto"/>
        </w:rPr>
      </w:pPr>
      <w:r>
        <w:rPr>
          <w:rFonts w:ascii="Times New Roman" w:cs="Times New Roman" w:eastAsia="Times New Roman" w:hAnsi="Times New Roman"/>
          <w:sz w:val="24"/>
          <w:szCs w:val="24"/>
          <w:color w:val="auto"/>
        </w:rPr>
        <w:t>Provided that at least seventy five per cent. of the net offer proposed to be compulsorily allotted to qualified institutional buyers for the purpose of compliance of the eligibility conditions specified in sub-regulation (2) of regulation 103, shall not be underwritten.</w:t>
      </w:r>
    </w:p>
    <w:p>
      <w:pPr>
        <w:spacing w:after="0" w:line="20" w:lineRule="exact"/>
        <w:rPr>
          <w:sz w:val="20"/>
          <w:szCs w:val="20"/>
          <w:color w:val="auto"/>
        </w:rPr>
      </w:pPr>
    </w:p>
    <w:p>
      <w:pPr>
        <w:jc w:val="both"/>
        <w:ind w:left="728" w:hanging="368"/>
        <w:spacing w:after="0" w:line="356" w:lineRule="auto"/>
        <w:tabs>
          <w:tab w:leader="none" w:pos="728" w:val="left"/>
        </w:tabs>
        <w:numPr>
          <w:ilvl w:val="0"/>
          <w:numId w:val="35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prior to filing the prospectus, enter into underwriting agreement with the lead manager(s), and syndicate member(s), indicating therein the number of specified securities which they shall subscribe to at the predetermined price in the event of under-subscription in the issue.</w:t>
      </w:r>
    </w:p>
    <w:p>
      <w:pPr>
        <w:spacing w:after="0" w:line="18" w:lineRule="exact"/>
        <w:rPr>
          <w:rFonts w:ascii="Times New Roman" w:cs="Times New Roman" w:eastAsia="Times New Roman" w:hAnsi="Times New Roman"/>
          <w:sz w:val="24"/>
          <w:szCs w:val="24"/>
          <w:color w:val="auto"/>
        </w:rPr>
      </w:pPr>
    </w:p>
    <w:p>
      <w:pPr>
        <w:ind w:left="728" w:hanging="368"/>
        <w:spacing w:after="0" w:line="350" w:lineRule="auto"/>
        <w:tabs>
          <w:tab w:leader="none" w:pos="728" w:val="left"/>
        </w:tabs>
        <w:numPr>
          <w:ilvl w:val="0"/>
          <w:numId w:val="35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syndicate member(s) fail to fulfil their underwriting obligations, the lead manager(s) shall fulfil the underwriting obligations.</w:t>
      </w:r>
    </w:p>
    <w:p>
      <w:pPr>
        <w:spacing w:after="0" w:line="23" w:lineRule="exact"/>
        <w:rPr>
          <w:rFonts w:ascii="Times New Roman" w:cs="Times New Roman" w:eastAsia="Times New Roman" w:hAnsi="Times New Roman"/>
          <w:sz w:val="24"/>
          <w:szCs w:val="24"/>
          <w:color w:val="auto"/>
        </w:rPr>
      </w:pPr>
    </w:p>
    <w:p>
      <w:pPr>
        <w:ind w:left="728" w:hanging="368"/>
        <w:spacing w:after="0" w:line="350" w:lineRule="auto"/>
        <w:tabs>
          <w:tab w:leader="none" w:pos="728" w:val="left"/>
        </w:tabs>
        <w:numPr>
          <w:ilvl w:val="0"/>
          <w:numId w:val="35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 and syndicate member(s) shall not subscribe to the issue in any manner except for fulfilling their underwriting obligations.</w:t>
      </w:r>
    </w:p>
    <w:p>
      <w:pPr>
        <w:spacing w:after="0" w:line="23" w:lineRule="exact"/>
        <w:rPr>
          <w:rFonts w:ascii="Times New Roman" w:cs="Times New Roman" w:eastAsia="Times New Roman" w:hAnsi="Times New Roman"/>
          <w:sz w:val="24"/>
          <w:szCs w:val="24"/>
          <w:color w:val="auto"/>
        </w:rPr>
      </w:pPr>
    </w:p>
    <w:p>
      <w:pPr>
        <w:jc w:val="both"/>
        <w:ind w:left="728" w:hanging="368"/>
        <w:spacing w:after="0" w:line="354" w:lineRule="auto"/>
        <w:tabs>
          <w:tab w:leader="none" w:pos="728" w:val="left"/>
        </w:tabs>
        <w:numPr>
          <w:ilvl w:val="0"/>
          <w:numId w:val="35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every underwritten issue, the lead manager(s) shall undertake minimum underwriting obligations as specified in the Securities and Exchange Board of India (Merchant Bankers) Regulations, 1992.</w:t>
      </w:r>
    </w:p>
    <w:p>
      <w:pPr>
        <w:spacing w:after="0" w:line="22" w:lineRule="exact"/>
        <w:rPr>
          <w:rFonts w:ascii="Times New Roman" w:cs="Times New Roman" w:eastAsia="Times New Roman" w:hAnsi="Times New Roman"/>
          <w:sz w:val="24"/>
          <w:szCs w:val="24"/>
          <w:color w:val="auto"/>
        </w:rPr>
      </w:pPr>
    </w:p>
    <w:p>
      <w:pPr>
        <w:ind w:left="728" w:hanging="368"/>
        <w:spacing w:after="0" w:line="348" w:lineRule="auto"/>
        <w:tabs>
          <w:tab w:leader="none" w:pos="728" w:val="left"/>
        </w:tabs>
        <w:numPr>
          <w:ilvl w:val="0"/>
          <w:numId w:val="35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where the issue is required to be underwritten, the underwriting obligations should at least be to the extent of minimum subscription.</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Monitoring agency</w:t>
      </w:r>
    </w:p>
    <w:p>
      <w:pPr>
        <w:spacing w:after="0" w:line="147" w:lineRule="exact"/>
        <w:rPr>
          <w:sz w:val="20"/>
          <w:szCs w:val="20"/>
          <w:color w:val="auto"/>
        </w:rPr>
      </w:pPr>
    </w:p>
    <w:p>
      <w:pPr>
        <w:jc w:val="both"/>
        <w:ind w:left="8" w:hanging="8"/>
        <w:spacing w:after="0" w:line="356" w:lineRule="auto"/>
        <w:tabs>
          <w:tab w:leader="none" w:pos="504" w:val="left"/>
        </w:tabs>
        <w:numPr>
          <w:ilvl w:val="0"/>
          <w:numId w:val="35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If the issue size, excluding the size of offer for sale by selling shareholders, exceeds one hundred crore rupees, the issuer shall make arrangements for the use of proceeds of the issue to be monitored by a public financial institution or by a scheduled commercial bank named in the offer document as the bankers of the issuer:</w:t>
      </w:r>
    </w:p>
    <w:p>
      <w:pPr>
        <w:spacing w:after="0" w:line="18" w:lineRule="exact"/>
        <w:rPr>
          <w:rFonts w:ascii="Times New Roman" w:cs="Times New Roman" w:eastAsia="Times New Roman" w:hAnsi="Times New Roman"/>
          <w:sz w:val="24"/>
          <w:szCs w:val="24"/>
          <w:b w:val="1"/>
          <w:bCs w:val="1"/>
          <w:color w:val="auto"/>
        </w:rPr>
      </w:pPr>
    </w:p>
    <w:p>
      <w:pPr>
        <w:ind w:left="8"/>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nothing contained in this clause shall apply to an issue of specified securities made by a bank or public financial institution or an insurance company.</w:t>
      </w:r>
    </w:p>
    <w:p>
      <w:pPr>
        <w:spacing w:after="0" w:line="28"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(2) The monitoring agency shall submit its report to the issuer in the format specified in </w:t>
      </w:r>
      <w:r>
        <w:rPr>
          <w:rFonts w:ascii="Times New Roman" w:cs="Times New Roman" w:eastAsia="Times New Roman" w:hAnsi="Times New Roman"/>
          <w:sz w:val="24"/>
          <w:szCs w:val="24"/>
          <w:b w:val="1"/>
          <w:bCs w:val="1"/>
          <w:color w:val="auto"/>
        </w:rPr>
        <w:t>Schedule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 xml:space="preserve">XI </w:t>
      </w:r>
      <w:r>
        <w:rPr>
          <w:rFonts w:ascii="Times New Roman" w:cs="Times New Roman" w:eastAsia="Times New Roman" w:hAnsi="Times New Roman"/>
          <w:sz w:val="24"/>
          <w:szCs w:val="24"/>
          <w:color w:val="auto"/>
        </w:rPr>
        <w:t>on a quarterly basis, till at least ninety five per cent. of the proceeds of the issue, excluding the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proceeds raised for general corporate purposes, have been utilised.</w:t>
      </w:r>
    </w:p>
    <w:p>
      <w:pPr>
        <w:spacing w:after="0" w:line="19" w:lineRule="exact"/>
        <w:rPr>
          <w:rFonts w:ascii="Times New Roman" w:cs="Times New Roman" w:eastAsia="Times New Roman" w:hAnsi="Times New Roman"/>
          <w:sz w:val="24"/>
          <w:szCs w:val="24"/>
          <w:b w:val="1"/>
          <w:bCs w:val="1"/>
          <w:color w:val="auto"/>
        </w:rPr>
      </w:pPr>
    </w:p>
    <w:p>
      <w:pPr>
        <w:ind w:left="8"/>
        <w:spacing w:after="0" w:line="350"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(3) The board of directors and the management of the issuer shall provide their comments on the findings of the monitoring agency as specified in </w:t>
      </w:r>
      <w:r>
        <w:rPr>
          <w:rFonts w:ascii="Times New Roman" w:cs="Times New Roman" w:eastAsia="Times New Roman" w:hAnsi="Times New Roman"/>
          <w:sz w:val="24"/>
          <w:szCs w:val="24"/>
          <w:b w:val="1"/>
          <w:bCs w:val="1"/>
          <w:color w:val="auto"/>
        </w:rPr>
        <w:t>Schedule XI</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238" w:lineRule="exact"/>
        <w:rPr>
          <w:sz w:val="20"/>
          <w:szCs w:val="20"/>
          <w:color w:val="auto"/>
        </w:rPr>
      </w:pPr>
    </w:p>
    <w:p>
      <w:pPr>
        <w:jc w:val="both"/>
        <w:ind w:left="8" w:hanging="8"/>
        <w:spacing w:after="0" w:line="354" w:lineRule="auto"/>
        <w:tabs>
          <w:tab w:leader="none" w:pos="368" w:val="left"/>
        </w:tabs>
        <w:numPr>
          <w:ilvl w:val="0"/>
          <w:numId w:val="36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within forty five days from the end of each quarter, publicly disseminate the report of the monitoring agency by uploading the same on its website as well as submitting the same to the stock exchange(s) on which its equity shares are listed.</w:t>
      </w:r>
    </w:p>
    <w:p>
      <w:pPr>
        <w:spacing w:after="0" w:line="200" w:lineRule="exact"/>
        <w:rPr>
          <w:sz w:val="20"/>
          <w:szCs w:val="20"/>
          <w:color w:val="auto"/>
        </w:rPr>
      </w:pPr>
    </w:p>
    <w:p>
      <w:pPr>
        <w:spacing w:after="0" w:line="22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Public communications, publicity materials, advertisements and research reports</w:t>
      </w:r>
    </w:p>
    <w:p>
      <w:pPr>
        <w:spacing w:after="0" w:line="38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85</w:t>
      </w:r>
    </w:p>
    <w:p>
      <w:pPr>
        <w:sectPr>
          <w:pgSz w:w="11900" w:h="16836" w:orient="portrait"/>
          <w:cols w:equalWidth="0" w:num="1">
            <w:col w:w="9468"/>
          </w:cols>
          <w:pgMar w:left="1152" w:top="1156" w:right="1284" w:bottom="103" w:gutter="0" w:footer="0" w:header="0"/>
        </w:sectPr>
      </w:pPr>
    </w:p>
    <w:bookmarkStart w:id="85" w:name="page86"/>
    <w:bookmarkEnd w:id="85"/>
    <w:p>
      <w:pPr>
        <w:ind w:left="8" w:hanging="8"/>
        <w:spacing w:after="0" w:line="348" w:lineRule="auto"/>
        <w:tabs>
          <w:tab w:leader="none" w:pos="536" w:val="left"/>
        </w:tabs>
        <w:numPr>
          <w:ilvl w:val="0"/>
          <w:numId w:val="36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All public communication, publicity materials, advertisements and research reports shall comply with provisions of </w:t>
      </w:r>
      <w:r>
        <w:rPr>
          <w:rFonts w:ascii="Times New Roman" w:cs="Times New Roman" w:eastAsia="Times New Roman" w:hAnsi="Times New Roman"/>
          <w:sz w:val="24"/>
          <w:szCs w:val="24"/>
          <w:b w:val="1"/>
          <w:bCs w:val="1"/>
          <w:color w:val="auto"/>
        </w:rPr>
        <w:t>Schedule IX</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Issue-related advertisements</w:t>
      </w:r>
    </w:p>
    <w:p>
      <w:pPr>
        <w:spacing w:after="0" w:line="127" w:lineRule="exact"/>
        <w:rPr>
          <w:sz w:val="20"/>
          <w:szCs w:val="20"/>
          <w:color w:val="auto"/>
        </w:rPr>
      </w:pPr>
    </w:p>
    <w:p>
      <w:pPr>
        <w:jc w:val="both"/>
        <w:ind w:left="8"/>
        <w:spacing w:after="0" w:line="338" w:lineRule="auto"/>
        <w:rPr>
          <w:sz w:val="20"/>
          <w:szCs w:val="20"/>
          <w:color w:val="auto"/>
        </w:rPr>
      </w:pPr>
      <w:r>
        <w:rPr>
          <w:rFonts w:ascii="Times New Roman" w:cs="Times New Roman" w:eastAsia="Times New Roman" w:hAnsi="Times New Roman"/>
          <w:sz w:val="24"/>
          <w:szCs w:val="24"/>
          <w:b w:val="1"/>
          <w:bCs w:val="1"/>
          <w:color w:val="auto"/>
        </w:rPr>
        <w:t>139</w:t>
      </w:r>
      <w:r>
        <w:rPr>
          <w:rFonts w:ascii="Times New Roman" w:cs="Times New Roman" w:eastAsia="Times New Roman" w:hAnsi="Times New Roman"/>
          <w:sz w:val="24"/>
          <w:szCs w:val="24"/>
          <w:color w:val="auto"/>
        </w:rPr>
        <w:t>. (1) Subject to the provisions of the Companies Act, 2013, the issuer shall, after</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32"/>
          <w:szCs w:val="32"/>
          <w:color w:val="auto"/>
          <w:vertAlign w:val="superscript"/>
        </w:rPr>
        <w:t>62</w:t>
      </w:r>
      <w:r>
        <w:rPr>
          <w:rFonts w:ascii="Times New Roman" w:cs="Times New Roman" w:eastAsia="Times New Roman" w:hAnsi="Times New Roman"/>
          <w:sz w:val="24"/>
          <w:szCs w:val="24"/>
          <w:color w:val="auto"/>
        </w:rPr>
        <w:t>[filing] the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red herring prospectus (in case of a book built issue) or prospectus (in case of fixed price issue) with the Registrar of Companies, make a pre-issue advertisement in one English national daily newspaper with wide circulation, Hindi national daily newspaper with wide circulation and one regional language newspaper with wide circulation at the place where the registered office of the issuer is situated.</w:t>
      </w:r>
    </w:p>
    <w:p>
      <w:pPr>
        <w:spacing w:after="0" w:line="43" w:lineRule="exact"/>
        <w:rPr>
          <w:sz w:val="20"/>
          <w:szCs w:val="20"/>
          <w:color w:val="auto"/>
        </w:rPr>
      </w:pPr>
    </w:p>
    <w:p>
      <w:pPr>
        <w:ind w:left="8" w:hanging="8"/>
        <w:spacing w:after="0" w:line="348" w:lineRule="auto"/>
        <w:tabs>
          <w:tab w:leader="none" w:pos="368" w:val="left"/>
        </w:tabs>
        <w:numPr>
          <w:ilvl w:val="0"/>
          <w:numId w:val="36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The pre-issue advertisement shall be in the format and shall contain the disclosures specified in </w:t>
      </w:r>
      <w:r>
        <w:rPr>
          <w:rFonts w:ascii="Times New Roman" w:cs="Times New Roman" w:eastAsia="Times New Roman" w:hAnsi="Times New Roman"/>
          <w:sz w:val="24"/>
          <w:szCs w:val="24"/>
          <w:b w:val="1"/>
          <w:bCs w:val="1"/>
          <w:color w:val="auto"/>
        </w:rPr>
        <w:t>Part A</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 X</w:t>
      </w:r>
      <w:r>
        <w:rPr>
          <w:rFonts w:ascii="Times New Roman" w:cs="Times New Roman" w:eastAsia="Times New Roman" w:hAnsi="Times New Roman"/>
          <w:sz w:val="24"/>
          <w:szCs w:val="24"/>
          <w:color w:val="auto"/>
        </w:rPr>
        <w:t>.</w:t>
      </w:r>
    </w:p>
    <w:p>
      <w:pPr>
        <w:spacing w:after="0" w:line="27" w:lineRule="exact"/>
        <w:rPr>
          <w:rFonts w:ascii="Times New Roman" w:cs="Times New Roman" w:eastAsia="Times New Roman" w:hAnsi="Times New Roman"/>
          <w:sz w:val="24"/>
          <w:szCs w:val="24"/>
          <w:color w:val="auto"/>
        </w:rPr>
      </w:pPr>
    </w:p>
    <w:p>
      <w:pPr>
        <w:jc w:val="both"/>
        <w:ind w:left="8"/>
        <w:spacing w:after="0" w:line="35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the disclosures in relation to price band or floor price and financial ratios contained therein shall be applicable only where the issuer opts to announce the price band or floor price along with the pre-issue advertisement pursuant to sub-regulation (4) of regulation 127.</w:t>
      </w:r>
    </w:p>
    <w:p>
      <w:pPr>
        <w:spacing w:after="0" w:line="19" w:lineRule="exact"/>
        <w:rPr>
          <w:rFonts w:ascii="Times New Roman" w:cs="Times New Roman" w:eastAsia="Times New Roman" w:hAnsi="Times New Roman"/>
          <w:sz w:val="24"/>
          <w:szCs w:val="24"/>
          <w:color w:val="auto"/>
        </w:rPr>
      </w:pPr>
    </w:p>
    <w:p>
      <w:pPr>
        <w:ind w:left="8" w:hanging="8"/>
        <w:spacing w:after="0" w:line="350" w:lineRule="auto"/>
        <w:tabs>
          <w:tab w:leader="none" w:pos="368" w:val="left"/>
        </w:tabs>
        <w:numPr>
          <w:ilvl w:val="0"/>
          <w:numId w:val="36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The issuer may release advertisements for issue opening and issue closing, which shall be in the formats specified in </w:t>
      </w:r>
      <w:r>
        <w:rPr>
          <w:rFonts w:ascii="Times New Roman" w:cs="Times New Roman" w:eastAsia="Times New Roman" w:hAnsi="Times New Roman"/>
          <w:sz w:val="24"/>
          <w:szCs w:val="24"/>
          <w:b w:val="1"/>
          <w:bCs w:val="1"/>
          <w:color w:val="auto"/>
        </w:rPr>
        <w:t>Parts B and C</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 X.</w:t>
      </w:r>
    </w:p>
    <w:p>
      <w:pPr>
        <w:spacing w:after="0" w:line="11" w:lineRule="exact"/>
        <w:rPr>
          <w:rFonts w:ascii="Times New Roman" w:cs="Times New Roman" w:eastAsia="Times New Roman" w:hAnsi="Times New Roman"/>
          <w:sz w:val="24"/>
          <w:szCs w:val="24"/>
          <w:color w:val="auto"/>
        </w:rPr>
      </w:pPr>
    </w:p>
    <w:p>
      <w:pPr>
        <w:ind w:left="348" w:hanging="348"/>
        <w:spacing w:after="0"/>
        <w:tabs>
          <w:tab w:leader="none" w:pos="348" w:val="left"/>
        </w:tabs>
        <w:numPr>
          <w:ilvl w:val="0"/>
          <w:numId w:val="36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During the period the issue is open for subscription, no advertisement shall be released giving</w:t>
      </w:r>
    </w:p>
    <w:p>
      <w:pPr>
        <w:spacing w:after="0" w:line="151" w:lineRule="exact"/>
        <w:rPr>
          <w:sz w:val="20"/>
          <w:szCs w:val="20"/>
          <w:color w:val="auto"/>
        </w:rPr>
      </w:pPr>
    </w:p>
    <w:p>
      <w:pPr>
        <w:ind w:left="8"/>
        <w:spacing w:after="0" w:line="348" w:lineRule="auto"/>
        <w:rPr>
          <w:sz w:val="20"/>
          <w:szCs w:val="20"/>
          <w:color w:val="auto"/>
        </w:rPr>
      </w:pPr>
      <w:r>
        <w:rPr>
          <w:rFonts w:ascii="Times New Roman" w:cs="Times New Roman" w:eastAsia="Times New Roman" w:hAnsi="Times New Roman"/>
          <w:sz w:val="24"/>
          <w:szCs w:val="24"/>
          <w:color w:val="auto"/>
        </w:rPr>
        <w:t>an impression that the issue has been fully subscribed or oversubscribed or indicating investors’ response to the issue.</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Opening of the issue</w:t>
      </w:r>
    </w:p>
    <w:p>
      <w:pPr>
        <w:spacing w:after="0" w:line="147" w:lineRule="exact"/>
        <w:rPr>
          <w:sz w:val="20"/>
          <w:szCs w:val="20"/>
          <w:color w:val="auto"/>
        </w:rPr>
      </w:pPr>
    </w:p>
    <w:p>
      <w:pPr>
        <w:jc w:val="both"/>
        <w:ind w:left="8" w:hanging="8"/>
        <w:spacing w:after="0" w:line="354" w:lineRule="auto"/>
        <w:tabs>
          <w:tab w:leader="none" w:pos="492" w:val="left"/>
        </w:tabs>
        <w:numPr>
          <w:ilvl w:val="0"/>
          <w:numId w:val="36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Subject to the compliance with the provisions of the Companies Act, 2013, a public issue may be opened within twelve months from the date of issuance of the observations by the Board under sub-regulation (4) of regulation 123; or</w:t>
      </w:r>
    </w:p>
    <w:p>
      <w:pPr>
        <w:spacing w:after="0" w:line="7" w:lineRule="exact"/>
        <w:rPr>
          <w:rFonts w:ascii="Times New Roman" w:cs="Times New Roman" w:eastAsia="Times New Roman" w:hAnsi="Times New Roman"/>
          <w:sz w:val="24"/>
          <w:szCs w:val="24"/>
          <w:b w:val="1"/>
          <w:bCs w:val="1"/>
          <w:color w:val="auto"/>
        </w:rPr>
      </w:pPr>
    </w:p>
    <w:p>
      <w:pPr>
        <w:ind w:left="508"/>
        <w:spacing w:after="0"/>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in case of a fast track issue, the issue shall open within the period specifically</w:t>
      </w:r>
    </w:p>
    <w:p>
      <w:pPr>
        <w:spacing w:after="0" w:line="139" w:lineRule="exact"/>
        <w:rPr>
          <w:sz w:val="20"/>
          <w:szCs w:val="20"/>
          <w:color w:val="auto"/>
        </w:rPr>
      </w:pPr>
    </w:p>
    <w:p>
      <w:pPr>
        <w:ind w:left="508"/>
        <w:spacing w:after="0"/>
        <w:rPr>
          <w:sz w:val="20"/>
          <w:szCs w:val="20"/>
          <w:color w:val="auto"/>
        </w:rPr>
      </w:pPr>
      <w:r>
        <w:rPr>
          <w:rFonts w:ascii="Times New Roman" w:cs="Times New Roman" w:eastAsia="Times New Roman" w:hAnsi="Times New Roman"/>
          <w:sz w:val="24"/>
          <w:szCs w:val="24"/>
          <w:color w:val="auto"/>
        </w:rPr>
        <w:t>stipulated under the Companies Act, 2013.</w:t>
      </w:r>
    </w:p>
    <w:p>
      <w:pPr>
        <w:spacing w:after="0" w:line="149" w:lineRule="exact"/>
        <w:rPr>
          <w:sz w:val="20"/>
          <w:szCs w:val="20"/>
          <w:color w:val="auto"/>
        </w:rPr>
      </w:pPr>
    </w:p>
    <w:p>
      <w:pPr>
        <w:ind w:left="8" w:hanging="8"/>
        <w:spacing w:after="0" w:line="350" w:lineRule="auto"/>
        <w:tabs>
          <w:tab w:leader="none" w:pos="435" w:val="left"/>
        </w:tabs>
        <w:numPr>
          <w:ilvl w:val="0"/>
          <w:numId w:val="36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shelf prospectus, the first issue may be opened within three months of issuance of observations by the Board.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ind w:left="8" w:hanging="8"/>
        <w:spacing w:after="0" w:line="203" w:lineRule="auto"/>
        <w:tabs>
          <w:tab w:leader="none" w:pos="188" w:val="left"/>
        </w:tabs>
        <w:numPr>
          <w:ilvl w:val="0"/>
          <w:numId w:val="365"/>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Securities and Exchange Board of India (Issue of Capital and Disclosure Requirements) (Seventh Amendment) Regulations, 2019, w-e-f 01.01.2020 for the word “registering”.</w:t>
      </w:r>
    </w:p>
    <w:p>
      <w:pPr>
        <w:spacing w:after="0" w:line="30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86</w:t>
      </w:r>
    </w:p>
    <w:p>
      <w:pPr>
        <w:sectPr>
          <w:pgSz w:w="11900" w:h="16836" w:orient="portrait"/>
          <w:cols w:equalWidth="0" w:num="1">
            <w:col w:w="9468"/>
          </w:cols>
          <w:pgMar w:left="1152" w:top="1156" w:right="1284" w:bottom="103" w:gutter="0" w:footer="0" w:header="0"/>
        </w:sectPr>
      </w:pPr>
    </w:p>
    <w:bookmarkStart w:id="86" w:name="page87"/>
    <w:bookmarkEnd w:id="86"/>
    <w:p>
      <w:pPr>
        <w:jc w:val="both"/>
        <w:ind w:left="8" w:hanging="8"/>
        <w:spacing w:after="0" w:line="311" w:lineRule="auto"/>
        <w:tabs>
          <w:tab w:leader="none" w:pos="363" w:val="left"/>
        </w:tabs>
        <w:numPr>
          <w:ilvl w:val="0"/>
          <w:numId w:val="3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The issue shall be opened after at least three working days from the date of </w:t>
      </w:r>
      <w:r>
        <w:rPr>
          <w:rFonts w:ascii="Times New Roman" w:cs="Times New Roman" w:eastAsia="Times New Roman" w:hAnsi="Times New Roman"/>
          <w:sz w:val="32"/>
          <w:szCs w:val="32"/>
          <w:color w:val="auto"/>
          <w:vertAlign w:val="superscript"/>
        </w:rPr>
        <w:t>63</w:t>
      </w:r>
      <w:r>
        <w:rPr>
          <w:rFonts w:ascii="Times New Roman" w:cs="Times New Roman" w:eastAsia="Times New Roman" w:hAnsi="Times New Roman"/>
          <w:sz w:val="24"/>
          <w:szCs w:val="24"/>
          <w:color w:val="auto"/>
        </w:rPr>
        <w:t>[filing] the red herring prospectus with the Registrar of Companies in case of book built issues and prospectus with the Registrar of Companies in case of fixed price issues.</w:t>
      </w:r>
    </w:p>
    <w:p>
      <w:pPr>
        <w:spacing w:after="0" w:line="200" w:lineRule="exact"/>
        <w:rPr>
          <w:sz w:val="20"/>
          <w:szCs w:val="20"/>
          <w:color w:val="auto"/>
        </w:rPr>
      </w:pPr>
    </w:p>
    <w:p>
      <w:pPr>
        <w:spacing w:after="0" w:line="27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Minimum subscription</w:t>
      </w:r>
    </w:p>
    <w:p>
      <w:pPr>
        <w:spacing w:after="0" w:line="144" w:lineRule="exact"/>
        <w:rPr>
          <w:sz w:val="20"/>
          <w:szCs w:val="20"/>
          <w:color w:val="auto"/>
        </w:rPr>
      </w:pPr>
    </w:p>
    <w:p>
      <w:pPr>
        <w:ind w:left="8" w:hanging="8"/>
        <w:spacing w:after="0" w:line="350" w:lineRule="auto"/>
        <w:tabs>
          <w:tab w:leader="none" w:pos="485" w:val="left"/>
        </w:tabs>
        <w:numPr>
          <w:ilvl w:val="0"/>
          <w:numId w:val="36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minimum subscription to be received in the issue shall be at least ninety per cent. of the offer through the offer document, except in case of an offer for sale of specified securities.</w:t>
      </w:r>
    </w:p>
    <w:p>
      <w:pPr>
        <w:spacing w:after="0" w:line="23"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In the event of non-receipt of minimum subscription referred to in sub-regulation (1), all application monies received shall be refunded to the applicants forthwith, but not later than fifteen days from the closure of the issue.</w:t>
      </w:r>
    </w:p>
    <w:p>
      <w:pPr>
        <w:spacing w:after="0" w:line="200" w:lineRule="exact"/>
        <w:rPr>
          <w:sz w:val="20"/>
          <w:szCs w:val="20"/>
          <w:color w:val="auto"/>
        </w:rPr>
      </w:pPr>
    </w:p>
    <w:p>
      <w:pPr>
        <w:spacing w:after="0" w:line="22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Period of subscription</w:t>
      </w:r>
    </w:p>
    <w:p>
      <w:pPr>
        <w:spacing w:after="0" w:line="147" w:lineRule="exact"/>
        <w:rPr>
          <w:sz w:val="20"/>
          <w:szCs w:val="20"/>
          <w:color w:val="auto"/>
        </w:rPr>
      </w:pPr>
    </w:p>
    <w:p>
      <w:pPr>
        <w:ind w:left="8" w:hanging="8"/>
        <w:spacing w:after="0" w:line="348" w:lineRule="auto"/>
        <w:tabs>
          <w:tab w:leader="none" w:pos="480" w:val="left"/>
        </w:tabs>
        <w:numPr>
          <w:ilvl w:val="0"/>
          <w:numId w:val="36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Except as otherwise provided in these regulations, a further public issue shall be kept open for at least three working days and not more than ten working days.</w:t>
      </w:r>
    </w:p>
    <w:p>
      <w:pPr>
        <w:spacing w:after="0" w:line="27"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In case of a revision in the price band, the issuer shall extend the bidding (issue) period disclosed in the red herring prospectus, for a minimum period of three working days, subject to the provisions of sub-regulation (1).</w:t>
      </w:r>
    </w:p>
    <w:p>
      <w:pPr>
        <w:spacing w:after="0" w:line="20" w:lineRule="exact"/>
        <w:rPr>
          <w:rFonts w:ascii="Times New Roman" w:cs="Times New Roman" w:eastAsia="Times New Roman" w:hAnsi="Times New Roman"/>
          <w:sz w:val="24"/>
          <w:szCs w:val="24"/>
          <w:b w:val="1"/>
          <w:bCs w:val="1"/>
          <w:color w:val="auto"/>
        </w:rPr>
      </w:pPr>
    </w:p>
    <w:p>
      <w:pPr>
        <w:jc w:val="both"/>
        <w:ind w:left="8"/>
        <w:spacing w:after="0" w:line="375"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3"/>
          <w:szCs w:val="23"/>
          <w:color w:val="auto"/>
        </w:rPr>
        <w:t>(3) In case of force majeure, banking strike or similar circumstances, the issuer may, for reasons to be recorded in writing, extend the bidding (issue) period disclosed in the red herring prospectus (in case of a book built issue) or the issue period disclosed in the prospectus (in case of a fixed price issue), for a minimum period of three working days, subject to the provisions of sub-regulation (1).</w:t>
      </w:r>
    </w:p>
    <w:p>
      <w:pPr>
        <w:spacing w:after="0" w:line="200" w:lineRule="exact"/>
        <w:rPr>
          <w:sz w:val="20"/>
          <w:szCs w:val="20"/>
          <w:color w:val="auto"/>
        </w:rPr>
      </w:pPr>
    </w:p>
    <w:p>
      <w:pPr>
        <w:spacing w:after="0" w:line="211"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Application and minimum application value</w:t>
      </w:r>
    </w:p>
    <w:p>
      <w:pPr>
        <w:spacing w:after="0" w:line="145" w:lineRule="exact"/>
        <w:rPr>
          <w:sz w:val="20"/>
          <w:szCs w:val="20"/>
          <w:color w:val="auto"/>
        </w:rPr>
      </w:pPr>
    </w:p>
    <w:p>
      <w:pPr>
        <w:ind w:left="8" w:hanging="8"/>
        <w:spacing w:after="0" w:line="350" w:lineRule="auto"/>
        <w:tabs>
          <w:tab w:leader="none" w:pos="495" w:val="left"/>
        </w:tabs>
        <w:numPr>
          <w:ilvl w:val="0"/>
          <w:numId w:val="36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A person shall not make an application in the net offer category for a number of specified securities that exceeds the total number of specified securities offered to public.</w:t>
      </w:r>
    </w:p>
    <w:p>
      <w:pPr>
        <w:spacing w:after="0" w:line="23"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the maximum application by non-institutional investors shall not exceed total number of specified securities offered in the issue less total number of specified securities offered in the issue to qualified institutional buyers.</w:t>
      </w:r>
    </w:p>
    <w:p>
      <w:pPr>
        <w:spacing w:after="0" w:line="22"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The issuer shall stipulate in the offer document the minimum application size in terms of number of specified securities which shall fall within the range of minimum application value of ten thousand rupees to fifteen thousand rupees.</w:t>
      </w:r>
    </w:p>
    <w:p>
      <w:pPr>
        <w:spacing w:after="0" w:line="20" w:lineRule="exact"/>
        <w:rPr>
          <w:rFonts w:ascii="Times New Roman" w:cs="Times New Roman" w:eastAsia="Times New Roman" w:hAnsi="Times New Roman"/>
          <w:sz w:val="24"/>
          <w:szCs w:val="24"/>
          <w:b w:val="1"/>
          <w:bCs w:val="1"/>
          <w:color w:val="auto"/>
        </w:rPr>
      </w:pPr>
    </w:p>
    <w:p>
      <w:pPr>
        <w:ind w:left="8"/>
        <w:spacing w:after="0" w:line="350"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(3) The issuer shall invite applications in multiples of the minimum application value, an illustration whereof is given in </w:t>
      </w:r>
      <w:r>
        <w:rPr>
          <w:rFonts w:ascii="Times New Roman" w:cs="Times New Roman" w:eastAsia="Times New Roman" w:hAnsi="Times New Roman"/>
          <w:sz w:val="24"/>
          <w:szCs w:val="24"/>
          <w:b w:val="1"/>
          <w:bCs w:val="1"/>
          <w:color w:val="auto"/>
        </w:rPr>
        <w:t>Part B of Schedule XIV</w:t>
      </w:r>
      <w:r>
        <w:rPr>
          <w:rFonts w:ascii="Times New Roman" w:cs="Times New Roman" w:eastAsia="Times New Roman" w:hAnsi="Times New Roman"/>
          <w:sz w:val="24"/>
          <w:szCs w:val="24"/>
          <w:color w:val="auto"/>
        </w:rPr>
        <w:t>.</w:t>
      </w:r>
    </w:p>
    <w:p>
      <w:pPr>
        <w:spacing w:after="0" w:line="348" w:lineRule="exact"/>
        <w:rPr>
          <w:sz w:val="20"/>
          <w:szCs w:val="20"/>
          <w:color w:val="auto"/>
        </w:rPr>
      </w:pPr>
    </w:p>
    <w:p>
      <w:pPr>
        <w:ind w:left="8" w:hanging="8"/>
        <w:spacing w:after="0" w:line="203" w:lineRule="auto"/>
        <w:tabs>
          <w:tab w:leader="none" w:pos="188" w:val="left"/>
        </w:tabs>
        <w:numPr>
          <w:ilvl w:val="0"/>
          <w:numId w:val="370"/>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Securities and Exchange Board of India (Issue of Capital and Disclosure Requirements) (Seventh Amendment) Regulations, 2019, w-e-f 01.01.2020 for the word “registering”.</w:t>
      </w:r>
    </w:p>
    <w:p>
      <w:pPr>
        <w:spacing w:after="0" w:line="30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87</w:t>
      </w:r>
    </w:p>
    <w:p>
      <w:pPr>
        <w:sectPr>
          <w:pgSz w:w="11900" w:h="16836" w:orient="portrait"/>
          <w:cols w:equalWidth="0" w:num="1">
            <w:col w:w="9468"/>
          </w:cols>
          <w:pgMar w:left="1152" w:top="1136" w:right="1284" w:bottom="103" w:gutter="0" w:footer="0" w:header="0"/>
        </w:sectPr>
      </w:pPr>
    </w:p>
    <w:bookmarkStart w:id="87" w:name="page88"/>
    <w:bookmarkEnd w:id="87"/>
    <w:p>
      <w:pPr>
        <w:ind w:left="8" w:hanging="8"/>
        <w:spacing w:after="0" w:line="348" w:lineRule="auto"/>
        <w:tabs>
          <w:tab w:leader="none" w:pos="368" w:val="left"/>
        </w:tabs>
        <w:numPr>
          <w:ilvl w:val="0"/>
          <w:numId w:val="3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minimum sum payable on application per specified security shall be at least twenty five per cent. of the issue price:</w:t>
      </w:r>
    </w:p>
    <w:p>
      <w:pPr>
        <w:spacing w:after="0" w:line="28" w:lineRule="exact"/>
        <w:rPr>
          <w:rFonts w:ascii="Times New Roman" w:cs="Times New Roman" w:eastAsia="Times New Roman" w:hAnsi="Times New Roman"/>
          <w:sz w:val="24"/>
          <w:szCs w:val="24"/>
          <w:color w:val="auto"/>
        </w:rPr>
      </w:pPr>
    </w:p>
    <w:p>
      <w:pPr>
        <w:ind w:left="8"/>
        <w:spacing w:after="0" w:line="348"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in case of an offer for sale, the full issue price for each specified security shall be payable at the time of application.</w:t>
      </w:r>
    </w:p>
    <w:p>
      <w:pPr>
        <w:spacing w:after="0" w:line="28" w:lineRule="exact"/>
        <w:rPr>
          <w:sz w:val="20"/>
          <w:szCs w:val="20"/>
          <w:color w:val="auto"/>
        </w:rPr>
      </w:pPr>
    </w:p>
    <w:p>
      <w:pPr>
        <w:jc w:val="both"/>
        <w:ind w:left="8"/>
        <w:spacing w:after="0" w:line="354" w:lineRule="auto"/>
        <w:rPr>
          <w:sz w:val="20"/>
          <w:szCs w:val="20"/>
          <w:color w:val="auto"/>
        </w:rPr>
      </w:pPr>
      <w:r>
        <w:rPr>
          <w:rFonts w:ascii="Times New Roman" w:cs="Times New Roman" w:eastAsia="Times New Roman" w:hAnsi="Times New Roman"/>
          <w:sz w:val="24"/>
          <w:szCs w:val="24"/>
          <w:b w:val="1"/>
          <w:bCs w:val="1"/>
          <w:color w:val="auto"/>
        </w:rPr>
        <w:t>Explanation</w:t>
      </w:r>
      <w:r>
        <w:rPr>
          <w:rFonts w:ascii="Times New Roman" w:cs="Times New Roman" w:eastAsia="Times New Roman" w:hAnsi="Times New Roman"/>
          <w:sz w:val="24"/>
          <w:szCs w:val="24"/>
          <w:color w:val="auto"/>
        </w:rPr>
        <w:t>: For the purpose of this regulation, “minimum application value” shall be with</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reference to the issue price of the specified securities and not with reference to the amount payable on application.</w:t>
      </w:r>
    </w:p>
    <w:p>
      <w:pPr>
        <w:spacing w:after="0" w:line="200" w:lineRule="exact"/>
        <w:rPr>
          <w:sz w:val="20"/>
          <w:szCs w:val="20"/>
          <w:color w:val="auto"/>
        </w:rPr>
      </w:pPr>
    </w:p>
    <w:p>
      <w:pPr>
        <w:spacing w:after="0" w:line="22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Manner of calls</w:t>
      </w:r>
    </w:p>
    <w:p>
      <w:pPr>
        <w:spacing w:after="0" w:line="144" w:lineRule="exact"/>
        <w:rPr>
          <w:sz w:val="20"/>
          <w:szCs w:val="20"/>
          <w:color w:val="auto"/>
        </w:rPr>
      </w:pPr>
    </w:p>
    <w:p>
      <w:pPr>
        <w:jc w:val="both"/>
        <w:ind w:left="8" w:hanging="8"/>
        <w:spacing w:after="0" w:line="375" w:lineRule="auto"/>
        <w:tabs>
          <w:tab w:leader="none" w:pos="540" w:val="left"/>
        </w:tabs>
        <w:numPr>
          <w:ilvl w:val="0"/>
          <w:numId w:val="372"/>
        </w:numPr>
        <w:rPr>
          <w:rFonts w:ascii="Times New Roman" w:cs="Times New Roman" w:eastAsia="Times New Roman" w:hAnsi="Times New Roman"/>
          <w:sz w:val="23"/>
          <w:szCs w:val="23"/>
          <w:b w:val="1"/>
          <w:bCs w:val="1"/>
          <w:color w:val="auto"/>
        </w:rPr>
      </w:pPr>
      <w:r>
        <w:rPr>
          <w:rFonts w:ascii="Times New Roman" w:cs="Times New Roman" w:eastAsia="Times New Roman" w:hAnsi="Times New Roman"/>
          <w:sz w:val="23"/>
          <w:szCs w:val="23"/>
          <w:color w:val="auto"/>
        </w:rPr>
        <w:t>If the issuer proposes to receive subscription monies in calls, it shall ensure that the outstanding subscription money is called within twelve months from the date of allotment in the issue and if any applicant fails to pay the call money within the said twelve months, the equity shares on which there are calls in arrear along with the subscription money already paid on such shares shall be forfeited:</w:t>
      </w:r>
    </w:p>
    <w:p>
      <w:pPr>
        <w:spacing w:after="0" w:line="3" w:lineRule="exact"/>
        <w:rPr>
          <w:rFonts w:ascii="Times New Roman" w:cs="Times New Roman" w:eastAsia="Times New Roman" w:hAnsi="Times New Roman"/>
          <w:sz w:val="23"/>
          <w:szCs w:val="23"/>
          <w:b w:val="1"/>
          <w:bCs w:val="1"/>
          <w:color w:val="auto"/>
        </w:rPr>
      </w:pPr>
    </w:p>
    <w:p>
      <w:pPr>
        <w:ind w:left="8"/>
        <w:spacing w:after="0" w:line="350" w:lineRule="auto"/>
        <w:rPr>
          <w:rFonts w:ascii="Times New Roman" w:cs="Times New Roman" w:eastAsia="Times New Roman" w:hAnsi="Times New Roman"/>
          <w:sz w:val="23"/>
          <w:szCs w:val="23"/>
          <w:b w:val="1"/>
          <w:bCs w:val="1"/>
          <w:color w:val="auto"/>
        </w:rPr>
      </w:pPr>
      <w:r>
        <w:rPr>
          <w:rFonts w:ascii="Times New Roman" w:cs="Times New Roman" w:eastAsia="Times New Roman" w:hAnsi="Times New Roman"/>
          <w:sz w:val="24"/>
          <w:szCs w:val="24"/>
          <w:color w:val="auto"/>
        </w:rPr>
        <w:t>Provided that it shall not be necessary to call the outstanding subscription money within twelve months, if the issuer has appointed a monitoring agency in terms of regulation 137.</w:t>
      </w:r>
    </w:p>
    <w:p>
      <w:pPr>
        <w:spacing w:after="0" w:line="200" w:lineRule="exact"/>
        <w:rPr>
          <w:sz w:val="20"/>
          <w:szCs w:val="20"/>
          <w:color w:val="auto"/>
        </w:rPr>
      </w:pPr>
    </w:p>
    <w:p>
      <w:pPr>
        <w:spacing w:after="0" w:line="231"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Allotment procedure and basis of allotment</w:t>
      </w:r>
    </w:p>
    <w:p>
      <w:pPr>
        <w:spacing w:after="0" w:line="144" w:lineRule="exact"/>
        <w:rPr>
          <w:sz w:val="20"/>
          <w:szCs w:val="20"/>
          <w:color w:val="auto"/>
        </w:rPr>
      </w:pPr>
    </w:p>
    <w:p>
      <w:pPr>
        <w:ind w:left="8" w:hanging="8"/>
        <w:spacing w:after="0" w:line="350" w:lineRule="auto"/>
        <w:tabs>
          <w:tab w:leader="none" w:pos="540" w:val="left"/>
        </w:tabs>
        <w:numPr>
          <w:ilvl w:val="0"/>
          <w:numId w:val="37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shall not make an allotment pursuant to a public issue if the number of prospective allottees is less than one thousand.</w:t>
      </w:r>
    </w:p>
    <w:p>
      <w:pPr>
        <w:spacing w:after="0" w:line="23"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The issuer shall not make any allotment in excess of the specified securities offered through the offer document except in case of oversubscription for the purpose of rounding off to make allotment, in consultation with the designated stock exchange.</w:t>
      </w:r>
    </w:p>
    <w:p>
      <w:pPr>
        <w:spacing w:after="0" w:line="22" w:lineRule="exact"/>
        <w:rPr>
          <w:rFonts w:ascii="Times New Roman" w:cs="Times New Roman" w:eastAsia="Times New Roman" w:hAnsi="Times New Roman"/>
          <w:sz w:val="24"/>
          <w:szCs w:val="24"/>
          <w:b w:val="1"/>
          <w:bCs w:val="1"/>
          <w:color w:val="auto"/>
        </w:rPr>
      </w:pPr>
    </w:p>
    <w:p>
      <w:pPr>
        <w:ind w:left="8"/>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in case of oversubscription, an allotment of not more than one per cent. of the net offer to public may be made for the purpose of making allotment in minimum lots.</w:t>
      </w:r>
    </w:p>
    <w:p>
      <w:pPr>
        <w:spacing w:after="0" w:line="28" w:lineRule="exact"/>
        <w:rPr>
          <w:rFonts w:ascii="Times New Roman" w:cs="Times New Roman" w:eastAsia="Times New Roman" w:hAnsi="Times New Roman"/>
          <w:sz w:val="24"/>
          <w:szCs w:val="24"/>
          <w:b w:val="1"/>
          <w:bCs w:val="1"/>
          <w:color w:val="auto"/>
        </w:rPr>
      </w:pPr>
    </w:p>
    <w:p>
      <w:pPr>
        <w:jc w:val="both"/>
        <w:ind w:left="8"/>
        <w:spacing w:after="0" w:line="356"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(3) The allotment of specified securities to applicants other than retail individual investors and anchor investors shall be on proportionate basis within the specified investor categories and the number of securities allotted shall be rounded off to the nearest integer, subject to minimum allotment being equal to the minimum application size as determined and disclosed by the issuer:</w:t>
      </w:r>
    </w:p>
    <w:p>
      <w:pPr>
        <w:spacing w:after="0" w:line="18"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value of specified securities allotted to any person, except in case of employees, in pursuance of reservation made under clause (a) of sub-regulation (1) or clause (a) of sub-regulation (2) of regulation 130, shall not exceed two lakhs rupees.</w:t>
      </w:r>
    </w:p>
    <w:p>
      <w:pPr>
        <w:spacing w:after="0" w:line="20"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(4) The allotment of specified securities to each retail individual investor shall not be less than the minimum bid lot, subject to availability of shares in retail individual investor category, and the remaining available shares, if any, shall be allotted on a proportionate basis.</w:t>
      </w: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88</w:t>
      </w:r>
    </w:p>
    <w:p>
      <w:pPr>
        <w:sectPr>
          <w:pgSz w:w="11900" w:h="16836" w:orient="portrait"/>
          <w:cols w:equalWidth="0" w:num="1">
            <w:col w:w="9468"/>
          </w:cols>
          <w:pgMar w:left="1152" w:top="1156" w:right="1284" w:bottom="103" w:gutter="0" w:footer="0" w:header="0"/>
        </w:sectPr>
      </w:pPr>
    </w:p>
    <w:bookmarkStart w:id="88" w:name="page89"/>
    <w:bookmarkEnd w:id="88"/>
    <w:p>
      <w:pPr>
        <w:jc w:val="both"/>
        <w:ind w:left="8" w:hanging="8"/>
        <w:spacing w:after="0" w:line="354" w:lineRule="auto"/>
        <w:tabs>
          <w:tab w:leader="none" w:pos="372" w:val="left"/>
        </w:tabs>
        <w:numPr>
          <w:ilvl w:val="0"/>
          <w:numId w:val="37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The authorised employees of the designated stock exchange along with the lead manager(s) and registrars to the issue shall ensure that the basis of allotment is finalised in a fair and proper manner in accordance with the allotment procedure as specified in </w:t>
      </w:r>
      <w:r>
        <w:rPr>
          <w:rFonts w:ascii="Times New Roman" w:cs="Times New Roman" w:eastAsia="Times New Roman" w:hAnsi="Times New Roman"/>
          <w:sz w:val="24"/>
          <w:szCs w:val="24"/>
          <w:b w:val="1"/>
          <w:bCs w:val="1"/>
          <w:color w:val="auto"/>
        </w:rPr>
        <w:t>Part A of Schedule XIV</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22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Allotment, refund and payment of interest</w:t>
      </w:r>
    </w:p>
    <w:p>
      <w:pPr>
        <w:spacing w:after="0" w:line="144" w:lineRule="exact"/>
        <w:rPr>
          <w:sz w:val="20"/>
          <w:szCs w:val="20"/>
          <w:color w:val="auto"/>
        </w:rPr>
      </w:pPr>
    </w:p>
    <w:p>
      <w:pPr>
        <w:ind w:left="8" w:hanging="8"/>
        <w:spacing w:after="0" w:line="375" w:lineRule="auto"/>
        <w:tabs>
          <w:tab w:leader="none" w:pos="516" w:val="left"/>
        </w:tabs>
        <w:numPr>
          <w:ilvl w:val="0"/>
          <w:numId w:val="375"/>
        </w:numPr>
        <w:rPr>
          <w:rFonts w:ascii="Times New Roman" w:cs="Times New Roman" w:eastAsia="Times New Roman" w:hAnsi="Times New Roman"/>
          <w:sz w:val="23"/>
          <w:szCs w:val="23"/>
          <w:b w:val="1"/>
          <w:bCs w:val="1"/>
          <w:color w:val="auto"/>
        </w:rPr>
      </w:pPr>
      <w:r>
        <w:rPr>
          <w:rFonts w:ascii="Times New Roman" w:cs="Times New Roman" w:eastAsia="Times New Roman" w:hAnsi="Times New Roman"/>
          <w:sz w:val="23"/>
          <w:szCs w:val="23"/>
          <w:color w:val="auto"/>
        </w:rPr>
        <w:t>(1) The issuer and lead manager(s) shall ensure that specified securities are allotted and/or application monies are refunded or unblocked within such period as may be specified by the Board.</w:t>
      </w:r>
    </w:p>
    <w:p>
      <w:pPr>
        <w:spacing w:after="0" w:line="1" w:lineRule="exact"/>
        <w:rPr>
          <w:rFonts w:ascii="Times New Roman" w:cs="Times New Roman" w:eastAsia="Times New Roman" w:hAnsi="Times New Roman"/>
          <w:sz w:val="23"/>
          <w:szCs w:val="23"/>
          <w:b w:val="1"/>
          <w:bCs w:val="1"/>
          <w:color w:val="auto"/>
        </w:rPr>
      </w:pPr>
    </w:p>
    <w:p>
      <w:pPr>
        <w:ind w:left="8"/>
        <w:spacing w:after="0" w:line="350" w:lineRule="auto"/>
        <w:rPr>
          <w:rFonts w:ascii="Times New Roman" w:cs="Times New Roman" w:eastAsia="Times New Roman" w:hAnsi="Times New Roman"/>
          <w:sz w:val="23"/>
          <w:szCs w:val="23"/>
          <w:b w:val="1"/>
          <w:bCs w:val="1"/>
          <w:color w:val="auto"/>
        </w:rPr>
      </w:pPr>
      <w:r>
        <w:rPr>
          <w:rFonts w:ascii="Times New Roman" w:cs="Times New Roman" w:eastAsia="Times New Roman" w:hAnsi="Times New Roman"/>
          <w:sz w:val="24"/>
          <w:szCs w:val="24"/>
          <w:color w:val="auto"/>
        </w:rPr>
        <w:t>(2) The lead manager(s) shall ensure that the allotment, credit of dematerialised securities, refunding or unblocking of application monies, as may be applicable, are done electronically.</w:t>
      </w:r>
    </w:p>
    <w:p>
      <w:pPr>
        <w:spacing w:after="0" w:line="23" w:lineRule="exact"/>
        <w:rPr>
          <w:rFonts w:ascii="Times New Roman" w:cs="Times New Roman" w:eastAsia="Times New Roman" w:hAnsi="Times New Roman"/>
          <w:sz w:val="23"/>
          <w:szCs w:val="23"/>
          <w:b w:val="1"/>
          <w:bCs w:val="1"/>
          <w:color w:val="auto"/>
        </w:rPr>
      </w:pPr>
    </w:p>
    <w:p>
      <w:pPr>
        <w:jc w:val="both"/>
        <w:ind w:left="8"/>
        <w:spacing w:after="0" w:line="356" w:lineRule="auto"/>
        <w:rPr>
          <w:rFonts w:ascii="Times New Roman" w:cs="Times New Roman" w:eastAsia="Times New Roman" w:hAnsi="Times New Roman"/>
          <w:sz w:val="23"/>
          <w:szCs w:val="23"/>
          <w:b w:val="1"/>
          <w:bCs w:val="1"/>
          <w:color w:val="auto"/>
        </w:rPr>
      </w:pPr>
      <w:r>
        <w:rPr>
          <w:rFonts w:ascii="Times New Roman" w:cs="Times New Roman" w:eastAsia="Times New Roman" w:hAnsi="Times New Roman"/>
          <w:sz w:val="24"/>
          <w:szCs w:val="24"/>
          <w:color w:val="auto"/>
        </w:rPr>
        <w:t>(3) Where specified securities are not allotted and/or application monies are not refunded or unblocked within the period stipulated in sub-regulation (1) above, the issuer shall undertake to pay interest at the rate of fifteen per cent. per annum to the investors and within such time as disclosed in the offer document and the lead manager(s) shall ensure the same.</w:t>
      </w:r>
    </w:p>
    <w:p>
      <w:pPr>
        <w:spacing w:after="0" w:line="200" w:lineRule="exact"/>
        <w:rPr>
          <w:sz w:val="20"/>
          <w:szCs w:val="20"/>
          <w:color w:val="auto"/>
        </w:rPr>
      </w:pPr>
    </w:p>
    <w:p>
      <w:pPr>
        <w:spacing w:after="0" w:line="226"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Post-issue Advertisements</w:t>
      </w:r>
    </w:p>
    <w:p>
      <w:pPr>
        <w:spacing w:after="0" w:line="144" w:lineRule="exact"/>
        <w:rPr>
          <w:sz w:val="20"/>
          <w:szCs w:val="20"/>
          <w:color w:val="auto"/>
        </w:rPr>
      </w:pPr>
    </w:p>
    <w:p>
      <w:pPr>
        <w:jc w:val="both"/>
        <w:ind w:left="8" w:hanging="8"/>
        <w:spacing w:after="0" w:line="358" w:lineRule="auto"/>
        <w:tabs>
          <w:tab w:leader="none" w:pos="591" w:val="left"/>
        </w:tabs>
        <w:numPr>
          <w:ilvl w:val="0"/>
          <w:numId w:val="37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lead manager(s) shall ensure that advertisement giving details relating to subscription, basis of allotment, number, value and percentage of all applications including ASBA, number, value and percentage of successful allottees for all applications including ASBA, date of completion of despatch of refund orders, as applicable, or instructions to self-certified syndicate banks by the registrar, date of credit of specified securities and date of filing of listing application, etc. is released within ten days from the date of completion of the various activities in at least one English national daily newspaper with wide circulation, one Hindi national daily newspaper with wide circulation and one regional language daily newspaper with wide circulation at the place where registered office of the issuer is situated.</w:t>
      </w:r>
    </w:p>
    <w:p>
      <w:pPr>
        <w:spacing w:after="0" w:line="23" w:lineRule="exact"/>
        <w:rPr>
          <w:rFonts w:ascii="Times New Roman" w:cs="Times New Roman" w:eastAsia="Times New Roman" w:hAnsi="Times New Roman"/>
          <w:sz w:val="24"/>
          <w:szCs w:val="24"/>
          <w:b w:val="1"/>
          <w:bCs w:val="1"/>
          <w:color w:val="auto"/>
        </w:rPr>
      </w:pPr>
    </w:p>
    <w:p>
      <w:pPr>
        <w:ind w:left="8"/>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Details specified in sub regulation (1) shall also be placed on the websites of the stock exchanges.</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Post-issue responsibilities of the lead manager(s)</w:t>
      </w:r>
    </w:p>
    <w:p>
      <w:pPr>
        <w:spacing w:after="0" w:line="147" w:lineRule="exact"/>
        <w:rPr>
          <w:sz w:val="20"/>
          <w:szCs w:val="20"/>
          <w:color w:val="auto"/>
        </w:rPr>
      </w:pPr>
    </w:p>
    <w:p>
      <w:pPr>
        <w:ind w:left="8" w:hanging="8"/>
        <w:spacing w:after="0" w:line="348" w:lineRule="auto"/>
        <w:tabs>
          <w:tab w:leader="none" w:pos="492" w:val="left"/>
        </w:tabs>
        <w:numPr>
          <w:ilvl w:val="0"/>
          <w:numId w:val="37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responsibility of the lead manager(s) shall continue until completion of issue process and for any issue related matter thereafter.</w:t>
      </w:r>
    </w:p>
    <w:p>
      <w:pPr>
        <w:spacing w:after="0" w:line="27" w:lineRule="exact"/>
        <w:rPr>
          <w:rFonts w:ascii="Times New Roman" w:cs="Times New Roman" w:eastAsia="Times New Roman" w:hAnsi="Times New Roman"/>
          <w:sz w:val="24"/>
          <w:szCs w:val="24"/>
          <w:b w:val="1"/>
          <w:bCs w:val="1"/>
          <w:color w:val="auto"/>
        </w:rPr>
      </w:pPr>
    </w:p>
    <w:p>
      <w:pPr>
        <w:ind w:left="8"/>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The lead manager(s) shall regularly monitor redressal of investor grievances arising from any issue related activities.</w:t>
      </w:r>
    </w:p>
    <w:p>
      <w:pPr>
        <w:spacing w:after="0" w:line="28" w:lineRule="exact"/>
        <w:rPr>
          <w:rFonts w:ascii="Times New Roman" w:cs="Times New Roman" w:eastAsia="Times New Roman" w:hAnsi="Times New Roman"/>
          <w:sz w:val="24"/>
          <w:szCs w:val="24"/>
          <w:b w:val="1"/>
          <w:bCs w:val="1"/>
          <w:color w:val="auto"/>
        </w:rPr>
      </w:pPr>
    </w:p>
    <w:p>
      <w:pPr>
        <w:jc w:val="both"/>
        <w:ind w:left="8"/>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(3) The lead manager(s) shall continue to be responsible for post-issue activities till the applicants have received the securities certificates, credit to their demat account or refund of application</w:t>
      </w: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89</w:t>
      </w:r>
    </w:p>
    <w:p>
      <w:pPr>
        <w:sectPr>
          <w:pgSz w:w="11900" w:h="16836" w:orient="portrait"/>
          <w:cols w:equalWidth="0" w:num="1">
            <w:col w:w="9468"/>
          </w:cols>
          <w:pgMar w:left="1152" w:top="1156" w:right="1284" w:bottom="103" w:gutter="0" w:footer="0" w:header="0"/>
        </w:sectPr>
      </w:pPr>
    </w:p>
    <w:bookmarkStart w:id="89" w:name="page90"/>
    <w:bookmarkEnd w:id="89"/>
    <w:p>
      <w:pPr>
        <w:ind w:left="8"/>
        <w:spacing w:after="0" w:line="348" w:lineRule="auto"/>
        <w:rPr>
          <w:sz w:val="20"/>
          <w:szCs w:val="20"/>
          <w:color w:val="auto"/>
        </w:rPr>
      </w:pPr>
      <w:r>
        <w:rPr>
          <w:rFonts w:ascii="Times New Roman" w:cs="Times New Roman" w:eastAsia="Times New Roman" w:hAnsi="Times New Roman"/>
          <w:sz w:val="24"/>
          <w:szCs w:val="24"/>
          <w:color w:val="auto"/>
        </w:rPr>
        <w:t>monies and the listing agreement is entered into by the issuer with the stock exchange and listing or trading permission is obtained.</w:t>
      </w:r>
    </w:p>
    <w:p>
      <w:pPr>
        <w:spacing w:after="0" w:line="28" w:lineRule="exact"/>
        <w:rPr>
          <w:sz w:val="20"/>
          <w:szCs w:val="20"/>
          <w:color w:val="auto"/>
        </w:rPr>
      </w:pPr>
    </w:p>
    <w:p>
      <w:pPr>
        <w:jc w:val="both"/>
        <w:ind w:left="8" w:hanging="8"/>
        <w:spacing w:after="0" w:line="358" w:lineRule="auto"/>
        <w:tabs>
          <w:tab w:leader="none" w:pos="368" w:val="left"/>
        </w:tabs>
        <w:numPr>
          <w:ilvl w:val="0"/>
          <w:numId w:val="37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 shall be responsible for and co-ordinate with the registrars to the issue and with various intermediaries at regular intervals after the closure of the issue to monitor the flow of applications from syndicate member(s) or collecting bank branches and or self-certified syndicate banks, processing of the applications including application form for ASBA and other matters till the basis of allotment is finalised, credit of the specified securities to the demat accounts of the allottees and unblocking of ASBA accounts/ despatch of refund orders are completed and securities are listed, as applicable.</w:t>
      </w:r>
    </w:p>
    <w:p>
      <w:pPr>
        <w:spacing w:after="0" w:line="15" w:lineRule="exact"/>
        <w:rPr>
          <w:rFonts w:ascii="Times New Roman" w:cs="Times New Roman" w:eastAsia="Times New Roman" w:hAnsi="Times New Roman"/>
          <w:sz w:val="24"/>
          <w:szCs w:val="24"/>
          <w:color w:val="auto"/>
        </w:rPr>
      </w:pPr>
    </w:p>
    <w:p>
      <w:pPr>
        <w:ind w:left="8" w:hanging="8"/>
        <w:spacing w:after="0" w:line="350" w:lineRule="auto"/>
        <w:tabs>
          <w:tab w:leader="none" w:pos="368" w:val="left"/>
        </w:tabs>
        <w:numPr>
          <w:ilvl w:val="0"/>
          <w:numId w:val="37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act of omission or commission on the part of any of the intermediaries noticed by the lead manager(s) shall be duly reported by them to the Board.</w:t>
      </w:r>
    </w:p>
    <w:p>
      <w:pPr>
        <w:spacing w:after="0" w:line="23"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368" w:val="left"/>
        </w:tabs>
        <w:numPr>
          <w:ilvl w:val="0"/>
          <w:numId w:val="37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there is a devolvement on underwriters, the lead manager(s) shall ensure that the notice for devolvement containing the obligation of the underwriters is issued within a period of ten days from the date of closure of the issue.</w:t>
      </w:r>
    </w:p>
    <w:p>
      <w:pPr>
        <w:spacing w:after="0" w:line="22"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394" w:val="left"/>
        </w:tabs>
        <w:numPr>
          <w:ilvl w:val="0"/>
          <w:numId w:val="37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In case of undersubscribed issues that are underwritten, the lead manager(s) shall furnish information to the Board in respect of underwriters who have failed to meet their underwriting devolvement in the format specified in </w:t>
      </w:r>
      <w:r>
        <w:rPr>
          <w:rFonts w:ascii="Times New Roman" w:cs="Times New Roman" w:eastAsia="Times New Roman" w:hAnsi="Times New Roman"/>
          <w:sz w:val="24"/>
          <w:szCs w:val="24"/>
          <w:b w:val="1"/>
          <w:bCs w:val="1"/>
          <w:color w:val="auto"/>
        </w:rPr>
        <w:t>Schedule XVIII</w:t>
      </w:r>
      <w:r>
        <w:rPr>
          <w:rFonts w:ascii="Times New Roman" w:cs="Times New Roman" w:eastAsia="Times New Roman" w:hAnsi="Times New Roman"/>
          <w:sz w:val="24"/>
          <w:szCs w:val="24"/>
          <w:color w:val="auto"/>
        </w:rPr>
        <w:t>.</w:t>
      </w:r>
    </w:p>
    <w:p>
      <w:pPr>
        <w:spacing w:after="0" w:line="1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Release of subscription money</w:t>
      </w:r>
    </w:p>
    <w:p>
      <w:pPr>
        <w:spacing w:after="0" w:line="147" w:lineRule="exact"/>
        <w:rPr>
          <w:sz w:val="20"/>
          <w:szCs w:val="20"/>
          <w:color w:val="auto"/>
        </w:rPr>
      </w:pPr>
    </w:p>
    <w:p>
      <w:pPr>
        <w:jc w:val="both"/>
        <w:ind w:left="8" w:hanging="8"/>
        <w:spacing w:after="0" w:line="356" w:lineRule="auto"/>
        <w:tabs>
          <w:tab w:leader="none" w:pos="497" w:val="left"/>
        </w:tabs>
        <w:numPr>
          <w:ilvl w:val="0"/>
          <w:numId w:val="37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lead manager(s) shall confirm to the bankers to the issue by way of copies of listing and trading approvals that all formalities in connection with the issue have been completed and that the banker is free to release the money to the issuer or release the money for refund in case of failure of the issue</w:t>
      </w:r>
      <w:r>
        <w:rPr>
          <w:rFonts w:ascii="Times New Roman" w:cs="Times New Roman" w:eastAsia="Times New Roman" w:hAnsi="Times New Roman"/>
          <w:sz w:val="24"/>
          <w:szCs w:val="24"/>
          <w:b w:val="1"/>
          <w:bCs w:val="1"/>
          <w:color w:val="auto"/>
        </w:rPr>
        <w:t>.</w:t>
      </w:r>
    </w:p>
    <w:p>
      <w:pPr>
        <w:spacing w:after="0" w:line="19" w:lineRule="exact"/>
        <w:rPr>
          <w:sz w:val="20"/>
          <w:szCs w:val="20"/>
          <w:color w:val="auto"/>
        </w:rPr>
      </w:pPr>
    </w:p>
    <w:p>
      <w:pPr>
        <w:jc w:val="both"/>
        <w:ind w:left="8" w:hanging="8"/>
        <w:spacing w:after="0" w:line="358" w:lineRule="auto"/>
        <w:tabs>
          <w:tab w:leader="none" w:pos="351" w:val="left"/>
        </w:tabs>
        <w:numPr>
          <w:ilvl w:val="0"/>
          <w:numId w:val="38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the issuer fails to obtain listing or trading permission from the stock exchanges where the specified securities were listed, it shall refund, through verifiable means, the entire monies received within seven days of receipt of intimation from stock exchanges rejecting the application for listing of specified securities and if monies are not repaid within the specified period</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color w:val="auto"/>
        </w:rPr>
        <w:t xml:space="preserve"> the issuer and every director of the company who is an officer in default shall, on and from the expiry of the eighth day, be jointly and severally liable to repay that money with interest at the rate of fifteen per cent. per annum.</w:t>
      </w:r>
    </w:p>
    <w:p>
      <w:pPr>
        <w:spacing w:after="0" w:line="15"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351" w:val="left"/>
        </w:tabs>
        <w:numPr>
          <w:ilvl w:val="0"/>
          <w:numId w:val="38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 shall ensure that the monies received in respect of the issue are released to the issuer in compliance with the provisions of the Section 40 (3) of the Companies Act, 2013, as applicable.</w:t>
      </w:r>
    </w:p>
    <w:p>
      <w:pPr>
        <w:spacing w:after="0" w:line="200" w:lineRule="exact"/>
        <w:rPr>
          <w:sz w:val="20"/>
          <w:szCs w:val="20"/>
          <w:color w:val="auto"/>
        </w:rPr>
      </w:pPr>
    </w:p>
    <w:p>
      <w:pPr>
        <w:spacing w:after="0" w:line="22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Reporting of transactions by the promoters and promoter group</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90</w:t>
      </w:r>
    </w:p>
    <w:p>
      <w:pPr>
        <w:sectPr>
          <w:pgSz w:w="11900" w:h="16836" w:orient="portrait"/>
          <w:cols w:equalWidth="0" w:num="1">
            <w:col w:w="9468"/>
          </w:cols>
          <w:pgMar w:left="1152" w:top="1156" w:right="1284" w:bottom="103" w:gutter="0" w:footer="0" w:header="0"/>
        </w:sectPr>
      </w:pPr>
    </w:p>
    <w:bookmarkStart w:id="90" w:name="page91"/>
    <w:bookmarkEnd w:id="90"/>
    <w:p>
      <w:pPr>
        <w:jc w:val="both"/>
        <w:ind w:left="8" w:hanging="8"/>
        <w:spacing w:after="0" w:line="356" w:lineRule="auto"/>
        <w:tabs>
          <w:tab w:leader="none" w:pos="495" w:val="left"/>
        </w:tabs>
        <w:numPr>
          <w:ilvl w:val="0"/>
          <w:numId w:val="38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issuer shall ensure that all transactions in securities by the promoters and promoter group between the date of filing of the draft offer document or offer document, as the case may be, and the date of closure of the issue shall be reported to the stock exchanges, within twenty four hours of such transactions.</w:t>
      </w:r>
    </w:p>
    <w:p>
      <w:pPr>
        <w:spacing w:after="0" w:line="200" w:lineRule="exact"/>
        <w:rPr>
          <w:sz w:val="20"/>
          <w:szCs w:val="20"/>
          <w:color w:val="auto"/>
        </w:rPr>
      </w:pPr>
    </w:p>
    <w:p>
      <w:pPr>
        <w:spacing w:after="0" w:line="224"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Post- issue reports</w:t>
      </w:r>
    </w:p>
    <w:p>
      <w:pPr>
        <w:spacing w:after="0" w:line="147" w:lineRule="exact"/>
        <w:rPr>
          <w:sz w:val="20"/>
          <w:szCs w:val="20"/>
          <w:color w:val="auto"/>
        </w:rPr>
      </w:pPr>
    </w:p>
    <w:p>
      <w:pPr>
        <w:jc w:val="both"/>
        <w:ind w:left="8" w:hanging="8"/>
        <w:spacing w:after="0" w:line="356" w:lineRule="auto"/>
        <w:tabs>
          <w:tab w:leader="none" w:pos="490" w:val="left"/>
        </w:tabs>
        <w:numPr>
          <w:ilvl w:val="0"/>
          <w:numId w:val="38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The lead manager(s) shall submit a final post-issue report as specified in </w:t>
      </w:r>
      <w:r>
        <w:rPr>
          <w:rFonts w:ascii="Times New Roman" w:cs="Times New Roman" w:eastAsia="Times New Roman" w:hAnsi="Times New Roman"/>
          <w:sz w:val="24"/>
          <w:szCs w:val="24"/>
          <w:b w:val="1"/>
          <w:bCs w:val="1"/>
          <w:color w:val="auto"/>
        </w:rPr>
        <w:t>Part A of Schedule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XVII</w:t>
      </w:r>
      <w:r>
        <w:rPr>
          <w:rFonts w:ascii="Times New Roman" w:cs="Times New Roman" w:eastAsia="Times New Roman" w:hAnsi="Times New Roman"/>
          <w:sz w:val="24"/>
          <w:szCs w:val="24"/>
          <w:color w:val="auto"/>
        </w:rPr>
        <w:t>, along with a due diligence certificate as per the format specified in</w:t>
      </w:r>
      <w:r>
        <w:rPr>
          <w:rFonts w:ascii="Times New Roman" w:cs="Times New Roman" w:eastAsia="Times New Roman" w:hAnsi="Times New Roman"/>
          <w:sz w:val="24"/>
          <w:szCs w:val="24"/>
          <w:b w:val="1"/>
          <w:bCs w:val="1"/>
          <w:color w:val="auto"/>
        </w:rPr>
        <w:t xml:space="preserve"> Form F </w:t>
      </w:r>
      <w:r>
        <w:rPr>
          <w:rFonts w:ascii="Times New Roman" w:cs="Times New Roman" w:eastAsia="Times New Roman" w:hAnsi="Times New Roman"/>
          <w:sz w:val="24"/>
          <w:szCs w:val="24"/>
          <w:color w:val="auto"/>
        </w:rPr>
        <w:t>of</w:t>
      </w:r>
      <w:r>
        <w:rPr>
          <w:rFonts w:ascii="Times New Roman" w:cs="Times New Roman" w:eastAsia="Times New Roman" w:hAnsi="Times New Roman"/>
          <w:sz w:val="24"/>
          <w:szCs w:val="24"/>
          <w:b w:val="1"/>
          <w:bCs w:val="1"/>
          <w:color w:val="auto"/>
        </w:rPr>
        <w:t xml:space="preserve"> Schedule V</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within seven days of the date of finalization of basis of allotment or within seven days of refund of money in case of failure of issue.</w:t>
      </w:r>
    </w:p>
    <w:p>
      <w:pPr>
        <w:spacing w:after="0" w:line="200" w:lineRule="exact"/>
        <w:rPr>
          <w:sz w:val="20"/>
          <w:szCs w:val="20"/>
          <w:color w:val="auto"/>
        </w:rPr>
      </w:pPr>
    </w:p>
    <w:p>
      <w:pPr>
        <w:spacing w:after="0" w:line="225"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IX: MISCELLANEOUS</w:t>
      </w:r>
    </w:p>
    <w:p>
      <w:pPr>
        <w:spacing w:after="0" w:line="200" w:lineRule="exact"/>
        <w:rPr>
          <w:sz w:val="20"/>
          <w:szCs w:val="20"/>
          <w:color w:val="auto"/>
        </w:rPr>
      </w:pPr>
    </w:p>
    <w:p>
      <w:pPr>
        <w:spacing w:after="0" w:line="35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Restriction on further capital issues</w:t>
      </w:r>
    </w:p>
    <w:p>
      <w:pPr>
        <w:spacing w:after="0" w:line="147" w:lineRule="exact"/>
        <w:rPr>
          <w:sz w:val="20"/>
          <w:szCs w:val="20"/>
          <w:color w:val="auto"/>
        </w:rPr>
      </w:pPr>
    </w:p>
    <w:p>
      <w:pPr>
        <w:jc w:val="both"/>
        <w:ind w:left="8" w:hanging="8"/>
        <w:spacing w:after="0" w:line="354" w:lineRule="auto"/>
        <w:tabs>
          <w:tab w:leader="none" w:pos="492" w:val="left"/>
        </w:tabs>
        <w:numPr>
          <w:ilvl w:val="0"/>
          <w:numId w:val="38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An issuer shall not make any further issue of specified securities in any manner whether by way of public issue, rights issue, preferential issue, qualified institutions placement, issue of bonus shares or otherwise, except pursuant to an employee stock option scheme:</w:t>
      </w:r>
    </w:p>
    <w:p>
      <w:pPr>
        <w:jc w:val="both"/>
        <w:ind w:left="508" w:hanging="508"/>
        <w:spacing w:after="0" w:line="326" w:lineRule="auto"/>
        <w:tabs>
          <w:tab w:leader="none" w:pos="508" w:val="left"/>
        </w:tabs>
        <w:numPr>
          <w:ilvl w:val="0"/>
          <w:numId w:val="38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in case of a fast track issue, during the period between the date of </w:t>
      </w:r>
      <w:r>
        <w:rPr>
          <w:rFonts w:ascii="Times New Roman" w:cs="Times New Roman" w:eastAsia="Times New Roman" w:hAnsi="Times New Roman"/>
          <w:sz w:val="32"/>
          <w:szCs w:val="32"/>
          <w:color w:val="auto"/>
          <w:vertAlign w:val="superscript"/>
        </w:rPr>
        <w:t>64</w:t>
      </w:r>
      <w:r>
        <w:rPr>
          <w:rFonts w:ascii="Times New Roman" w:cs="Times New Roman" w:eastAsia="Times New Roman" w:hAnsi="Times New Roman"/>
          <w:sz w:val="24"/>
          <w:szCs w:val="24"/>
          <w:color w:val="auto"/>
        </w:rPr>
        <w:t>[filing] the offer document (in case of a book built issue) or prospectus (in case of a fixed price issue) with the Registrar of Companies and the listing of the specified securities offered through the offer document or refund of application monies; or</w:t>
      </w:r>
    </w:p>
    <w:p>
      <w:pPr>
        <w:spacing w:after="0" w:line="51" w:lineRule="exact"/>
        <w:rPr>
          <w:rFonts w:ascii="Times New Roman" w:cs="Times New Roman" w:eastAsia="Times New Roman" w:hAnsi="Times New Roman"/>
          <w:sz w:val="24"/>
          <w:szCs w:val="24"/>
          <w:color w:val="auto"/>
        </w:rPr>
      </w:pPr>
    </w:p>
    <w:p>
      <w:pPr>
        <w:jc w:val="both"/>
        <w:ind w:left="508" w:hanging="508"/>
        <w:spacing w:after="0" w:line="354" w:lineRule="auto"/>
        <w:tabs>
          <w:tab w:leader="none" w:pos="508" w:val="left"/>
        </w:tabs>
        <w:numPr>
          <w:ilvl w:val="0"/>
          <w:numId w:val="38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other issues, during the period between the date of filing the draft offer document and the listing of the specified securities offered through the offer document or refund of application monies;</w:t>
      </w:r>
    </w:p>
    <w:p>
      <w:pPr>
        <w:spacing w:after="0" w:line="22" w:lineRule="exact"/>
        <w:rPr>
          <w:rFonts w:ascii="Times New Roman" w:cs="Times New Roman" w:eastAsia="Times New Roman" w:hAnsi="Times New Roman"/>
          <w:sz w:val="24"/>
          <w:szCs w:val="24"/>
          <w:color w:val="auto"/>
        </w:rPr>
      </w:pPr>
    </w:p>
    <w:p>
      <w:pPr>
        <w:jc w:val="both"/>
        <w:ind w:left="508"/>
        <w:spacing w:after="0" w:line="35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unless full disclosures regarding the total number of specified securities or amount proposed to be raised from such further issue are made in such draft offer document or offer document, as the case may be.</w:t>
      </w:r>
    </w:p>
    <w:p>
      <w:pPr>
        <w:spacing w:after="0" w:line="200" w:lineRule="exact"/>
        <w:rPr>
          <w:sz w:val="20"/>
          <w:szCs w:val="20"/>
          <w:color w:val="auto"/>
        </w:rPr>
      </w:pPr>
    </w:p>
    <w:p>
      <w:pPr>
        <w:spacing w:after="0" w:line="22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Price stabilisation through green shoe option</w:t>
      </w:r>
    </w:p>
    <w:p>
      <w:pPr>
        <w:spacing w:after="0" w:line="144" w:lineRule="exact"/>
        <w:rPr>
          <w:sz w:val="20"/>
          <w:szCs w:val="20"/>
          <w:color w:val="auto"/>
        </w:rPr>
      </w:pPr>
    </w:p>
    <w:p>
      <w:pPr>
        <w:ind w:left="8" w:hanging="8"/>
        <w:spacing w:after="0" w:line="350" w:lineRule="auto"/>
        <w:tabs>
          <w:tab w:leader="none" w:pos="480" w:val="left"/>
        </w:tabs>
        <w:numPr>
          <w:ilvl w:val="0"/>
          <w:numId w:val="38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An issuer may provide green shoe option for stabilising the post listing price of its specified securities, subject to the following: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8" w:hanging="8"/>
        <w:spacing w:after="0" w:line="203" w:lineRule="auto"/>
        <w:tabs>
          <w:tab w:leader="none" w:pos="188" w:val="left"/>
        </w:tabs>
        <w:numPr>
          <w:ilvl w:val="0"/>
          <w:numId w:val="386"/>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Securities and Exchange Board of India (Issue of Capital and Disclosure Requirements) (Seventh Amendment) Regulations, 2019, w-e-f 01.01.2020 for the word “registering”.</w:t>
      </w:r>
    </w:p>
    <w:p>
      <w:pPr>
        <w:spacing w:after="0" w:line="30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91</w:t>
      </w:r>
    </w:p>
    <w:p>
      <w:pPr>
        <w:sectPr>
          <w:pgSz w:w="11900" w:h="16836" w:orient="portrait"/>
          <w:cols w:equalWidth="0" w:num="1">
            <w:col w:w="9468"/>
          </w:cols>
          <w:pgMar w:left="1152" w:top="1156" w:right="1284" w:bottom="103" w:gutter="0" w:footer="0" w:header="0"/>
        </w:sectPr>
      </w:pPr>
    </w:p>
    <w:bookmarkStart w:id="91" w:name="page92"/>
    <w:bookmarkEnd w:id="91"/>
    <w:p>
      <w:pPr>
        <w:jc w:val="both"/>
        <w:ind w:left="548" w:hanging="548"/>
        <w:spacing w:after="0" w:line="354" w:lineRule="auto"/>
        <w:tabs>
          <w:tab w:leader="none" w:pos="548" w:val="left"/>
        </w:tabs>
        <w:numPr>
          <w:ilvl w:val="0"/>
          <w:numId w:val="38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has been authorized, by a resolution passed in the general meeting of shareholders approving the public issue, to allot specified securities to the stabilising agent, if required, on the expiry of the stabilisation period;</w:t>
      </w:r>
    </w:p>
    <w:p>
      <w:pPr>
        <w:spacing w:after="0" w:line="20" w:lineRule="exact"/>
        <w:rPr>
          <w:rFonts w:ascii="Times New Roman" w:cs="Times New Roman" w:eastAsia="Times New Roman" w:hAnsi="Times New Roman"/>
          <w:sz w:val="24"/>
          <w:szCs w:val="24"/>
          <w:color w:val="auto"/>
        </w:rPr>
      </w:pPr>
    </w:p>
    <w:p>
      <w:pPr>
        <w:ind w:left="548" w:hanging="548"/>
        <w:spacing w:after="0" w:line="350" w:lineRule="auto"/>
        <w:tabs>
          <w:tab w:leader="none" w:pos="548" w:val="left"/>
        </w:tabs>
        <w:numPr>
          <w:ilvl w:val="0"/>
          <w:numId w:val="38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has appointed a lead manager as a stabilising agent, who shall be responsible for the price stabilisation process;</w:t>
      </w:r>
    </w:p>
    <w:p>
      <w:pPr>
        <w:spacing w:after="0" w:line="23" w:lineRule="exact"/>
        <w:rPr>
          <w:rFonts w:ascii="Times New Roman" w:cs="Times New Roman" w:eastAsia="Times New Roman" w:hAnsi="Times New Roman"/>
          <w:sz w:val="24"/>
          <w:szCs w:val="24"/>
          <w:color w:val="auto"/>
        </w:rPr>
      </w:pPr>
    </w:p>
    <w:p>
      <w:pPr>
        <w:jc w:val="both"/>
        <w:ind w:left="548" w:hanging="548"/>
        <w:spacing w:after="0" w:line="375" w:lineRule="auto"/>
        <w:tabs>
          <w:tab w:leader="none" w:pos="548" w:val="left"/>
        </w:tabs>
        <w:numPr>
          <w:ilvl w:val="0"/>
          <w:numId w:val="387"/>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prior to filing the draft offer document, the issuer and the stabilising agent have entered into an agreement, stating all the terms and conditions relating to the green shoe option including fees charged and expenses to be incurred by the stabilising agent for discharging its responsibilities;</w:t>
      </w:r>
    </w:p>
    <w:p>
      <w:pPr>
        <w:spacing w:after="0" w:line="4" w:lineRule="exact"/>
        <w:rPr>
          <w:rFonts w:ascii="Times New Roman" w:cs="Times New Roman" w:eastAsia="Times New Roman" w:hAnsi="Times New Roman"/>
          <w:sz w:val="23"/>
          <w:szCs w:val="23"/>
          <w:color w:val="auto"/>
        </w:rPr>
      </w:pPr>
    </w:p>
    <w:p>
      <w:pPr>
        <w:jc w:val="both"/>
        <w:ind w:left="548" w:hanging="548"/>
        <w:spacing w:after="0" w:line="357" w:lineRule="auto"/>
        <w:tabs>
          <w:tab w:leader="none" w:pos="548" w:val="left"/>
        </w:tabs>
        <w:numPr>
          <w:ilvl w:val="0"/>
          <w:numId w:val="38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prior to filing the offer document, the stabilising agent has entered into an agreement with the promoters or pre-issue shareholders or both for borrowing specified securities from them in accordance with clause (g) of this sub-regulation, specifying therein the maximum number of specified securities that may be borrowed for the purpose of allotment or allocation of specified securities in excess of the issue size (hereinafter referred to as the “over- allotment”), which shall not be in excess of fifteen per cent. of the issue size;</w:t>
      </w:r>
    </w:p>
    <w:p>
      <w:pPr>
        <w:spacing w:after="0" w:line="20" w:lineRule="exact"/>
        <w:rPr>
          <w:rFonts w:ascii="Times New Roman" w:cs="Times New Roman" w:eastAsia="Times New Roman" w:hAnsi="Times New Roman"/>
          <w:sz w:val="24"/>
          <w:szCs w:val="24"/>
          <w:color w:val="auto"/>
        </w:rPr>
      </w:pPr>
    </w:p>
    <w:p>
      <w:pPr>
        <w:ind w:left="548" w:hanging="548"/>
        <w:spacing w:after="0" w:line="348" w:lineRule="auto"/>
        <w:tabs>
          <w:tab w:leader="none" w:pos="548" w:val="left"/>
        </w:tabs>
        <w:numPr>
          <w:ilvl w:val="0"/>
          <w:numId w:val="38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subject to clause (d), the lead manager, in consultation with the stabilising agent, shall determine the amount of specified securities to be over-allotted in the public issue;</w:t>
      </w:r>
    </w:p>
    <w:p>
      <w:pPr>
        <w:spacing w:after="0" w:line="28" w:lineRule="exact"/>
        <w:rPr>
          <w:rFonts w:ascii="Times New Roman" w:cs="Times New Roman" w:eastAsia="Times New Roman" w:hAnsi="Times New Roman"/>
          <w:sz w:val="24"/>
          <w:szCs w:val="24"/>
          <w:color w:val="auto"/>
        </w:rPr>
      </w:pPr>
    </w:p>
    <w:p>
      <w:pPr>
        <w:ind w:left="548" w:hanging="548"/>
        <w:spacing w:after="0" w:line="348" w:lineRule="auto"/>
        <w:tabs>
          <w:tab w:leader="none" w:pos="548" w:val="left"/>
        </w:tabs>
        <w:numPr>
          <w:ilvl w:val="0"/>
          <w:numId w:val="38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the draft offer document and offer document shall contain all material disclosures about the green shoe option specified in this regard in </w:t>
      </w:r>
      <w:r>
        <w:rPr>
          <w:rFonts w:ascii="Times New Roman" w:cs="Times New Roman" w:eastAsia="Times New Roman" w:hAnsi="Times New Roman"/>
          <w:sz w:val="24"/>
          <w:szCs w:val="24"/>
          <w:b w:val="1"/>
          <w:bCs w:val="1"/>
          <w:color w:val="auto"/>
        </w:rPr>
        <w:t>Part A</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 VI</w:t>
      </w:r>
      <w:r>
        <w:rPr>
          <w:rFonts w:ascii="Times New Roman" w:cs="Times New Roman" w:eastAsia="Times New Roman" w:hAnsi="Times New Roman"/>
          <w:sz w:val="24"/>
          <w:szCs w:val="24"/>
          <w:color w:val="auto"/>
        </w:rPr>
        <w:t>;</w:t>
      </w:r>
    </w:p>
    <w:p>
      <w:pPr>
        <w:spacing w:after="0" w:line="27" w:lineRule="exact"/>
        <w:rPr>
          <w:rFonts w:ascii="Times New Roman" w:cs="Times New Roman" w:eastAsia="Times New Roman" w:hAnsi="Times New Roman"/>
          <w:sz w:val="24"/>
          <w:szCs w:val="24"/>
          <w:color w:val="auto"/>
        </w:rPr>
      </w:pPr>
    </w:p>
    <w:p>
      <w:pPr>
        <w:jc w:val="both"/>
        <w:ind w:left="548" w:hanging="548"/>
        <w:spacing w:after="0" w:line="354" w:lineRule="auto"/>
        <w:tabs>
          <w:tab w:leader="none" w:pos="548" w:val="left"/>
        </w:tabs>
        <w:numPr>
          <w:ilvl w:val="0"/>
          <w:numId w:val="38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an initial public offer pre-issue shareholders and promoters and in case of a further public offer pre-issue shareholders holding more than five per cent. specified securities and promoters, may lend specified securities to the extent of the proposed over-allotment;</w:t>
      </w:r>
    </w:p>
    <w:p>
      <w:pPr>
        <w:spacing w:after="0" w:line="7" w:lineRule="exact"/>
        <w:rPr>
          <w:rFonts w:ascii="Times New Roman" w:cs="Times New Roman" w:eastAsia="Times New Roman" w:hAnsi="Times New Roman"/>
          <w:sz w:val="24"/>
          <w:szCs w:val="24"/>
          <w:color w:val="auto"/>
        </w:rPr>
      </w:pPr>
    </w:p>
    <w:p>
      <w:pPr>
        <w:ind w:left="548" w:hanging="548"/>
        <w:spacing w:after="0"/>
        <w:tabs>
          <w:tab w:leader="none" w:pos="548" w:val="left"/>
        </w:tabs>
        <w:numPr>
          <w:ilvl w:val="0"/>
          <w:numId w:val="38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specified securities borrowed shall be in dematerialised form and allocation of these</w:t>
      </w:r>
    </w:p>
    <w:p>
      <w:pPr>
        <w:spacing w:after="0" w:line="139" w:lineRule="exact"/>
        <w:rPr>
          <w:sz w:val="20"/>
          <w:szCs w:val="20"/>
          <w:color w:val="auto"/>
        </w:rPr>
      </w:pPr>
    </w:p>
    <w:p>
      <w:pPr>
        <w:ind w:left="548"/>
        <w:spacing w:after="0"/>
        <w:rPr>
          <w:sz w:val="20"/>
          <w:szCs w:val="20"/>
          <w:color w:val="auto"/>
        </w:rPr>
      </w:pPr>
      <w:r>
        <w:rPr>
          <w:rFonts w:ascii="Times New Roman" w:cs="Times New Roman" w:eastAsia="Times New Roman" w:hAnsi="Times New Roman"/>
          <w:sz w:val="24"/>
          <w:szCs w:val="24"/>
          <w:color w:val="auto"/>
        </w:rPr>
        <w:t>securities shall be made pro-rata to all successful applicants.</w:t>
      </w:r>
    </w:p>
    <w:p>
      <w:pPr>
        <w:spacing w:after="0" w:line="150" w:lineRule="exact"/>
        <w:rPr>
          <w:sz w:val="20"/>
          <w:szCs w:val="20"/>
          <w:color w:val="auto"/>
        </w:rPr>
      </w:pPr>
    </w:p>
    <w:p>
      <w:pPr>
        <w:jc w:val="both"/>
        <w:ind w:left="8" w:hanging="8"/>
        <w:spacing w:after="0" w:line="354" w:lineRule="auto"/>
        <w:tabs>
          <w:tab w:leader="none" w:pos="368" w:val="left"/>
        </w:tabs>
        <w:numPr>
          <w:ilvl w:val="0"/>
          <w:numId w:val="38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For the purpose of stabilisation of post-listing price of the specified securities, the stabilising agent shall determine the relevant aspects including the timing of buying such securities, quantity to be bought and the price at which such securities are to be bought from the market.</w:t>
      </w:r>
    </w:p>
    <w:p>
      <w:pPr>
        <w:spacing w:after="0" w:line="22"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368" w:val="left"/>
        </w:tabs>
        <w:numPr>
          <w:ilvl w:val="0"/>
          <w:numId w:val="38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stabilisation process shall be available for a period not exceeding thirty days from the date on which trading permission is given by the stock exchanges in respect of the specified securities allotted in the public issue.</w:t>
      </w:r>
    </w:p>
    <w:p>
      <w:pPr>
        <w:spacing w:after="0" w:line="19" w:lineRule="exact"/>
        <w:rPr>
          <w:rFonts w:ascii="Times New Roman" w:cs="Times New Roman" w:eastAsia="Times New Roman" w:hAnsi="Times New Roman"/>
          <w:sz w:val="24"/>
          <w:szCs w:val="24"/>
          <w:color w:val="auto"/>
        </w:rPr>
      </w:pPr>
    </w:p>
    <w:p>
      <w:pPr>
        <w:jc w:val="both"/>
        <w:ind w:left="8" w:hanging="8"/>
        <w:spacing w:after="0" w:line="356" w:lineRule="auto"/>
        <w:tabs>
          <w:tab w:leader="none" w:pos="368" w:val="left"/>
        </w:tabs>
        <w:numPr>
          <w:ilvl w:val="0"/>
          <w:numId w:val="38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stabilising agent shall open a special account, distinct from the issue account, with a bank for crediting the monies received from the applicants against the over-allotment and a special account with a depository participant for crediting specified securities to be bought from the market during the stabilisation period out of the monies credited in the special bank account.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92</w:t>
      </w:r>
    </w:p>
    <w:p>
      <w:pPr>
        <w:sectPr>
          <w:pgSz w:w="11900" w:h="16836" w:orient="portrait"/>
          <w:cols w:equalWidth="0" w:num="1">
            <w:col w:w="9468"/>
          </w:cols>
          <w:pgMar w:left="1152" w:top="1156" w:right="1284" w:bottom="103" w:gutter="0" w:footer="0" w:header="0"/>
        </w:sectPr>
      </w:pPr>
    </w:p>
    <w:bookmarkStart w:id="92" w:name="page93"/>
    <w:bookmarkEnd w:id="92"/>
    <w:p>
      <w:pPr>
        <w:jc w:val="both"/>
        <w:ind w:left="8" w:hanging="8"/>
        <w:spacing w:after="0" w:line="354" w:lineRule="auto"/>
        <w:tabs>
          <w:tab w:leader="none" w:pos="368" w:val="left"/>
        </w:tabs>
        <w:numPr>
          <w:ilvl w:val="0"/>
          <w:numId w:val="3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specified securities bought from the market and credited in the special account with the depository participant shall be returned to the promoters or pre-issue shareholders immediately, in any case not later than two working days after the end of the stabilization period.</w:t>
      </w:r>
    </w:p>
    <w:p>
      <w:pPr>
        <w:spacing w:after="0" w:line="20" w:lineRule="exact"/>
        <w:rPr>
          <w:rFonts w:ascii="Times New Roman" w:cs="Times New Roman" w:eastAsia="Times New Roman" w:hAnsi="Times New Roman"/>
          <w:sz w:val="24"/>
          <w:szCs w:val="24"/>
          <w:color w:val="auto"/>
        </w:rPr>
      </w:pPr>
    </w:p>
    <w:p>
      <w:pPr>
        <w:jc w:val="both"/>
        <w:ind w:left="8" w:hanging="8"/>
        <w:spacing w:after="0" w:line="358" w:lineRule="auto"/>
        <w:tabs>
          <w:tab w:leader="none" w:pos="368" w:val="left"/>
        </w:tabs>
        <w:numPr>
          <w:ilvl w:val="0"/>
          <w:numId w:val="3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On expiry of the stabilisation period, if the stabilising agent has not been able to buy specified securities from the market to the extent of such securities over-allotted, the issuer shall allot specified securities at issue price in dematerialised form to the extent of the shortfall to the special account with the depository participant, within five days of the closure of the stabilisation period and such specified securities shall be returned to the promoters or pre-issue shareholders by the stabilising agent in lieu of the specified securities borrowed from them and the account with the depository participant shall be closed thereafter.</w:t>
      </w:r>
    </w:p>
    <w:p>
      <w:pPr>
        <w:spacing w:after="0" w:line="18"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368" w:val="left"/>
        </w:tabs>
        <w:numPr>
          <w:ilvl w:val="0"/>
          <w:numId w:val="3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make a listing application in respect of the further specified securities allotted under sub-regulation (6), to all the stock exchanges where the specified securities allotted in the public issue are listed and the provisions of Chapter VII shall not be applicable to such allotment.</w:t>
      </w:r>
    </w:p>
    <w:p>
      <w:pPr>
        <w:spacing w:after="0" w:line="19" w:lineRule="exact"/>
        <w:rPr>
          <w:rFonts w:ascii="Times New Roman" w:cs="Times New Roman" w:eastAsia="Times New Roman" w:hAnsi="Times New Roman"/>
          <w:sz w:val="24"/>
          <w:szCs w:val="24"/>
          <w:color w:val="auto"/>
        </w:rPr>
      </w:pPr>
    </w:p>
    <w:p>
      <w:pPr>
        <w:ind w:left="8" w:hanging="8"/>
        <w:spacing w:after="0" w:line="350" w:lineRule="auto"/>
        <w:tabs>
          <w:tab w:leader="none" w:pos="368" w:val="left"/>
        </w:tabs>
        <w:numPr>
          <w:ilvl w:val="0"/>
          <w:numId w:val="3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stabilising agent shall remit the monies with respect to the specified securities allotted under sub-regulation (6) to the issuer from the special bank account.</w:t>
      </w:r>
    </w:p>
    <w:p>
      <w:pPr>
        <w:spacing w:after="0" w:line="23" w:lineRule="exact"/>
        <w:rPr>
          <w:rFonts w:ascii="Times New Roman" w:cs="Times New Roman" w:eastAsia="Times New Roman" w:hAnsi="Times New Roman"/>
          <w:sz w:val="24"/>
          <w:szCs w:val="24"/>
          <w:color w:val="auto"/>
        </w:rPr>
      </w:pPr>
    </w:p>
    <w:p>
      <w:pPr>
        <w:jc w:val="both"/>
        <w:ind w:left="8" w:hanging="8"/>
        <w:spacing w:after="0" w:line="356" w:lineRule="auto"/>
        <w:tabs>
          <w:tab w:leader="none" w:pos="368" w:val="left"/>
        </w:tabs>
        <w:numPr>
          <w:ilvl w:val="0"/>
          <w:numId w:val="3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monies left in the special bank account after remittance of monies to the issuer under sub-regulation (8) and deduction of expenses incurred by the stabilising agent for the stabilisation process shall be transferred to the Investor Protection and Education Fund established by the Board and the special bank account shall be closed soon thereafter.</w:t>
      </w:r>
    </w:p>
    <w:p>
      <w:pPr>
        <w:spacing w:after="0" w:line="18" w:lineRule="exact"/>
        <w:rPr>
          <w:rFonts w:ascii="Times New Roman" w:cs="Times New Roman" w:eastAsia="Times New Roman" w:hAnsi="Times New Roman"/>
          <w:sz w:val="24"/>
          <w:szCs w:val="24"/>
          <w:color w:val="auto"/>
        </w:rPr>
      </w:pPr>
    </w:p>
    <w:p>
      <w:pPr>
        <w:ind w:left="8" w:hanging="8"/>
        <w:spacing w:after="0" w:line="350" w:lineRule="auto"/>
        <w:tabs>
          <w:tab w:leader="none" w:pos="728" w:val="left"/>
        </w:tabs>
        <w:numPr>
          <w:ilvl w:val="0"/>
          <w:numId w:val="3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The stabilising agent shall submit a report to the stock exchange on a daily basis during the stabilisation period and a final report to the Board in the format specified in </w:t>
      </w:r>
      <w:r>
        <w:rPr>
          <w:rFonts w:ascii="Times New Roman" w:cs="Times New Roman" w:eastAsia="Times New Roman" w:hAnsi="Times New Roman"/>
          <w:sz w:val="24"/>
          <w:szCs w:val="24"/>
          <w:b w:val="1"/>
          <w:bCs w:val="1"/>
          <w:color w:val="auto"/>
        </w:rPr>
        <w:t>Schedule XV</w:t>
      </w:r>
      <w:r>
        <w:rPr>
          <w:rFonts w:ascii="Times New Roman" w:cs="Times New Roman" w:eastAsia="Times New Roman" w:hAnsi="Times New Roman"/>
          <w:sz w:val="24"/>
          <w:szCs w:val="24"/>
          <w:color w:val="auto"/>
        </w:rPr>
        <w:t>.</w:t>
      </w:r>
    </w:p>
    <w:p>
      <w:pPr>
        <w:spacing w:after="0" w:line="200" w:lineRule="exact"/>
        <w:rPr>
          <w:rFonts w:ascii="Times New Roman" w:cs="Times New Roman" w:eastAsia="Times New Roman" w:hAnsi="Times New Roman"/>
          <w:sz w:val="24"/>
          <w:szCs w:val="24"/>
          <w:color w:val="auto"/>
        </w:rPr>
      </w:pPr>
    </w:p>
    <w:p>
      <w:pPr>
        <w:spacing w:after="0" w:line="238" w:lineRule="exact"/>
        <w:rPr>
          <w:rFonts w:ascii="Times New Roman" w:cs="Times New Roman" w:eastAsia="Times New Roman" w:hAnsi="Times New Roman"/>
          <w:sz w:val="24"/>
          <w:szCs w:val="24"/>
          <w:color w:val="auto"/>
        </w:rPr>
      </w:pPr>
    </w:p>
    <w:p>
      <w:pPr>
        <w:ind w:left="8" w:hanging="8"/>
        <w:spacing w:after="0" w:line="348" w:lineRule="auto"/>
        <w:tabs>
          <w:tab w:leader="none" w:pos="728" w:val="left"/>
        </w:tabs>
        <w:numPr>
          <w:ilvl w:val="0"/>
          <w:numId w:val="3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stabilising agent shall maintain a register for a period of at least three years from the date of the end of the stabilisation period and such register shall contain the following particulars:</w:t>
      </w:r>
    </w:p>
    <w:p>
      <w:pPr>
        <w:spacing w:after="0" w:line="28" w:lineRule="exact"/>
        <w:rPr>
          <w:sz w:val="20"/>
          <w:szCs w:val="20"/>
          <w:color w:val="auto"/>
        </w:rPr>
      </w:pPr>
    </w:p>
    <w:p>
      <w:pPr>
        <w:ind w:left="548" w:hanging="548"/>
        <w:spacing w:after="0" w:line="348" w:lineRule="auto"/>
        <w:tabs>
          <w:tab w:leader="none" w:pos="548" w:val="left"/>
        </w:tabs>
        <w:numPr>
          <w:ilvl w:val="0"/>
          <w:numId w:val="39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names of the promoters or pre-issue shareholders from whom the specified securities were borrowed and the number of specified securities borrowed from each of them;</w:t>
      </w:r>
    </w:p>
    <w:p>
      <w:pPr>
        <w:spacing w:after="0" w:line="27" w:lineRule="exact"/>
        <w:rPr>
          <w:rFonts w:ascii="Times New Roman" w:cs="Times New Roman" w:eastAsia="Times New Roman" w:hAnsi="Times New Roman"/>
          <w:sz w:val="24"/>
          <w:szCs w:val="24"/>
          <w:color w:val="auto"/>
        </w:rPr>
      </w:pPr>
    </w:p>
    <w:p>
      <w:pPr>
        <w:ind w:left="548" w:hanging="548"/>
        <w:spacing w:after="0" w:line="348" w:lineRule="auto"/>
        <w:tabs>
          <w:tab w:leader="none" w:pos="548" w:val="left"/>
        </w:tabs>
        <w:numPr>
          <w:ilvl w:val="0"/>
          <w:numId w:val="39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price, date and time in respect of each transaction effected in the course of the stabilisation process; and</w:t>
      </w:r>
    </w:p>
    <w:p>
      <w:pPr>
        <w:spacing w:after="0" w:line="15" w:lineRule="exact"/>
        <w:rPr>
          <w:rFonts w:ascii="Times New Roman" w:cs="Times New Roman" w:eastAsia="Times New Roman" w:hAnsi="Times New Roman"/>
          <w:sz w:val="24"/>
          <w:szCs w:val="24"/>
          <w:color w:val="auto"/>
        </w:rPr>
      </w:pPr>
    </w:p>
    <w:p>
      <w:pPr>
        <w:ind w:left="548" w:hanging="548"/>
        <w:spacing w:after="0"/>
        <w:tabs>
          <w:tab w:leader="none" w:pos="548" w:val="left"/>
        </w:tabs>
        <w:numPr>
          <w:ilvl w:val="0"/>
          <w:numId w:val="39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details of allotment made by the issuer on expiry of the stabilisation process.</w:t>
      </w:r>
    </w:p>
    <w:p>
      <w:pPr>
        <w:spacing w:after="0" w:line="200" w:lineRule="exact"/>
        <w:rPr>
          <w:sz w:val="20"/>
          <w:szCs w:val="20"/>
          <w:color w:val="auto"/>
        </w:rPr>
      </w:pPr>
    </w:p>
    <w:p>
      <w:pPr>
        <w:spacing w:after="0" w:line="35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Alteration of rights of holders of specified securities</w:t>
      </w:r>
    </w:p>
    <w:p>
      <w:pPr>
        <w:spacing w:after="0" w:line="145" w:lineRule="exact"/>
        <w:rPr>
          <w:sz w:val="20"/>
          <w:szCs w:val="20"/>
          <w:color w:val="auto"/>
        </w:rPr>
      </w:pPr>
    </w:p>
    <w:p>
      <w:pPr>
        <w:jc w:val="both"/>
        <w:ind w:left="8" w:hanging="8"/>
        <w:spacing w:after="0" w:line="354" w:lineRule="auto"/>
        <w:tabs>
          <w:tab w:leader="none" w:pos="557" w:val="left"/>
        </w:tabs>
        <w:numPr>
          <w:ilvl w:val="0"/>
          <w:numId w:val="39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An issuer shall not alter the terms, including the terms of issue, of specified securities which may adversely affect the interests of the holders of that specified securities, except with the consent in writing of the holders of not less than three-fourths of the specified securities of that</w:t>
      </w: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93</w:t>
      </w:r>
    </w:p>
    <w:p>
      <w:pPr>
        <w:sectPr>
          <w:pgSz w:w="11900" w:h="16836" w:orient="portrait"/>
          <w:cols w:equalWidth="0" w:num="1">
            <w:col w:w="9468"/>
          </w:cols>
          <w:pgMar w:left="1152" w:top="1156" w:right="1284" w:bottom="103" w:gutter="0" w:footer="0" w:header="0"/>
        </w:sectPr>
      </w:pPr>
    </w:p>
    <w:bookmarkStart w:id="93" w:name="page94"/>
    <w:bookmarkEnd w:id="93"/>
    <w:p>
      <w:pPr>
        <w:ind w:left="8"/>
        <w:spacing w:after="0" w:line="348" w:lineRule="auto"/>
        <w:rPr>
          <w:sz w:val="20"/>
          <w:szCs w:val="20"/>
          <w:color w:val="auto"/>
        </w:rPr>
      </w:pPr>
      <w:r>
        <w:rPr>
          <w:rFonts w:ascii="Times New Roman" w:cs="Times New Roman" w:eastAsia="Times New Roman" w:hAnsi="Times New Roman"/>
          <w:sz w:val="24"/>
          <w:szCs w:val="24"/>
          <w:color w:val="auto"/>
        </w:rPr>
        <w:t>class or with the sanction of a special resolution passed at a meeting of the holders of the specified securities of that class.</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X: FAST TRACK FURTHER PUBLIC OFFER</w:t>
      </w:r>
    </w:p>
    <w:p>
      <w:pPr>
        <w:spacing w:after="0" w:line="200" w:lineRule="exact"/>
        <w:rPr>
          <w:sz w:val="20"/>
          <w:szCs w:val="20"/>
          <w:color w:val="auto"/>
        </w:rPr>
      </w:pPr>
    </w:p>
    <w:p>
      <w:pPr>
        <w:spacing w:after="0" w:line="35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Eligibility conditions</w:t>
      </w:r>
    </w:p>
    <w:p>
      <w:pPr>
        <w:spacing w:after="0" w:line="147" w:lineRule="exact"/>
        <w:rPr>
          <w:sz w:val="20"/>
          <w:szCs w:val="20"/>
          <w:color w:val="auto"/>
        </w:rPr>
      </w:pPr>
    </w:p>
    <w:p>
      <w:pPr>
        <w:jc w:val="both"/>
        <w:ind w:left="8" w:hanging="8"/>
        <w:spacing w:after="0" w:line="354" w:lineRule="auto"/>
        <w:tabs>
          <w:tab w:leader="none" w:pos="519" w:val="left"/>
        </w:tabs>
        <w:numPr>
          <w:ilvl w:val="0"/>
          <w:numId w:val="39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Sub-regulations (1), (2), (3), ( 4) and ( 5) and (9) of regulation 123 shall not apply if the issuer satisfies the following conditions for making a further public offer through the fast track route:</w:t>
      </w:r>
    </w:p>
    <w:p>
      <w:pPr>
        <w:spacing w:after="0" w:line="20" w:lineRule="exact"/>
        <w:rPr>
          <w:sz w:val="20"/>
          <w:szCs w:val="20"/>
          <w:color w:val="auto"/>
        </w:rPr>
      </w:pPr>
    </w:p>
    <w:p>
      <w:pPr>
        <w:ind w:left="548" w:hanging="548"/>
        <w:spacing w:after="0" w:line="350" w:lineRule="auto"/>
        <w:tabs>
          <w:tab w:leader="none" w:pos="548" w:val="left"/>
        </w:tabs>
        <w:numPr>
          <w:ilvl w:val="0"/>
          <w:numId w:val="39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equity shares of the issuer have been listed on any stock exchange for a period of at least three years immediately preceding the reference date;</w:t>
      </w:r>
    </w:p>
    <w:p>
      <w:pPr>
        <w:spacing w:after="0" w:line="23" w:lineRule="exact"/>
        <w:rPr>
          <w:rFonts w:ascii="Times New Roman" w:cs="Times New Roman" w:eastAsia="Times New Roman" w:hAnsi="Times New Roman"/>
          <w:sz w:val="24"/>
          <w:szCs w:val="24"/>
          <w:color w:val="auto"/>
        </w:rPr>
      </w:pPr>
    </w:p>
    <w:p>
      <w:pPr>
        <w:ind w:left="548" w:hanging="548"/>
        <w:spacing w:after="0" w:line="350" w:lineRule="auto"/>
        <w:tabs>
          <w:tab w:leader="none" w:pos="548" w:val="left"/>
        </w:tabs>
        <w:numPr>
          <w:ilvl w:val="0"/>
          <w:numId w:val="39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entire shareholding of the promoter group of the issuer is held in dematerialised form on the reference date</w:t>
      </w:r>
    </w:p>
    <w:p>
      <w:pPr>
        <w:spacing w:after="0" w:line="23" w:lineRule="exact"/>
        <w:rPr>
          <w:rFonts w:ascii="Times New Roman" w:cs="Times New Roman" w:eastAsia="Times New Roman" w:hAnsi="Times New Roman"/>
          <w:sz w:val="24"/>
          <w:szCs w:val="24"/>
          <w:color w:val="auto"/>
        </w:rPr>
      </w:pPr>
    </w:p>
    <w:p>
      <w:pPr>
        <w:ind w:left="548" w:hanging="548"/>
        <w:spacing w:after="0" w:line="350" w:lineRule="auto"/>
        <w:tabs>
          <w:tab w:leader="none" w:pos="548" w:val="left"/>
        </w:tabs>
        <w:numPr>
          <w:ilvl w:val="0"/>
          <w:numId w:val="39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average market capitalisation of public shareholding of the issuer is at least one thousand crore rupees in case of public issue;</w:t>
      </w:r>
    </w:p>
    <w:p>
      <w:pPr>
        <w:spacing w:after="0" w:line="23" w:lineRule="exact"/>
        <w:rPr>
          <w:rFonts w:ascii="Times New Roman" w:cs="Times New Roman" w:eastAsia="Times New Roman" w:hAnsi="Times New Roman"/>
          <w:sz w:val="24"/>
          <w:szCs w:val="24"/>
          <w:color w:val="auto"/>
        </w:rPr>
      </w:pPr>
    </w:p>
    <w:p>
      <w:pPr>
        <w:jc w:val="both"/>
        <w:ind w:left="548"/>
        <w:spacing w:after="0" w:line="356"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“average market capitalisation of public shareholding” means the sum of daily market capitalisation of public shareholding for a period of one year up to the end of the quarter preceding the month in which the proposed issue was approved by the shareholders or the board of the issuer, as the case may be, divided by the number of trading days.</w:t>
      </w:r>
    </w:p>
    <w:p>
      <w:pPr>
        <w:spacing w:after="0" w:line="6" w:lineRule="exact"/>
        <w:rPr>
          <w:rFonts w:ascii="Times New Roman" w:cs="Times New Roman" w:eastAsia="Times New Roman" w:hAnsi="Times New Roman"/>
          <w:sz w:val="24"/>
          <w:szCs w:val="24"/>
          <w:color w:val="auto"/>
        </w:rPr>
      </w:pPr>
    </w:p>
    <w:p>
      <w:pPr>
        <w:ind w:left="548"/>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“public shareholding” shall have the same meaning as assigned to it under the Securities</w:t>
      </w:r>
    </w:p>
    <w:p>
      <w:pPr>
        <w:spacing w:after="0" w:line="139" w:lineRule="exact"/>
        <w:rPr>
          <w:rFonts w:ascii="Times New Roman" w:cs="Times New Roman" w:eastAsia="Times New Roman" w:hAnsi="Times New Roman"/>
          <w:sz w:val="24"/>
          <w:szCs w:val="24"/>
          <w:color w:val="auto"/>
        </w:rPr>
      </w:pPr>
    </w:p>
    <w:p>
      <w:pPr>
        <w:ind w:left="548"/>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Contracts (Regulation) Rules, 1957.</w:t>
      </w:r>
    </w:p>
    <w:p>
      <w:pPr>
        <w:spacing w:after="0" w:line="149" w:lineRule="exact"/>
        <w:rPr>
          <w:rFonts w:ascii="Times New Roman" w:cs="Times New Roman" w:eastAsia="Times New Roman" w:hAnsi="Times New Roman"/>
          <w:sz w:val="24"/>
          <w:szCs w:val="24"/>
          <w:color w:val="auto"/>
        </w:rPr>
      </w:pPr>
    </w:p>
    <w:p>
      <w:pPr>
        <w:jc w:val="both"/>
        <w:ind w:left="548" w:hanging="548"/>
        <w:spacing w:after="0" w:line="354" w:lineRule="auto"/>
        <w:tabs>
          <w:tab w:leader="none" w:pos="548" w:val="left"/>
        </w:tabs>
        <w:numPr>
          <w:ilvl w:val="0"/>
          <w:numId w:val="39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annualised trading turnover of the equity shares of the issuer during six calendar months immediately preceding the month of the reference date has been at least two per cent. of the weighted average number of equity shares listed during such six months‘ period:</w:t>
      </w:r>
    </w:p>
    <w:p>
      <w:pPr>
        <w:spacing w:after="0" w:line="22" w:lineRule="exact"/>
        <w:rPr>
          <w:rFonts w:ascii="Times New Roman" w:cs="Times New Roman" w:eastAsia="Times New Roman" w:hAnsi="Times New Roman"/>
          <w:sz w:val="24"/>
          <w:szCs w:val="24"/>
          <w:color w:val="auto"/>
        </w:rPr>
      </w:pPr>
    </w:p>
    <w:p>
      <w:pPr>
        <w:jc w:val="both"/>
        <w:ind w:left="548"/>
        <w:spacing w:after="0" w:line="356"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for issuers, whose public shareholding is less than fifteen per cent. of its issued equity capital, the annualised trading turnover of its equity shares has been at least two per cent. of the weighted average number of equity shares available as free float during such six months‘ period;</w:t>
      </w:r>
    </w:p>
    <w:p>
      <w:pPr>
        <w:spacing w:after="0" w:line="18" w:lineRule="exact"/>
        <w:rPr>
          <w:rFonts w:ascii="Times New Roman" w:cs="Times New Roman" w:eastAsia="Times New Roman" w:hAnsi="Times New Roman"/>
          <w:sz w:val="24"/>
          <w:szCs w:val="24"/>
          <w:color w:val="auto"/>
        </w:rPr>
      </w:pPr>
    </w:p>
    <w:p>
      <w:pPr>
        <w:jc w:val="both"/>
        <w:ind w:left="548" w:hanging="548"/>
        <w:spacing w:after="0" w:line="354" w:lineRule="auto"/>
        <w:tabs>
          <w:tab w:leader="none" w:pos="548" w:val="left"/>
        </w:tabs>
        <w:numPr>
          <w:ilvl w:val="0"/>
          <w:numId w:val="39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annualized delivery-based trading turnover of the equity shares during six calendar months immediately preceding the month of the reference date has been at least ten per cent. of the annualised trading turnover of the equity shares during such six months‘ period;</w:t>
      </w:r>
    </w:p>
    <w:p>
      <w:pPr>
        <w:spacing w:after="0" w:line="20" w:lineRule="exact"/>
        <w:rPr>
          <w:rFonts w:ascii="Times New Roman" w:cs="Times New Roman" w:eastAsia="Times New Roman" w:hAnsi="Times New Roman"/>
          <w:sz w:val="24"/>
          <w:szCs w:val="24"/>
          <w:color w:val="auto"/>
        </w:rPr>
      </w:pPr>
    </w:p>
    <w:p>
      <w:pPr>
        <w:jc w:val="both"/>
        <w:ind w:left="548" w:hanging="548"/>
        <w:spacing w:after="0" w:line="356" w:lineRule="auto"/>
        <w:tabs>
          <w:tab w:leader="none" w:pos="548" w:val="left"/>
        </w:tabs>
        <w:numPr>
          <w:ilvl w:val="0"/>
          <w:numId w:val="39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issuer has been in compliance with the equity listing agreement or the Securities and Exchange Board of India (Listing Obligations and Disclosure Requirements) Regulations, 2015, as applicable, for a period of at least three years immediately preceding the reference date:</w:t>
      </w:r>
    </w:p>
    <w:p>
      <w:pPr>
        <w:spacing w:after="0" w:line="263"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94</w:t>
      </w:r>
    </w:p>
    <w:p>
      <w:pPr>
        <w:sectPr>
          <w:pgSz w:w="11900" w:h="16836" w:orient="portrait"/>
          <w:cols w:equalWidth="0" w:num="1">
            <w:col w:w="9468"/>
          </w:cols>
          <w:pgMar w:left="1152" w:top="1156" w:right="1284" w:bottom="103" w:gutter="0" w:footer="0" w:header="0"/>
        </w:sectPr>
      </w:pPr>
    </w:p>
    <w:bookmarkStart w:id="94" w:name="page95"/>
    <w:bookmarkEnd w:id="94"/>
    <w:p>
      <w:pPr>
        <w:jc w:val="both"/>
        <w:ind w:left="548"/>
        <w:spacing w:after="0" w:line="358" w:lineRule="auto"/>
        <w:rPr>
          <w:sz w:val="20"/>
          <w:szCs w:val="20"/>
          <w:color w:val="auto"/>
        </w:rPr>
      </w:pPr>
      <w:r>
        <w:rPr>
          <w:rFonts w:ascii="Times New Roman" w:cs="Times New Roman" w:eastAsia="Times New Roman" w:hAnsi="Times New Roman"/>
          <w:sz w:val="24"/>
          <w:szCs w:val="24"/>
          <w:color w:val="auto"/>
        </w:rPr>
        <w:t>Provided that if the issuer has not complied with the provisions of the listing agreement or the Securities and Exchange Board of India (Listing Obligations and Disclosure Requirements) Regulations, 2015, as applicable, relating to composition of board of directors, for any quarter during the last three years immediately preceding the reference date, but is compliant with such provisions at the time of filing of letter of offer, and adequate disclosures are made in the letter of offer about such non-compliances during the three years immediately preceding the reference date, it shall be deemed as compliance with the condition;</w:t>
      </w:r>
    </w:p>
    <w:p>
      <w:pPr>
        <w:spacing w:after="0" w:line="20" w:lineRule="exact"/>
        <w:rPr>
          <w:sz w:val="20"/>
          <w:szCs w:val="20"/>
          <w:color w:val="auto"/>
        </w:rPr>
      </w:pPr>
    </w:p>
    <w:p>
      <w:pPr>
        <w:jc w:val="both"/>
        <w:ind w:left="548"/>
        <w:spacing w:after="0" w:line="348" w:lineRule="auto"/>
        <w:rPr>
          <w:sz w:val="20"/>
          <w:szCs w:val="20"/>
          <w:color w:val="auto"/>
        </w:rPr>
      </w:pPr>
      <w:r>
        <w:rPr>
          <w:rFonts w:ascii="Times New Roman" w:cs="Times New Roman" w:eastAsia="Times New Roman" w:hAnsi="Times New Roman"/>
          <w:sz w:val="24"/>
          <w:szCs w:val="24"/>
          <w:color w:val="auto"/>
        </w:rPr>
        <w:t>Provided further that imposition of only monetary fines by stock exchanges on the issuer shall not be a ground for ineligibility for undertaking issuances under this regulation;</w:t>
      </w:r>
    </w:p>
    <w:p>
      <w:pPr>
        <w:spacing w:after="0" w:line="28" w:lineRule="exact"/>
        <w:rPr>
          <w:sz w:val="20"/>
          <w:szCs w:val="20"/>
          <w:color w:val="auto"/>
        </w:rPr>
      </w:pPr>
    </w:p>
    <w:p>
      <w:pPr>
        <w:ind w:left="548" w:hanging="548"/>
        <w:spacing w:after="0" w:line="348" w:lineRule="auto"/>
        <w:tabs>
          <w:tab w:leader="none" w:pos="548" w:val="left"/>
        </w:tabs>
        <w:numPr>
          <w:ilvl w:val="0"/>
          <w:numId w:val="39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issuer has redressed at least ninety five per cent. of the complaints received from the investors till the end of the quarter immediately preceding the month of the reference date;</w:t>
      </w:r>
    </w:p>
    <w:p>
      <w:pPr>
        <w:spacing w:after="0" w:line="27" w:lineRule="exact"/>
        <w:rPr>
          <w:rFonts w:ascii="Times New Roman" w:cs="Times New Roman" w:eastAsia="Times New Roman" w:hAnsi="Times New Roman"/>
          <w:sz w:val="24"/>
          <w:szCs w:val="24"/>
          <w:color w:val="auto"/>
        </w:rPr>
      </w:pPr>
    </w:p>
    <w:p>
      <w:pPr>
        <w:jc w:val="both"/>
        <w:ind w:left="548" w:hanging="548"/>
        <w:spacing w:after="0" w:line="354" w:lineRule="auto"/>
        <w:tabs>
          <w:tab w:leader="none" w:pos="548" w:val="left"/>
        </w:tabs>
        <w:numPr>
          <w:ilvl w:val="0"/>
          <w:numId w:val="39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no show-cause notices have been issued or prosecution proceedings have been initiated by the Board and pending against the issuer or its promoters or whole-time directors as on the reference date;</w:t>
      </w:r>
    </w:p>
    <w:p>
      <w:pPr>
        <w:spacing w:after="0" w:line="19" w:lineRule="exact"/>
        <w:rPr>
          <w:rFonts w:ascii="Times New Roman" w:cs="Times New Roman" w:eastAsia="Times New Roman" w:hAnsi="Times New Roman"/>
          <w:sz w:val="24"/>
          <w:szCs w:val="24"/>
          <w:color w:val="auto"/>
        </w:rPr>
      </w:pPr>
    </w:p>
    <w:p>
      <w:pPr>
        <w:jc w:val="both"/>
        <w:ind w:left="548" w:hanging="548"/>
        <w:spacing w:after="0" w:line="354" w:lineRule="auto"/>
        <w:tabs>
          <w:tab w:leader="none" w:pos="548" w:val="left"/>
        </w:tabs>
        <w:numPr>
          <w:ilvl w:val="0"/>
          <w:numId w:val="39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issuer or promoter or promoter group or director of the issuer has not settled any alleged violation of securities laws through the consent or settlement mechanism with the Board during three years immediately preceding the reference date;</w:t>
      </w:r>
    </w:p>
    <w:p>
      <w:pPr>
        <w:spacing w:after="0" w:line="22" w:lineRule="exact"/>
        <w:rPr>
          <w:rFonts w:ascii="Times New Roman" w:cs="Times New Roman" w:eastAsia="Times New Roman" w:hAnsi="Times New Roman"/>
          <w:sz w:val="24"/>
          <w:szCs w:val="24"/>
          <w:color w:val="auto"/>
        </w:rPr>
      </w:pPr>
    </w:p>
    <w:p>
      <w:pPr>
        <w:ind w:left="548" w:hanging="548"/>
        <w:spacing w:after="0" w:line="348" w:lineRule="auto"/>
        <w:tabs>
          <w:tab w:leader="none" w:pos="548" w:val="left"/>
        </w:tabs>
        <w:numPr>
          <w:ilvl w:val="0"/>
          <w:numId w:val="39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equity shares of the issuer have not been suspended from trading as a disciplinary measure during last three years immediately preceding the reference date;</w:t>
      </w:r>
    </w:p>
    <w:p>
      <w:pPr>
        <w:spacing w:after="0" w:line="27" w:lineRule="exact"/>
        <w:rPr>
          <w:rFonts w:ascii="Times New Roman" w:cs="Times New Roman" w:eastAsia="Times New Roman" w:hAnsi="Times New Roman"/>
          <w:sz w:val="24"/>
          <w:szCs w:val="24"/>
          <w:color w:val="auto"/>
        </w:rPr>
      </w:pPr>
    </w:p>
    <w:p>
      <w:pPr>
        <w:ind w:left="548" w:hanging="548"/>
        <w:spacing w:after="0" w:line="348" w:lineRule="auto"/>
        <w:tabs>
          <w:tab w:leader="none" w:pos="548" w:val="left"/>
        </w:tabs>
        <w:numPr>
          <w:ilvl w:val="0"/>
          <w:numId w:val="39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there shall be no conflict of interest between the lead manager(s) and the issuer or its group companies in accordance with the applicable regulations.</w:t>
      </w:r>
    </w:p>
    <w:p>
      <w:pPr>
        <w:spacing w:after="0" w:line="27" w:lineRule="exact"/>
        <w:rPr>
          <w:rFonts w:ascii="Times New Roman" w:cs="Times New Roman" w:eastAsia="Times New Roman" w:hAnsi="Times New Roman"/>
          <w:sz w:val="24"/>
          <w:szCs w:val="24"/>
          <w:color w:val="auto"/>
        </w:rPr>
      </w:pPr>
    </w:p>
    <w:p>
      <w:pPr>
        <w:jc w:val="both"/>
        <w:ind w:left="548" w:hanging="548"/>
        <w:spacing w:after="0" w:line="356" w:lineRule="auto"/>
        <w:tabs>
          <w:tab w:leader="none" w:pos="548" w:val="left"/>
        </w:tabs>
        <w:numPr>
          <w:ilvl w:val="0"/>
          <w:numId w:val="39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impact of audit qualifications, if any and where quantifiable, on the audited accounts of the issuer in respect of those financial years for which such accounts are disclosed in the letter of offer does not exceed five per cent. of the net profit or loss after tax of the issuer for the respective years.</w:t>
      </w:r>
    </w:p>
    <w:p>
      <w:pPr>
        <w:spacing w:after="0" w:line="200" w:lineRule="exact"/>
        <w:rPr>
          <w:sz w:val="20"/>
          <w:szCs w:val="20"/>
          <w:color w:val="auto"/>
        </w:rPr>
      </w:pPr>
    </w:p>
    <w:p>
      <w:pPr>
        <w:spacing w:after="0" w:line="225"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Submission of offer document and due diligence certificate</w:t>
      </w:r>
    </w:p>
    <w:p>
      <w:pPr>
        <w:spacing w:after="0" w:line="147" w:lineRule="exact"/>
        <w:rPr>
          <w:sz w:val="20"/>
          <w:szCs w:val="20"/>
          <w:color w:val="auto"/>
        </w:rPr>
      </w:pPr>
    </w:p>
    <w:p>
      <w:pPr>
        <w:jc w:val="both"/>
        <w:ind w:left="8" w:hanging="8"/>
        <w:spacing w:after="0" w:line="354" w:lineRule="auto"/>
        <w:tabs>
          <w:tab w:leader="none" w:pos="536" w:val="left"/>
        </w:tabs>
        <w:numPr>
          <w:ilvl w:val="0"/>
          <w:numId w:val="39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(1) The issuer shall file the offer document with the Board and the stock exchanges in accordance with sub-regulations (7) and (8) of regulation 123 and shall pay fees to the Board as specified in </w:t>
      </w:r>
      <w:r>
        <w:rPr>
          <w:rFonts w:ascii="Times New Roman" w:cs="Times New Roman" w:eastAsia="Times New Roman" w:hAnsi="Times New Roman"/>
          <w:sz w:val="24"/>
          <w:szCs w:val="24"/>
          <w:b w:val="1"/>
          <w:bCs w:val="1"/>
          <w:color w:val="auto"/>
        </w:rPr>
        <w:t>Schedule III</w:t>
      </w:r>
      <w:r>
        <w:rPr>
          <w:rFonts w:ascii="Times New Roman" w:cs="Times New Roman" w:eastAsia="Times New Roman" w:hAnsi="Times New Roman"/>
          <w:sz w:val="24"/>
          <w:szCs w:val="24"/>
          <w:color w:val="auto"/>
        </w:rPr>
        <w:t>.</w:t>
      </w:r>
    </w:p>
    <w:p>
      <w:pPr>
        <w:spacing w:after="0" w:line="20" w:lineRule="exact"/>
        <w:rPr>
          <w:rFonts w:ascii="Times New Roman" w:cs="Times New Roman" w:eastAsia="Times New Roman" w:hAnsi="Times New Roman"/>
          <w:sz w:val="24"/>
          <w:szCs w:val="24"/>
          <w:b w:val="1"/>
          <w:bCs w:val="1"/>
          <w:color w:val="auto"/>
        </w:rPr>
      </w:pPr>
    </w:p>
    <w:p>
      <w:pPr>
        <w:ind w:left="8"/>
        <w:spacing w:after="0" w:line="350"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The lead manager(s) shall submit to the Board, the following documents along with the offer document:</w:t>
      </w:r>
    </w:p>
    <w:p>
      <w:pPr>
        <w:spacing w:after="0" w:line="23" w:lineRule="exact"/>
        <w:rPr>
          <w:sz w:val="20"/>
          <w:szCs w:val="20"/>
          <w:color w:val="auto"/>
        </w:rPr>
      </w:pPr>
    </w:p>
    <w:p>
      <w:pPr>
        <w:ind w:left="368" w:hanging="368"/>
        <w:spacing w:after="0" w:line="350" w:lineRule="auto"/>
        <w:tabs>
          <w:tab w:leader="none" w:pos="368" w:val="left"/>
        </w:tabs>
        <w:numPr>
          <w:ilvl w:val="0"/>
          <w:numId w:val="39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a due diligence certificate as per </w:t>
      </w:r>
      <w:r>
        <w:rPr>
          <w:rFonts w:ascii="Times New Roman" w:cs="Times New Roman" w:eastAsia="Times New Roman" w:hAnsi="Times New Roman"/>
          <w:sz w:val="24"/>
          <w:szCs w:val="24"/>
          <w:b w:val="1"/>
          <w:bCs w:val="1"/>
          <w:color w:val="auto"/>
        </w:rPr>
        <w:t>Form A</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 V</w:t>
      </w:r>
      <w:r>
        <w:rPr>
          <w:rFonts w:ascii="Times New Roman" w:cs="Times New Roman" w:eastAsia="Times New Roman" w:hAnsi="Times New Roman"/>
          <w:sz w:val="24"/>
          <w:szCs w:val="24"/>
          <w:color w:val="auto"/>
        </w:rPr>
        <w:t xml:space="preserve"> including additional confirmations as specified in </w:t>
      </w:r>
      <w:r>
        <w:rPr>
          <w:rFonts w:ascii="Times New Roman" w:cs="Times New Roman" w:eastAsia="Times New Roman" w:hAnsi="Times New Roman"/>
          <w:sz w:val="24"/>
          <w:szCs w:val="24"/>
          <w:b w:val="1"/>
          <w:bCs w:val="1"/>
          <w:color w:val="auto"/>
        </w:rPr>
        <w:t>Form E of Schedule V</w:t>
      </w:r>
      <w:r>
        <w:rPr>
          <w:rFonts w:ascii="Times New Roman" w:cs="Times New Roman" w:eastAsia="Times New Roman" w:hAnsi="Times New Roman"/>
          <w:sz w:val="24"/>
          <w:szCs w:val="24"/>
          <w:color w:val="auto"/>
        </w:rPr>
        <w:t>;</w:t>
      </w:r>
    </w:p>
    <w:p>
      <w:pPr>
        <w:spacing w:after="0" w:line="268"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95</w:t>
      </w:r>
    </w:p>
    <w:p>
      <w:pPr>
        <w:sectPr>
          <w:pgSz w:w="11900" w:h="16836" w:orient="portrait"/>
          <w:cols w:equalWidth="0" w:num="1">
            <w:col w:w="9468"/>
          </w:cols>
          <w:pgMar w:left="1152" w:top="1156" w:right="1284" w:bottom="103" w:gutter="0" w:footer="0" w:header="0"/>
        </w:sectPr>
      </w:pPr>
    </w:p>
    <w:bookmarkStart w:id="95" w:name="page96"/>
    <w:bookmarkEnd w:id="95"/>
    <w:p>
      <w:pPr>
        <w:ind w:left="368" w:hanging="368"/>
        <w:spacing w:after="0" w:line="348" w:lineRule="auto"/>
        <w:tabs>
          <w:tab w:leader="none" w:pos="368" w:val="left"/>
        </w:tabs>
        <w:numPr>
          <w:ilvl w:val="0"/>
          <w:numId w:val="39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in case of a fast track issue of convertible debt instruments, a due diligence certificate from the debenture trustee as per </w:t>
      </w:r>
      <w:r>
        <w:rPr>
          <w:rFonts w:ascii="Times New Roman" w:cs="Times New Roman" w:eastAsia="Times New Roman" w:hAnsi="Times New Roman"/>
          <w:sz w:val="24"/>
          <w:szCs w:val="24"/>
          <w:b w:val="1"/>
          <w:bCs w:val="1"/>
          <w:color w:val="auto"/>
        </w:rPr>
        <w:t>Form B</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 V.</w:t>
      </w:r>
    </w:p>
    <w:p>
      <w:pPr>
        <w:spacing w:after="0" w:line="8" w:lineRule="exact"/>
        <w:rPr>
          <w:sz w:val="20"/>
          <w:szCs w:val="20"/>
          <w:color w:val="auto"/>
        </w:rPr>
      </w:pPr>
    </w:p>
    <w:p>
      <w:pPr>
        <w:jc w:val="both"/>
        <w:ind w:left="8"/>
        <w:spacing w:after="0" w:line="311" w:lineRule="auto"/>
        <w:rPr>
          <w:sz w:val="20"/>
          <w:szCs w:val="20"/>
          <w:color w:val="auto"/>
        </w:rPr>
      </w:pPr>
      <w:r>
        <w:rPr>
          <w:rFonts w:ascii="Times New Roman" w:cs="Times New Roman" w:eastAsia="Times New Roman" w:hAnsi="Times New Roman"/>
          <w:sz w:val="24"/>
          <w:szCs w:val="24"/>
          <w:b w:val="1"/>
          <w:bCs w:val="1"/>
          <w:color w:val="auto"/>
        </w:rPr>
        <w:t xml:space="preserve">Explanation: </w:t>
      </w:r>
      <w:r>
        <w:rPr>
          <w:rFonts w:ascii="Times New Roman" w:cs="Times New Roman" w:eastAsia="Times New Roman" w:hAnsi="Times New Roman"/>
          <w:sz w:val="24"/>
          <w:szCs w:val="24"/>
          <w:color w:val="auto"/>
        </w:rPr>
        <w:t>For the purposes of this regulation:</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“reference date” means the date of</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32"/>
          <w:szCs w:val="32"/>
          <w:color w:val="auto"/>
          <w:vertAlign w:val="superscript"/>
        </w:rPr>
        <w:t>65</w:t>
      </w:r>
      <w:r>
        <w:rPr>
          <w:rFonts w:ascii="Times New Roman" w:cs="Times New Roman" w:eastAsia="Times New Roman" w:hAnsi="Times New Roman"/>
          <w:sz w:val="24"/>
          <w:szCs w:val="24"/>
          <w:color w:val="auto"/>
        </w:rPr>
        <w:t>[filing] the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red herring prospectus (in case of a book built issue) or prospectus (in case of a fixed price issue) with the Registrar of Companies.</w:t>
      </w:r>
    </w:p>
    <w:p>
      <w:pPr>
        <w:spacing w:after="0" w:line="200" w:lineRule="exact"/>
        <w:rPr>
          <w:sz w:val="20"/>
          <w:szCs w:val="20"/>
          <w:color w:val="auto"/>
        </w:rPr>
      </w:pPr>
    </w:p>
    <w:p>
      <w:pPr>
        <w:spacing w:after="0" w:line="276"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Post-listing exit opportunity for dissenting shareholders</w:t>
      </w:r>
    </w:p>
    <w:p>
      <w:pPr>
        <w:spacing w:after="0" w:line="144" w:lineRule="exact"/>
        <w:rPr>
          <w:sz w:val="20"/>
          <w:szCs w:val="20"/>
          <w:color w:val="auto"/>
        </w:rPr>
      </w:pPr>
    </w:p>
    <w:p>
      <w:pPr>
        <w:jc w:val="both"/>
        <w:ind w:left="8" w:hanging="8"/>
        <w:spacing w:after="0" w:line="357" w:lineRule="auto"/>
        <w:tabs>
          <w:tab w:leader="none" w:pos="548" w:val="left"/>
        </w:tabs>
        <w:numPr>
          <w:ilvl w:val="0"/>
          <w:numId w:val="39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In case of further public offers, including under the fast track route</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color w:val="auto"/>
        </w:rPr>
        <w:t xml:space="preserve"> the promoters or shareholders in control of an issuer shall provide an exit offer to dissenting shareholders as provided for in the Companies Act, 2013, in case of change in objects or variation in the terms of contract related to objects referred to in the offer document as per conditions and manner is provided in </w:t>
      </w:r>
      <w:r>
        <w:rPr>
          <w:rFonts w:ascii="Times New Roman" w:cs="Times New Roman" w:eastAsia="Times New Roman" w:hAnsi="Times New Roman"/>
          <w:sz w:val="24"/>
          <w:szCs w:val="24"/>
          <w:b w:val="1"/>
          <w:bCs w:val="1"/>
          <w:color w:val="auto"/>
        </w:rPr>
        <w:t>Schedule XX</w:t>
      </w:r>
      <w:r>
        <w:rPr>
          <w:rFonts w:ascii="Times New Roman" w:cs="Times New Roman" w:eastAsia="Times New Roman" w:hAnsi="Times New Roman"/>
          <w:sz w:val="24"/>
          <w:szCs w:val="24"/>
          <w:color w:val="auto"/>
        </w:rPr>
        <w:t>;</w:t>
      </w:r>
    </w:p>
    <w:p>
      <w:pPr>
        <w:spacing w:after="0" w:line="19" w:lineRule="exact"/>
        <w:rPr>
          <w:rFonts w:ascii="Times New Roman" w:cs="Times New Roman" w:eastAsia="Times New Roman" w:hAnsi="Times New Roman"/>
          <w:sz w:val="24"/>
          <w:szCs w:val="24"/>
          <w:b w:val="1"/>
          <w:bCs w:val="1"/>
          <w:color w:val="auto"/>
        </w:rPr>
      </w:pPr>
    </w:p>
    <w:p>
      <w:pPr>
        <w:ind w:left="8"/>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the exit offer shall not apply where there are neither identifiable promoters nor shareholders in control of the listed issuer.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ind w:left="8" w:hanging="8"/>
        <w:spacing w:after="0" w:line="203" w:lineRule="auto"/>
        <w:tabs>
          <w:tab w:leader="none" w:pos="188" w:val="left"/>
        </w:tabs>
        <w:numPr>
          <w:ilvl w:val="0"/>
          <w:numId w:val="399"/>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Securities and Exchange Board of India (Issue of Capital and Disclosure Requirements) (Seventh Amendment) Regulations, 2019, w-e-f 01.01.2020 for the word “registering”.</w:t>
      </w:r>
    </w:p>
    <w:p>
      <w:pPr>
        <w:spacing w:after="0" w:line="30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96</w:t>
      </w:r>
    </w:p>
    <w:p>
      <w:pPr>
        <w:sectPr>
          <w:pgSz w:w="11900" w:h="16836" w:orient="portrait"/>
          <w:cols w:equalWidth="0" w:num="1">
            <w:col w:w="9468"/>
          </w:cols>
          <w:pgMar w:left="1152" w:top="1156" w:right="1284" w:bottom="103" w:gutter="0" w:footer="0" w:header="0"/>
        </w:sectPr>
      </w:pPr>
    </w:p>
    <w:bookmarkStart w:id="96" w:name="page97"/>
    <w:bookmarkEnd w:id="96"/>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CHAPTER V – PREFERENTIAL ISSUE</w:t>
      </w:r>
    </w:p>
    <w:p>
      <w:pPr>
        <w:spacing w:after="0" w:line="200" w:lineRule="exact"/>
        <w:rPr>
          <w:sz w:val="20"/>
          <w:szCs w:val="20"/>
          <w:color w:val="auto"/>
        </w:rPr>
      </w:pPr>
    </w:p>
    <w:p>
      <w:pPr>
        <w:spacing w:after="0" w:line="35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Provisions of this chapter not to apply in certain cases</w:t>
      </w:r>
    </w:p>
    <w:p>
      <w:pPr>
        <w:spacing w:after="0" w:line="144" w:lineRule="exact"/>
        <w:rPr>
          <w:sz w:val="20"/>
          <w:szCs w:val="20"/>
          <w:color w:val="auto"/>
        </w:rPr>
      </w:pPr>
    </w:p>
    <w:p>
      <w:pPr>
        <w:ind w:left="8" w:hanging="8"/>
        <w:spacing w:after="0" w:line="350" w:lineRule="auto"/>
        <w:tabs>
          <w:tab w:leader="none" w:pos="531" w:val="left"/>
        </w:tabs>
        <w:numPr>
          <w:ilvl w:val="0"/>
          <w:numId w:val="40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provisions of this Chapter shall not apply where the preferential issue of equity shares is made pursuant to:</w:t>
      </w:r>
    </w:p>
    <w:p>
      <w:pPr>
        <w:spacing w:after="0" w:line="23" w:lineRule="exact"/>
        <w:rPr>
          <w:sz w:val="20"/>
          <w:szCs w:val="20"/>
          <w:color w:val="auto"/>
        </w:rPr>
      </w:pPr>
    </w:p>
    <w:p>
      <w:pPr>
        <w:jc w:val="both"/>
        <w:ind w:left="548" w:hanging="512"/>
        <w:spacing w:after="0" w:line="354" w:lineRule="auto"/>
        <w:tabs>
          <w:tab w:leader="none" w:pos="548" w:val="left"/>
        </w:tabs>
        <w:numPr>
          <w:ilvl w:val="1"/>
          <w:numId w:val="40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conversion of a loan or an option attached to convertible debt instruments in terms of sub-sections (3) and (4) of sections 81 of the Companies Act, 1956 or sub-section (3) and (4) of section 62 of the Companies Act, 2013, whichever is applicable;</w:t>
      </w:r>
    </w:p>
    <w:p>
      <w:pPr>
        <w:spacing w:after="0" w:line="22" w:lineRule="exact"/>
        <w:rPr>
          <w:rFonts w:ascii="Times New Roman" w:cs="Times New Roman" w:eastAsia="Times New Roman" w:hAnsi="Times New Roman"/>
          <w:sz w:val="24"/>
          <w:szCs w:val="24"/>
          <w:color w:val="auto"/>
        </w:rPr>
      </w:pPr>
    </w:p>
    <w:p>
      <w:pPr>
        <w:jc w:val="both"/>
        <w:ind w:left="548" w:hanging="512"/>
        <w:spacing w:after="0" w:line="354" w:lineRule="auto"/>
        <w:tabs>
          <w:tab w:leader="none" w:pos="548" w:val="left"/>
        </w:tabs>
        <w:numPr>
          <w:ilvl w:val="1"/>
          <w:numId w:val="40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scheme approved by a High Court under section 391 to 394 of the Companies Act, 1956 or approved by a tribunal or the Central Government under sections 230 to 234 of the Companies Act, 2013, as applicable;</w:t>
      </w:r>
    </w:p>
    <w:p>
      <w:pPr>
        <w:spacing w:after="0" w:line="19" w:lineRule="exact"/>
        <w:rPr>
          <w:rFonts w:ascii="Times New Roman" w:cs="Times New Roman" w:eastAsia="Times New Roman" w:hAnsi="Times New Roman"/>
          <w:sz w:val="24"/>
          <w:szCs w:val="24"/>
          <w:color w:val="auto"/>
        </w:rPr>
      </w:pPr>
    </w:p>
    <w:p>
      <w:pPr>
        <w:jc w:val="both"/>
        <w:ind w:left="548"/>
        <w:spacing w:after="0" w:line="35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the pricing provisions of this Chapter shall apply to the issuance of shares under schemes mentioned in clause (b) in case of allotment of shares only to a select group of shareholders or shareholders of unlisted companies pursuant to such schemes;</w:t>
      </w:r>
    </w:p>
    <w:p>
      <w:pPr>
        <w:spacing w:after="0" w:line="9" w:lineRule="exact"/>
        <w:rPr>
          <w:rFonts w:ascii="Times New Roman" w:cs="Times New Roman" w:eastAsia="Times New Roman" w:hAnsi="Times New Roman"/>
          <w:sz w:val="24"/>
          <w:szCs w:val="24"/>
          <w:color w:val="auto"/>
        </w:rPr>
      </w:pPr>
    </w:p>
    <w:p>
      <w:pPr>
        <w:ind w:left="548" w:hanging="512"/>
        <w:spacing w:after="0"/>
        <w:tabs>
          <w:tab w:leader="none" w:pos="548" w:val="left"/>
        </w:tabs>
        <w:numPr>
          <w:ilvl w:val="1"/>
          <w:numId w:val="40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qualified institutions placement in accordance with Chapter VI of these regulations.</w:t>
      </w:r>
    </w:p>
    <w:p>
      <w:pPr>
        <w:spacing w:after="0" w:line="149" w:lineRule="exact"/>
        <w:rPr>
          <w:rFonts w:ascii="Times New Roman" w:cs="Times New Roman" w:eastAsia="Times New Roman" w:hAnsi="Times New Roman"/>
          <w:sz w:val="24"/>
          <w:szCs w:val="24"/>
          <w:color w:val="auto"/>
        </w:rPr>
      </w:pPr>
    </w:p>
    <w:p>
      <w:pPr>
        <w:jc w:val="both"/>
        <w:ind w:left="8" w:hanging="8"/>
        <w:spacing w:after="0" w:line="357" w:lineRule="auto"/>
        <w:tabs>
          <w:tab w:leader="none" w:pos="440" w:val="left"/>
        </w:tabs>
        <w:numPr>
          <w:ilvl w:val="0"/>
          <w:numId w:val="40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provisions of this Chapter, except the lock-in provisions, shall not apply where the preferential issue of specified securities is made in terms of the rehabilitation scheme approved by the Board of Industrial and Financial Reconstruction under the Sick Industrial Companies (Special Provisions) Act, 1985 [1 of 1986] or the resolution plan approved under Section 31 of the Insolvency &amp; Bankruptcy Code, 2016 [No. 31 of 2016], whichever is applicable.</w:t>
      </w:r>
    </w:p>
    <w:p>
      <w:pPr>
        <w:spacing w:after="0" w:line="19" w:lineRule="exact"/>
        <w:rPr>
          <w:rFonts w:ascii="Times New Roman" w:cs="Times New Roman" w:eastAsia="Times New Roman" w:hAnsi="Times New Roman"/>
          <w:sz w:val="24"/>
          <w:szCs w:val="24"/>
          <w:color w:val="auto"/>
        </w:rPr>
      </w:pPr>
    </w:p>
    <w:p>
      <w:pPr>
        <w:jc w:val="both"/>
        <w:ind w:left="8" w:hanging="8"/>
        <w:spacing w:after="0" w:line="356" w:lineRule="auto"/>
        <w:tabs>
          <w:tab w:leader="none" w:pos="360" w:val="left"/>
        </w:tabs>
        <w:numPr>
          <w:ilvl w:val="0"/>
          <w:numId w:val="40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provisions of this Chapter relating to pricing and lock-in shall not apply to equity shares allotted to any financial institution within the meaning of sub-clauses (ia) and (ii) of clause (h) of section 2 of the Recovery of Debts due to Banks and Financial Institutions Act, 1993 (51 of 1993).</w:t>
      </w:r>
    </w:p>
    <w:p>
      <w:pPr>
        <w:spacing w:after="0" w:line="19" w:lineRule="exact"/>
        <w:rPr>
          <w:rFonts w:ascii="Times New Roman" w:cs="Times New Roman" w:eastAsia="Times New Roman" w:hAnsi="Times New Roman"/>
          <w:sz w:val="24"/>
          <w:szCs w:val="24"/>
          <w:color w:val="auto"/>
        </w:rPr>
      </w:pPr>
    </w:p>
    <w:p>
      <w:pPr>
        <w:jc w:val="both"/>
        <w:ind w:left="8" w:hanging="8"/>
        <w:spacing w:after="0" w:line="358" w:lineRule="auto"/>
        <w:tabs>
          <w:tab w:leader="none" w:pos="375" w:val="left"/>
        </w:tabs>
        <w:numPr>
          <w:ilvl w:val="0"/>
          <w:numId w:val="40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provisions of regulation 163 and sub-regulations (1), (2), (3) and (4) of regulation 164 shall not apply to a preferential issue of equity shares and compulsorily convertible debt instruments, whether fully or partly, where the Board has granted relaxation to the issuer in terms of regulation 11 of the Securities and Exchange Board of India (Substantial Acquisition of Shares and Takeovers) Regulations, 2011, if adequate disclosures about the plan and process proposed to be followed for identifying the allottees are given in the explanatory statement to notice for the general meeting of the shareholders.</w:t>
      </w:r>
    </w:p>
    <w:p>
      <w:pPr>
        <w:spacing w:after="0" w:line="15"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348" w:val="left"/>
        </w:tabs>
        <w:numPr>
          <w:ilvl w:val="0"/>
          <w:numId w:val="40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provisions of sub-regulation (1) of regulation 159 and sub-regulation (6) of regulation 167 shall not apply to a preferential issue of specified securities where the proposed allottee is a mutual fund registered with the Board or insurance company registered with Insurance Regulatory</w:t>
      </w: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97</w:t>
      </w:r>
    </w:p>
    <w:p>
      <w:pPr>
        <w:sectPr>
          <w:pgSz w:w="11900" w:h="16836" w:orient="portrait"/>
          <w:cols w:equalWidth="0" w:num="1">
            <w:col w:w="9468"/>
          </w:cols>
          <w:pgMar w:left="1152" w:top="1149" w:right="1284" w:bottom="103" w:gutter="0" w:footer="0" w:header="0"/>
        </w:sectPr>
      </w:pPr>
    </w:p>
    <w:bookmarkStart w:id="97" w:name="page98"/>
    <w:bookmarkEnd w:id="97"/>
    <w:p>
      <w:pPr>
        <w:ind w:left="8"/>
        <w:spacing w:after="0" w:line="348" w:lineRule="auto"/>
        <w:rPr>
          <w:sz w:val="20"/>
          <w:szCs w:val="20"/>
          <w:color w:val="auto"/>
        </w:rPr>
      </w:pPr>
      <w:r>
        <w:rPr>
          <w:rFonts w:ascii="Times New Roman" w:cs="Times New Roman" w:eastAsia="Times New Roman" w:hAnsi="Times New Roman"/>
          <w:sz w:val="24"/>
          <w:szCs w:val="24"/>
          <w:color w:val="auto"/>
        </w:rPr>
        <w:t>and Development Authority of India or a scheduled commercial bank or a public financial institution.</w:t>
      </w:r>
    </w:p>
    <w:p>
      <w:pPr>
        <w:spacing w:after="0" w:line="28" w:lineRule="exact"/>
        <w:rPr>
          <w:sz w:val="20"/>
          <w:szCs w:val="20"/>
          <w:color w:val="auto"/>
        </w:rPr>
      </w:pPr>
    </w:p>
    <w:p>
      <w:pPr>
        <w:jc w:val="both"/>
        <w:ind w:left="8" w:hanging="8"/>
        <w:spacing w:after="0" w:line="348" w:lineRule="auto"/>
        <w:tabs>
          <w:tab w:leader="none" w:pos="406" w:val="left"/>
        </w:tabs>
        <w:numPr>
          <w:ilvl w:val="0"/>
          <w:numId w:val="40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provisions of this Chapter shall not apply where the preferential issue of specified securities is made to the lenders pursuant to conversion of their debt, as part of a debt</w:t>
      </w:r>
    </w:p>
    <w:p>
      <w:pPr>
        <w:spacing w:after="0" w:line="7" w:lineRule="exact"/>
        <w:rPr>
          <w:rFonts w:ascii="Times New Roman" w:cs="Times New Roman" w:eastAsia="Times New Roman" w:hAnsi="Times New Roman"/>
          <w:sz w:val="24"/>
          <w:szCs w:val="24"/>
          <w:color w:val="auto"/>
        </w:rPr>
      </w:pPr>
    </w:p>
    <w:p>
      <w:pPr>
        <w:ind w:left="8"/>
        <w:spacing w:after="0" w:line="285"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restructuring [***]</w:t>
      </w:r>
      <w:r>
        <w:rPr>
          <w:rFonts w:ascii="Times New Roman" w:cs="Times New Roman" w:eastAsia="Times New Roman" w:hAnsi="Times New Roman"/>
          <w:sz w:val="32"/>
          <w:szCs w:val="32"/>
          <w:color w:val="auto"/>
          <w:vertAlign w:val="superscript"/>
        </w:rPr>
        <w:t>66</w:t>
      </w:r>
      <w:r>
        <w:rPr>
          <w:rFonts w:ascii="Times New Roman" w:cs="Times New Roman" w:eastAsia="Times New Roman" w:hAnsi="Times New Roman"/>
          <w:sz w:val="24"/>
          <w:szCs w:val="24"/>
          <w:color w:val="auto"/>
        </w:rPr>
        <w:t xml:space="preserve"> implemented in accordance with the guidelines specified by the Reserve Bank of India, subject to the following conditions:</w:t>
      </w:r>
    </w:p>
    <w:p>
      <w:pPr>
        <w:spacing w:after="0" w:line="83" w:lineRule="exact"/>
        <w:rPr>
          <w:sz w:val="20"/>
          <w:szCs w:val="20"/>
          <w:color w:val="auto"/>
        </w:rPr>
      </w:pPr>
    </w:p>
    <w:p>
      <w:pPr>
        <w:jc w:val="both"/>
        <w:ind w:left="728" w:hanging="728"/>
        <w:spacing w:after="0" w:line="354" w:lineRule="auto"/>
        <w:tabs>
          <w:tab w:leader="none" w:pos="728" w:val="left"/>
        </w:tabs>
        <w:numPr>
          <w:ilvl w:val="0"/>
          <w:numId w:val="40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guidelines for determining the conversion price have been specified by the Reserve Bank of India in accordance with which the conversion price shall be determined and which shall be in compliance with the applicable provisions of the Companies Act, 2013;</w:t>
      </w:r>
    </w:p>
    <w:p>
      <w:pPr>
        <w:spacing w:after="0" w:line="7" w:lineRule="exact"/>
        <w:rPr>
          <w:rFonts w:ascii="Times New Roman" w:cs="Times New Roman" w:eastAsia="Times New Roman" w:hAnsi="Times New Roman"/>
          <w:sz w:val="24"/>
          <w:szCs w:val="24"/>
          <w:color w:val="auto"/>
        </w:rPr>
      </w:pPr>
    </w:p>
    <w:p>
      <w:pPr>
        <w:ind w:left="728" w:hanging="728"/>
        <w:spacing w:after="0"/>
        <w:tabs>
          <w:tab w:leader="none" w:pos="728" w:val="left"/>
        </w:tabs>
        <w:numPr>
          <w:ilvl w:val="0"/>
          <w:numId w:val="40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conversion price shall be certified by two independent valuers;</w:t>
      </w:r>
    </w:p>
    <w:p>
      <w:pPr>
        <w:spacing w:after="0" w:line="151" w:lineRule="exact"/>
        <w:rPr>
          <w:rFonts w:ascii="Times New Roman" w:cs="Times New Roman" w:eastAsia="Times New Roman" w:hAnsi="Times New Roman"/>
          <w:sz w:val="24"/>
          <w:szCs w:val="24"/>
          <w:color w:val="auto"/>
        </w:rPr>
      </w:pPr>
    </w:p>
    <w:p>
      <w:pPr>
        <w:ind w:left="728" w:hanging="728"/>
        <w:spacing w:after="0" w:line="348" w:lineRule="auto"/>
        <w:tabs>
          <w:tab w:leader="none" w:pos="728" w:val="left"/>
        </w:tabs>
        <w:numPr>
          <w:ilvl w:val="0"/>
          <w:numId w:val="40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specified securities so allotted shall be locked-in for a period of one year from the date of their allotment</w:t>
      </w:r>
    </w:p>
    <w:p>
      <w:pPr>
        <w:spacing w:after="0" w:line="27" w:lineRule="exact"/>
        <w:rPr>
          <w:rFonts w:ascii="Times New Roman" w:cs="Times New Roman" w:eastAsia="Times New Roman" w:hAnsi="Times New Roman"/>
          <w:sz w:val="24"/>
          <w:szCs w:val="24"/>
          <w:color w:val="auto"/>
        </w:rPr>
      </w:pPr>
    </w:p>
    <w:p>
      <w:pPr>
        <w:jc w:val="both"/>
        <w:ind w:left="728"/>
        <w:spacing w:after="0" w:line="35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for the purpose of transferring the control, the lenders may transfer the specified securities allotted to them before completion of the lock-in period subject to continuation of the lock-in on such securities for the remaining period, with the transferee;</w:t>
      </w:r>
    </w:p>
    <w:p>
      <w:pPr>
        <w:spacing w:after="0" w:line="19" w:lineRule="exact"/>
        <w:rPr>
          <w:rFonts w:ascii="Times New Roman" w:cs="Times New Roman" w:eastAsia="Times New Roman" w:hAnsi="Times New Roman"/>
          <w:sz w:val="24"/>
          <w:szCs w:val="24"/>
          <w:color w:val="auto"/>
        </w:rPr>
      </w:pPr>
    </w:p>
    <w:p>
      <w:pPr>
        <w:jc w:val="both"/>
        <w:ind w:left="728" w:hanging="728"/>
        <w:spacing w:after="0" w:line="354" w:lineRule="auto"/>
        <w:tabs>
          <w:tab w:leader="none" w:pos="728" w:val="left"/>
        </w:tabs>
        <w:numPr>
          <w:ilvl w:val="0"/>
          <w:numId w:val="40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lock-in of equity shares allotted pursuant to conversion of convertible securities issued on preferential basis shall be reduced to the extent the convertible securities have already been locked-in;</w:t>
      </w:r>
    </w:p>
    <w:p>
      <w:pPr>
        <w:spacing w:after="0" w:line="22" w:lineRule="exact"/>
        <w:rPr>
          <w:rFonts w:ascii="Times New Roman" w:cs="Times New Roman" w:eastAsia="Times New Roman" w:hAnsi="Times New Roman"/>
          <w:sz w:val="24"/>
          <w:szCs w:val="24"/>
          <w:color w:val="auto"/>
        </w:rPr>
      </w:pPr>
    </w:p>
    <w:p>
      <w:pPr>
        <w:ind w:left="728" w:hanging="728"/>
        <w:spacing w:after="0" w:line="348" w:lineRule="auto"/>
        <w:tabs>
          <w:tab w:leader="none" w:pos="728" w:val="left"/>
        </w:tabs>
        <w:numPr>
          <w:ilvl w:val="0"/>
          <w:numId w:val="40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applicable provisions of the Companies Act, 2013 are complied with, including the requirement of a special resolution.</w:t>
      </w:r>
    </w:p>
    <w:p>
      <w:pPr>
        <w:spacing w:after="0" w:line="200" w:lineRule="exact"/>
        <w:rPr>
          <w:rFonts w:ascii="Times New Roman" w:cs="Times New Roman" w:eastAsia="Times New Roman" w:hAnsi="Times New Roman"/>
          <w:sz w:val="24"/>
          <w:szCs w:val="24"/>
          <w:color w:val="auto"/>
        </w:rPr>
      </w:pPr>
    </w:p>
    <w:p>
      <w:pPr>
        <w:spacing w:after="0" w:line="240" w:lineRule="exact"/>
        <w:rPr>
          <w:rFonts w:ascii="Times New Roman" w:cs="Times New Roman" w:eastAsia="Times New Roman" w:hAnsi="Times New Roman"/>
          <w:sz w:val="24"/>
          <w:szCs w:val="24"/>
          <w:color w:val="auto"/>
        </w:rPr>
      </w:pPr>
    </w:p>
    <w:p>
      <w:pPr>
        <w:jc w:val="both"/>
        <w:ind w:left="728"/>
        <w:spacing w:after="0" w:line="340"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Explanation.</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w:t>
      </w:r>
      <w:r>
        <w:rPr>
          <w:rFonts w:ascii="Times New Roman" w:cs="Times New Roman" w:eastAsia="Times New Roman" w:hAnsi="Times New Roman"/>
          <w:sz w:val="24"/>
          <w:szCs w:val="24"/>
          <w:color w:val="auto"/>
        </w:rPr>
        <w:t xml:space="preserve"> For the purpose of this sub-regulation, “lenders” shall mean all scheduled commercial banks (excluding Regional Rural Banks) and All India Financial Institutions.]</w:t>
      </w:r>
      <w:r>
        <w:rPr>
          <w:rFonts w:ascii="Times New Roman" w:cs="Times New Roman" w:eastAsia="Times New Roman" w:hAnsi="Times New Roman"/>
          <w:sz w:val="32"/>
          <w:szCs w:val="32"/>
          <w:color w:val="auto"/>
          <w:vertAlign w:val="superscript"/>
        </w:rPr>
        <w:t>67</w:t>
      </w:r>
    </w:p>
    <w:p>
      <w:pPr>
        <w:spacing w:after="0" w:line="3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32"/>
          <w:szCs w:val="32"/>
          <w:color w:val="auto"/>
          <w:vertAlign w:val="superscript"/>
        </w:rPr>
        <w:t>68</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ind w:left="8" w:right="20"/>
        <w:spacing w:after="0" w:line="211" w:lineRule="auto"/>
        <w:rPr>
          <w:sz w:val="20"/>
          <w:szCs w:val="20"/>
          <w:color w:val="auto"/>
        </w:rPr>
      </w:pPr>
      <w:r>
        <w:rPr>
          <w:rFonts w:ascii="Times New Roman" w:cs="Times New Roman" w:eastAsia="Times New Roman" w:hAnsi="Times New Roman"/>
          <w:sz w:val="25"/>
          <w:szCs w:val="25"/>
          <w:color w:val="auto"/>
          <w:vertAlign w:val="superscript"/>
        </w:rPr>
        <w:t>66</w:t>
      </w:r>
      <w:r>
        <w:rPr>
          <w:rFonts w:ascii="Times New Roman" w:cs="Times New Roman" w:eastAsia="Times New Roman" w:hAnsi="Times New Roman"/>
          <w:sz w:val="20"/>
          <w:szCs w:val="20"/>
          <w:color w:val="auto"/>
        </w:rPr>
        <w:t xml:space="preserve"> Word “scheme” omitted by the Securities and Exchange Board of India (Issue of Capital and Disclosure Requirements) (Amendment) Regulations, 2019, w-e-f 29.03.2019.</w:t>
      </w:r>
    </w:p>
    <w:p>
      <w:pPr>
        <w:spacing w:after="0" w:line="4" w:lineRule="exact"/>
        <w:rPr>
          <w:sz w:val="20"/>
          <w:szCs w:val="20"/>
          <w:color w:val="auto"/>
        </w:rPr>
      </w:pPr>
    </w:p>
    <w:p>
      <w:pPr>
        <w:ind w:left="1088"/>
        <w:spacing w:after="0"/>
        <w:rPr>
          <w:sz w:val="20"/>
          <w:szCs w:val="20"/>
          <w:color w:val="auto"/>
        </w:rPr>
      </w:pPr>
      <w:r>
        <w:rPr>
          <w:rFonts w:ascii="Times New Roman" w:cs="Times New Roman" w:eastAsia="Times New Roman" w:hAnsi="Times New Roman"/>
          <w:sz w:val="20"/>
          <w:szCs w:val="20"/>
          <w:color w:val="auto"/>
        </w:rPr>
        <w:t>a.</w:t>
      </w:r>
    </w:p>
    <w:p>
      <w:pPr>
        <w:spacing w:after="0" w:line="29" w:lineRule="exact"/>
        <w:rPr>
          <w:sz w:val="20"/>
          <w:szCs w:val="20"/>
          <w:color w:val="auto"/>
        </w:rPr>
      </w:pPr>
    </w:p>
    <w:p>
      <w:pPr>
        <w:ind w:left="8" w:right="20"/>
        <w:spacing w:after="0" w:line="211" w:lineRule="auto"/>
        <w:rPr>
          <w:sz w:val="20"/>
          <w:szCs w:val="20"/>
          <w:color w:val="auto"/>
        </w:rPr>
      </w:pPr>
      <w:r>
        <w:rPr>
          <w:rFonts w:ascii="Times New Roman" w:cs="Times New Roman" w:eastAsia="Times New Roman" w:hAnsi="Times New Roman"/>
          <w:sz w:val="25"/>
          <w:szCs w:val="25"/>
          <w:color w:val="auto"/>
          <w:vertAlign w:val="superscript"/>
        </w:rPr>
        <w:t>67</w:t>
      </w:r>
      <w:r>
        <w:rPr>
          <w:rFonts w:ascii="Times New Roman" w:cs="Times New Roman" w:eastAsia="Times New Roman" w:hAnsi="Times New Roman"/>
          <w:sz w:val="20"/>
          <w:szCs w:val="20"/>
          <w:color w:val="auto"/>
        </w:rPr>
        <w:t xml:space="preserve"> Inserted by the Securities and Exchange Board of India (Issue of Capital and Disclosure Requirements) (Amendment) Regulations, 2019, w-e-f 29.03.2019.</w:t>
      </w:r>
    </w:p>
    <w:p>
      <w:pPr>
        <w:spacing w:after="0" w:line="6" w:lineRule="exact"/>
        <w:rPr>
          <w:sz w:val="20"/>
          <w:szCs w:val="20"/>
          <w:color w:val="auto"/>
        </w:rPr>
      </w:pPr>
    </w:p>
    <w:p>
      <w:pPr>
        <w:ind w:left="8"/>
        <w:spacing w:after="0" w:line="210" w:lineRule="auto"/>
        <w:rPr>
          <w:sz w:val="20"/>
          <w:szCs w:val="20"/>
          <w:color w:val="auto"/>
        </w:rPr>
      </w:pPr>
      <w:r>
        <w:rPr>
          <w:rFonts w:ascii="Times New Roman" w:cs="Times New Roman" w:eastAsia="Times New Roman" w:hAnsi="Times New Roman"/>
          <w:sz w:val="25"/>
          <w:szCs w:val="25"/>
          <w:color w:val="auto"/>
          <w:vertAlign w:val="superscript"/>
        </w:rPr>
        <w:t>68</w:t>
      </w:r>
      <w:r>
        <w:rPr>
          <w:rFonts w:ascii="Times New Roman" w:cs="Times New Roman" w:eastAsia="Times New Roman" w:hAnsi="Times New Roman"/>
          <w:sz w:val="20"/>
          <w:szCs w:val="20"/>
          <w:color w:val="auto"/>
        </w:rPr>
        <w:t xml:space="preserve"> Omitted by the Securities and Exchange Board of India (Issue of Capital and Disclosure Requirements) (Amendment) Regulations, 2019, w-e-f 29.03.2019. Prior to its omission, sub-regulation (7) read as follows,-</w:t>
      </w:r>
    </w:p>
    <w:p>
      <w:pPr>
        <w:spacing w:after="0" w:line="12" w:lineRule="exact"/>
        <w:rPr>
          <w:sz w:val="20"/>
          <w:szCs w:val="20"/>
          <w:color w:val="auto"/>
        </w:rPr>
      </w:pPr>
    </w:p>
    <w:p>
      <w:pPr>
        <w:jc w:val="both"/>
        <w:ind w:left="728"/>
        <w:spacing w:after="0" w:line="237" w:lineRule="auto"/>
        <w:rPr>
          <w:sz w:val="20"/>
          <w:szCs w:val="20"/>
          <w:color w:val="auto"/>
        </w:rPr>
      </w:pPr>
      <w:r>
        <w:rPr>
          <w:rFonts w:ascii="Times New Roman" w:cs="Times New Roman" w:eastAsia="Times New Roman" w:hAnsi="Times New Roman"/>
          <w:sz w:val="20"/>
          <w:szCs w:val="20"/>
          <w:color w:val="auto"/>
        </w:rPr>
        <w:t>“(7) The provisions of this Chapter shall not apply where the preferential issue of specified securities is made to person(s) at the time of lenders selling their holding of specified securities or enforcing change in ownership in favour of such person(s) pursuant to a debt restructuring scheme implemented in accordance with the guidelines specified by the Reserve Bank of India, subject to the following conditions:</w:t>
      </w:r>
    </w:p>
    <w:p>
      <w:pPr>
        <w:spacing w:after="0" w:line="300"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98</w:t>
      </w:r>
    </w:p>
    <w:p>
      <w:pPr>
        <w:sectPr>
          <w:pgSz w:w="11900" w:h="16836" w:orient="portrait"/>
          <w:cols w:equalWidth="0" w:num="1">
            <w:col w:w="9468"/>
          </w:cols>
          <w:pgMar w:left="1152" w:top="1156" w:right="1284" w:bottom="103" w:gutter="0" w:footer="0" w:header="0"/>
        </w:sectPr>
      </w:pPr>
    </w:p>
    <w:bookmarkStart w:id="98" w:name="page99"/>
    <w:bookmarkEnd w:id="98"/>
    <w:p>
      <w:pPr>
        <w:spacing w:after="0" w:line="12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I: ISSUERS INELIGIBLE TO MAKE A PREFERENTIAL ISSUE</w:t>
      </w:r>
    </w:p>
    <w:p>
      <w:pPr>
        <w:spacing w:after="0" w:line="200" w:lineRule="exact"/>
        <w:rPr>
          <w:sz w:val="20"/>
          <w:szCs w:val="20"/>
          <w:color w:val="auto"/>
        </w:rPr>
      </w:pPr>
    </w:p>
    <w:p>
      <w:pPr>
        <w:spacing w:after="0" w:line="359" w:lineRule="exact"/>
        <w:rPr>
          <w:sz w:val="20"/>
          <w:szCs w:val="20"/>
          <w:color w:val="auto"/>
        </w:rPr>
      </w:pPr>
    </w:p>
    <w:p>
      <w:pPr>
        <w:ind w:left="8"/>
        <w:spacing w:after="0" w:line="357" w:lineRule="auto"/>
        <w:rPr>
          <w:sz w:val="20"/>
          <w:szCs w:val="20"/>
          <w:color w:val="auto"/>
        </w:rPr>
      </w:pPr>
      <w:r>
        <w:rPr>
          <w:rFonts w:ascii="Times New Roman" w:cs="Times New Roman" w:eastAsia="Times New Roman" w:hAnsi="Times New Roman"/>
          <w:sz w:val="24"/>
          <w:szCs w:val="24"/>
          <w:b w:val="1"/>
          <w:bCs w:val="1"/>
          <w:color w:val="auto"/>
        </w:rPr>
        <w:t>159</w:t>
      </w:r>
      <w:r>
        <w:rPr>
          <w:rFonts w:ascii="Times New Roman" w:cs="Times New Roman" w:eastAsia="Times New Roman" w:hAnsi="Times New Roman"/>
          <w:sz w:val="24"/>
          <w:szCs w:val="24"/>
          <w:color w:val="auto"/>
        </w:rPr>
        <w:t>. (1) Preferential issue of specified securities shall not be made to any person who has sold or</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transferred any equity shares of the issuer during the six months preceding the relevant date: Provided that in respect of the preferential issue of equity shares and compulsorily convertible debt instruments, whether fully or partly, the Board may grant relaxation from the requirements of this sub-regulation, if the Board has granted relaxation in terms of sub-regulation (2) of regulation</w:t>
      </w:r>
    </w:p>
    <w:p>
      <w:pPr>
        <w:spacing w:after="0" w:line="19" w:lineRule="exact"/>
        <w:rPr>
          <w:sz w:val="20"/>
          <w:szCs w:val="20"/>
          <w:color w:val="auto"/>
        </w:rPr>
      </w:pPr>
    </w:p>
    <w:p>
      <w:pPr>
        <w:ind w:left="8" w:hanging="8"/>
        <w:spacing w:after="0" w:line="348" w:lineRule="auto"/>
        <w:tabs>
          <w:tab w:leader="none" w:pos="497" w:val="left"/>
        </w:tabs>
        <w:numPr>
          <w:ilvl w:val="0"/>
          <w:numId w:val="40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of the Securities and Exchange Board of India (Substantial Acquisition of Shares and Takeovers) Regulations, 2011 to such a preferential allotment.</w:t>
      </w:r>
    </w:p>
    <w:p>
      <w:pPr>
        <w:spacing w:after="0" w:line="28" w:lineRule="exact"/>
        <w:rPr>
          <w:sz w:val="20"/>
          <w:szCs w:val="20"/>
          <w:color w:val="auto"/>
        </w:rPr>
      </w:pPr>
    </w:p>
    <w:p>
      <w:pPr>
        <w:jc w:val="both"/>
        <w:ind w:left="8"/>
        <w:spacing w:after="0" w:line="356" w:lineRule="auto"/>
        <w:rPr>
          <w:sz w:val="20"/>
          <w:szCs w:val="20"/>
          <w:color w:val="auto"/>
        </w:rPr>
      </w:pPr>
      <w:r>
        <w:rPr>
          <w:rFonts w:ascii="Times New Roman" w:cs="Times New Roman" w:eastAsia="Times New Roman" w:hAnsi="Times New Roman"/>
          <w:sz w:val="24"/>
          <w:szCs w:val="24"/>
          <w:b w:val="1"/>
          <w:bCs w:val="1"/>
          <w:color w:val="auto"/>
        </w:rPr>
        <w:t>Explanation</w:t>
      </w:r>
      <w:r>
        <w:rPr>
          <w:rFonts w:ascii="Times New Roman" w:cs="Times New Roman" w:eastAsia="Times New Roman" w:hAnsi="Times New Roman"/>
          <w:sz w:val="24"/>
          <w:szCs w:val="24"/>
          <w:color w:val="auto"/>
        </w:rPr>
        <w:t>: Where any person belonging to promoter(s) or the promoter group has sold/</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transferred their equity shares in the issuer during the six months preceding the relevant date, the promoter(s) and promoter group shall be ineligible for allotment of specified securities on preferential basis.</w:t>
      </w:r>
    </w:p>
    <w:p>
      <w:pPr>
        <w:spacing w:after="0" w:line="19" w:lineRule="exact"/>
        <w:rPr>
          <w:sz w:val="20"/>
          <w:szCs w:val="20"/>
          <w:color w:val="auto"/>
        </w:rPr>
      </w:pPr>
    </w:p>
    <w:p>
      <w:pPr>
        <w:jc w:val="both"/>
        <w:ind w:left="8"/>
        <w:spacing w:after="0" w:line="357" w:lineRule="auto"/>
        <w:rPr>
          <w:sz w:val="20"/>
          <w:szCs w:val="20"/>
          <w:color w:val="auto"/>
        </w:rPr>
      </w:pPr>
      <w:r>
        <w:rPr>
          <w:rFonts w:ascii="Times New Roman" w:cs="Times New Roman" w:eastAsia="Times New Roman" w:hAnsi="Times New Roman"/>
          <w:sz w:val="24"/>
          <w:szCs w:val="24"/>
          <w:color w:val="auto"/>
        </w:rPr>
        <w:t>Provided that the above restriction shall not apply to any sale of equity shares by any person belonging to promoter(s) of the promoter group which qualifies for inter-se transfer amongst qualifying persons under clause (a) of sub-regulation (1) of regulation 10 of the Securities and Exchange Board of India (Substantial Acquisition of Shares and Takeover Regulations), 2011 or in case of transfer of shares held by the promoters or promoter group on account of invocation of pledge by a scheduled commercial bank or public financial institution or a systemically important</w:t>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jc w:val="both"/>
        <w:ind w:left="1448" w:hanging="636"/>
        <w:spacing w:after="0" w:line="237" w:lineRule="auto"/>
        <w:tabs>
          <w:tab w:leader="none" w:pos="1448" w:val="left"/>
        </w:tabs>
        <w:numPr>
          <w:ilvl w:val="0"/>
          <w:numId w:val="40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guidelines for determining the issue price have been specified by the Reserve Bank of India in accordance with which the issue price shall be determined and which shall be in compliance with the applicable provisions of the Companies Act, 2013;</w:t>
      </w:r>
    </w:p>
    <w:p>
      <w:pPr>
        <w:spacing w:after="0" w:line="28" w:lineRule="exact"/>
        <w:rPr>
          <w:rFonts w:ascii="Times New Roman" w:cs="Times New Roman" w:eastAsia="Times New Roman" w:hAnsi="Times New Roman"/>
          <w:sz w:val="20"/>
          <w:szCs w:val="20"/>
          <w:color w:val="auto"/>
        </w:rPr>
      </w:pPr>
    </w:p>
    <w:p>
      <w:pPr>
        <w:ind w:left="1448" w:hanging="636"/>
        <w:spacing w:after="0"/>
        <w:tabs>
          <w:tab w:leader="none" w:pos="1448" w:val="left"/>
        </w:tabs>
        <w:numPr>
          <w:ilvl w:val="0"/>
          <w:numId w:val="40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issue price shall be certified by two independent valuers;</w:t>
      </w:r>
    </w:p>
    <w:p>
      <w:pPr>
        <w:spacing w:after="0" w:line="35" w:lineRule="exact"/>
        <w:rPr>
          <w:rFonts w:ascii="Times New Roman" w:cs="Times New Roman" w:eastAsia="Times New Roman" w:hAnsi="Times New Roman"/>
          <w:sz w:val="20"/>
          <w:szCs w:val="20"/>
          <w:color w:val="auto"/>
        </w:rPr>
      </w:pPr>
    </w:p>
    <w:p>
      <w:pPr>
        <w:ind w:left="1448" w:hanging="636"/>
        <w:spacing w:after="0" w:line="235" w:lineRule="auto"/>
        <w:tabs>
          <w:tab w:leader="none" w:pos="1448" w:val="left"/>
        </w:tabs>
        <w:numPr>
          <w:ilvl w:val="0"/>
          <w:numId w:val="40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specified securities so allotted shall be locked-in for a period of at least three years from the date of their allotment;</w:t>
      </w:r>
    </w:p>
    <w:p>
      <w:pPr>
        <w:spacing w:after="0" w:line="36" w:lineRule="exact"/>
        <w:rPr>
          <w:rFonts w:ascii="Times New Roman" w:cs="Times New Roman" w:eastAsia="Times New Roman" w:hAnsi="Times New Roman"/>
          <w:sz w:val="20"/>
          <w:szCs w:val="20"/>
          <w:color w:val="auto"/>
        </w:rPr>
      </w:pPr>
    </w:p>
    <w:p>
      <w:pPr>
        <w:jc w:val="both"/>
        <w:ind w:left="1448" w:hanging="636"/>
        <w:spacing w:after="0" w:line="237" w:lineRule="auto"/>
        <w:tabs>
          <w:tab w:leader="none" w:pos="1448" w:val="left"/>
        </w:tabs>
        <w:numPr>
          <w:ilvl w:val="0"/>
          <w:numId w:val="40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lock-in of equity shares allotted pursuant to conversion of convertible securities issued on preferential basis shall be reduced to the extent the convertible securities have already been locked-in;</w:t>
      </w:r>
    </w:p>
    <w:p>
      <w:pPr>
        <w:spacing w:after="0" w:line="27" w:lineRule="exact"/>
        <w:rPr>
          <w:rFonts w:ascii="Times New Roman" w:cs="Times New Roman" w:eastAsia="Times New Roman" w:hAnsi="Times New Roman"/>
          <w:sz w:val="20"/>
          <w:szCs w:val="20"/>
          <w:color w:val="auto"/>
        </w:rPr>
      </w:pPr>
    </w:p>
    <w:p>
      <w:pPr>
        <w:ind w:left="1448" w:hanging="636"/>
        <w:spacing w:after="0"/>
        <w:tabs>
          <w:tab w:leader="none" w:pos="1448" w:val="left"/>
        </w:tabs>
        <w:numPr>
          <w:ilvl w:val="0"/>
          <w:numId w:val="40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special resolution has been passed by shareholders of the issuer before the preferential issue;</w:t>
      </w:r>
    </w:p>
    <w:p>
      <w:pPr>
        <w:spacing w:after="0" w:line="35" w:lineRule="exact"/>
        <w:rPr>
          <w:rFonts w:ascii="Times New Roman" w:cs="Times New Roman" w:eastAsia="Times New Roman" w:hAnsi="Times New Roman"/>
          <w:sz w:val="20"/>
          <w:szCs w:val="20"/>
          <w:color w:val="auto"/>
        </w:rPr>
      </w:pPr>
    </w:p>
    <w:p>
      <w:pPr>
        <w:jc w:val="both"/>
        <w:ind w:left="1448" w:hanging="636"/>
        <w:spacing w:after="0" w:line="237" w:lineRule="auto"/>
        <w:tabs>
          <w:tab w:leader="none" w:pos="1448" w:val="left"/>
        </w:tabs>
        <w:numPr>
          <w:ilvl w:val="0"/>
          <w:numId w:val="40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issuer shall, in addition to the disclosures required under the Companies Act, 2013 or any other applicable law, disclose the following information pertaining to the proposed allottee(s) in the explanatory statement to the notice for the general meeting proposed for passing the special resolution as stipulated at clause (e) of this sub-regulation:</w:t>
      </w:r>
    </w:p>
    <w:p>
      <w:pPr>
        <w:spacing w:after="0" w:line="37" w:lineRule="exact"/>
        <w:rPr>
          <w:rFonts w:ascii="Times New Roman" w:cs="Times New Roman" w:eastAsia="Times New Roman" w:hAnsi="Times New Roman"/>
          <w:sz w:val="20"/>
          <w:szCs w:val="20"/>
          <w:color w:val="auto"/>
        </w:rPr>
      </w:pPr>
    </w:p>
    <w:p>
      <w:pPr>
        <w:ind w:left="1448" w:hanging="368"/>
        <w:spacing w:after="0" w:line="235" w:lineRule="auto"/>
        <w:tabs>
          <w:tab w:leader="none" w:pos="1448" w:val="left"/>
        </w:tabs>
        <w:numPr>
          <w:ilvl w:val="1"/>
          <w:numId w:val="40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identity, including that of the natural persons, who are the ultimate beneficial owners of the shares proposed to be allotted and/ or who ultimately control the proposed allottee(s);</w:t>
      </w:r>
    </w:p>
    <w:p>
      <w:pPr>
        <w:spacing w:after="0" w:line="28" w:lineRule="exact"/>
        <w:rPr>
          <w:rFonts w:ascii="Times New Roman" w:cs="Times New Roman" w:eastAsia="Times New Roman" w:hAnsi="Times New Roman"/>
          <w:sz w:val="20"/>
          <w:szCs w:val="20"/>
          <w:color w:val="auto"/>
        </w:rPr>
      </w:pPr>
    </w:p>
    <w:p>
      <w:pPr>
        <w:ind w:left="1448" w:hanging="368"/>
        <w:spacing w:after="0"/>
        <w:tabs>
          <w:tab w:leader="none" w:pos="1448" w:val="left"/>
        </w:tabs>
        <w:numPr>
          <w:ilvl w:val="1"/>
          <w:numId w:val="40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business model;</w:t>
      </w:r>
    </w:p>
    <w:p>
      <w:pPr>
        <w:spacing w:after="0" w:line="26" w:lineRule="exact"/>
        <w:rPr>
          <w:rFonts w:ascii="Times New Roman" w:cs="Times New Roman" w:eastAsia="Times New Roman" w:hAnsi="Times New Roman"/>
          <w:sz w:val="20"/>
          <w:szCs w:val="20"/>
          <w:color w:val="auto"/>
        </w:rPr>
      </w:pPr>
    </w:p>
    <w:p>
      <w:pPr>
        <w:ind w:left="1448" w:hanging="368"/>
        <w:spacing w:after="0"/>
        <w:tabs>
          <w:tab w:leader="none" w:pos="1448" w:val="left"/>
        </w:tabs>
        <w:numPr>
          <w:ilvl w:val="1"/>
          <w:numId w:val="40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statement on growth of business over a period of time;</w:t>
      </w:r>
    </w:p>
    <w:p>
      <w:pPr>
        <w:spacing w:after="0" w:line="26" w:lineRule="exact"/>
        <w:rPr>
          <w:rFonts w:ascii="Times New Roman" w:cs="Times New Roman" w:eastAsia="Times New Roman" w:hAnsi="Times New Roman"/>
          <w:sz w:val="20"/>
          <w:szCs w:val="20"/>
          <w:color w:val="auto"/>
        </w:rPr>
      </w:pPr>
    </w:p>
    <w:p>
      <w:pPr>
        <w:ind w:left="1448" w:hanging="368"/>
        <w:spacing w:after="0"/>
        <w:tabs>
          <w:tab w:leader="none" w:pos="1448" w:val="left"/>
        </w:tabs>
        <w:numPr>
          <w:ilvl w:val="1"/>
          <w:numId w:val="40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summary of audited financial statements of previous three financial years;</w:t>
      </w:r>
    </w:p>
    <w:p>
      <w:pPr>
        <w:spacing w:after="0" w:line="26" w:lineRule="exact"/>
        <w:rPr>
          <w:rFonts w:ascii="Times New Roman" w:cs="Times New Roman" w:eastAsia="Times New Roman" w:hAnsi="Times New Roman"/>
          <w:sz w:val="20"/>
          <w:szCs w:val="20"/>
          <w:color w:val="auto"/>
        </w:rPr>
      </w:pPr>
    </w:p>
    <w:p>
      <w:pPr>
        <w:ind w:left="1448" w:hanging="368"/>
        <w:spacing w:after="0"/>
        <w:tabs>
          <w:tab w:leader="none" w:pos="1448" w:val="left"/>
        </w:tabs>
        <w:numPr>
          <w:ilvl w:val="1"/>
          <w:numId w:val="40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track record, if any, in turning around companies;</w:t>
      </w:r>
    </w:p>
    <w:p>
      <w:pPr>
        <w:spacing w:after="0" w:line="26" w:lineRule="exact"/>
        <w:rPr>
          <w:rFonts w:ascii="Times New Roman" w:cs="Times New Roman" w:eastAsia="Times New Roman" w:hAnsi="Times New Roman"/>
          <w:sz w:val="20"/>
          <w:szCs w:val="20"/>
          <w:color w:val="auto"/>
        </w:rPr>
      </w:pPr>
    </w:p>
    <w:p>
      <w:pPr>
        <w:ind w:left="1448" w:hanging="368"/>
        <w:spacing w:after="0"/>
        <w:tabs>
          <w:tab w:leader="none" w:pos="1448" w:val="left"/>
        </w:tabs>
        <w:numPr>
          <w:ilvl w:val="1"/>
          <w:numId w:val="40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proposed roadmap for effecting turnaround of the issuer.</w:t>
      </w:r>
    </w:p>
    <w:p>
      <w:pPr>
        <w:spacing w:after="0" w:line="29" w:lineRule="exact"/>
        <w:rPr>
          <w:rFonts w:ascii="Times New Roman" w:cs="Times New Roman" w:eastAsia="Times New Roman" w:hAnsi="Times New Roman"/>
          <w:sz w:val="20"/>
          <w:szCs w:val="20"/>
          <w:color w:val="auto"/>
        </w:rPr>
      </w:pPr>
    </w:p>
    <w:p>
      <w:pPr>
        <w:ind w:left="1448" w:hanging="368"/>
        <w:spacing w:after="0"/>
        <w:tabs>
          <w:tab w:leader="none" w:pos="1448" w:val="left"/>
        </w:tabs>
        <w:numPr>
          <w:ilvl w:val="1"/>
          <w:numId w:val="40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applicable provisions of the Companies Act, 2013 are complied with.”</w:t>
      </w:r>
    </w:p>
    <w:p>
      <w:pPr>
        <w:spacing w:after="0" w:line="322"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99</w:t>
      </w:r>
    </w:p>
    <w:p>
      <w:pPr>
        <w:sectPr>
          <w:pgSz w:w="11900" w:h="16836" w:orient="portrait"/>
          <w:cols w:equalWidth="0" w:num="1">
            <w:col w:w="9468"/>
          </w:cols>
          <w:pgMar w:left="1152" w:top="1440" w:right="1284" w:bottom="103" w:gutter="0" w:footer="0" w:header="0"/>
        </w:sectPr>
      </w:pPr>
    </w:p>
    <w:bookmarkStart w:id="99" w:name="page100"/>
    <w:bookmarkEnd w:id="99"/>
    <w:p>
      <w:pPr>
        <w:ind w:left="8"/>
        <w:spacing w:after="0" w:line="348" w:lineRule="auto"/>
        <w:rPr>
          <w:sz w:val="20"/>
          <w:szCs w:val="20"/>
          <w:color w:val="auto"/>
        </w:rPr>
      </w:pPr>
      <w:r>
        <w:rPr>
          <w:rFonts w:ascii="Times New Roman" w:cs="Times New Roman" w:eastAsia="Times New Roman" w:hAnsi="Times New Roman"/>
          <w:sz w:val="24"/>
          <w:szCs w:val="24"/>
          <w:color w:val="auto"/>
        </w:rPr>
        <w:t>non- banking finance company or mutual fund or insurance company registered with the Insurance Regulatory and Development Authority.</w:t>
      </w:r>
    </w:p>
    <w:p>
      <w:pPr>
        <w:spacing w:after="0" w:line="28" w:lineRule="exact"/>
        <w:rPr>
          <w:sz w:val="20"/>
          <w:szCs w:val="20"/>
          <w:color w:val="auto"/>
        </w:rPr>
      </w:pPr>
    </w:p>
    <w:p>
      <w:pPr>
        <w:jc w:val="both"/>
        <w:ind w:left="8" w:hanging="8"/>
        <w:spacing w:after="0" w:line="356" w:lineRule="auto"/>
        <w:tabs>
          <w:tab w:leader="none" w:pos="440" w:val="left"/>
        </w:tabs>
        <w:numPr>
          <w:ilvl w:val="0"/>
          <w:numId w:val="40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Where any person belonging to promoter(s) or the promoter group has previously subscribed to warrants of an issuer but has failed to exercise the warrants, the promoter(s) and promoter group shall be ineligible for issue of specified securities of such issuer on preferential basis for a period of one year from:</w:t>
      </w:r>
    </w:p>
    <w:p>
      <w:pPr>
        <w:spacing w:after="0" w:line="19" w:lineRule="exact"/>
        <w:rPr>
          <w:sz w:val="20"/>
          <w:szCs w:val="20"/>
          <w:color w:val="auto"/>
        </w:rPr>
      </w:pPr>
    </w:p>
    <w:p>
      <w:pPr>
        <w:ind w:left="628" w:hanging="628"/>
        <w:spacing w:after="0" w:line="348" w:lineRule="auto"/>
        <w:tabs>
          <w:tab w:leader="none" w:pos="628" w:val="left"/>
        </w:tabs>
        <w:numPr>
          <w:ilvl w:val="0"/>
          <w:numId w:val="40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date of expiry of the tenure of the warrants due to non-exercise of the option to convert; or</w:t>
      </w:r>
    </w:p>
    <w:p>
      <w:pPr>
        <w:spacing w:after="0" w:line="16" w:lineRule="exact"/>
        <w:rPr>
          <w:rFonts w:ascii="Times New Roman" w:cs="Times New Roman" w:eastAsia="Times New Roman" w:hAnsi="Times New Roman"/>
          <w:sz w:val="24"/>
          <w:szCs w:val="24"/>
          <w:color w:val="auto"/>
        </w:rPr>
      </w:pPr>
    </w:p>
    <w:p>
      <w:pPr>
        <w:ind w:left="628" w:hanging="628"/>
        <w:spacing w:after="0"/>
        <w:tabs>
          <w:tab w:leader="none" w:pos="628" w:val="left"/>
        </w:tabs>
        <w:numPr>
          <w:ilvl w:val="0"/>
          <w:numId w:val="40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date of cancellation of the warrants, as the case may be.</w:t>
      </w:r>
    </w:p>
    <w:p>
      <w:pPr>
        <w:spacing w:after="0" w:line="149" w:lineRule="exact"/>
        <w:rPr>
          <w:sz w:val="20"/>
          <w:szCs w:val="20"/>
          <w:color w:val="auto"/>
        </w:rPr>
      </w:pPr>
    </w:p>
    <w:p>
      <w:pPr>
        <w:ind w:left="8" w:hanging="8"/>
        <w:spacing w:after="0" w:line="350" w:lineRule="auto"/>
        <w:tabs>
          <w:tab w:leader="none" w:pos="440" w:val="left"/>
        </w:tabs>
        <w:numPr>
          <w:ilvl w:val="0"/>
          <w:numId w:val="40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 issuer shall not be eligible to make a preferential issue if any of its promoters or directors is a fugitive economic offender.</w:t>
      </w:r>
    </w:p>
    <w:p>
      <w:pPr>
        <w:spacing w:after="0" w:line="200" w:lineRule="exact"/>
        <w:rPr>
          <w:sz w:val="20"/>
          <w:szCs w:val="20"/>
          <w:color w:val="auto"/>
        </w:rPr>
      </w:pPr>
    </w:p>
    <w:p>
      <w:pPr>
        <w:spacing w:after="0" w:line="231"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II: CONDITIONS FOR PREFERENTIAL ISSUE</w:t>
      </w:r>
    </w:p>
    <w:p>
      <w:pPr>
        <w:spacing w:after="0" w:line="200" w:lineRule="exact"/>
        <w:rPr>
          <w:sz w:val="20"/>
          <w:szCs w:val="20"/>
          <w:color w:val="auto"/>
        </w:rPr>
      </w:pPr>
    </w:p>
    <w:p>
      <w:pPr>
        <w:spacing w:after="0" w:line="35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Conditions for preferential issue</w:t>
      </w:r>
    </w:p>
    <w:p>
      <w:pPr>
        <w:spacing w:after="0" w:line="132" w:lineRule="exact"/>
        <w:rPr>
          <w:sz w:val="20"/>
          <w:szCs w:val="20"/>
          <w:color w:val="auto"/>
        </w:rPr>
      </w:pPr>
    </w:p>
    <w:p>
      <w:pPr>
        <w:ind w:left="488" w:hanging="488"/>
        <w:spacing w:after="0"/>
        <w:tabs>
          <w:tab w:leader="none" w:pos="488" w:val="left"/>
        </w:tabs>
        <w:numPr>
          <w:ilvl w:val="0"/>
          <w:numId w:val="41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 listed issuer making a preferential issue of specified securities shall ensure that:</w:t>
      </w:r>
    </w:p>
    <w:p>
      <w:pPr>
        <w:spacing w:after="0" w:line="152" w:lineRule="exact"/>
        <w:rPr>
          <w:sz w:val="20"/>
          <w:szCs w:val="20"/>
          <w:color w:val="auto"/>
        </w:rPr>
      </w:pPr>
    </w:p>
    <w:p>
      <w:pPr>
        <w:ind w:left="548" w:hanging="548"/>
        <w:spacing w:after="0" w:line="348" w:lineRule="auto"/>
        <w:tabs>
          <w:tab w:leader="none" w:pos="548" w:val="left"/>
        </w:tabs>
        <w:numPr>
          <w:ilvl w:val="0"/>
          <w:numId w:val="4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all equity shares allotted by way of preferential issue shall be made fully paid up at the time of the allotment;</w:t>
      </w:r>
    </w:p>
    <w:p>
      <w:pPr>
        <w:spacing w:after="0" w:line="15" w:lineRule="exact"/>
        <w:rPr>
          <w:rFonts w:ascii="Times New Roman" w:cs="Times New Roman" w:eastAsia="Times New Roman" w:hAnsi="Times New Roman"/>
          <w:sz w:val="24"/>
          <w:szCs w:val="24"/>
          <w:color w:val="auto"/>
        </w:rPr>
      </w:pPr>
    </w:p>
    <w:p>
      <w:pPr>
        <w:ind w:left="548" w:hanging="548"/>
        <w:spacing w:after="0"/>
        <w:tabs>
          <w:tab w:leader="none" w:pos="548" w:val="left"/>
        </w:tabs>
        <w:numPr>
          <w:ilvl w:val="0"/>
          <w:numId w:val="4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special resolution has been passed by its shareholders;</w:t>
      </w:r>
    </w:p>
    <w:p>
      <w:pPr>
        <w:spacing w:after="0" w:line="136" w:lineRule="exact"/>
        <w:rPr>
          <w:rFonts w:ascii="Times New Roman" w:cs="Times New Roman" w:eastAsia="Times New Roman" w:hAnsi="Times New Roman"/>
          <w:sz w:val="24"/>
          <w:szCs w:val="24"/>
          <w:color w:val="auto"/>
        </w:rPr>
      </w:pPr>
    </w:p>
    <w:p>
      <w:pPr>
        <w:ind w:left="548" w:hanging="548"/>
        <w:spacing w:after="0"/>
        <w:tabs>
          <w:tab w:leader="none" w:pos="548" w:val="left"/>
        </w:tabs>
        <w:numPr>
          <w:ilvl w:val="0"/>
          <w:numId w:val="4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all equity shares held by the proposed allottees in the issuer are in dematerialised form;</w:t>
      </w:r>
    </w:p>
    <w:p>
      <w:pPr>
        <w:spacing w:after="0" w:line="151" w:lineRule="exact"/>
        <w:rPr>
          <w:rFonts w:ascii="Times New Roman" w:cs="Times New Roman" w:eastAsia="Times New Roman" w:hAnsi="Times New Roman"/>
          <w:sz w:val="24"/>
          <w:szCs w:val="24"/>
          <w:color w:val="auto"/>
        </w:rPr>
      </w:pPr>
    </w:p>
    <w:p>
      <w:pPr>
        <w:jc w:val="both"/>
        <w:ind w:left="548" w:hanging="548"/>
        <w:spacing w:after="0" w:line="357" w:lineRule="auto"/>
        <w:tabs>
          <w:tab w:leader="none" w:pos="548" w:val="left"/>
        </w:tabs>
        <w:numPr>
          <w:ilvl w:val="0"/>
          <w:numId w:val="4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is in compliance with the conditions for continuous listing of equity shares as specified in the listing agreement with the stock exchange where the equity shares of the issuer are listed and the Securities and Exchange Board of India (Listing Obligations and Disclosure Requirements), 2015, as amended, and any circular or notification issued by the Board thereunder;</w:t>
      </w:r>
    </w:p>
    <w:p>
      <w:pPr>
        <w:spacing w:after="0" w:line="16" w:lineRule="exact"/>
        <w:rPr>
          <w:rFonts w:ascii="Times New Roman" w:cs="Times New Roman" w:eastAsia="Times New Roman" w:hAnsi="Times New Roman"/>
          <w:sz w:val="24"/>
          <w:szCs w:val="24"/>
          <w:color w:val="auto"/>
        </w:rPr>
      </w:pPr>
    </w:p>
    <w:p>
      <w:pPr>
        <w:jc w:val="both"/>
        <w:ind w:left="548" w:hanging="548"/>
        <w:spacing w:after="0" w:line="354" w:lineRule="auto"/>
        <w:tabs>
          <w:tab w:leader="none" w:pos="548" w:val="left"/>
        </w:tabs>
        <w:numPr>
          <w:ilvl w:val="0"/>
          <w:numId w:val="4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has obtained the Permanent Account Numbers of the proposed allottees, except those allottees which may be exempt from specifying their Permanent Account Number for transacting in the securities market by the Board.</w:t>
      </w:r>
    </w:p>
    <w:p>
      <w:pPr>
        <w:spacing w:after="0" w:line="200" w:lineRule="exact"/>
        <w:rPr>
          <w:sz w:val="20"/>
          <w:szCs w:val="20"/>
          <w:color w:val="auto"/>
        </w:rPr>
      </w:pPr>
    </w:p>
    <w:p>
      <w:pPr>
        <w:spacing w:after="0" w:line="22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Relevant date</w:t>
      </w:r>
    </w:p>
    <w:p>
      <w:pPr>
        <w:spacing w:after="0" w:line="134" w:lineRule="exact"/>
        <w:rPr>
          <w:sz w:val="20"/>
          <w:szCs w:val="20"/>
          <w:color w:val="auto"/>
        </w:rPr>
      </w:pPr>
    </w:p>
    <w:p>
      <w:pPr>
        <w:ind w:left="488" w:hanging="488"/>
        <w:spacing w:after="0"/>
        <w:tabs>
          <w:tab w:leader="none" w:pos="488" w:val="left"/>
        </w:tabs>
        <w:numPr>
          <w:ilvl w:val="0"/>
          <w:numId w:val="41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For the purpose of this Chapter, "relevant date" means:</w:t>
      </w:r>
    </w:p>
    <w:p>
      <w:pPr>
        <w:spacing w:after="0" w:line="149" w:lineRule="exact"/>
        <w:rPr>
          <w:sz w:val="20"/>
          <w:szCs w:val="20"/>
          <w:color w:val="auto"/>
        </w:rPr>
      </w:pPr>
    </w:p>
    <w:p>
      <w:pPr>
        <w:ind w:left="548" w:hanging="548"/>
        <w:spacing w:after="0" w:line="350" w:lineRule="auto"/>
        <w:tabs>
          <w:tab w:leader="none" w:pos="548" w:val="left"/>
        </w:tabs>
        <w:numPr>
          <w:ilvl w:val="0"/>
          <w:numId w:val="4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preferential issue of equity shares, the date thirty days prior to the date on which the meeting of shareholders is held to consider the proposed preferential issue:</w:t>
      </w:r>
    </w:p>
    <w:p>
      <w:pPr>
        <w:spacing w:after="0" w:line="23" w:lineRule="exact"/>
        <w:rPr>
          <w:rFonts w:ascii="Times New Roman" w:cs="Times New Roman" w:eastAsia="Times New Roman" w:hAnsi="Times New Roman"/>
          <w:sz w:val="24"/>
          <w:szCs w:val="24"/>
          <w:color w:val="auto"/>
        </w:rPr>
      </w:pPr>
    </w:p>
    <w:p>
      <w:pPr>
        <w:jc w:val="both"/>
        <w:ind w:left="548"/>
        <w:spacing w:after="0" w:line="350"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in case of a preferential issue of specified securities pursuant to any resolution of stressed assets under a framework specified by the Reserve Bank of India or a resolution</w:t>
      </w:r>
    </w:p>
    <w:p>
      <w:pPr>
        <w:spacing w:after="0" w:line="268"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100</w:t>
      </w:r>
    </w:p>
    <w:p>
      <w:pPr>
        <w:sectPr>
          <w:pgSz w:w="11900" w:h="16836" w:orient="portrait"/>
          <w:cols w:equalWidth="0" w:num="1">
            <w:col w:w="9468"/>
          </w:cols>
          <w:pgMar w:left="1152" w:top="1156" w:right="1284" w:bottom="103" w:gutter="0" w:footer="0" w:header="0"/>
        </w:sectPr>
      </w:pPr>
    </w:p>
    <w:bookmarkStart w:id="100" w:name="page101"/>
    <w:bookmarkEnd w:id="100"/>
    <w:p>
      <w:pPr>
        <w:jc w:val="both"/>
        <w:ind w:left="548"/>
        <w:spacing w:after="0" w:line="354" w:lineRule="auto"/>
        <w:rPr>
          <w:sz w:val="20"/>
          <w:szCs w:val="20"/>
          <w:color w:val="auto"/>
        </w:rPr>
      </w:pPr>
      <w:r>
        <w:rPr>
          <w:rFonts w:ascii="Times New Roman" w:cs="Times New Roman" w:eastAsia="Times New Roman" w:hAnsi="Times New Roman"/>
          <w:sz w:val="24"/>
          <w:szCs w:val="24"/>
          <w:color w:val="auto"/>
        </w:rPr>
        <w:t>plan approved by the National Company Law Tribunal under the Insolvency and Bankruptcy Code 2016,, the date of approval of the corporate debt restructuring package or resolution plan shall be the relevant date.</w:t>
      </w:r>
    </w:p>
    <w:p>
      <w:pPr>
        <w:spacing w:after="0" w:line="20" w:lineRule="exact"/>
        <w:rPr>
          <w:sz w:val="20"/>
          <w:szCs w:val="20"/>
          <w:color w:val="auto"/>
        </w:rPr>
      </w:pPr>
    </w:p>
    <w:p>
      <w:pPr>
        <w:jc w:val="both"/>
        <w:ind w:left="548" w:hanging="548"/>
        <w:spacing w:after="0" w:line="354" w:lineRule="auto"/>
        <w:tabs>
          <w:tab w:leader="none" w:pos="548" w:val="left"/>
        </w:tabs>
        <w:numPr>
          <w:ilvl w:val="0"/>
          <w:numId w:val="4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a preferential issue of convertible securities, either the relevant date referred to in clause (a) of this regulation or a date thirty days prior to the date on which the holders of the convertible securities become entitled to apply for the equity shares.</w:t>
      </w:r>
    </w:p>
    <w:p>
      <w:pPr>
        <w:spacing w:after="0" w:line="22" w:lineRule="exact"/>
        <w:rPr>
          <w:sz w:val="20"/>
          <w:szCs w:val="20"/>
          <w:color w:val="auto"/>
        </w:rPr>
      </w:pPr>
    </w:p>
    <w:p>
      <w:pPr>
        <w:ind w:left="8"/>
        <w:spacing w:after="0" w:line="348" w:lineRule="auto"/>
        <w:rPr>
          <w:sz w:val="20"/>
          <w:szCs w:val="20"/>
          <w:color w:val="auto"/>
        </w:rPr>
      </w:pPr>
      <w:r>
        <w:rPr>
          <w:rFonts w:ascii="Times New Roman" w:cs="Times New Roman" w:eastAsia="Times New Roman" w:hAnsi="Times New Roman"/>
          <w:sz w:val="24"/>
          <w:szCs w:val="24"/>
          <w:b w:val="1"/>
          <w:bCs w:val="1"/>
          <w:color w:val="auto"/>
        </w:rPr>
        <w:t xml:space="preserve">Explanation: </w:t>
      </w:r>
      <w:r>
        <w:rPr>
          <w:rFonts w:ascii="Times New Roman" w:cs="Times New Roman" w:eastAsia="Times New Roman" w:hAnsi="Times New Roman"/>
          <w:sz w:val="24"/>
          <w:szCs w:val="24"/>
          <w:color w:val="auto"/>
        </w:rPr>
        <w:t>Where the relevant date falls on a weekend or a holiday, the day preceding the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weekend or the holiday will be reckoned to be the relevant date.</w:t>
      </w:r>
    </w:p>
    <w:p>
      <w:pPr>
        <w:spacing w:after="0" w:line="200" w:lineRule="exact"/>
        <w:rPr>
          <w:sz w:val="20"/>
          <w:szCs w:val="20"/>
          <w:color w:val="auto"/>
        </w:rPr>
      </w:pPr>
    </w:p>
    <w:p>
      <w:pPr>
        <w:spacing w:after="0" w:line="234"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Tenure of convertible securities</w:t>
      </w:r>
    </w:p>
    <w:p>
      <w:pPr>
        <w:spacing w:after="0" w:line="147" w:lineRule="exact"/>
        <w:rPr>
          <w:sz w:val="20"/>
          <w:szCs w:val="20"/>
          <w:color w:val="auto"/>
        </w:rPr>
      </w:pPr>
    </w:p>
    <w:p>
      <w:pPr>
        <w:ind w:left="8" w:hanging="8"/>
        <w:spacing w:after="0" w:line="348" w:lineRule="auto"/>
        <w:tabs>
          <w:tab w:leader="none" w:pos="502" w:val="left"/>
        </w:tabs>
        <w:numPr>
          <w:ilvl w:val="0"/>
          <w:numId w:val="41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tenure of the convertible securities of the issuer shall not exceed eighteen months from the date of their allotment.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III: DISCLOSURES TO SHAREHOLDERS</w:t>
      </w:r>
    </w:p>
    <w:p>
      <w:pPr>
        <w:spacing w:after="0" w:line="200" w:lineRule="exact"/>
        <w:rPr>
          <w:sz w:val="20"/>
          <w:szCs w:val="20"/>
          <w:color w:val="auto"/>
        </w:rPr>
      </w:pPr>
    </w:p>
    <w:p>
      <w:pPr>
        <w:spacing w:after="0" w:line="360" w:lineRule="exact"/>
        <w:rPr>
          <w:sz w:val="20"/>
          <w:szCs w:val="20"/>
          <w:color w:val="auto"/>
        </w:rPr>
      </w:pPr>
    </w:p>
    <w:p>
      <w:pPr>
        <w:jc w:val="both"/>
        <w:ind w:left="8" w:hanging="8"/>
        <w:spacing w:after="0" w:line="354" w:lineRule="auto"/>
        <w:tabs>
          <w:tab w:leader="none" w:pos="490" w:val="left"/>
        </w:tabs>
        <w:numPr>
          <w:ilvl w:val="0"/>
          <w:numId w:val="41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shall, in addition to the disclosures required under the Companies Act, 2013 or any other applicable law, disclose the following in the explanatory statement to the notice for the general meeting proposed for passing the special resolution:</w:t>
      </w:r>
    </w:p>
    <w:p>
      <w:pPr>
        <w:spacing w:after="0" w:line="7" w:lineRule="exact"/>
        <w:rPr>
          <w:sz w:val="20"/>
          <w:szCs w:val="20"/>
          <w:color w:val="auto"/>
        </w:rPr>
      </w:pPr>
    </w:p>
    <w:p>
      <w:pPr>
        <w:ind w:left="548" w:hanging="512"/>
        <w:spacing w:after="0"/>
        <w:tabs>
          <w:tab w:leader="none" w:pos="548" w:val="left"/>
        </w:tabs>
        <w:numPr>
          <w:ilvl w:val="0"/>
          <w:numId w:val="4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objects of the preferential issue;</w:t>
      </w:r>
    </w:p>
    <w:p>
      <w:pPr>
        <w:spacing w:after="0" w:line="139" w:lineRule="exact"/>
        <w:rPr>
          <w:rFonts w:ascii="Times New Roman" w:cs="Times New Roman" w:eastAsia="Times New Roman" w:hAnsi="Times New Roman"/>
          <w:sz w:val="24"/>
          <w:szCs w:val="24"/>
          <w:color w:val="auto"/>
        </w:rPr>
      </w:pPr>
    </w:p>
    <w:p>
      <w:pPr>
        <w:ind w:left="548" w:hanging="512"/>
        <w:spacing w:after="0"/>
        <w:tabs>
          <w:tab w:leader="none" w:pos="548" w:val="left"/>
        </w:tabs>
        <w:numPr>
          <w:ilvl w:val="0"/>
          <w:numId w:val="4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maximum number of specified securities to be issued;</w:t>
      </w:r>
    </w:p>
    <w:p>
      <w:pPr>
        <w:spacing w:after="0" w:line="149" w:lineRule="exact"/>
        <w:rPr>
          <w:rFonts w:ascii="Times New Roman" w:cs="Times New Roman" w:eastAsia="Times New Roman" w:hAnsi="Times New Roman"/>
          <w:sz w:val="24"/>
          <w:szCs w:val="24"/>
          <w:color w:val="auto"/>
        </w:rPr>
      </w:pPr>
    </w:p>
    <w:p>
      <w:pPr>
        <w:ind w:left="548" w:hanging="512"/>
        <w:spacing w:after="0" w:line="350" w:lineRule="auto"/>
        <w:tabs>
          <w:tab w:leader="none" w:pos="548" w:val="left"/>
        </w:tabs>
        <w:numPr>
          <w:ilvl w:val="0"/>
          <w:numId w:val="4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intent of the promoters, directors or key managerial personnel of the issuer to subscribe to the offer;</w:t>
      </w:r>
    </w:p>
    <w:p>
      <w:pPr>
        <w:spacing w:after="0" w:line="11" w:lineRule="exact"/>
        <w:rPr>
          <w:rFonts w:ascii="Times New Roman" w:cs="Times New Roman" w:eastAsia="Times New Roman" w:hAnsi="Times New Roman"/>
          <w:sz w:val="24"/>
          <w:szCs w:val="24"/>
          <w:color w:val="auto"/>
        </w:rPr>
      </w:pPr>
    </w:p>
    <w:p>
      <w:pPr>
        <w:ind w:left="548" w:hanging="512"/>
        <w:spacing w:after="0"/>
        <w:tabs>
          <w:tab w:leader="none" w:pos="548" w:val="left"/>
        </w:tabs>
        <w:numPr>
          <w:ilvl w:val="0"/>
          <w:numId w:val="4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shareholding pattern of the issuer before and after the preferential issue;</w:t>
      </w:r>
    </w:p>
    <w:p>
      <w:pPr>
        <w:spacing w:after="0" w:line="139" w:lineRule="exact"/>
        <w:rPr>
          <w:rFonts w:ascii="Times New Roman" w:cs="Times New Roman" w:eastAsia="Times New Roman" w:hAnsi="Times New Roman"/>
          <w:sz w:val="24"/>
          <w:szCs w:val="24"/>
          <w:color w:val="auto"/>
        </w:rPr>
      </w:pPr>
    </w:p>
    <w:p>
      <w:pPr>
        <w:ind w:left="548" w:hanging="512"/>
        <w:spacing w:after="0"/>
        <w:tabs>
          <w:tab w:leader="none" w:pos="548" w:val="left"/>
        </w:tabs>
        <w:numPr>
          <w:ilvl w:val="0"/>
          <w:numId w:val="4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time frame within which the preferential issue shall be completed;</w:t>
      </w:r>
    </w:p>
    <w:p>
      <w:pPr>
        <w:spacing w:after="0" w:line="149" w:lineRule="exact"/>
        <w:rPr>
          <w:rFonts w:ascii="Times New Roman" w:cs="Times New Roman" w:eastAsia="Times New Roman" w:hAnsi="Times New Roman"/>
          <w:sz w:val="24"/>
          <w:szCs w:val="24"/>
          <w:color w:val="auto"/>
        </w:rPr>
      </w:pPr>
    </w:p>
    <w:p>
      <w:pPr>
        <w:jc w:val="both"/>
        <w:ind w:left="548" w:hanging="512"/>
        <w:spacing w:after="0" w:line="356" w:lineRule="auto"/>
        <w:tabs>
          <w:tab w:leader="none" w:pos="548" w:val="left"/>
        </w:tabs>
        <w:numPr>
          <w:ilvl w:val="0"/>
          <w:numId w:val="4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identity of the natural persons who are the ultimate beneficial owners of the shares proposed to be allotted and/or who ultimately control the proposed allottees, the percentage of post preferential issue capital that may be held by them and change in control, if any, in the issuer consequent to the preferential issue:</w:t>
      </w:r>
    </w:p>
    <w:p>
      <w:pPr>
        <w:spacing w:after="0" w:line="18" w:lineRule="exact"/>
        <w:rPr>
          <w:rFonts w:ascii="Times New Roman" w:cs="Times New Roman" w:eastAsia="Times New Roman" w:hAnsi="Times New Roman"/>
          <w:sz w:val="24"/>
          <w:szCs w:val="24"/>
          <w:color w:val="auto"/>
        </w:rPr>
      </w:pPr>
    </w:p>
    <w:p>
      <w:pPr>
        <w:jc w:val="both"/>
        <w:ind w:left="548"/>
        <w:spacing w:after="0" w:line="356"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if there is any listed company, mutual fund, scheduled commercial bank, insurance company registered with the Insurance Regulatory and Development Authority of India in the chain of ownership of the proposed allottee, no further disclosure will be necessary.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101</w:t>
      </w:r>
    </w:p>
    <w:p>
      <w:pPr>
        <w:sectPr>
          <w:pgSz w:w="11900" w:h="16836" w:orient="portrait"/>
          <w:cols w:equalWidth="0" w:num="1">
            <w:col w:w="9468"/>
          </w:cols>
          <w:pgMar w:left="1152" w:top="1156" w:right="1284" w:bottom="103" w:gutter="0" w:footer="0" w:header="0"/>
        </w:sectPr>
      </w:pPr>
    </w:p>
    <w:bookmarkStart w:id="101" w:name="page102"/>
    <w:bookmarkEnd w:id="101"/>
    <w:p>
      <w:pPr>
        <w:jc w:val="both"/>
        <w:ind w:left="548"/>
        <w:spacing w:after="0" w:line="375" w:lineRule="auto"/>
        <w:rPr>
          <w:sz w:val="20"/>
          <w:szCs w:val="20"/>
          <w:color w:val="auto"/>
        </w:rPr>
      </w:pPr>
      <w:r>
        <w:rPr>
          <w:rFonts w:ascii="Times New Roman" w:cs="Times New Roman" w:eastAsia="Times New Roman" w:hAnsi="Times New Roman"/>
          <w:sz w:val="23"/>
          <w:szCs w:val="23"/>
          <w:b w:val="1"/>
          <w:bCs w:val="1"/>
          <w:color w:val="auto"/>
        </w:rPr>
        <w:t>Explanation</w:t>
      </w:r>
      <w:r>
        <w:rPr>
          <w:rFonts w:ascii="Times New Roman" w:cs="Times New Roman" w:eastAsia="Times New Roman" w:hAnsi="Times New Roman"/>
          <w:sz w:val="23"/>
          <w:szCs w:val="23"/>
          <w:color w:val="auto"/>
        </w:rPr>
        <w:t>: For the purpose of identification of the ultimate beneficial owners of the</w:t>
      </w:r>
      <w:r>
        <w:rPr>
          <w:rFonts w:ascii="Times New Roman" w:cs="Times New Roman" w:eastAsia="Times New Roman" w:hAnsi="Times New Roman"/>
          <w:sz w:val="23"/>
          <w:szCs w:val="23"/>
          <w:b w:val="1"/>
          <w:bCs w:val="1"/>
          <w:color w:val="auto"/>
        </w:rPr>
        <w:t xml:space="preserve"> </w:t>
      </w:r>
      <w:r>
        <w:rPr>
          <w:rFonts w:ascii="Times New Roman" w:cs="Times New Roman" w:eastAsia="Times New Roman" w:hAnsi="Times New Roman"/>
          <w:sz w:val="23"/>
          <w:szCs w:val="23"/>
          <w:color w:val="auto"/>
        </w:rPr>
        <w:t>allottees, where the allottees are institutions/entities, the identification of such ultimate beneficial owners, shall be in accordance with the guidelines prescribed by the Board, if any.</w:t>
      </w:r>
    </w:p>
    <w:p>
      <w:pPr>
        <w:spacing w:after="0" w:line="1" w:lineRule="exact"/>
        <w:rPr>
          <w:sz w:val="20"/>
          <w:szCs w:val="20"/>
          <w:color w:val="auto"/>
        </w:rPr>
      </w:pPr>
    </w:p>
    <w:p>
      <w:pPr>
        <w:ind w:left="548" w:hanging="512"/>
        <w:spacing w:after="0" w:line="350" w:lineRule="auto"/>
        <w:tabs>
          <w:tab w:leader="none" w:pos="608" w:val="left"/>
        </w:tabs>
        <w:numPr>
          <w:ilvl w:val="1"/>
          <w:numId w:val="4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undertaking that the issuer shall re-compute the price of the specified securities in terms of the provision of these regulations where it is required to do so;</w:t>
      </w:r>
    </w:p>
    <w:p>
      <w:pPr>
        <w:spacing w:after="0" w:line="23" w:lineRule="exact"/>
        <w:rPr>
          <w:rFonts w:ascii="Times New Roman" w:cs="Times New Roman" w:eastAsia="Times New Roman" w:hAnsi="Times New Roman"/>
          <w:sz w:val="24"/>
          <w:szCs w:val="24"/>
          <w:color w:val="auto"/>
        </w:rPr>
      </w:pPr>
    </w:p>
    <w:p>
      <w:pPr>
        <w:jc w:val="both"/>
        <w:ind w:left="548" w:hanging="512"/>
        <w:spacing w:after="0" w:line="354" w:lineRule="auto"/>
        <w:tabs>
          <w:tab w:leader="none" w:pos="608" w:val="left"/>
        </w:tabs>
        <w:numPr>
          <w:ilvl w:val="1"/>
          <w:numId w:val="4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undertaking that if the amount payable on account of the re-computation of price is not paid within the time stipulated in these regulations, the specified securities shall continue to be locked- in till the time such amount is paid by the allottees.</w:t>
      </w:r>
    </w:p>
    <w:p>
      <w:pPr>
        <w:spacing w:after="0" w:line="22" w:lineRule="exact"/>
        <w:rPr>
          <w:rFonts w:ascii="Times New Roman" w:cs="Times New Roman" w:eastAsia="Times New Roman" w:hAnsi="Times New Roman"/>
          <w:sz w:val="24"/>
          <w:szCs w:val="24"/>
          <w:color w:val="auto"/>
        </w:rPr>
      </w:pPr>
    </w:p>
    <w:p>
      <w:pPr>
        <w:ind w:left="548" w:hanging="512"/>
        <w:spacing w:after="0" w:line="348" w:lineRule="auto"/>
        <w:tabs>
          <w:tab w:leader="none" w:pos="608" w:val="left"/>
        </w:tabs>
        <w:numPr>
          <w:ilvl w:val="1"/>
          <w:numId w:val="4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disclosures specified in </w:t>
      </w:r>
      <w:r>
        <w:rPr>
          <w:rFonts w:ascii="Times New Roman" w:cs="Times New Roman" w:eastAsia="Times New Roman" w:hAnsi="Times New Roman"/>
          <w:sz w:val="24"/>
          <w:szCs w:val="24"/>
          <w:b w:val="1"/>
          <w:bCs w:val="1"/>
          <w:color w:val="auto"/>
        </w:rPr>
        <w:t>Schedule VI</w:t>
      </w:r>
      <w:r>
        <w:rPr>
          <w:rFonts w:ascii="Times New Roman" w:cs="Times New Roman" w:eastAsia="Times New Roman" w:hAnsi="Times New Roman"/>
          <w:sz w:val="24"/>
          <w:szCs w:val="24"/>
          <w:color w:val="auto"/>
        </w:rPr>
        <w:t>, if the issuer or any of its promoters or directors is a wilful defaulter.</w:t>
      </w:r>
    </w:p>
    <w:p>
      <w:pPr>
        <w:spacing w:after="0" w:line="27"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368" w:val="left"/>
        </w:tabs>
        <w:numPr>
          <w:ilvl w:val="0"/>
          <w:numId w:val="41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place a copy of the certificate of its statutory auditors before the general meeting of the shareholders considering the proposed preferential issue, certifying that the issue is being made in accordance with the requirements of these regulations.</w:t>
      </w:r>
    </w:p>
    <w:p>
      <w:pPr>
        <w:spacing w:after="0" w:line="19" w:lineRule="exact"/>
        <w:rPr>
          <w:rFonts w:ascii="Times New Roman" w:cs="Times New Roman" w:eastAsia="Times New Roman" w:hAnsi="Times New Roman"/>
          <w:sz w:val="24"/>
          <w:szCs w:val="24"/>
          <w:color w:val="auto"/>
        </w:rPr>
      </w:pPr>
    </w:p>
    <w:p>
      <w:pPr>
        <w:jc w:val="both"/>
        <w:ind w:left="8" w:hanging="8"/>
        <w:spacing w:after="0" w:line="356" w:lineRule="auto"/>
        <w:tabs>
          <w:tab w:leader="none" w:pos="368" w:val="left"/>
        </w:tabs>
        <w:numPr>
          <w:ilvl w:val="0"/>
          <w:numId w:val="41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Where the specified securities are issued on a preferential basis for consideration other than cash, the valuation of the assets in consideration for which the equity shares are issued shall be done by an independent valuer, which shall be submitted to the stock exchanges where the equity shares of the issuer are listed:</w:t>
      </w:r>
    </w:p>
    <w:p>
      <w:pPr>
        <w:spacing w:after="0" w:line="18" w:lineRule="exact"/>
        <w:rPr>
          <w:rFonts w:ascii="Times New Roman" w:cs="Times New Roman" w:eastAsia="Times New Roman" w:hAnsi="Times New Roman"/>
          <w:sz w:val="24"/>
          <w:szCs w:val="24"/>
          <w:color w:val="auto"/>
        </w:rPr>
      </w:pPr>
    </w:p>
    <w:p>
      <w:pPr>
        <w:jc w:val="both"/>
        <w:ind w:left="8"/>
        <w:spacing w:after="0" w:line="35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if the stock exchange(s) is not satisfied with the appropriateness of the valuation, it may get the valuation done by any other valuer and for this purpose it may seek any information, as deemed necessary, from the issuer.</w:t>
      </w:r>
    </w:p>
    <w:p>
      <w:pPr>
        <w:spacing w:after="0" w:line="22" w:lineRule="exact"/>
        <w:rPr>
          <w:rFonts w:ascii="Times New Roman" w:cs="Times New Roman" w:eastAsia="Times New Roman" w:hAnsi="Times New Roman"/>
          <w:sz w:val="24"/>
          <w:szCs w:val="24"/>
          <w:color w:val="auto"/>
        </w:rPr>
      </w:pPr>
    </w:p>
    <w:p>
      <w:pPr>
        <w:ind w:left="8" w:hanging="8"/>
        <w:spacing w:after="0" w:line="348" w:lineRule="auto"/>
        <w:tabs>
          <w:tab w:leader="none" w:pos="368" w:val="left"/>
        </w:tabs>
        <w:numPr>
          <w:ilvl w:val="0"/>
          <w:numId w:val="41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special resolution shall specify the relevant date on the basis of which price of the equity shares to be allotted on conversion or exchange of convertible securities shall be calculated.</w:t>
      </w:r>
    </w:p>
    <w:p>
      <w:pPr>
        <w:spacing w:after="0" w:line="200" w:lineRule="exact"/>
        <w:rPr>
          <w:sz w:val="20"/>
          <w:szCs w:val="20"/>
          <w:color w:val="auto"/>
        </w:rPr>
      </w:pPr>
    </w:p>
    <w:p>
      <w:pPr>
        <w:spacing w:after="0" w:line="234"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IV: PRICING</w:t>
      </w:r>
    </w:p>
    <w:p>
      <w:pPr>
        <w:spacing w:after="0" w:line="200" w:lineRule="exact"/>
        <w:rPr>
          <w:sz w:val="20"/>
          <w:szCs w:val="20"/>
          <w:color w:val="auto"/>
        </w:rPr>
      </w:pPr>
    </w:p>
    <w:p>
      <w:pPr>
        <w:spacing w:after="0" w:line="35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Pricing of frequently traded shares</w:t>
      </w:r>
    </w:p>
    <w:p>
      <w:pPr>
        <w:spacing w:after="0" w:line="147" w:lineRule="exact"/>
        <w:rPr>
          <w:sz w:val="20"/>
          <w:szCs w:val="20"/>
          <w:color w:val="auto"/>
        </w:rPr>
      </w:pPr>
    </w:p>
    <w:p>
      <w:pPr>
        <w:jc w:val="both"/>
        <w:ind w:left="8" w:hanging="8"/>
        <w:spacing w:after="0" w:line="354" w:lineRule="auto"/>
        <w:tabs>
          <w:tab w:leader="none" w:pos="504" w:val="left"/>
        </w:tabs>
        <w:numPr>
          <w:ilvl w:val="0"/>
          <w:numId w:val="42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If the equity shares of the issuer have been listed on a recognised stock exchange for a period of twenty six weeks or more as on the relevant date, the price of the equity shares to be allotted pursuant to the preferential issue shall be not less than higher of the following:</w:t>
      </w:r>
    </w:p>
    <w:p>
      <w:pPr>
        <w:spacing w:after="0" w:line="20" w:lineRule="exact"/>
        <w:rPr>
          <w:sz w:val="20"/>
          <w:szCs w:val="20"/>
          <w:color w:val="auto"/>
        </w:rPr>
      </w:pPr>
    </w:p>
    <w:p>
      <w:pPr>
        <w:jc w:val="both"/>
        <w:ind w:left="368" w:hanging="368"/>
        <w:spacing w:after="0" w:line="354" w:lineRule="auto"/>
        <w:tabs>
          <w:tab w:leader="none" w:pos="368" w:val="left"/>
        </w:tabs>
        <w:numPr>
          <w:ilvl w:val="0"/>
          <w:numId w:val="4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average of the weekly high and low of the volume weighted average price of the related equity shares quoted on the recognised stock exchange during the twenty six weeks preceding the relevant date; or</w:t>
      </w:r>
    </w:p>
    <w:p>
      <w:pPr>
        <w:spacing w:after="0" w:line="22" w:lineRule="exact"/>
        <w:rPr>
          <w:rFonts w:ascii="Times New Roman" w:cs="Times New Roman" w:eastAsia="Times New Roman" w:hAnsi="Times New Roman"/>
          <w:sz w:val="24"/>
          <w:szCs w:val="24"/>
          <w:color w:val="auto"/>
        </w:rPr>
      </w:pPr>
    </w:p>
    <w:p>
      <w:pPr>
        <w:jc w:val="both"/>
        <w:ind w:left="368" w:hanging="368"/>
        <w:spacing w:after="0" w:line="354" w:lineRule="auto"/>
        <w:tabs>
          <w:tab w:leader="none" w:pos="368" w:val="left"/>
        </w:tabs>
        <w:numPr>
          <w:ilvl w:val="0"/>
          <w:numId w:val="4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average of the weekly high and low of the volume weighted average prices of the related equity shares quoted on a recognised stock exchange during the two weeks preceding the relevant date.</w:t>
      </w:r>
    </w:p>
    <w:p>
      <w:pPr>
        <w:spacing w:after="0" w:line="264"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102</w:t>
      </w:r>
    </w:p>
    <w:p>
      <w:pPr>
        <w:sectPr>
          <w:pgSz w:w="11900" w:h="16836" w:orient="portrait"/>
          <w:cols w:equalWidth="0" w:num="1">
            <w:col w:w="9468"/>
          </w:cols>
          <w:pgMar w:left="1152" w:top="1156" w:right="1284" w:bottom="103" w:gutter="0" w:footer="0" w:header="0"/>
        </w:sectPr>
      </w:pPr>
    </w:p>
    <w:bookmarkStart w:id="102" w:name="page103"/>
    <w:bookmarkEnd w:id="102"/>
    <w:p>
      <w:pPr>
        <w:jc w:val="both"/>
        <w:ind w:left="8" w:hanging="8"/>
        <w:spacing w:after="0" w:line="354" w:lineRule="auto"/>
        <w:tabs>
          <w:tab w:leader="none" w:pos="440" w:val="left"/>
        </w:tabs>
        <w:numPr>
          <w:ilvl w:val="0"/>
          <w:numId w:val="4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equity shares of the issuer have been listed on a recognised stock exchange for a period of less than twenty six weeks as on the relevant date, the price of the equity shares to be allotted pursuant to the preferential issue shall be not less than the higher of the following:</w:t>
      </w:r>
    </w:p>
    <w:p>
      <w:pPr>
        <w:spacing w:after="0" w:line="20" w:lineRule="exact"/>
        <w:rPr>
          <w:sz w:val="20"/>
          <w:szCs w:val="20"/>
          <w:color w:val="auto"/>
        </w:rPr>
      </w:pPr>
    </w:p>
    <w:p>
      <w:pPr>
        <w:jc w:val="both"/>
        <w:ind w:left="368" w:hanging="368"/>
        <w:spacing w:after="0" w:line="357" w:lineRule="auto"/>
        <w:tabs>
          <w:tab w:leader="none" w:pos="368" w:val="left"/>
        </w:tabs>
        <w:numPr>
          <w:ilvl w:val="0"/>
          <w:numId w:val="4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price at which equity shares were issued by the issuer in its initial public offer or the value per share arrived at in a scheme of compromise, arrangement and amalgamation under sections 391 to 394 of the Companies Act, 1956 or sections 230 to 234 the Companies Act, 2013, as applicable, pursuant to which the equity shares of the issuer were listed, as the case may be; or</w:t>
      </w:r>
    </w:p>
    <w:p>
      <w:pPr>
        <w:spacing w:after="0" w:line="19" w:lineRule="exact"/>
        <w:rPr>
          <w:rFonts w:ascii="Times New Roman" w:cs="Times New Roman" w:eastAsia="Times New Roman" w:hAnsi="Times New Roman"/>
          <w:sz w:val="24"/>
          <w:szCs w:val="24"/>
          <w:color w:val="auto"/>
        </w:rPr>
      </w:pPr>
    </w:p>
    <w:p>
      <w:pPr>
        <w:jc w:val="both"/>
        <w:ind w:left="368" w:hanging="368"/>
        <w:spacing w:after="0" w:line="354" w:lineRule="auto"/>
        <w:tabs>
          <w:tab w:leader="none" w:pos="368" w:val="left"/>
        </w:tabs>
        <w:numPr>
          <w:ilvl w:val="0"/>
          <w:numId w:val="4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average of the weekly high and low of the volume weighted average prices of the related equity shares quoted on the recognised stock exchange during the period the equity shares have been listed preceding the relevant date; or</w:t>
      </w:r>
    </w:p>
    <w:p>
      <w:pPr>
        <w:spacing w:after="0" w:line="7" w:lineRule="exact"/>
        <w:rPr>
          <w:rFonts w:ascii="Times New Roman" w:cs="Times New Roman" w:eastAsia="Times New Roman" w:hAnsi="Times New Roman"/>
          <w:sz w:val="24"/>
          <w:szCs w:val="24"/>
          <w:color w:val="auto"/>
        </w:rPr>
      </w:pPr>
    </w:p>
    <w:p>
      <w:pPr>
        <w:ind w:left="368" w:hanging="368"/>
        <w:spacing w:after="0"/>
        <w:tabs>
          <w:tab w:leader="none" w:pos="368" w:val="left"/>
        </w:tabs>
        <w:numPr>
          <w:ilvl w:val="0"/>
          <w:numId w:val="4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average of the weekly high and low of the volume weighted average prices of the related</w:t>
      </w:r>
    </w:p>
    <w:p>
      <w:pPr>
        <w:spacing w:after="0" w:line="151" w:lineRule="exact"/>
        <w:rPr>
          <w:sz w:val="20"/>
          <w:szCs w:val="20"/>
          <w:color w:val="auto"/>
        </w:rPr>
      </w:pPr>
    </w:p>
    <w:p>
      <w:pPr>
        <w:ind w:left="368"/>
        <w:spacing w:after="0" w:line="348" w:lineRule="auto"/>
        <w:rPr>
          <w:sz w:val="20"/>
          <w:szCs w:val="20"/>
          <w:color w:val="auto"/>
        </w:rPr>
      </w:pPr>
      <w:r>
        <w:rPr>
          <w:rFonts w:ascii="Times New Roman" w:cs="Times New Roman" w:eastAsia="Times New Roman" w:hAnsi="Times New Roman"/>
          <w:sz w:val="24"/>
          <w:szCs w:val="24"/>
          <w:color w:val="auto"/>
        </w:rPr>
        <w:t>equity shares quoted on a recognised stock exchange during the two weeks preceding the relevant date.</w:t>
      </w:r>
    </w:p>
    <w:p>
      <w:pPr>
        <w:spacing w:after="0" w:line="28" w:lineRule="exact"/>
        <w:rPr>
          <w:sz w:val="20"/>
          <w:szCs w:val="20"/>
          <w:color w:val="auto"/>
        </w:rPr>
      </w:pPr>
    </w:p>
    <w:p>
      <w:pPr>
        <w:jc w:val="both"/>
        <w:ind w:left="8" w:hanging="8"/>
        <w:spacing w:after="0" w:line="357" w:lineRule="auto"/>
        <w:tabs>
          <w:tab w:leader="none" w:pos="440" w:val="left"/>
        </w:tabs>
        <w:numPr>
          <w:ilvl w:val="0"/>
          <w:numId w:val="42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Where the price of the equity shares is determined in terms of sub-regulation (2), such price shall be recomputed by the issuer on completion of twenty six weeks from the date of listing on a recognised stock exchange with reference to the average of the weekly high and low of the volume weighted average prices of the related equity shares quoted on the recognised stock exchange during these twenty six weeks and if such recomputed price is higher than the price paid on allotment, the difference shall be paid by the allottees to the issuer.</w:t>
      </w:r>
    </w:p>
    <w:p>
      <w:pPr>
        <w:spacing w:after="0" w:line="21" w:lineRule="exact"/>
        <w:rPr>
          <w:rFonts w:ascii="Times New Roman" w:cs="Times New Roman" w:eastAsia="Times New Roman" w:hAnsi="Times New Roman"/>
          <w:sz w:val="24"/>
          <w:szCs w:val="24"/>
          <w:color w:val="auto"/>
        </w:rPr>
      </w:pPr>
    </w:p>
    <w:p>
      <w:pPr>
        <w:jc w:val="both"/>
        <w:ind w:left="8" w:hanging="8"/>
        <w:spacing w:after="0" w:line="356" w:lineRule="auto"/>
        <w:tabs>
          <w:tab w:leader="none" w:pos="416" w:val="left"/>
        </w:tabs>
        <w:numPr>
          <w:ilvl w:val="0"/>
          <w:numId w:val="42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preferential issue of specified securities to qualified institutional buyers, not exceeding five in number, shall be made at a price not less than the average of the weekly high and low of the volume weighted average prices of the related equity shares quoted on a recognised stock exchange during the two weeks preceding the relevant date.</w:t>
      </w:r>
    </w:p>
    <w:p>
      <w:pPr>
        <w:spacing w:after="0" w:line="6" w:lineRule="exact"/>
        <w:rPr>
          <w:rFonts w:ascii="Times New Roman" w:cs="Times New Roman" w:eastAsia="Times New Roman" w:hAnsi="Times New Roman"/>
          <w:sz w:val="24"/>
          <w:szCs w:val="24"/>
          <w:color w:val="auto"/>
        </w:rPr>
      </w:pPr>
    </w:p>
    <w:p>
      <w:pPr>
        <w:ind w:left="368" w:hanging="368"/>
        <w:spacing w:after="0"/>
        <w:tabs>
          <w:tab w:leader="none" w:pos="368" w:val="left"/>
        </w:tabs>
        <w:numPr>
          <w:ilvl w:val="0"/>
          <w:numId w:val="42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For the purpose of this Chapter, “frequently traded shares” means the shares of the issuer, in</w:t>
      </w:r>
    </w:p>
    <w:p>
      <w:pPr>
        <w:spacing w:after="0" w:line="149" w:lineRule="exact"/>
        <w:rPr>
          <w:sz w:val="20"/>
          <w:szCs w:val="20"/>
          <w:color w:val="auto"/>
        </w:rPr>
      </w:pPr>
    </w:p>
    <w:p>
      <w:pPr>
        <w:jc w:val="both"/>
        <w:ind w:left="8"/>
        <w:spacing w:after="0" w:line="354" w:lineRule="auto"/>
        <w:rPr>
          <w:sz w:val="20"/>
          <w:szCs w:val="20"/>
          <w:color w:val="auto"/>
        </w:rPr>
      </w:pPr>
      <w:r>
        <w:rPr>
          <w:rFonts w:ascii="Times New Roman" w:cs="Times New Roman" w:eastAsia="Times New Roman" w:hAnsi="Times New Roman"/>
          <w:sz w:val="24"/>
          <w:szCs w:val="24"/>
          <w:color w:val="auto"/>
        </w:rPr>
        <w:t>which the traded turnover on any recognised stock exchange during the twelve calendar months preceding the relevant date, is at least ten per cent of the total number of shares of such class of shares of the issuer:</w:t>
      </w:r>
    </w:p>
    <w:p>
      <w:pPr>
        <w:spacing w:after="0" w:line="22" w:lineRule="exact"/>
        <w:rPr>
          <w:sz w:val="20"/>
          <w:szCs w:val="20"/>
          <w:color w:val="auto"/>
        </w:rPr>
      </w:pPr>
    </w:p>
    <w:p>
      <w:pPr>
        <w:jc w:val="both"/>
        <w:ind w:left="8"/>
        <w:spacing w:after="0" w:line="354" w:lineRule="auto"/>
        <w:rPr>
          <w:sz w:val="20"/>
          <w:szCs w:val="20"/>
          <w:color w:val="auto"/>
        </w:rPr>
      </w:pPr>
      <w:r>
        <w:rPr>
          <w:rFonts w:ascii="Times New Roman" w:cs="Times New Roman" w:eastAsia="Times New Roman" w:hAnsi="Times New Roman"/>
          <w:sz w:val="24"/>
          <w:szCs w:val="24"/>
          <w:color w:val="auto"/>
        </w:rPr>
        <w:t>Provided that where the share capital of a particular class of shares of the issuer is not identical throughout such period, the weighted average number of total shares of such class of the issuer shall represent the total number of shares.</w:t>
      </w:r>
    </w:p>
    <w:p>
      <w:pPr>
        <w:spacing w:after="0" w:line="20" w:lineRule="exact"/>
        <w:rPr>
          <w:sz w:val="20"/>
          <w:szCs w:val="20"/>
          <w:color w:val="auto"/>
        </w:rPr>
      </w:pPr>
    </w:p>
    <w:p>
      <w:pPr>
        <w:jc w:val="both"/>
        <w:ind w:left="8"/>
        <w:spacing w:after="0" w:line="356" w:lineRule="auto"/>
        <w:rPr>
          <w:sz w:val="20"/>
          <w:szCs w:val="20"/>
          <w:color w:val="auto"/>
        </w:rPr>
      </w:pPr>
      <w:r>
        <w:rPr>
          <w:rFonts w:ascii="Times New Roman" w:cs="Times New Roman" w:eastAsia="Times New Roman" w:hAnsi="Times New Roman"/>
          <w:sz w:val="24"/>
          <w:szCs w:val="24"/>
          <w:b w:val="1"/>
          <w:bCs w:val="1"/>
          <w:color w:val="auto"/>
        </w:rPr>
        <w:t>Explanation</w:t>
      </w:r>
      <w:r>
        <w:rPr>
          <w:rFonts w:ascii="Times New Roman" w:cs="Times New Roman" w:eastAsia="Times New Roman" w:hAnsi="Times New Roman"/>
          <w:sz w:val="24"/>
          <w:szCs w:val="24"/>
          <w:color w:val="auto"/>
        </w:rPr>
        <w:t>: For the purpose of this regulation, ‘stock exchange’ means any of the recognised</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stock exchange(s) in which the equity shares of the issuer are listed and in which the highest trading volume in respect of the equity shares of the issuer has been recorded during the preceding twenty six weeks prior to the relevant date.</w:t>
      </w:r>
    </w:p>
    <w:p>
      <w:pPr>
        <w:spacing w:after="0" w:line="263"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103</w:t>
      </w:r>
    </w:p>
    <w:p>
      <w:pPr>
        <w:sectPr>
          <w:pgSz w:w="11900" w:h="16836" w:orient="portrait"/>
          <w:cols w:equalWidth="0" w:num="1">
            <w:col w:w="9468"/>
          </w:cols>
          <w:pgMar w:left="1152" w:top="1156" w:right="1284" w:bottom="103" w:gutter="0" w:footer="0" w:header="0"/>
        </w:sectPr>
      </w:pPr>
    </w:p>
    <w:bookmarkStart w:id="103" w:name="page104"/>
    <w:bookmarkEnd w:id="103"/>
    <w:p>
      <w:pPr>
        <w:ind w:left="8"/>
        <w:spacing w:after="0"/>
        <w:rPr>
          <w:sz w:val="20"/>
          <w:szCs w:val="20"/>
          <w:color w:val="auto"/>
        </w:rPr>
      </w:pPr>
      <w:r>
        <w:rPr>
          <w:rFonts w:ascii="Times New Roman" w:cs="Times New Roman" w:eastAsia="Times New Roman" w:hAnsi="Times New Roman"/>
          <w:sz w:val="32"/>
          <w:szCs w:val="32"/>
          <w:color w:val="auto"/>
          <w:vertAlign w:val="superscript"/>
        </w:rPr>
        <w:t>69</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b w:val="1"/>
          <w:bCs w:val="1"/>
          <w:color w:val="auto"/>
        </w:rPr>
        <w:t>Pricing in preferential issue of shares of companies having stressed assets</w:t>
      </w:r>
    </w:p>
    <w:p>
      <w:pPr>
        <w:spacing w:after="0" w:line="65" w:lineRule="exact"/>
        <w:rPr>
          <w:sz w:val="20"/>
          <w:szCs w:val="20"/>
          <w:color w:val="auto"/>
        </w:rPr>
      </w:pPr>
    </w:p>
    <w:p>
      <w:pPr>
        <w:jc w:val="both"/>
        <w:ind w:left="8"/>
        <w:spacing w:after="0" w:line="356" w:lineRule="auto"/>
        <w:rPr>
          <w:sz w:val="20"/>
          <w:szCs w:val="20"/>
          <w:color w:val="auto"/>
        </w:rPr>
      </w:pPr>
      <w:r>
        <w:rPr>
          <w:rFonts w:ascii="Times New Roman" w:cs="Times New Roman" w:eastAsia="Times New Roman" w:hAnsi="Times New Roman"/>
          <w:sz w:val="24"/>
          <w:szCs w:val="24"/>
          <w:b w:val="1"/>
          <w:bCs w:val="1"/>
          <w:color w:val="auto"/>
        </w:rPr>
        <w:t>164A</w:t>
      </w:r>
      <w:r>
        <w:rPr>
          <w:rFonts w:ascii="Times New Roman" w:cs="Times New Roman" w:eastAsia="Times New Roman" w:hAnsi="Times New Roman"/>
          <w:sz w:val="24"/>
          <w:szCs w:val="24"/>
          <w:color w:val="auto"/>
        </w:rPr>
        <w:t>. (1) In case of frequently traded shares, the price of the equity shares to be allotted pursuant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to the preferential issue shall not be less than the average of the weekly high and low of the volume weighted average price of the related equity shares quoted on a recognised stock exchange during the two weeks preceding the relevant date.</w:t>
      </w:r>
    </w:p>
    <w:p>
      <w:pPr>
        <w:spacing w:after="0" w:line="6" w:lineRule="exact"/>
        <w:rPr>
          <w:sz w:val="20"/>
          <w:szCs w:val="20"/>
          <w:color w:val="auto"/>
        </w:rPr>
      </w:pPr>
    </w:p>
    <w:p>
      <w:pPr>
        <w:ind w:left="428" w:hanging="428"/>
        <w:spacing w:after="0"/>
        <w:tabs>
          <w:tab w:leader="none" w:pos="428" w:val="left"/>
        </w:tabs>
        <w:numPr>
          <w:ilvl w:val="0"/>
          <w:numId w:val="42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No allotment of equity shares shall be made unless the issuer company meets any two of the</w:t>
      </w:r>
    </w:p>
    <w:p>
      <w:pPr>
        <w:spacing w:after="0" w:line="151" w:lineRule="exact"/>
        <w:rPr>
          <w:rFonts w:ascii="Times New Roman" w:cs="Times New Roman" w:eastAsia="Times New Roman" w:hAnsi="Times New Roman"/>
          <w:sz w:val="24"/>
          <w:szCs w:val="24"/>
          <w:color w:val="auto"/>
        </w:rPr>
      </w:pPr>
    </w:p>
    <w:p>
      <w:pPr>
        <w:ind w:left="8"/>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following criteria:</w:t>
      </w:r>
    </w:p>
    <w:p>
      <w:pPr>
        <w:spacing w:after="0" w:line="200" w:lineRule="exact"/>
        <w:rPr>
          <w:sz w:val="20"/>
          <w:szCs w:val="20"/>
          <w:color w:val="auto"/>
        </w:rPr>
      </w:pPr>
    </w:p>
    <w:p>
      <w:pPr>
        <w:spacing w:after="0" w:line="364" w:lineRule="exact"/>
        <w:rPr>
          <w:sz w:val="20"/>
          <w:szCs w:val="20"/>
          <w:color w:val="auto"/>
        </w:rPr>
      </w:pPr>
    </w:p>
    <w:p>
      <w:pPr>
        <w:jc w:val="both"/>
        <w:ind w:left="428" w:hanging="279"/>
        <w:spacing w:after="0" w:line="350" w:lineRule="auto"/>
        <w:tabs>
          <w:tab w:leader="none" w:pos="407" w:val="left"/>
        </w:tabs>
        <w:rPr>
          <w:sz w:val="20"/>
          <w:szCs w:val="20"/>
          <w:color w:val="auto"/>
        </w:rPr>
      </w:pPr>
      <w:r>
        <w:rPr>
          <w:rFonts w:ascii="Times New Roman" w:cs="Times New Roman" w:eastAsia="Times New Roman" w:hAnsi="Times New Roman"/>
          <w:sz w:val="24"/>
          <w:szCs w:val="24"/>
          <w:color w:val="auto"/>
        </w:rPr>
        <w:t>a)</w:t>
        <w:tab/>
        <w:t>the  issuer  has   disclosed  all the defaults  relating  to  the  payment  of  interest/ repayment of principal  amount  on  loans from  banks /  financial institutions/ Systemically Important</w:t>
      </w:r>
    </w:p>
    <w:p>
      <w:pPr>
        <w:spacing w:after="0" w:line="24" w:lineRule="exact"/>
        <w:rPr>
          <w:sz w:val="20"/>
          <w:szCs w:val="20"/>
          <w:color w:val="auto"/>
        </w:rPr>
      </w:pPr>
    </w:p>
    <w:p>
      <w:pPr>
        <w:jc w:val="both"/>
        <w:ind w:left="428"/>
        <w:spacing w:after="0" w:line="356" w:lineRule="auto"/>
        <w:rPr>
          <w:sz w:val="20"/>
          <w:szCs w:val="20"/>
          <w:color w:val="auto"/>
        </w:rPr>
      </w:pPr>
      <w:r>
        <w:rPr>
          <w:rFonts w:ascii="Times New Roman" w:cs="Times New Roman" w:eastAsia="Times New Roman" w:hAnsi="Times New Roman"/>
          <w:sz w:val="24"/>
          <w:szCs w:val="24"/>
          <w:color w:val="auto"/>
        </w:rPr>
        <w:t>Non-Deposit taking Non-banking financial companies/ Deposit taking Non-banking financial companies and /or listed or unlisted debt securities in terms of SEBI Circular dated November 21, 2019 and such payment default is continuing for a period of at least 90 calendar days after the occurrence of such default;</w:t>
      </w:r>
    </w:p>
    <w:p>
      <w:pPr>
        <w:spacing w:after="0" w:line="19" w:lineRule="exact"/>
        <w:rPr>
          <w:sz w:val="20"/>
          <w:szCs w:val="20"/>
          <w:color w:val="auto"/>
        </w:rPr>
      </w:pPr>
    </w:p>
    <w:p>
      <w:pPr>
        <w:ind w:left="428" w:hanging="286"/>
        <w:spacing w:after="0" w:line="350" w:lineRule="auto"/>
        <w:tabs>
          <w:tab w:leader="none" w:pos="428" w:val="left"/>
        </w:tabs>
        <w:numPr>
          <w:ilvl w:val="1"/>
          <w:numId w:val="4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there is an Inter-creditor agreement in terms of Reserve Bank of India (Prudential Framework for Resolution of Stressed Assets) Directions 2019 dated June 07, 2019;</w:t>
      </w:r>
    </w:p>
    <w:p>
      <w:pPr>
        <w:spacing w:after="0" w:line="23" w:lineRule="exact"/>
        <w:rPr>
          <w:rFonts w:ascii="Times New Roman" w:cs="Times New Roman" w:eastAsia="Times New Roman" w:hAnsi="Times New Roman"/>
          <w:sz w:val="24"/>
          <w:szCs w:val="24"/>
          <w:color w:val="auto"/>
        </w:rPr>
      </w:pPr>
    </w:p>
    <w:p>
      <w:pPr>
        <w:ind w:left="428" w:hanging="286"/>
        <w:spacing w:after="0" w:line="350" w:lineRule="auto"/>
        <w:tabs>
          <w:tab w:leader="none" w:pos="428" w:val="left"/>
        </w:tabs>
        <w:numPr>
          <w:ilvl w:val="1"/>
          <w:numId w:val="4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credit rating of the financial instruments (listed or unlisted), credit instruments / borrowings (listed or unlisted) of the listed company has been downgraded to “D”.</w:t>
      </w:r>
    </w:p>
    <w:p>
      <w:pPr>
        <w:spacing w:after="0" w:line="11" w:lineRule="exact"/>
        <w:rPr>
          <w:rFonts w:ascii="Times New Roman" w:cs="Times New Roman" w:eastAsia="Times New Roman" w:hAnsi="Times New Roman"/>
          <w:sz w:val="24"/>
          <w:szCs w:val="24"/>
          <w:color w:val="auto"/>
        </w:rPr>
      </w:pPr>
    </w:p>
    <w:p>
      <w:pPr>
        <w:ind w:left="428" w:hanging="428"/>
        <w:spacing w:after="0"/>
        <w:tabs>
          <w:tab w:leader="none" w:pos="428" w:val="left"/>
        </w:tabs>
        <w:numPr>
          <w:ilvl w:val="0"/>
          <w:numId w:val="42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company  making  the  preferential  issue  shall  ensure  compliance  with  the</w:t>
      </w:r>
    </w:p>
    <w:p>
      <w:pPr>
        <w:spacing w:after="0" w:line="139"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following conditions:</w:t>
      </w:r>
    </w:p>
    <w:p>
      <w:pPr>
        <w:spacing w:after="0" w:line="149" w:lineRule="exact"/>
        <w:rPr>
          <w:sz w:val="20"/>
          <w:szCs w:val="20"/>
          <w:color w:val="auto"/>
        </w:rPr>
      </w:pPr>
    </w:p>
    <w:p>
      <w:pPr>
        <w:jc w:val="both"/>
        <w:ind w:left="428" w:hanging="360"/>
        <w:spacing w:after="0" w:line="354" w:lineRule="auto"/>
        <w:tabs>
          <w:tab w:leader="none" w:pos="428" w:val="left"/>
        </w:tabs>
        <w:numPr>
          <w:ilvl w:val="0"/>
          <w:numId w:val="42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preference issue shall be made to a person not part of the promoter or promoter group as on the date of the board meeting to consider the preferential issue. The preference issue shall not be made to the following entities:</w:t>
      </w:r>
    </w:p>
    <w:p>
      <w:pPr>
        <w:spacing w:after="0" w:line="9" w:lineRule="exact"/>
        <w:rPr>
          <w:rFonts w:ascii="Times New Roman" w:cs="Times New Roman" w:eastAsia="Times New Roman" w:hAnsi="Times New Roman"/>
          <w:sz w:val="24"/>
          <w:szCs w:val="24"/>
          <w:color w:val="auto"/>
        </w:rPr>
      </w:pPr>
    </w:p>
    <w:p>
      <w:pPr>
        <w:ind w:left="1148" w:hanging="360"/>
        <w:spacing w:after="0"/>
        <w:tabs>
          <w:tab w:leader="none" w:pos="1148" w:val="left"/>
        </w:tabs>
        <w:numPr>
          <w:ilvl w:val="1"/>
          <w:numId w:val="42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undischarged insolvent  in terms of the  Insolvency and  Bankruptcy Code, 2016;</w:t>
      </w:r>
    </w:p>
    <w:p>
      <w:pPr>
        <w:spacing w:after="0" w:line="149" w:lineRule="exact"/>
        <w:rPr>
          <w:rFonts w:ascii="Times New Roman" w:cs="Times New Roman" w:eastAsia="Times New Roman" w:hAnsi="Times New Roman"/>
          <w:sz w:val="24"/>
          <w:szCs w:val="24"/>
          <w:color w:val="auto"/>
        </w:rPr>
      </w:pPr>
    </w:p>
    <w:p>
      <w:pPr>
        <w:ind w:left="1148" w:hanging="360"/>
        <w:spacing w:after="0" w:line="350" w:lineRule="auto"/>
        <w:tabs>
          <w:tab w:leader="none" w:pos="1148" w:val="left"/>
        </w:tabs>
        <w:numPr>
          <w:ilvl w:val="1"/>
          <w:numId w:val="42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‘wilful defaulter’ as per the guidelines of the Reserve Bank of India issued under the Banking Regulation Act, 1949;</w:t>
      </w:r>
    </w:p>
    <w:p>
      <w:pPr>
        <w:spacing w:after="0" w:line="10" w:lineRule="exact"/>
        <w:rPr>
          <w:rFonts w:ascii="Times New Roman" w:cs="Times New Roman" w:eastAsia="Times New Roman" w:hAnsi="Times New Roman"/>
          <w:sz w:val="24"/>
          <w:szCs w:val="24"/>
          <w:color w:val="auto"/>
        </w:rPr>
      </w:pPr>
    </w:p>
    <w:p>
      <w:pPr>
        <w:ind w:left="1208" w:hanging="420"/>
        <w:spacing w:after="0"/>
        <w:tabs>
          <w:tab w:leader="none" w:pos="1208" w:val="left"/>
        </w:tabs>
        <w:numPr>
          <w:ilvl w:val="1"/>
          <w:numId w:val="42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person disqualified to act as a director under the Companies Act,2013;</w:t>
      </w:r>
    </w:p>
    <w:p>
      <w:pPr>
        <w:spacing w:after="0" w:line="139" w:lineRule="exact"/>
        <w:rPr>
          <w:sz w:val="20"/>
          <w:szCs w:val="20"/>
          <w:color w:val="auto"/>
        </w:rPr>
      </w:pPr>
    </w:p>
    <w:tbl>
      <w:tblPr>
        <w:tblLayout w:type="fixed"/>
        <w:tblInd w:w="788" w:type="dxa"/>
        <w:tblCellMar>
          <w:top w:w="0" w:type="dxa"/>
          <w:left w:w="0" w:type="dxa"/>
          <w:bottom w:w="0" w:type="dxa"/>
          <w:right w:w="0" w:type="dxa"/>
        </w:tblCellMar>
      </w:tblPr>
      <w:tr>
        <w:trPr>
          <w:trHeight w:val="276"/>
        </w:trPr>
        <w:tc>
          <w:tcPr>
            <w:tcW w:w="5460" w:type="dxa"/>
            <w:vAlign w:val="bottom"/>
            <w:gridSpan w:val="3"/>
          </w:tcPr>
          <w:p>
            <w:pPr>
              <w:spacing w:after="0"/>
              <w:rPr>
                <w:sz w:val="20"/>
                <w:szCs w:val="20"/>
                <w:color w:val="auto"/>
              </w:rPr>
            </w:pPr>
            <w:r>
              <w:rPr>
                <w:rFonts w:ascii="Times New Roman" w:cs="Times New Roman" w:eastAsia="Times New Roman" w:hAnsi="Times New Roman"/>
                <w:sz w:val="24"/>
                <w:szCs w:val="24"/>
                <w:color w:val="auto"/>
              </w:rPr>
              <w:t>(iv) a  person  debarred  from  trading  in  securities  or</w:t>
            </w:r>
          </w:p>
        </w:tc>
        <w:tc>
          <w:tcPr>
            <w:tcW w:w="114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accessing</w:t>
            </w:r>
          </w:p>
        </w:tc>
        <w:tc>
          <w:tcPr>
            <w:tcW w:w="2080" w:type="dxa"/>
            <w:vAlign w:val="bottom"/>
            <w:gridSpan w:val="2"/>
          </w:tcPr>
          <w:p>
            <w:pPr>
              <w:jc w:val="right"/>
              <w:spacing w:after="0"/>
              <w:rPr>
                <w:sz w:val="20"/>
                <w:szCs w:val="20"/>
                <w:color w:val="auto"/>
              </w:rPr>
            </w:pPr>
            <w:r>
              <w:rPr>
                <w:rFonts w:ascii="Times New Roman" w:cs="Times New Roman" w:eastAsia="Times New Roman" w:hAnsi="Times New Roman"/>
                <w:sz w:val="24"/>
                <w:szCs w:val="24"/>
                <w:color w:val="auto"/>
              </w:rPr>
              <w:t>the  securities market</w:t>
            </w:r>
          </w:p>
        </w:tc>
      </w:tr>
      <w:tr>
        <w:trPr>
          <w:trHeight w:val="413"/>
        </w:trPr>
        <w:tc>
          <w:tcPr>
            <w:tcW w:w="2460" w:type="dxa"/>
            <w:vAlign w:val="bottom"/>
          </w:tcPr>
          <w:p>
            <w:pPr>
              <w:ind w:left="360"/>
              <w:spacing w:after="0"/>
              <w:rPr>
                <w:sz w:val="20"/>
                <w:szCs w:val="20"/>
                <w:color w:val="auto"/>
              </w:rPr>
            </w:pPr>
            <w:r>
              <w:rPr>
                <w:rFonts w:ascii="Times New Roman" w:cs="Times New Roman" w:eastAsia="Times New Roman" w:hAnsi="Times New Roman"/>
                <w:sz w:val="24"/>
                <w:szCs w:val="24"/>
                <w:color w:val="auto"/>
              </w:rPr>
              <w:t>by the Board;</w:t>
            </w:r>
          </w:p>
        </w:tc>
        <w:tc>
          <w:tcPr>
            <w:tcW w:w="240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11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620" w:type="dxa"/>
            <w:vAlign w:val="bottom"/>
          </w:tcPr>
          <w:p>
            <w:pPr>
              <w:spacing w:after="0"/>
              <w:rPr>
                <w:sz w:val="24"/>
                <w:szCs w:val="24"/>
                <w:color w:val="auto"/>
              </w:rPr>
            </w:pPr>
          </w:p>
        </w:tc>
      </w:tr>
      <w:tr>
        <w:trPr>
          <w:trHeight w:val="415"/>
        </w:trPr>
        <w:tc>
          <w:tcPr>
            <w:tcW w:w="2460" w:type="dxa"/>
            <w:vAlign w:val="bottom"/>
          </w:tcPr>
          <w:p>
            <w:pPr>
              <w:ind w:left="340"/>
              <w:spacing w:after="0"/>
              <w:rPr>
                <w:sz w:val="20"/>
                <w:szCs w:val="20"/>
                <w:color w:val="auto"/>
              </w:rPr>
            </w:pPr>
            <w:r>
              <w:rPr>
                <w:rFonts w:ascii="Times New Roman" w:cs="Times New Roman" w:eastAsia="Times New Roman" w:hAnsi="Times New Roman"/>
                <w:sz w:val="24"/>
                <w:szCs w:val="24"/>
                <w:b w:val="1"/>
                <w:bCs w:val="1"/>
                <w:color w:val="auto"/>
              </w:rPr>
              <w:t xml:space="preserve">Explanation:   </w:t>
            </w:r>
            <w:r>
              <w:rPr>
                <w:rFonts w:ascii="Times New Roman" w:cs="Times New Roman" w:eastAsia="Times New Roman" w:hAnsi="Times New Roman"/>
                <w:sz w:val="24"/>
                <w:szCs w:val="24"/>
                <w:color w:val="auto"/>
              </w:rPr>
              <w:t>The</w:t>
            </w:r>
          </w:p>
        </w:tc>
        <w:tc>
          <w:tcPr>
            <w:tcW w:w="2400" w:type="dxa"/>
            <w:vAlign w:val="bottom"/>
          </w:tcPr>
          <w:p>
            <w:pPr>
              <w:ind w:left="40"/>
              <w:spacing w:after="0"/>
              <w:rPr>
                <w:sz w:val="20"/>
                <w:szCs w:val="20"/>
                <w:color w:val="auto"/>
              </w:rPr>
            </w:pPr>
            <w:r>
              <w:rPr>
                <w:rFonts w:ascii="Times New Roman" w:cs="Times New Roman" w:eastAsia="Times New Roman" w:hAnsi="Times New Roman"/>
                <w:sz w:val="24"/>
                <w:szCs w:val="24"/>
                <w:color w:val="auto"/>
              </w:rPr>
              <w:t>restriction  under  (iv)</w:t>
            </w:r>
          </w:p>
        </w:tc>
        <w:tc>
          <w:tcPr>
            <w:tcW w:w="600" w:type="dxa"/>
            <w:vAlign w:val="bottom"/>
          </w:tcPr>
          <w:p>
            <w:pPr>
              <w:ind w:left="40"/>
              <w:spacing w:after="0"/>
              <w:rPr>
                <w:sz w:val="20"/>
                <w:szCs w:val="20"/>
                <w:color w:val="auto"/>
              </w:rPr>
            </w:pPr>
            <w:r>
              <w:rPr>
                <w:rFonts w:ascii="Times New Roman" w:cs="Times New Roman" w:eastAsia="Times New Roman" w:hAnsi="Times New Roman"/>
                <w:sz w:val="24"/>
                <w:szCs w:val="24"/>
                <w:color w:val="auto"/>
              </w:rPr>
              <w:t>shall</w:t>
            </w:r>
          </w:p>
        </w:tc>
        <w:tc>
          <w:tcPr>
            <w:tcW w:w="114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not  apply</w:t>
            </w:r>
          </w:p>
        </w:tc>
        <w:tc>
          <w:tcPr>
            <w:tcW w:w="460" w:type="dxa"/>
            <w:vAlign w:val="bottom"/>
          </w:tcPr>
          <w:p>
            <w:pPr>
              <w:ind w:left="120"/>
              <w:spacing w:after="0"/>
              <w:rPr>
                <w:sz w:val="20"/>
                <w:szCs w:val="20"/>
                <w:color w:val="auto"/>
              </w:rPr>
            </w:pPr>
            <w:r>
              <w:rPr>
                <w:rFonts w:ascii="Times New Roman" w:cs="Times New Roman" w:eastAsia="Times New Roman" w:hAnsi="Times New Roman"/>
                <w:sz w:val="24"/>
                <w:szCs w:val="24"/>
                <w:color w:val="auto"/>
              </w:rPr>
              <w:t>to</w:t>
            </w:r>
          </w:p>
        </w:tc>
        <w:tc>
          <w:tcPr>
            <w:tcW w:w="162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the  persons  or</w:t>
            </w:r>
          </w:p>
        </w:tc>
      </w:tr>
      <w:tr>
        <w:trPr>
          <w:trHeight w:val="413"/>
        </w:trPr>
        <w:tc>
          <w:tcPr>
            <w:tcW w:w="4860" w:type="dxa"/>
            <w:vAlign w:val="bottom"/>
            <w:gridSpan w:val="2"/>
          </w:tcPr>
          <w:p>
            <w:pPr>
              <w:ind w:left="340"/>
              <w:spacing w:after="0"/>
              <w:rPr>
                <w:sz w:val="20"/>
                <w:szCs w:val="20"/>
                <w:color w:val="auto"/>
              </w:rPr>
            </w:pPr>
            <w:r>
              <w:rPr>
                <w:rFonts w:ascii="Times New Roman" w:cs="Times New Roman" w:eastAsia="Times New Roman" w:hAnsi="Times New Roman"/>
                <w:sz w:val="24"/>
                <w:szCs w:val="24"/>
                <w:color w:val="auto"/>
              </w:rPr>
              <w:t>entities mentioned therein who were debarred</w:t>
            </w:r>
          </w:p>
        </w:tc>
        <w:tc>
          <w:tcPr>
            <w:tcW w:w="1740" w:type="dxa"/>
            <w:vAlign w:val="bottom"/>
            <w:gridSpan w:val="2"/>
          </w:tcPr>
          <w:p>
            <w:pPr>
              <w:ind w:left="140"/>
              <w:spacing w:after="0"/>
              <w:rPr>
                <w:sz w:val="20"/>
                <w:szCs w:val="20"/>
                <w:color w:val="auto"/>
              </w:rPr>
            </w:pPr>
            <w:r>
              <w:rPr>
                <w:rFonts w:ascii="Times New Roman" w:cs="Times New Roman" w:eastAsia="Times New Roman" w:hAnsi="Times New Roman"/>
                <w:sz w:val="24"/>
                <w:szCs w:val="24"/>
                <w:color w:val="auto"/>
              </w:rPr>
              <w:t>in  the  past  by</w:t>
            </w:r>
          </w:p>
        </w:tc>
        <w:tc>
          <w:tcPr>
            <w:tcW w:w="460" w:type="dxa"/>
            <w:vAlign w:val="bottom"/>
          </w:tcPr>
          <w:p>
            <w:pPr>
              <w:ind w:left="160"/>
              <w:spacing w:after="0"/>
              <w:rPr>
                <w:sz w:val="20"/>
                <w:szCs w:val="20"/>
                <w:color w:val="auto"/>
              </w:rPr>
            </w:pPr>
            <w:r>
              <w:rPr>
                <w:rFonts w:ascii="Times New Roman" w:cs="Times New Roman" w:eastAsia="Times New Roman" w:hAnsi="Times New Roman"/>
                <w:sz w:val="24"/>
                <w:szCs w:val="24"/>
                <w:color w:val="auto"/>
                <w:w w:val="95"/>
              </w:rPr>
              <w:t>the</w:t>
            </w:r>
          </w:p>
        </w:tc>
        <w:tc>
          <w:tcPr>
            <w:tcW w:w="162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Board  and the</w:t>
            </w:r>
          </w:p>
        </w:tc>
      </w:tr>
      <w:tr>
        <w:trPr>
          <w:trHeight w:val="415"/>
        </w:trPr>
        <w:tc>
          <w:tcPr>
            <w:tcW w:w="2460" w:type="dxa"/>
            <w:vAlign w:val="bottom"/>
          </w:tcPr>
          <w:p>
            <w:pPr>
              <w:ind w:left="340"/>
              <w:spacing w:after="0"/>
              <w:rPr>
                <w:sz w:val="20"/>
                <w:szCs w:val="20"/>
                <w:color w:val="auto"/>
              </w:rPr>
            </w:pPr>
            <w:r>
              <w:rPr>
                <w:rFonts w:ascii="Times New Roman" w:cs="Times New Roman" w:eastAsia="Times New Roman" w:hAnsi="Times New Roman"/>
                <w:sz w:val="24"/>
                <w:szCs w:val="24"/>
                <w:color w:val="auto"/>
              </w:rPr>
              <w:t>period  of  debarment</w:t>
            </w:r>
          </w:p>
        </w:tc>
        <w:tc>
          <w:tcPr>
            <w:tcW w:w="6220" w:type="dxa"/>
            <w:vAlign w:val="bottom"/>
            <w:gridSpan w:val="5"/>
          </w:tcPr>
          <w:p>
            <w:pPr>
              <w:jc w:val="right"/>
              <w:spacing w:after="0"/>
              <w:rPr>
                <w:sz w:val="20"/>
                <w:szCs w:val="20"/>
                <w:color w:val="auto"/>
              </w:rPr>
            </w:pPr>
            <w:r>
              <w:rPr>
                <w:rFonts w:ascii="Times New Roman" w:cs="Times New Roman" w:eastAsia="Times New Roman" w:hAnsi="Times New Roman"/>
                <w:sz w:val="24"/>
                <w:szCs w:val="24"/>
                <w:color w:val="auto"/>
              </w:rPr>
              <w:t>is already over as on the date of the board meeting considering</w:t>
            </w:r>
          </w:p>
        </w:tc>
      </w:tr>
      <w:tr>
        <w:trPr>
          <w:trHeight w:val="413"/>
        </w:trPr>
        <w:tc>
          <w:tcPr>
            <w:tcW w:w="2460" w:type="dxa"/>
            <w:vAlign w:val="bottom"/>
          </w:tcPr>
          <w:p>
            <w:pPr>
              <w:ind w:left="340"/>
              <w:spacing w:after="0"/>
              <w:rPr>
                <w:sz w:val="20"/>
                <w:szCs w:val="20"/>
                <w:color w:val="auto"/>
              </w:rPr>
            </w:pPr>
            <w:r>
              <w:rPr>
                <w:rFonts w:ascii="Times New Roman" w:cs="Times New Roman" w:eastAsia="Times New Roman" w:hAnsi="Times New Roman"/>
                <w:sz w:val="24"/>
                <w:szCs w:val="24"/>
                <w:color w:val="auto"/>
              </w:rPr>
              <w:t>the preferential issue.</w:t>
            </w:r>
          </w:p>
        </w:tc>
        <w:tc>
          <w:tcPr>
            <w:tcW w:w="240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11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620" w:type="dxa"/>
            <w:vAlign w:val="bottom"/>
          </w:tcPr>
          <w:p>
            <w:pPr>
              <w:spacing w:after="0"/>
              <w:rPr>
                <w:sz w:val="24"/>
                <w:szCs w:val="24"/>
                <w:color w:val="auto"/>
              </w:rPr>
            </w:pPr>
          </w:p>
        </w:tc>
      </w:tr>
    </w:tbl>
    <w:p>
      <w:pPr>
        <w:spacing w:after="0" w:line="139" w:lineRule="exact"/>
        <w:rPr>
          <w:sz w:val="20"/>
          <w:szCs w:val="20"/>
          <w:color w:val="auto"/>
        </w:rPr>
      </w:pPr>
    </w:p>
    <w:p>
      <w:pPr>
        <w:ind w:left="788"/>
        <w:spacing w:after="0"/>
        <w:rPr>
          <w:sz w:val="20"/>
          <w:szCs w:val="20"/>
          <w:color w:val="auto"/>
        </w:rPr>
      </w:pPr>
      <w:r>
        <w:rPr>
          <w:rFonts w:ascii="Times New Roman" w:cs="Times New Roman" w:eastAsia="Times New Roman" w:hAnsi="Times New Roman"/>
          <w:sz w:val="24"/>
          <w:szCs w:val="24"/>
          <w:color w:val="auto"/>
        </w:rPr>
        <w:t>(v)  a person declared as a fugitive economic offender;</w:t>
      </w:r>
    </w:p>
    <w:p>
      <w:pPr>
        <w:spacing w:after="0" w:line="200" w:lineRule="exact"/>
        <w:rPr>
          <w:sz w:val="20"/>
          <w:szCs w:val="20"/>
          <w:color w:val="auto"/>
        </w:rPr>
      </w:pPr>
    </w:p>
    <w:p>
      <w:pPr>
        <w:spacing w:after="0" w:line="274" w:lineRule="exact"/>
        <w:rPr>
          <w:sz w:val="20"/>
          <w:szCs w:val="20"/>
          <w:color w:val="auto"/>
        </w:rPr>
      </w:pPr>
    </w:p>
    <w:p>
      <w:pPr>
        <w:ind w:left="8" w:hanging="8"/>
        <w:spacing w:after="0" w:line="203" w:lineRule="auto"/>
        <w:tabs>
          <w:tab w:leader="none" w:pos="207" w:val="left"/>
        </w:tabs>
        <w:numPr>
          <w:ilvl w:val="0"/>
          <w:numId w:val="429"/>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Inserted by the Securities and Exchange Board of India (Issue of Capital and Disclosure Requirements) (Second Amendment) Regulations, 2020, w-e-f 22.06.2020.</w:t>
      </w:r>
    </w:p>
    <w:p>
      <w:pPr>
        <w:spacing w:after="0" w:line="30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104</w:t>
      </w:r>
    </w:p>
    <w:p>
      <w:pPr>
        <w:sectPr>
          <w:pgSz w:w="11900" w:h="16836" w:orient="portrait"/>
          <w:cols w:equalWidth="0" w:num="1">
            <w:col w:w="9468"/>
          </w:cols>
          <w:pgMar w:left="1152" w:top="1136" w:right="1284" w:bottom="103" w:gutter="0" w:footer="0" w:header="0"/>
        </w:sectPr>
      </w:pPr>
    </w:p>
    <w:bookmarkStart w:id="104" w:name="page105"/>
    <w:bookmarkEnd w:id="104"/>
    <w:p>
      <w:pPr>
        <w:ind w:left="1148" w:hanging="360"/>
        <w:spacing w:after="0" w:line="294" w:lineRule="auto"/>
        <w:tabs>
          <w:tab w:leader="none" w:pos="1208" w:val="left"/>
        </w:tabs>
        <w:numPr>
          <w:ilvl w:val="0"/>
          <w:numId w:val="43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person who has been convicted for any offence punishable with imprisonment-</w:t>
      </w:r>
    </w:p>
    <w:p>
      <w:pPr>
        <w:spacing w:after="0" w:line="200" w:lineRule="exact"/>
        <w:rPr>
          <w:rFonts w:ascii="Times New Roman" w:cs="Times New Roman" w:eastAsia="Times New Roman" w:hAnsi="Times New Roman"/>
          <w:sz w:val="24"/>
          <w:szCs w:val="24"/>
          <w:color w:val="auto"/>
        </w:rPr>
      </w:pPr>
    </w:p>
    <w:p>
      <w:pPr>
        <w:spacing w:after="0" w:line="290" w:lineRule="exact"/>
        <w:rPr>
          <w:rFonts w:ascii="Times New Roman" w:cs="Times New Roman" w:eastAsia="Times New Roman" w:hAnsi="Times New Roman"/>
          <w:sz w:val="24"/>
          <w:szCs w:val="24"/>
          <w:color w:val="auto"/>
        </w:rPr>
      </w:pPr>
    </w:p>
    <w:p>
      <w:pPr>
        <w:ind w:left="1428" w:hanging="9"/>
        <w:spacing w:after="0" w:line="348" w:lineRule="auto"/>
        <w:tabs>
          <w:tab w:leader="none" w:pos="1742" w:val="left"/>
        </w:tabs>
        <w:numPr>
          <w:ilvl w:val="1"/>
          <w:numId w:val="43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For two years or more under any Act specified under the Twelfth Schedule of the Insolvency and Bankruptcy Code, 2016</w:t>
      </w:r>
    </w:p>
    <w:p>
      <w:pPr>
        <w:spacing w:after="0" w:line="15" w:lineRule="exact"/>
        <w:rPr>
          <w:rFonts w:ascii="Times New Roman" w:cs="Times New Roman" w:eastAsia="Times New Roman" w:hAnsi="Times New Roman"/>
          <w:sz w:val="24"/>
          <w:szCs w:val="24"/>
          <w:color w:val="auto"/>
        </w:rPr>
      </w:pPr>
    </w:p>
    <w:p>
      <w:pPr>
        <w:ind w:left="1748" w:hanging="329"/>
        <w:spacing w:after="0"/>
        <w:tabs>
          <w:tab w:leader="none" w:pos="1748" w:val="left"/>
        </w:tabs>
        <w:numPr>
          <w:ilvl w:val="1"/>
          <w:numId w:val="43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For seven years or more under any law for the time being in force:</w:t>
      </w:r>
    </w:p>
    <w:p>
      <w:pPr>
        <w:spacing w:after="0" w:line="149" w:lineRule="exact"/>
        <w:rPr>
          <w:sz w:val="20"/>
          <w:szCs w:val="20"/>
          <w:color w:val="auto"/>
        </w:rPr>
      </w:pPr>
    </w:p>
    <w:p>
      <w:pPr>
        <w:ind w:left="1428"/>
        <w:spacing w:after="0" w:line="350" w:lineRule="auto"/>
        <w:rPr>
          <w:sz w:val="20"/>
          <w:szCs w:val="20"/>
          <w:color w:val="auto"/>
        </w:rPr>
      </w:pPr>
      <w:r>
        <w:rPr>
          <w:rFonts w:ascii="Times New Roman" w:cs="Times New Roman" w:eastAsia="Times New Roman" w:hAnsi="Times New Roman"/>
          <w:sz w:val="24"/>
          <w:szCs w:val="24"/>
          <w:b w:val="1"/>
          <w:bCs w:val="1"/>
          <w:color w:val="auto"/>
        </w:rPr>
        <w:t xml:space="preserve">Provided </w:t>
      </w:r>
      <w:r>
        <w:rPr>
          <w:rFonts w:ascii="Times New Roman" w:cs="Times New Roman" w:eastAsia="Times New Roman" w:hAnsi="Times New Roman"/>
          <w:sz w:val="24"/>
          <w:szCs w:val="24"/>
          <w:color w:val="auto"/>
        </w:rPr>
        <w:t>that such restriction shall not be applicable to a person after the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expiry of a period two years from the date of his release from imprisonment.</w:t>
      </w:r>
    </w:p>
    <w:p>
      <w:pPr>
        <w:spacing w:after="0" w:line="23" w:lineRule="exact"/>
        <w:rPr>
          <w:sz w:val="20"/>
          <w:szCs w:val="20"/>
          <w:color w:val="auto"/>
        </w:rPr>
      </w:pPr>
    </w:p>
    <w:p>
      <w:pPr>
        <w:ind w:left="1148" w:hanging="440"/>
        <w:spacing w:after="0" w:line="350" w:lineRule="auto"/>
        <w:tabs>
          <w:tab w:leader="none" w:pos="1148" w:val="left"/>
        </w:tabs>
        <w:numPr>
          <w:ilvl w:val="1"/>
          <w:numId w:val="43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person who has executed a guarantee in favour of a lender of the issuer and such guarantee has been invoked by the lender and remains unpaid in full or part.</w:t>
      </w:r>
    </w:p>
    <w:p>
      <w:pPr>
        <w:spacing w:after="0" w:line="23" w:lineRule="exact"/>
        <w:rPr>
          <w:rFonts w:ascii="Times New Roman" w:cs="Times New Roman" w:eastAsia="Times New Roman" w:hAnsi="Times New Roman"/>
          <w:sz w:val="24"/>
          <w:szCs w:val="24"/>
          <w:color w:val="auto"/>
        </w:rPr>
      </w:pPr>
    </w:p>
    <w:p>
      <w:pPr>
        <w:ind w:left="148" w:hanging="148"/>
        <w:spacing w:after="0" w:line="350" w:lineRule="auto"/>
        <w:tabs>
          <w:tab w:leader="none" w:pos="363" w:val="left"/>
        </w:tabs>
        <w:numPr>
          <w:ilvl w:val="0"/>
          <w:numId w:val="43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resolution for the preferential issue and exemption from open offer shall provide for the following:</w:t>
      </w:r>
    </w:p>
    <w:p>
      <w:pPr>
        <w:spacing w:after="0" w:line="23" w:lineRule="exact"/>
        <w:rPr>
          <w:sz w:val="20"/>
          <w:szCs w:val="20"/>
          <w:color w:val="auto"/>
        </w:rPr>
      </w:pPr>
    </w:p>
    <w:p>
      <w:pPr>
        <w:jc w:val="both"/>
        <w:ind w:left="428" w:hanging="360"/>
        <w:spacing w:after="0" w:line="356" w:lineRule="auto"/>
        <w:tabs>
          <w:tab w:leader="none" w:pos="428" w:val="left"/>
        </w:tabs>
        <w:numPr>
          <w:ilvl w:val="0"/>
          <w:numId w:val="43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votes cast by the shareholders in the ‘public’ category in favour of the proposal shall be more than the number of votes cast against it. The proposed allottee(s) in the preferential issue that already hold specified securities shall not be included in the category of ‘public’ for this purpose:</w:t>
      </w:r>
    </w:p>
    <w:p>
      <w:pPr>
        <w:spacing w:after="0" w:line="6" w:lineRule="exact"/>
        <w:rPr>
          <w:rFonts w:ascii="Times New Roman" w:cs="Times New Roman" w:eastAsia="Times New Roman" w:hAnsi="Times New Roman"/>
          <w:sz w:val="24"/>
          <w:szCs w:val="24"/>
          <w:color w:val="auto"/>
        </w:rPr>
      </w:pPr>
    </w:p>
    <w:p>
      <w:pPr>
        <w:ind w:left="428"/>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Provided </w:t>
      </w:r>
      <w:r>
        <w:rPr>
          <w:rFonts w:ascii="Times New Roman" w:cs="Times New Roman" w:eastAsia="Times New Roman" w:hAnsi="Times New Roman"/>
          <w:sz w:val="24"/>
          <w:szCs w:val="24"/>
          <w:color w:val="auto"/>
        </w:rPr>
        <w:t>that  where the company does not  have an  identifiable  promoter; the resolution</w:t>
      </w:r>
    </w:p>
    <w:p>
      <w:pPr>
        <w:spacing w:after="0" w:line="152" w:lineRule="exact"/>
        <w:rPr>
          <w:sz w:val="20"/>
          <w:szCs w:val="20"/>
          <w:color w:val="auto"/>
        </w:rPr>
      </w:pPr>
    </w:p>
    <w:p>
      <w:pPr>
        <w:ind w:left="428"/>
        <w:spacing w:after="0" w:line="348" w:lineRule="auto"/>
        <w:rPr>
          <w:sz w:val="20"/>
          <w:szCs w:val="20"/>
          <w:color w:val="auto"/>
        </w:rPr>
      </w:pPr>
      <w:r>
        <w:rPr>
          <w:rFonts w:ascii="Times New Roman" w:cs="Times New Roman" w:eastAsia="Times New Roman" w:hAnsi="Times New Roman"/>
          <w:sz w:val="24"/>
          <w:szCs w:val="24"/>
          <w:color w:val="auto"/>
        </w:rPr>
        <w:t>shall be deemed to have been passed if the votes cast in favour are not less than three times the number of the votes, if any, cast against it.</w:t>
      </w:r>
    </w:p>
    <w:p>
      <w:pPr>
        <w:spacing w:after="0" w:line="28" w:lineRule="exact"/>
        <w:rPr>
          <w:sz w:val="20"/>
          <w:szCs w:val="20"/>
          <w:color w:val="auto"/>
        </w:rPr>
      </w:pPr>
    </w:p>
    <w:p>
      <w:pPr>
        <w:jc w:val="both"/>
        <w:ind w:left="148" w:hanging="148"/>
        <w:spacing w:after="0" w:line="354" w:lineRule="auto"/>
        <w:tabs>
          <w:tab w:leader="none" w:pos="368" w:val="left"/>
        </w:tabs>
        <w:numPr>
          <w:ilvl w:val="0"/>
          <w:numId w:val="43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proceeds of such preferential issue shall not be used for any repayment of loans taken from promoters/ promoter group/ group companies. The proposed use of proceeds shall be disclosed in the explanatory statement sent for the purpose of the shareholder resolution.</w:t>
      </w:r>
    </w:p>
    <w:p>
      <w:pPr>
        <w:spacing w:after="0" w:line="19" w:lineRule="exact"/>
        <w:rPr>
          <w:rFonts w:ascii="Times New Roman" w:cs="Times New Roman" w:eastAsia="Times New Roman" w:hAnsi="Times New Roman"/>
          <w:sz w:val="24"/>
          <w:szCs w:val="24"/>
          <w:color w:val="auto"/>
        </w:rPr>
      </w:pPr>
    </w:p>
    <w:p>
      <w:pPr>
        <w:jc w:val="both"/>
        <w:ind w:left="428" w:hanging="428"/>
        <w:spacing w:after="0" w:line="354" w:lineRule="auto"/>
        <w:tabs>
          <w:tab w:leader="none" w:pos="365" w:val="left"/>
        </w:tabs>
        <w:numPr>
          <w:ilvl w:val="0"/>
          <w:numId w:val="43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The issuer shall make arrangements for monitoring the use of proceeds of the issue by a public financial institution or by a scheduled commercial bank, which is not a related party to the issuer:</w:t>
      </w:r>
    </w:p>
    <w:p>
      <w:pPr>
        <w:spacing w:after="0" w:line="22" w:lineRule="exact"/>
        <w:rPr>
          <w:rFonts w:ascii="Times New Roman" w:cs="Times New Roman" w:eastAsia="Times New Roman" w:hAnsi="Times New Roman"/>
          <w:sz w:val="24"/>
          <w:szCs w:val="24"/>
          <w:color w:val="auto"/>
        </w:rPr>
      </w:pPr>
    </w:p>
    <w:p>
      <w:pPr>
        <w:jc w:val="both"/>
        <w:ind w:left="1148" w:hanging="360"/>
        <w:spacing w:after="0" w:line="354" w:lineRule="auto"/>
        <w:tabs>
          <w:tab w:leader="none" w:pos="1148" w:val="left"/>
        </w:tabs>
        <w:numPr>
          <w:ilvl w:val="2"/>
          <w:numId w:val="43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monitoring agency shall submit its report to the issuer in the format specified in terms of Schedule XI (with fields as applicable) on a quarterly basis until at least ninety five percent of the proceeds of the issue have been utilized.</w:t>
      </w:r>
    </w:p>
    <w:p>
      <w:pPr>
        <w:spacing w:after="0" w:line="19" w:lineRule="exact"/>
        <w:rPr>
          <w:rFonts w:ascii="Times New Roman" w:cs="Times New Roman" w:eastAsia="Times New Roman" w:hAnsi="Times New Roman"/>
          <w:sz w:val="24"/>
          <w:szCs w:val="24"/>
          <w:color w:val="auto"/>
        </w:rPr>
      </w:pPr>
    </w:p>
    <w:p>
      <w:pPr>
        <w:ind w:left="1148" w:hanging="360"/>
        <w:spacing w:after="0" w:line="350" w:lineRule="auto"/>
        <w:tabs>
          <w:tab w:leader="none" w:pos="1148" w:val="left"/>
        </w:tabs>
        <w:numPr>
          <w:ilvl w:val="2"/>
          <w:numId w:val="43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board of directors and the management of the issuer shall provide their comments on the findings of the monitoring agency as specified in Schedule XI.</w:t>
      </w:r>
    </w:p>
    <w:p>
      <w:pPr>
        <w:spacing w:after="0" w:line="23" w:lineRule="exact"/>
        <w:rPr>
          <w:rFonts w:ascii="Times New Roman" w:cs="Times New Roman" w:eastAsia="Times New Roman" w:hAnsi="Times New Roman"/>
          <w:sz w:val="24"/>
          <w:szCs w:val="24"/>
          <w:color w:val="auto"/>
        </w:rPr>
      </w:pPr>
    </w:p>
    <w:p>
      <w:pPr>
        <w:jc w:val="both"/>
        <w:ind w:left="1148" w:hanging="360"/>
        <w:spacing w:after="0" w:line="356" w:lineRule="auto"/>
        <w:tabs>
          <w:tab w:leader="none" w:pos="1208" w:val="left"/>
        </w:tabs>
        <w:numPr>
          <w:ilvl w:val="2"/>
          <w:numId w:val="43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within forty five days from the end of each quarter, publicly disseminate the report of the monitoring agency by uploading the same on its website as well as submit the same to the stock exchange(s) on which the equity shares of the issuer are listed.</w:t>
      </w:r>
    </w:p>
    <w:p>
      <w:pPr>
        <w:spacing w:after="0" w:line="18" w:lineRule="exact"/>
        <w:rPr>
          <w:rFonts w:ascii="Times New Roman" w:cs="Times New Roman" w:eastAsia="Times New Roman" w:hAnsi="Times New Roman"/>
          <w:sz w:val="24"/>
          <w:szCs w:val="24"/>
          <w:color w:val="auto"/>
        </w:rPr>
      </w:pPr>
    </w:p>
    <w:p>
      <w:pPr>
        <w:ind w:left="428"/>
        <w:spacing w:after="0" w:line="350" w:lineRule="auto"/>
        <w:tabs>
          <w:tab w:leader="none" w:pos="790" w:val="left"/>
        </w:tabs>
        <w:numPr>
          <w:ilvl w:val="1"/>
          <w:numId w:val="43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proceeds of the issue shall also be monitored by the Audit Committee till utilization of the proceeds.</w:t>
      </w:r>
    </w:p>
    <w:p>
      <w:pPr>
        <w:spacing w:after="0" w:line="268"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105</w:t>
      </w:r>
    </w:p>
    <w:p>
      <w:pPr>
        <w:sectPr>
          <w:pgSz w:w="11900" w:h="16836" w:orient="portrait"/>
          <w:cols w:equalWidth="0" w:num="1">
            <w:col w:w="9468"/>
          </w:cols>
          <w:pgMar w:left="1152" w:top="1156" w:right="1284" w:bottom="103" w:gutter="0" w:footer="0" w:header="0"/>
        </w:sectPr>
      </w:pPr>
    </w:p>
    <w:bookmarkStart w:id="105" w:name="page106"/>
    <w:bookmarkEnd w:id="105"/>
    <w:p>
      <w:pPr>
        <w:ind w:left="8" w:hanging="8"/>
        <w:spacing w:after="0" w:line="348" w:lineRule="auto"/>
        <w:tabs>
          <w:tab w:leader="none" w:pos="355" w:val="left"/>
        </w:tabs>
        <w:numPr>
          <w:ilvl w:val="0"/>
          <w:numId w:val="43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allotment made shall be locked-in for a period of three years from the last date of trading approval.</w:t>
      </w:r>
    </w:p>
    <w:p>
      <w:pPr>
        <w:spacing w:after="0" w:line="28"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406" w:val="left"/>
        </w:tabs>
        <w:numPr>
          <w:ilvl w:val="0"/>
          <w:numId w:val="43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statutory auditor and the audit committee shall certify that all conditions under sub-regulations (1), (2), (3), (4) and (5) of regulation 164A are met at the time of dispatch of notice for general meeting proposed for passing the special resolution and at the time of allotment.]</w:t>
      </w:r>
    </w:p>
    <w:p>
      <w:pPr>
        <w:spacing w:after="0" w:line="200" w:lineRule="exact"/>
        <w:rPr>
          <w:sz w:val="20"/>
          <w:szCs w:val="20"/>
          <w:color w:val="auto"/>
        </w:rPr>
      </w:pPr>
    </w:p>
    <w:p>
      <w:pPr>
        <w:spacing w:after="0" w:line="232" w:lineRule="exact"/>
        <w:rPr>
          <w:sz w:val="20"/>
          <w:szCs w:val="20"/>
          <w:color w:val="auto"/>
        </w:rPr>
      </w:pPr>
    </w:p>
    <w:p>
      <w:pPr>
        <w:ind w:left="8"/>
        <w:spacing w:after="0"/>
        <w:rPr>
          <w:sz w:val="20"/>
          <w:szCs w:val="20"/>
          <w:color w:val="auto"/>
        </w:rPr>
      </w:pPr>
      <w:r>
        <w:rPr>
          <w:rFonts w:ascii="Times New Roman" w:cs="Times New Roman" w:eastAsia="Times New Roman" w:hAnsi="Times New Roman"/>
          <w:sz w:val="32"/>
          <w:szCs w:val="32"/>
          <w:b w:val="1"/>
          <w:bCs w:val="1"/>
          <w:color w:val="auto"/>
          <w:vertAlign w:val="superscript"/>
        </w:rPr>
        <w:t>70</w:t>
      </w:r>
      <w:r>
        <w:rPr>
          <w:rFonts w:ascii="Times New Roman" w:cs="Times New Roman" w:eastAsia="Times New Roman" w:hAnsi="Times New Roman"/>
          <w:sz w:val="24"/>
          <w:szCs w:val="24"/>
          <w:b w:val="1"/>
          <w:bCs w:val="1"/>
          <w:color w:val="auto"/>
        </w:rPr>
        <w:t>[Optional pricing in preferential issue</w:t>
      </w:r>
    </w:p>
    <w:p>
      <w:pPr>
        <w:spacing w:after="0" w:line="48" w:lineRule="exact"/>
        <w:rPr>
          <w:sz w:val="20"/>
          <w:szCs w:val="20"/>
          <w:color w:val="auto"/>
        </w:rPr>
      </w:pPr>
    </w:p>
    <w:p>
      <w:pPr>
        <w:jc w:val="both"/>
        <w:ind w:left="8"/>
        <w:spacing w:after="0" w:line="393" w:lineRule="auto"/>
        <w:rPr>
          <w:sz w:val="20"/>
          <w:szCs w:val="20"/>
          <w:color w:val="auto"/>
        </w:rPr>
      </w:pPr>
      <w:r>
        <w:rPr>
          <w:rFonts w:ascii="Times New Roman" w:cs="Times New Roman" w:eastAsia="Times New Roman" w:hAnsi="Times New Roman"/>
          <w:sz w:val="24"/>
          <w:szCs w:val="24"/>
          <w:b w:val="1"/>
          <w:bCs w:val="1"/>
          <w:color w:val="auto"/>
        </w:rPr>
        <w:t xml:space="preserve">164B. </w:t>
      </w:r>
      <w:r>
        <w:rPr>
          <w:rFonts w:ascii="Times New Roman" w:cs="Times New Roman" w:eastAsia="Times New Roman" w:hAnsi="Times New Roman"/>
          <w:sz w:val="24"/>
          <w:szCs w:val="24"/>
          <w:color w:val="auto"/>
        </w:rPr>
        <w:t>(1) In case of frequently traded shares, the price of the equity shares to be allotted pursuant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to the preferential issue shall be determined by regulation 164 or regulation 164B, as opted for.</w:t>
      </w:r>
    </w:p>
    <w:p>
      <w:pPr>
        <w:spacing w:after="0" w:line="340" w:lineRule="exact"/>
        <w:rPr>
          <w:sz w:val="20"/>
          <w:szCs w:val="20"/>
          <w:color w:val="auto"/>
        </w:rPr>
      </w:pPr>
    </w:p>
    <w:p>
      <w:pPr>
        <w:ind w:left="8" w:hanging="8"/>
        <w:spacing w:after="0" w:line="348" w:lineRule="auto"/>
        <w:tabs>
          <w:tab w:leader="none" w:pos="355" w:val="left"/>
        </w:tabs>
        <w:numPr>
          <w:ilvl w:val="0"/>
          <w:numId w:val="4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price of the equity shares to be allotted pursuant to the preferential issue shall not be less than the higher of the following:</w:t>
      </w:r>
    </w:p>
    <w:p>
      <w:pPr>
        <w:spacing w:after="0" w:line="27" w:lineRule="exact"/>
        <w:rPr>
          <w:rFonts w:ascii="Times New Roman" w:cs="Times New Roman" w:eastAsia="Times New Roman" w:hAnsi="Times New Roman"/>
          <w:sz w:val="24"/>
          <w:szCs w:val="24"/>
          <w:color w:val="auto"/>
        </w:rPr>
      </w:pPr>
    </w:p>
    <w:p>
      <w:pPr>
        <w:jc w:val="both"/>
        <w:ind w:left="8" w:firstLine="134"/>
        <w:spacing w:after="0" w:line="354" w:lineRule="auto"/>
        <w:tabs>
          <w:tab w:leader="none" w:pos="542" w:val="left"/>
        </w:tabs>
        <w:numPr>
          <w:ilvl w:val="1"/>
          <w:numId w:val="4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average of the weekly high and low of the volume weighted average price of the related equity shares quoted on the recognised stock exchange during the twelve weeks preceding the relevant date; or</w:t>
      </w:r>
    </w:p>
    <w:p>
      <w:pPr>
        <w:spacing w:after="0" w:line="19" w:lineRule="exact"/>
        <w:rPr>
          <w:rFonts w:ascii="Times New Roman" w:cs="Times New Roman" w:eastAsia="Times New Roman" w:hAnsi="Times New Roman"/>
          <w:sz w:val="24"/>
          <w:szCs w:val="24"/>
          <w:color w:val="auto"/>
        </w:rPr>
      </w:pPr>
    </w:p>
    <w:p>
      <w:pPr>
        <w:jc w:val="both"/>
        <w:ind w:left="8" w:firstLine="194"/>
        <w:spacing w:after="0" w:line="354" w:lineRule="auto"/>
        <w:tabs>
          <w:tab w:leader="none" w:pos="689" w:val="left"/>
        </w:tabs>
        <w:numPr>
          <w:ilvl w:val="2"/>
          <w:numId w:val="4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average of the weekly high and low of the volume weighted average prices of the related equity shares quoted on a recognised stock exchange during the two weeks preceding the relevant date.</w:t>
      </w:r>
    </w:p>
    <w:p>
      <w:pPr>
        <w:spacing w:after="0" w:line="22" w:lineRule="exact"/>
        <w:rPr>
          <w:rFonts w:ascii="Times New Roman" w:cs="Times New Roman" w:eastAsia="Times New Roman" w:hAnsi="Times New Roman"/>
          <w:sz w:val="24"/>
          <w:szCs w:val="24"/>
          <w:color w:val="auto"/>
        </w:rPr>
      </w:pPr>
    </w:p>
    <w:p>
      <w:pPr>
        <w:ind w:left="8" w:hanging="8"/>
        <w:spacing w:after="0" w:line="348" w:lineRule="auto"/>
        <w:tabs>
          <w:tab w:leader="none" w:pos="360" w:val="left"/>
        </w:tabs>
        <w:numPr>
          <w:ilvl w:val="0"/>
          <w:numId w:val="4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Specified securities allotted on a preferential basis using the pricing method determined under sub-regulation (2) shall be locked-in for a period of three years.</w:t>
      </w:r>
    </w:p>
    <w:p>
      <w:pPr>
        <w:spacing w:after="0" w:line="27"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351" w:val="left"/>
        </w:tabs>
        <w:numPr>
          <w:ilvl w:val="0"/>
          <w:numId w:val="4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pricing method determined at sub-regulation (2) shall be availed in case of allotment by preferential issue made between July 01, 2020 or from the date of notification of this regulation, whichever is later and December 31, 2020.</w:t>
      </w:r>
    </w:p>
    <w:p>
      <w:pPr>
        <w:spacing w:after="0" w:line="20" w:lineRule="exact"/>
        <w:rPr>
          <w:rFonts w:ascii="Times New Roman" w:cs="Times New Roman" w:eastAsia="Times New Roman" w:hAnsi="Times New Roman"/>
          <w:sz w:val="24"/>
          <w:szCs w:val="24"/>
          <w:color w:val="auto"/>
        </w:rPr>
      </w:pPr>
    </w:p>
    <w:p>
      <w:pPr>
        <w:ind w:left="8" w:hanging="8"/>
        <w:spacing w:after="0" w:line="350" w:lineRule="auto"/>
        <w:tabs>
          <w:tab w:leader="none" w:pos="382" w:val="left"/>
        </w:tabs>
        <w:numPr>
          <w:ilvl w:val="0"/>
          <w:numId w:val="4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All allotments arising out of the same shareholders approval shall follow the same pricing method.]</w:t>
      </w:r>
    </w:p>
    <w:p>
      <w:pPr>
        <w:spacing w:after="0" w:line="200" w:lineRule="exact"/>
        <w:rPr>
          <w:sz w:val="20"/>
          <w:szCs w:val="20"/>
          <w:color w:val="auto"/>
        </w:rPr>
      </w:pPr>
    </w:p>
    <w:p>
      <w:pPr>
        <w:spacing w:after="0" w:line="231"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Pricing of infrequently traded shares</w:t>
      </w:r>
    </w:p>
    <w:p>
      <w:pPr>
        <w:spacing w:after="0" w:line="144" w:lineRule="exact"/>
        <w:rPr>
          <w:sz w:val="20"/>
          <w:szCs w:val="20"/>
          <w:color w:val="auto"/>
        </w:rPr>
      </w:pPr>
    </w:p>
    <w:p>
      <w:pPr>
        <w:jc w:val="both"/>
        <w:ind w:left="8"/>
        <w:spacing w:after="0" w:line="354" w:lineRule="auto"/>
        <w:rPr>
          <w:sz w:val="20"/>
          <w:szCs w:val="20"/>
          <w:color w:val="auto"/>
        </w:rPr>
      </w:pPr>
      <w:r>
        <w:rPr>
          <w:rFonts w:ascii="Times New Roman" w:cs="Times New Roman" w:eastAsia="Times New Roman" w:hAnsi="Times New Roman"/>
          <w:sz w:val="24"/>
          <w:szCs w:val="24"/>
          <w:b w:val="1"/>
          <w:bCs w:val="1"/>
          <w:color w:val="auto"/>
        </w:rPr>
        <w:t>165</w:t>
      </w:r>
      <w:r>
        <w:rPr>
          <w:rFonts w:ascii="Times New Roman" w:cs="Times New Roman" w:eastAsia="Times New Roman" w:hAnsi="Times New Roman"/>
          <w:sz w:val="24"/>
          <w:szCs w:val="24"/>
          <w:color w:val="auto"/>
        </w:rPr>
        <w:t>. Where the shares of an issuer are not frequently traded, the price determined by the issuer</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shall take into account the valuation parameters including book value, comparable trading multiples, and such other parameters as are customary for valuation of shares of such companies:</w:t>
      </w:r>
    </w:p>
    <w:p>
      <w:pPr>
        <w:spacing w:after="0" w:line="22" w:lineRule="exact"/>
        <w:rPr>
          <w:sz w:val="20"/>
          <w:szCs w:val="20"/>
          <w:color w:val="auto"/>
        </w:rPr>
      </w:pPr>
    </w:p>
    <w:p>
      <w:pPr>
        <w:jc w:val="both"/>
        <w:ind w:left="8"/>
        <w:spacing w:after="0" w:line="354" w:lineRule="auto"/>
        <w:rPr>
          <w:sz w:val="20"/>
          <w:szCs w:val="20"/>
          <w:color w:val="auto"/>
        </w:rPr>
      </w:pPr>
      <w:r>
        <w:rPr>
          <w:rFonts w:ascii="Times New Roman" w:cs="Times New Roman" w:eastAsia="Times New Roman" w:hAnsi="Times New Roman"/>
          <w:sz w:val="24"/>
          <w:szCs w:val="24"/>
          <w:color w:val="auto"/>
        </w:rPr>
        <w:t>Provided that the issuer shall submit a certificate stating that the issuer is in compliance of this regulation, obtained from an independent valuer to the stock exchange where the equity shares of the issuer are listed.</w:t>
      </w:r>
    </w:p>
    <w:p>
      <w:pPr>
        <w:spacing w:after="0" w:line="345" w:lineRule="exact"/>
        <w:rPr>
          <w:sz w:val="20"/>
          <w:szCs w:val="20"/>
          <w:color w:val="auto"/>
        </w:rPr>
      </w:pPr>
    </w:p>
    <w:p>
      <w:pPr>
        <w:ind w:left="8" w:hanging="8"/>
        <w:spacing w:after="0" w:line="203" w:lineRule="auto"/>
        <w:tabs>
          <w:tab w:leader="none" w:pos="216" w:val="left"/>
        </w:tabs>
        <w:numPr>
          <w:ilvl w:val="0"/>
          <w:numId w:val="437"/>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Inserted by the Securities and Exchange Board of India (Issue of Capital and Disclosure Requirements) (Third Amendment) Regulations, 2020, w-e-f 01.07.2020.</w:t>
      </w:r>
    </w:p>
    <w:p>
      <w:pPr>
        <w:spacing w:after="0" w:line="30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106</w:t>
      </w:r>
    </w:p>
    <w:p>
      <w:pPr>
        <w:sectPr>
          <w:pgSz w:w="11900" w:h="16836" w:orient="portrait"/>
          <w:cols w:equalWidth="0" w:num="1">
            <w:col w:w="9468"/>
          </w:cols>
          <w:pgMar w:left="1152" w:top="1156" w:right="1284" w:bottom="103" w:gutter="0" w:footer="0" w:header="0"/>
        </w:sectPr>
      </w:pPr>
    </w:p>
    <w:bookmarkStart w:id="106" w:name="page107"/>
    <w:bookmarkEnd w:id="106"/>
    <w:p>
      <w:pPr>
        <w:spacing w:after="0" w:line="12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Adjustments in pricing - Frequently and Infrequently traded shares</w:t>
      </w:r>
    </w:p>
    <w:p>
      <w:pPr>
        <w:spacing w:after="0" w:line="147" w:lineRule="exact"/>
        <w:rPr>
          <w:sz w:val="20"/>
          <w:szCs w:val="20"/>
          <w:color w:val="auto"/>
        </w:rPr>
      </w:pPr>
    </w:p>
    <w:p>
      <w:pPr>
        <w:ind w:left="8" w:hanging="8"/>
        <w:spacing w:after="0" w:line="348" w:lineRule="auto"/>
        <w:tabs>
          <w:tab w:leader="none" w:pos="552" w:val="left"/>
        </w:tabs>
        <w:numPr>
          <w:ilvl w:val="0"/>
          <w:numId w:val="43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price determined for a preferential issue in accordance with regulation 164 or regulation 165, shall be subject to appropriate adjustments, if the issuer:</w:t>
      </w:r>
    </w:p>
    <w:p>
      <w:pPr>
        <w:spacing w:after="0" w:line="28" w:lineRule="exact"/>
        <w:rPr>
          <w:sz w:val="20"/>
          <w:szCs w:val="20"/>
          <w:color w:val="auto"/>
        </w:rPr>
      </w:pPr>
    </w:p>
    <w:p>
      <w:pPr>
        <w:ind w:left="548" w:hanging="548"/>
        <w:spacing w:after="0" w:line="348" w:lineRule="auto"/>
        <w:tabs>
          <w:tab w:leader="none" w:pos="548" w:val="left"/>
        </w:tabs>
        <w:numPr>
          <w:ilvl w:val="0"/>
          <w:numId w:val="43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makes an issue of equity shares by way of capitalization of profits or reserves, other than by way of a dividend on shares;</w:t>
      </w:r>
    </w:p>
    <w:p>
      <w:pPr>
        <w:spacing w:after="0" w:line="27" w:lineRule="exact"/>
        <w:rPr>
          <w:rFonts w:ascii="Times New Roman" w:cs="Times New Roman" w:eastAsia="Times New Roman" w:hAnsi="Times New Roman"/>
          <w:sz w:val="24"/>
          <w:szCs w:val="24"/>
          <w:color w:val="auto"/>
        </w:rPr>
      </w:pPr>
    </w:p>
    <w:p>
      <w:pPr>
        <w:ind w:left="548" w:hanging="548"/>
        <w:spacing w:after="0" w:line="348" w:lineRule="auto"/>
        <w:tabs>
          <w:tab w:leader="none" w:pos="548" w:val="left"/>
        </w:tabs>
        <w:numPr>
          <w:ilvl w:val="0"/>
          <w:numId w:val="43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makes an issue of equity shares after completion of a demerger wherein the securities of the resultant demerged entity are listed on a stock exchange;</w:t>
      </w:r>
    </w:p>
    <w:p>
      <w:pPr>
        <w:spacing w:after="0" w:line="16" w:lineRule="exact"/>
        <w:rPr>
          <w:rFonts w:ascii="Times New Roman" w:cs="Times New Roman" w:eastAsia="Times New Roman" w:hAnsi="Times New Roman"/>
          <w:sz w:val="24"/>
          <w:szCs w:val="24"/>
          <w:color w:val="auto"/>
        </w:rPr>
      </w:pPr>
    </w:p>
    <w:p>
      <w:pPr>
        <w:ind w:left="548" w:hanging="548"/>
        <w:spacing w:after="0"/>
        <w:tabs>
          <w:tab w:leader="none" w:pos="548" w:val="left"/>
        </w:tabs>
        <w:numPr>
          <w:ilvl w:val="0"/>
          <w:numId w:val="43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makes a rights issue of equity shares;</w:t>
      </w:r>
    </w:p>
    <w:p>
      <w:pPr>
        <w:spacing w:after="0" w:line="136" w:lineRule="exact"/>
        <w:rPr>
          <w:rFonts w:ascii="Times New Roman" w:cs="Times New Roman" w:eastAsia="Times New Roman" w:hAnsi="Times New Roman"/>
          <w:sz w:val="24"/>
          <w:szCs w:val="24"/>
          <w:color w:val="auto"/>
        </w:rPr>
      </w:pPr>
    </w:p>
    <w:p>
      <w:pPr>
        <w:ind w:left="548" w:hanging="548"/>
        <w:spacing w:after="0"/>
        <w:tabs>
          <w:tab w:leader="none" w:pos="548" w:val="left"/>
        </w:tabs>
        <w:numPr>
          <w:ilvl w:val="0"/>
          <w:numId w:val="43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consolidates its outstanding equity shares into a smaller number of shares;</w:t>
      </w:r>
    </w:p>
    <w:p>
      <w:pPr>
        <w:spacing w:after="0" w:line="139" w:lineRule="exact"/>
        <w:rPr>
          <w:rFonts w:ascii="Times New Roman" w:cs="Times New Roman" w:eastAsia="Times New Roman" w:hAnsi="Times New Roman"/>
          <w:sz w:val="24"/>
          <w:szCs w:val="24"/>
          <w:color w:val="auto"/>
        </w:rPr>
      </w:pPr>
    </w:p>
    <w:p>
      <w:pPr>
        <w:ind w:left="548" w:hanging="548"/>
        <w:spacing w:after="0"/>
        <w:tabs>
          <w:tab w:leader="none" w:pos="548" w:val="left"/>
        </w:tabs>
        <w:numPr>
          <w:ilvl w:val="0"/>
          <w:numId w:val="43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divides its outstanding equity shares including by way of stock split;</w:t>
      </w:r>
    </w:p>
    <w:p>
      <w:pPr>
        <w:spacing w:after="0" w:line="136" w:lineRule="exact"/>
        <w:rPr>
          <w:rFonts w:ascii="Times New Roman" w:cs="Times New Roman" w:eastAsia="Times New Roman" w:hAnsi="Times New Roman"/>
          <w:sz w:val="24"/>
          <w:szCs w:val="24"/>
          <w:color w:val="auto"/>
        </w:rPr>
      </w:pPr>
    </w:p>
    <w:p>
      <w:pPr>
        <w:ind w:left="548" w:hanging="548"/>
        <w:spacing w:after="0"/>
        <w:tabs>
          <w:tab w:leader="none" w:pos="548" w:val="left"/>
        </w:tabs>
        <w:numPr>
          <w:ilvl w:val="0"/>
          <w:numId w:val="43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re-classifies any of its equity shares into other securities of the issuer;</w:t>
      </w:r>
    </w:p>
    <w:p>
      <w:pPr>
        <w:spacing w:after="0" w:line="151" w:lineRule="exact"/>
        <w:rPr>
          <w:rFonts w:ascii="Times New Roman" w:cs="Times New Roman" w:eastAsia="Times New Roman" w:hAnsi="Times New Roman"/>
          <w:sz w:val="24"/>
          <w:szCs w:val="24"/>
          <w:color w:val="auto"/>
        </w:rPr>
      </w:pPr>
    </w:p>
    <w:p>
      <w:pPr>
        <w:ind w:left="548" w:hanging="548"/>
        <w:spacing w:after="0" w:line="348" w:lineRule="auto"/>
        <w:tabs>
          <w:tab w:leader="none" w:pos="548" w:val="left"/>
        </w:tabs>
        <w:numPr>
          <w:ilvl w:val="0"/>
          <w:numId w:val="43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is involved in such other similar events or circumstances, which in the opinion of the concerned stock exchange, require adjustments.</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V: LOCK-IN AND RESTRICTIONS ON TRANSFERABILITY</w:t>
      </w:r>
    </w:p>
    <w:p>
      <w:pPr>
        <w:spacing w:after="0" w:line="200" w:lineRule="exact"/>
        <w:rPr>
          <w:sz w:val="20"/>
          <w:szCs w:val="20"/>
          <w:color w:val="auto"/>
        </w:rPr>
      </w:pPr>
    </w:p>
    <w:p>
      <w:pPr>
        <w:spacing w:after="0" w:line="35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Lock-in</w:t>
      </w:r>
    </w:p>
    <w:p>
      <w:pPr>
        <w:spacing w:after="0" w:line="147" w:lineRule="exact"/>
        <w:rPr>
          <w:sz w:val="20"/>
          <w:szCs w:val="20"/>
          <w:color w:val="auto"/>
        </w:rPr>
      </w:pPr>
    </w:p>
    <w:p>
      <w:pPr>
        <w:jc w:val="both"/>
        <w:ind w:left="8" w:hanging="8"/>
        <w:spacing w:after="0" w:line="357" w:lineRule="auto"/>
        <w:tabs>
          <w:tab w:leader="none" w:pos="519" w:val="left"/>
        </w:tabs>
        <w:numPr>
          <w:ilvl w:val="0"/>
          <w:numId w:val="44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specified securities, allotted on a preferential basis to the promoters or promoter group and the equity shares allotted pursuant to exercise of options attached to warrants issued on a preferential basis to the promoters or the promoter group, shall be locked-in for a period of three years from the date of trading approval granted for the specified securities or equity shares allotted pursuant to exercise of the option attached to warrant, as the case may be:</w:t>
      </w:r>
    </w:p>
    <w:p>
      <w:pPr>
        <w:spacing w:after="0" w:line="16" w:lineRule="exact"/>
        <w:rPr>
          <w:rFonts w:ascii="Times New Roman" w:cs="Times New Roman" w:eastAsia="Times New Roman" w:hAnsi="Times New Roman"/>
          <w:sz w:val="24"/>
          <w:szCs w:val="24"/>
          <w:b w:val="1"/>
          <w:bCs w:val="1"/>
          <w:color w:val="auto"/>
        </w:rPr>
      </w:pPr>
    </w:p>
    <w:p>
      <w:pPr>
        <w:ind w:left="8"/>
        <w:spacing w:after="0" w:line="350"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not more than twenty per cent. of the total capital of the issuer shall be locked-in for three years from the date of trading approval:</w:t>
      </w:r>
    </w:p>
    <w:p>
      <w:pPr>
        <w:spacing w:after="0" w:line="23"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further that equity shares allotted in excess of the twenty per cent. shall be locked-in for one year from the date of trading approval pursuant to exercise of options or otherwise, as the case may be.</w:t>
      </w:r>
    </w:p>
    <w:p>
      <w:pPr>
        <w:spacing w:after="0" w:line="22" w:lineRule="exact"/>
        <w:rPr>
          <w:rFonts w:ascii="Times New Roman" w:cs="Times New Roman" w:eastAsia="Times New Roman" w:hAnsi="Times New Roman"/>
          <w:sz w:val="24"/>
          <w:szCs w:val="24"/>
          <w:b w:val="1"/>
          <w:bCs w:val="1"/>
          <w:color w:val="auto"/>
        </w:rPr>
      </w:pPr>
    </w:p>
    <w:p>
      <w:pPr>
        <w:ind w:left="8"/>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further that in case of convertible securities or warrants which are not listed on stock exchanges, such securities shall be locked in for a period of one year from the date of allotment.</w:t>
      </w:r>
    </w:p>
    <w:p>
      <w:pPr>
        <w:spacing w:after="0" w:line="28" w:lineRule="exact"/>
        <w:rPr>
          <w:sz w:val="20"/>
          <w:szCs w:val="20"/>
          <w:color w:val="auto"/>
        </w:rPr>
      </w:pPr>
    </w:p>
    <w:p>
      <w:pPr>
        <w:jc w:val="both"/>
        <w:ind w:left="8" w:hanging="8"/>
        <w:spacing w:after="0" w:line="356" w:lineRule="auto"/>
        <w:tabs>
          <w:tab w:leader="none" w:pos="459" w:val="left"/>
        </w:tabs>
        <w:numPr>
          <w:ilvl w:val="0"/>
          <w:numId w:val="44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specified securities allotted on a preferential basis to persons other than the promoters and promoter group and the equity shares allotted pursuant to exercise of options attached to warrants issued on preferential basis to such persons shall be locked-in for a period of one year from the date of trading approval.</w:t>
      </w: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107</w:t>
      </w:r>
    </w:p>
    <w:p>
      <w:pPr>
        <w:sectPr>
          <w:pgSz w:w="11900" w:h="16836" w:orient="portrait"/>
          <w:cols w:equalWidth="0" w:num="1">
            <w:col w:w="9468"/>
          </w:cols>
          <w:pgMar w:left="1152" w:top="1440" w:right="1284" w:bottom="103" w:gutter="0" w:footer="0" w:header="0"/>
        </w:sectPr>
      </w:pPr>
    </w:p>
    <w:bookmarkStart w:id="107" w:name="page108"/>
    <w:bookmarkEnd w:id="107"/>
    <w:p>
      <w:pPr>
        <w:ind w:left="8"/>
        <w:spacing w:after="0" w:line="348" w:lineRule="auto"/>
        <w:rPr>
          <w:sz w:val="20"/>
          <w:szCs w:val="20"/>
          <w:color w:val="auto"/>
        </w:rPr>
      </w:pPr>
      <w:r>
        <w:rPr>
          <w:rFonts w:ascii="Times New Roman" w:cs="Times New Roman" w:eastAsia="Times New Roman" w:hAnsi="Times New Roman"/>
          <w:sz w:val="24"/>
          <w:szCs w:val="24"/>
          <w:color w:val="auto"/>
        </w:rPr>
        <w:t>Provided that in case of convertible securities or warrants which are not listed on stock exchanges, such securities shall be locked in for a period of one year from the date of allotment.</w:t>
      </w:r>
    </w:p>
    <w:p>
      <w:pPr>
        <w:spacing w:after="0" w:line="28" w:lineRule="exact"/>
        <w:rPr>
          <w:sz w:val="20"/>
          <w:szCs w:val="20"/>
          <w:color w:val="auto"/>
        </w:rPr>
      </w:pPr>
    </w:p>
    <w:p>
      <w:pPr>
        <w:jc w:val="both"/>
        <w:ind w:left="8" w:hanging="8"/>
        <w:spacing w:after="0" w:line="354" w:lineRule="auto"/>
        <w:tabs>
          <w:tab w:leader="none" w:pos="471" w:val="left"/>
        </w:tabs>
        <w:numPr>
          <w:ilvl w:val="0"/>
          <w:numId w:val="44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Lock-in of the equity shares allotted pursuant to conversion of convertible securities other than warrants, issued on preferential basis shall be reduced to the extent the convertible securities have already been locked-in.</w:t>
      </w:r>
    </w:p>
    <w:p>
      <w:pPr>
        <w:spacing w:after="0" w:line="19" w:lineRule="exact"/>
        <w:rPr>
          <w:rFonts w:ascii="Times New Roman" w:cs="Times New Roman" w:eastAsia="Times New Roman" w:hAnsi="Times New Roman"/>
          <w:sz w:val="24"/>
          <w:szCs w:val="24"/>
          <w:color w:val="auto"/>
        </w:rPr>
      </w:pPr>
    </w:p>
    <w:p>
      <w:pPr>
        <w:jc w:val="both"/>
        <w:ind w:left="8" w:hanging="8"/>
        <w:spacing w:after="0" w:line="357" w:lineRule="auto"/>
        <w:tabs>
          <w:tab w:leader="none" w:pos="440" w:val="left"/>
        </w:tabs>
        <w:numPr>
          <w:ilvl w:val="0"/>
          <w:numId w:val="44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equity shares issued on a preferential basis pursuant to any resolution of stressed assets under a framework specified by the Reserve Bank of India or a resolution plan approved by the National Company Law Tribunal under the Insolvency and Bankruptcy Code 2016, shall be locked-in for a period of one year from the trading approval:</w:t>
      </w:r>
    </w:p>
    <w:p>
      <w:pPr>
        <w:spacing w:after="0" w:line="2" w:lineRule="exact"/>
        <w:rPr>
          <w:rFonts w:ascii="Times New Roman" w:cs="Times New Roman" w:eastAsia="Times New Roman" w:hAnsi="Times New Roman"/>
          <w:sz w:val="24"/>
          <w:szCs w:val="24"/>
          <w:color w:val="auto"/>
        </w:rPr>
      </w:pPr>
    </w:p>
    <w:p>
      <w:pPr>
        <w:ind w:left="428" w:hanging="428"/>
        <w:spacing w:after="0"/>
        <w:tabs>
          <w:tab w:leader="none" w:pos="428" w:val="left"/>
        </w:tabs>
        <w:numPr>
          <w:ilvl w:val="0"/>
          <w:numId w:val="44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amount payable by the allottee, in case of re-calculation of price under sub-regulation</w:t>
      </w:r>
    </w:p>
    <w:p>
      <w:pPr>
        <w:spacing w:after="0" w:line="151" w:lineRule="exact"/>
        <w:rPr>
          <w:rFonts w:ascii="Times New Roman" w:cs="Times New Roman" w:eastAsia="Times New Roman" w:hAnsi="Times New Roman"/>
          <w:sz w:val="24"/>
          <w:szCs w:val="24"/>
          <w:color w:val="auto"/>
        </w:rPr>
      </w:pPr>
    </w:p>
    <w:p>
      <w:pPr>
        <w:ind w:left="8" w:hanging="8"/>
        <w:spacing w:after="0" w:line="348" w:lineRule="auto"/>
        <w:tabs>
          <w:tab w:leader="none" w:pos="346" w:val="left"/>
        </w:tabs>
        <w:numPr>
          <w:ilvl w:val="0"/>
          <w:numId w:val="44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of regulation 164 is not paid till the expiry of lock-in period, the equity shares shall continue to be locked-in till such amount is paid by the allottee.</w:t>
      </w:r>
    </w:p>
    <w:p>
      <w:pPr>
        <w:spacing w:after="0" w:line="27" w:lineRule="exact"/>
        <w:rPr>
          <w:rFonts w:ascii="Times New Roman" w:cs="Times New Roman" w:eastAsia="Times New Roman" w:hAnsi="Times New Roman"/>
          <w:sz w:val="24"/>
          <w:szCs w:val="24"/>
          <w:color w:val="auto"/>
        </w:rPr>
      </w:pPr>
    </w:p>
    <w:p>
      <w:pPr>
        <w:ind w:left="8" w:hanging="8"/>
        <w:spacing w:after="0" w:line="348" w:lineRule="auto"/>
        <w:tabs>
          <w:tab w:leader="none" w:pos="372" w:val="left"/>
        </w:tabs>
        <w:numPr>
          <w:ilvl w:val="0"/>
          <w:numId w:val="44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entire pre-preferential allotment shareholding of the allottees, if any, shall be locked-in from the relevant date up to a period of six months from the date of trading approval:</w:t>
      </w:r>
    </w:p>
    <w:p>
      <w:pPr>
        <w:spacing w:after="0" w:line="27" w:lineRule="exact"/>
        <w:rPr>
          <w:rFonts w:ascii="Times New Roman" w:cs="Times New Roman" w:eastAsia="Times New Roman" w:hAnsi="Times New Roman"/>
          <w:sz w:val="24"/>
          <w:szCs w:val="24"/>
          <w:color w:val="auto"/>
        </w:rPr>
      </w:pPr>
    </w:p>
    <w:p>
      <w:pPr>
        <w:jc w:val="both"/>
        <w:ind w:left="8"/>
        <w:spacing w:after="0" w:line="35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in case of convertible securities or warrants which are not listed on stock exchanges, the entire pre-preferential allotment shareholding of the allottees, if any, shall be locked-in from the relevant date up to a period of six months from the date of allotment of such securities.</w:t>
      </w:r>
    </w:p>
    <w:p>
      <w:pPr>
        <w:spacing w:after="0" w:line="200" w:lineRule="exact"/>
        <w:rPr>
          <w:sz w:val="20"/>
          <w:szCs w:val="20"/>
          <w:color w:val="auto"/>
        </w:rPr>
      </w:pPr>
    </w:p>
    <w:p>
      <w:pPr>
        <w:spacing w:after="0" w:line="223" w:lineRule="exact"/>
        <w:rPr>
          <w:sz w:val="20"/>
          <w:szCs w:val="20"/>
          <w:color w:val="auto"/>
        </w:rPr>
      </w:pPr>
    </w:p>
    <w:p>
      <w:pPr>
        <w:ind w:left="508" w:hanging="508"/>
        <w:spacing w:after="0"/>
        <w:tabs>
          <w:tab w:leader="none" w:pos="508" w:val="left"/>
        </w:tabs>
        <w:numPr>
          <w:ilvl w:val="0"/>
          <w:numId w:val="44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expression “total capital of the issuer” means:</w:t>
      </w:r>
    </w:p>
    <w:p>
      <w:pPr>
        <w:spacing w:after="0" w:line="149" w:lineRule="exact"/>
        <w:rPr>
          <w:rFonts w:ascii="Times New Roman" w:cs="Times New Roman" w:eastAsia="Times New Roman" w:hAnsi="Times New Roman"/>
          <w:sz w:val="24"/>
          <w:szCs w:val="24"/>
          <w:color w:val="auto"/>
        </w:rPr>
      </w:pPr>
    </w:p>
    <w:p>
      <w:pPr>
        <w:ind w:left="508" w:hanging="4"/>
        <w:spacing w:after="0" w:line="350" w:lineRule="auto"/>
        <w:tabs>
          <w:tab w:leader="none" w:pos="846" w:val="left"/>
        </w:tabs>
        <w:numPr>
          <w:ilvl w:val="1"/>
          <w:numId w:val="44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equity share capital issued by way of public issue or rights issue including equity shares issued pursuant to conversion of specified securities which are convertible; and</w:t>
      </w:r>
    </w:p>
    <w:p>
      <w:pPr>
        <w:spacing w:after="0" w:line="10" w:lineRule="exact"/>
        <w:rPr>
          <w:rFonts w:ascii="Times New Roman" w:cs="Times New Roman" w:eastAsia="Times New Roman" w:hAnsi="Times New Roman"/>
          <w:sz w:val="24"/>
          <w:szCs w:val="24"/>
          <w:color w:val="auto"/>
        </w:rPr>
      </w:pPr>
    </w:p>
    <w:p>
      <w:pPr>
        <w:ind w:left="888" w:hanging="384"/>
        <w:spacing w:after="0"/>
        <w:tabs>
          <w:tab w:leader="none" w:pos="888" w:val="left"/>
        </w:tabs>
        <w:numPr>
          <w:ilvl w:val="1"/>
          <w:numId w:val="44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specified securities issued on a preferential basis to the promoters or the promoters</w:t>
      </w:r>
    </w:p>
    <w:p>
      <w:pPr>
        <w:spacing w:after="0" w:line="139" w:lineRule="exact"/>
        <w:rPr>
          <w:sz w:val="20"/>
          <w:szCs w:val="20"/>
          <w:color w:val="auto"/>
        </w:rPr>
      </w:pPr>
    </w:p>
    <w:p>
      <w:pPr>
        <w:ind w:left="508"/>
        <w:spacing w:after="0"/>
        <w:rPr>
          <w:sz w:val="20"/>
          <w:szCs w:val="20"/>
          <w:color w:val="auto"/>
        </w:rPr>
      </w:pPr>
      <w:r>
        <w:rPr>
          <w:rFonts w:ascii="Times New Roman" w:cs="Times New Roman" w:eastAsia="Times New Roman" w:hAnsi="Times New Roman"/>
          <w:sz w:val="24"/>
          <w:szCs w:val="24"/>
          <w:color w:val="auto"/>
        </w:rPr>
        <w:t>group.</w:t>
      </w:r>
    </w:p>
    <w:p>
      <w:pPr>
        <w:spacing w:after="0" w:line="150" w:lineRule="exact"/>
        <w:rPr>
          <w:sz w:val="20"/>
          <w:szCs w:val="20"/>
          <w:color w:val="auto"/>
        </w:rPr>
      </w:pPr>
    </w:p>
    <w:p>
      <w:pPr>
        <w:jc w:val="both"/>
        <w:ind w:left="508" w:hanging="508"/>
        <w:spacing w:after="0" w:line="354" w:lineRule="auto"/>
        <w:tabs>
          <w:tab w:leader="none" w:pos="508" w:val="left"/>
        </w:tabs>
        <w:numPr>
          <w:ilvl w:val="0"/>
          <w:numId w:val="44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For the computation of twenty per cent. of the total capital of the issuer, the amount of minimum promoters’ contribution held and locked-in, in the past in terms of Securities and Exchange Board of India (Disclosure and Investor Protection) Guidelines, 2000 or these</w:t>
      </w:r>
    </w:p>
    <w:p>
      <w:pPr>
        <w:spacing w:after="0" w:line="10" w:lineRule="exact"/>
        <w:rPr>
          <w:sz w:val="20"/>
          <w:szCs w:val="20"/>
          <w:color w:val="auto"/>
        </w:rPr>
      </w:pPr>
    </w:p>
    <w:p>
      <w:pPr>
        <w:ind w:left="508"/>
        <w:spacing w:after="0"/>
        <w:rPr>
          <w:sz w:val="20"/>
          <w:szCs w:val="20"/>
          <w:color w:val="auto"/>
        </w:rPr>
      </w:pPr>
      <w:r>
        <w:rPr>
          <w:rFonts w:ascii="Times New Roman" w:cs="Times New Roman" w:eastAsia="Times New Roman" w:hAnsi="Times New Roman"/>
          <w:sz w:val="24"/>
          <w:szCs w:val="24"/>
          <w:color w:val="auto"/>
        </w:rPr>
        <w:t>regulations shall be taken into account.</w:t>
      </w:r>
    </w:p>
    <w:p>
      <w:pPr>
        <w:spacing w:after="0" w:line="149" w:lineRule="exact"/>
        <w:rPr>
          <w:sz w:val="20"/>
          <w:szCs w:val="20"/>
          <w:color w:val="auto"/>
        </w:rPr>
      </w:pPr>
    </w:p>
    <w:p>
      <w:pPr>
        <w:jc w:val="both"/>
        <w:ind w:left="508" w:hanging="508"/>
        <w:spacing w:after="0" w:line="354" w:lineRule="auto"/>
        <w:tabs>
          <w:tab w:leader="none" w:pos="508" w:val="left"/>
        </w:tabs>
        <w:numPr>
          <w:ilvl w:val="0"/>
          <w:numId w:val="4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minimum promoters’ contribution shall not be put under fresh lock-in again, even though it is considered for computing the requirement of twenty per cent. of the total capital of the issuer, in case the said minimum promoters’ contribution is free of lock-in at the time</w:t>
      </w:r>
    </w:p>
    <w:p>
      <w:pPr>
        <w:spacing w:after="0" w:line="10" w:lineRule="exact"/>
        <w:rPr>
          <w:sz w:val="20"/>
          <w:szCs w:val="20"/>
          <w:color w:val="auto"/>
        </w:rPr>
      </w:pPr>
    </w:p>
    <w:p>
      <w:pPr>
        <w:ind w:left="508"/>
        <w:spacing w:after="0"/>
        <w:rPr>
          <w:sz w:val="20"/>
          <w:szCs w:val="20"/>
          <w:color w:val="auto"/>
        </w:rPr>
      </w:pPr>
      <w:r>
        <w:rPr>
          <w:rFonts w:ascii="Times New Roman" w:cs="Times New Roman" w:eastAsia="Times New Roman" w:hAnsi="Times New Roman"/>
          <w:sz w:val="24"/>
          <w:szCs w:val="24"/>
          <w:color w:val="auto"/>
        </w:rPr>
        <w:t>of the preferential issue.</w:t>
      </w:r>
    </w:p>
    <w:p>
      <w:pPr>
        <w:spacing w:after="0" w:line="149" w:lineRule="exact"/>
        <w:rPr>
          <w:sz w:val="20"/>
          <w:szCs w:val="20"/>
          <w:color w:val="auto"/>
        </w:rPr>
      </w:pPr>
    </w:p>
    <w:p>
      <w:pPr>
        <w:jc w:val="both"/>
        <w:ind w:left="8"/>
        <w:spacing w:after="0" w:line="354" w:lineRule="auto"/>
        <w:rPr>
          <w:sz w:val="20"/>
          <w:szCs w:val="20"/>
          <w:color w:val="auto"/>
        </w:rPr>
      </w:pPr>
      <w:r>
        <w:rPr>
          <w:rFonts w:ascii="Times New Roman" w:cs="Times New Roman" w:eastAsia="Times New Roman" w:hAnsi="Times New Roman"/>
          <w:sz w:val="24"/>
          <w:szCs w:val="24"/>
          <w:b w:val="1"/>
          <w:bCs w:val="1"/>
          <w:color w:val="auto"/>
        </w:rPr>
        <w:t xml:space="preserve">Explanation 2: </w:t>
      </w:r>
      <w:r>
        <w:rPr>
          <w:rFonts w:ascii="Times New Roman" w:cs="Times New Roman" w:eastAsia="Times New Roman" w:hAnsi="Times New Roman"/>
          <w:sz w:val="24"/>
          <w:szCs w:val="24"/>
          <w:color w:val="auto"/>
        </w:rPr>
        <w:t>For the purposes of this regulation, the date of trading approval shall mean the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latest date when trading approval has been granted by all the stock exchanges where the equity shares of the issuer are listed, for specified securities allotted as per the provisions of this Chapter.</w:t>
      </w: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108</w:t>
      </w:r>
    </w:p>
    <w:p>
      <w:pPr>
        <w:sectPr>
          <w:pgSz w:w="11900" w:h="16836" w:orient="portrait"/>
          <w:cols w:equalWidth="0" w:num="1">
            <w:col w:w="9468"/>
          </w:cols>
          <w:pgMar w:left="1152" w:top="1156" w:right="1284" w:bottom="103" w:gutter="0" w:footer="0" w:header="0"/>
        </w:sectPr>
      </w:pPr>
    </w:p>
    <w:bookmarkStart w:id="108" w:name="page109"/>
    <w:bookmarkEnd w:id="108"/>
    <w:p>
      <w:pPr>
        <w:ind w:left="8"/>
        <w:spacing w:after="0"/>
        <w:rPr>
          <w:sz w:val="20"/>
          <w:szCs w:val="20"/>
          <w:color w:val="auto"/>
        </w:rPr>
      </w:pPr>
      <w:r>
        <w:rPr>
          <w:rFonts w:ascii="Times New Roman" w:cs="Times New Roman" w:eastAsia="Times New Roman" w:hAnsi="Times New Roman"/>
          <w:sz w:val="24"/>
          <w:szCs w:val="24"/>
          <w:b w:val="1"/>
          <w:bCs w:val="1"/>
          <w:color w:val="auto"/>
        </w:rPr>
        <w:t>Transferability</w:t>
      </w:r>
    </w:p>
    <w:p>
      <w:pPr>
        <w:spacing w:after="0" w:line="145" w:lineRule="exact"/>
        <w:rPr>
          <w:sz w:val="20"/>
          <w:szCs w:val="20"/>
          <w:color w:val="auto"/>
        </w:rPr>
      </w:pPr>
    </w:p>
    <w:p>
      <w:pPr>
        <w:jc w:val="both"/>
        <w:ind w:left="8" w:hanging="8"/>
        <w:spacing w:after="0" w:line="356" w:lineRule="auto"/>
        <w:tabs>
          <w:tab w:leader="none" w:pos="550" w:val="left"/>
        </w:tabs>
        <w:numPr>
          <w:ilvl w:val="0"/>
          <w:numId w:val="44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Subject to the provisions of Securities and Exchange Board of India (Substantial Acquisition of shares and Takeovers) Regulations, 2011, specified securities held by promoters and locked-in in terms of sub-regulation (1) of regulation 167, may be transferred among the promoters or the promoter group or to a new promoter or persons in control of the issuer:</w:t>
      </w:r>
    </w:p>
    <w:p>
      <w:pPr>
        <w:spacing w:after="0" w:line="18" w:lineRule="exact"/>
        <w:rPr>
          <w:rFonts w:ascii="Times New Roman" w:cs="Times New Roman" w:eastAsia="Times New Roman" w:hAnsi="Times New Roman"/>
          <w:sz w:val="24"/>
          <w:szCs w:val="24"/>
          <w:b w:val="1"/>
          <w:bCs w:val="1"/>
          <w:color w:val="auto"/>
        </w:rPr>
      </w:pPr>
    </w:p>
    <w:p>
      <w:pPr>
        <w:ind w:left="8"/>
        <w:spacing w:after="0" w:line="350"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the lock-in on such specified securities shall continue for the remaining period with the transferee.</w:t>
      </w:r>
    </w:p>
    <w:p>
      <w:pPr>
        <w:spacing w:after="0" w:line="23" w:lineRule="exact"/>
        <w:rPr>
          <w:sz w:val="20"/>
          <w:szCs w:val="20"/>
          <w:color w:val="auto"/>
        </w:rPr>
      </w:pPr>
    </w:p>
    <w:p>
      <w:pPr>
        <w:jc w:val="both"/>
        <w:ind w:left="8" w:hanging="8"/>
        <w:spacing w:after="0" w:line="354" w:lineRule="auto"/>
        <w:tabs>
          <w:tab w:leader="none" w:pos="516" w:val="left"/>
        </w:tabs>
        <w:numPr>
          <w:ilvl w:val="0"/>
          <w:numId w:val="44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specified securities allotted on a preferential basis shall not be transferable by the allottees till the trading approval is granted for such securities by all the recognised stock exchanges where the equity shares of the issuer are listed.</w:t>
      </w:r>
    </w:p>
    <w:p>
      <w:pPr>
        <w:spacing w:after="0" w:line="200" w:lineRule="exact"/>
        <w:rPr>
          <w:sz w:val="20"/>
          <w:szCs w:val="20"/>
          <w:color w:val="auto"/>
        </w:rPr>
      </w:pPr>
    </w:p>
    <w:p>
      <w:pPr>
        <w:spacing w:after="0" w:line="22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VI: CONSIDERATION AND ALLOTMENT</w:t>
      </w:r>
    </w:p>
    <w:p>
      <w:pPr>
        <w:spacing w:after="0" w:line="200" w:lineRule="exact"/>
        <w:rPr>
          <w:sz w:val="20"/>
          <w:szCs w:val="20"/>
          <w:color w:val="auto"/>
        </w:rPr>
      </w:pPr>
    </w:p>
    <w:p>
      <w:pPr>
        <w:spacing w:after="0" w:line="35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Payment of consideration</w:t>
      </w:r>
    </w:p>
    <w:p>
      <w:pPr>
        <w:spacing w:after="0" w:line="147" w:lineRule="exact"/>
        <w:rPr>
          <w:sz w:val="20"/>
          <w:szCs w:val="20"/>
          <w:color w:val="auto"/>
        </w:rPr>
      </w:pPr>
    </w:p>
    <w:p>
      <w:pPr>
        <w:jc w:val="both"/>
        <w:ind w:left="8" w:hanging="8"/>
        <w:spacing w:after="0" w:line="354" w:lineRule="auto"/>
        <w:tabs>
          <w:tab w:leader="none" w:pos="550" w:val="left"/>
        </w:tabs>
        <w:numPr>
          <w:ilvl w:val="0"/>
          <w:numId w:val="45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Full consideration of specified securities other than warrants, shall be paid by the allottees at the time of allotment of such specified securities except in case of shares issued for consideration other than cash.</w:t>
      </w:r>
    </w:p>
    <w:p>
      <w:pPr>
        <w:spacing w:after="0" w:line="20" w:lineRule="exact"/>
        <w:rPr>
          <w:rFonts w:ascii="Times New Roman" w:cs="Times New Roman" w:eastAsia="Times New Roman" w:hAnsi="Times New Roman"/>
          <w:sz w:val="24"/>
          <w:szCs w:val="24"/>
          <w:b w:val="1"/>
          <w:bCs w:val="1"/>
          <w:color w:val="auto"/>
        </w:rPr>
      </w:pPr>
    </w:p>
    <w:p>
      <w:pPr>
        <w:jc w:val="both"/>
        <w:ind w:left="8"/>
        <w:spacing w:after="0" w:line="356"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in case of a preferential issue of specified securities pursuant to any resolution of stressed assets under a framework specified by the Reserve Bank of India or a resolution plan approved by the National Company Law Tribunal under the Insolvency and Bankruptcy Code 2016, the consideration may be in terms of such scheme.</w:t>
      </w:r>
    </w:p>
    <w:p>
      <w:pPr>
        <w:spacing w:after="0" w:line="18" w:lineRule="exact"/>
        <w:rPr>
          <w:rFonts w:ascii="Times New Roman" w:cs="Times New Roman" w:eastAsia="Times New Roman" w:hAnsi="Times New Roman"/>
          <w:sz w:val="24"/>
          <w:szCs w:val="24"/>
          <w:b w:val="1"/>
          <w:bCs w:val="1"/>
          <w:color w:val="auto"/>
        </w:rPr>
      </w:pPr>
    </w:p>
    <w:p>
      <w:pPr>
        <w:jc w:val="both"/>
        <w:ind w:left="8"/>
        <w:spacing w:after="0" w:line="357"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In the case of warrants, an amount equivalent to at least twenty five per cent. of the consideration determined in terms of regulation 164 shall be paid against each warrant on the date of allotment of warrants and the balance seventy five per cent. of the consideration shall be paid at the time of allotment of the equity shares pursuant to exercise of options against each such warrant by the warrant holder.</w:t>
      </w:r>
    </w:p>
    <w:p>
      <w:pPr>
        <w:spacing w:after="0" w:line="19" w:lineRule="exact"/>
        <w:rPr>
          <w:rFonts w:ascii="Times New Roman" w:cs="Times New Roman" w:eastAsia="Times New Roman" w:hAnsi="Times New Roman"/>
          <w:sz w:val="24"/>
          <w:szCs w:val="24"/>
          <w:b w:val="1"/>
          <w:bCs w:val="1"/>
          <w:color w:val="auto"/>
        </w:rPr>
      </w:pPr>
    </w:p>
    <w:p>
      <w:pPr>
        <w:jc w:val="both"/>
        <w:ind w:left="8"/>
        <w:spacing w:after="0" w:line="357"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in case the exercise price of the warrants is based on the formula, at least twenty-five per cent. of the consideration amount calculated as per the formula with conversion date being the relevant date shall be paid against each warrant on the date of allotment of warrants and the balance consideration shall be paid at the time of allotment of the equity shares pursuant to exercise of options against each such warrant by the warrant holder.</w:t>
      </w:r>
    </w:p>
    <w:p>
      <w:pPr>
        <w:spacing w:after="0" w:line="16"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(3) In case the warrant holder does not exercise the option for equity shares against any of the warrants held by the warrant holder, the consideration paid in respect of such warrant in terms of sub-regulation (2) shall be forfeited by the issuer.</w:t>
      </w: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109</w:t>
      </w:r>
    </w:p>
    <w:p>
      <w:pPr>
        <w:sectPr>
          <w:pgSz w:w="11900" w:h="16836" w:orient="portrait"/>
          <w:cols w:equalWidth="0" w:num="1">
            <w:col w:w="9468"/>
          </w:cols>
          <w:pgMar w:left="1152" w:top="1149" w:right="1284" w:bottom="103" w:gutter="0" w:footer="0" w:header="0"/>
        </w:sectPr>
      </w:pPr>
    </w:p>
    <w:bookmarkStart w:id="109" w:name="page110"/>
    <w:bookmarkEnd w:id="109"/>
    <w:p>
      <w:pPr>
        <w:jc w:val="both"/>
        <w:ind w:left="8" w:hanging="8"/>
        <w:spacing w:after="0" w:line="354" w:lineRule="auto"/>
        <w:tabs>
          <w:tab w:leader="none" w:pos="365" w:val="left"/>
        </w:tabs>
        <w:numPr>
          <w:ilvl w:val="0"/>
          <w:numId w:val="45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ensure that the consideration of specified securities, if paid in cash, shall be received from respective allottee's bank account and in the case of joint holders, shall be received from the bank account of the person whose name appears first in the application.</w:t>
      </w:r>
    </w:p>
    <w:p>
      <w:pPr>
        <w:spacing w:after="0" w:line="200" w:lineRule="exact"/>
        <w:rPr>
          <w:rFonts w:ascii="Times New Roman" w:cs="Times New Roman" w:eastAsia="Times New Roman" w:hAnsi="Times New Roman"/>
          <w:sz w:val="24"/>
          <w:szCs w:val="24"/>
          <w:color w:val="auto"/>
        </w:rPr>
      </w:pPr>
    </w:p>
    <w:p>
      <w:pPr>
        <w:spacing w:after="0" w:line="235" w:lineRule="exact"/>
        <w:rPr>
          <w:rFonts w:ascii="Times New Roman" w:cs="Times New Roman" w:eastAsia="Times New Roman" w:hAnsi="Times New Roman"/>
          <w:sz w:val="24"/>
          <w:szCs w:val="24"/>
          <w:color w:val="auto"/>
        </w:rPr>
      </w:pPr>
    </w:p>
    <w:p>
      <w:pPr>
        <w:jc w:val="both"/>
        <w:ind w:left="8" w:hanging="8"/>
        <w:spacing w:after="0" w:line="348" w:lineRule="auto"/>
        <w:tabs>
          <w:tab w:leader="none" w:pos="430" w:val="left"/>
        </w:tabs>
        <w:numPr>
          <w:ilvl w:val="0"/>
          <w:numId w:val="45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submit a certificate from the statutory auditors to the stock exchanges where the equity shares of the issuer are listed stating that the issuer is in compliance of sub-regulation</w:t>
      </w:r>
    </w:p>
    <w:p>
      <w:pPr>
        <w:spacing w:after="0" w:line="15" w:lineRule="exact"/>
        <w:rPr>
          <w:rFonts w:ascii="Times New Roman" w:cs="Times New Roman" w:eastAsia="Times New Roman" w:hAnsi="Times New Roman"/>
          <w:sz w:val="24"/>
          <w:szCs w:val="24"/>
          <w:color w:val="auto"/>
        </w:rPr>
      </w:pPr>
    </w:p>
    <w:p>
      <w:pPr>
        <w:ind w:left="348" w:hanging="348"/>
        <w:spacing w:after="0"/>
        <w:tabs>
          <w:tab w:leader="none" w:pos="348" w:val="left"/>
        </w:tabs>
        <w:numPr>
          <w:ilvl w:val="0"/>
          <w:numId w:val="45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and the relevant documents thereof are maintained by the issuer as on the date of certification.</w:t>
      </w:r>
    </w:p>
    <w:p>
      <w:pPr>
        <w:spacing w:after="0" w:line="200" w:lineRule="exact"/>
        <w:rPr>
          <w:sz w:val="20"/>
          <w:szCs w:val="20"/>
          <w:color w:val="auto"/>
        </w:rPr>
      </w:pPr>
    </w:p>
    <w:p>
      <w:pPr>
        <w:spacing w:after="0" w:line="35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Allotment</w:t>
      </w:r>
    </w:p>
    <w:p>
      <w:pPr>
        <w:spacing w:after="0" w:line="144" w:lineRule="exact"/>
        <w:rPr>
          <w:sz w:val="20"/>
          <w:szCs w:val="20"/>
          <w:color w:val="auto"/>
        </w:rPr>
      </w:pPr>
    </w:p>
    <w:p>
      <w:pPr>
        <w:ind w:left="8" w:hanging="8"/>
        <w:spacing w:after="0" w:line="350" w:lineRule="auto"/>
        <w:tabs>
          <w:tab w:leader="none" w:pos="492" w:val="left"/>
        </w:tabs>
        <w:numPr>
          <w:ilvl w:val="0"/>
          <w:numId w:val="45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Allotment pursuant to the special resolution shall be completed within a period of fifteen days from the date of passing of such resolution:</w:t>
      </w:r>
    </w:p>
    <w:p>
      <w:pPr>
        <w:spacing w:after="0" w:line="23" w:lineRule="exact"/>
        <w:rPr>
          <w:rFonts w:ascii="Times New Roman" w:cs="Times New Roman" w:eastAsia="Times New Roman" w:hAnsi="Times New Roman"/>
          <w:sz w:val="24"/>
          <w:szCs w:val="24"/>
          <w:b w:val="1"/>
          <w:bCs w:val="1"/>
          <w:color w:val="auto"/>
        </w:rPr>
      </w:pPr>
    </w:p>
    <w:p>
      <w:pPr>
        <w:jc w:val="both"/>
        <w:ind w:left="8"/>
        <w:spacing w:after="0" w:line="357"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where any application for exemption from the applicability of the Securities and Exchange Board of India (Substantial Acquisition of Shares and Takeovers) Regulations, 2011 or any approval or permission by any regulatory authority or the Central Government for allotment is pending, the period of fifteen days shall be counted from the date of the order on such application or the date of approval or permission, as the case may be:</w:t>
      </w:r>
    </w:p>
    <w:p>
      <w:pPr>
        <w:spacing w:after="0" w:line="19" w:lineRule="exact"/>
        <w:rPr>
          <w:rFonts w:ascii="Times New Roman" w:cs="Times New Roman" w:eastAsia="Times New Roman" w:hAnsi="Times New Roman"/>
          <w:sz w:val="24"/>
          <w:szCs w:val="24"/>
          <w:b w:val="1"/>
          <w:bCs w:val="1"/>
          <w:color w:val="auto"/>
        </w:rPr>
      </w:pPr>
    </w:p>
    <w:p>
      <w:pPr>
        <w:jc w:val="both"/>
        <w:ind w:left="8"/>
        <w:spacing w:after="0" w:line="357"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further that where the Board has granted relaxation to the issuer in terms of the Securities and Exchange Board of India (Substantial Acquisition of Shares and Takeovers) Regulations, 2011, the preferential issue of equity shares and compulsorily convertible debt instruments, whether fully or partly, shall be made by it within such time as may be specified by the Board in its order granting the relaxation:</w:t>
      </w:r>
    </w:p>
    <w:p>
      <w:pPr>
        <w:spacing w:after="0" w:line="16" w:lineRule="exact"/>
        <w:rPr>
          <w:rFonts w:ascii="Times New Roman" w:cs="Times New Roman" w:eastAsia="Times New Roman" w:hAnsi="Times New Roman"/>
          <w:sz w:val="24"/>
          <w:szCs w:val="24"/>
          <w:b w:val="1"/>
          <w:bCs w:val="1"/>
          <w:color w:val="auto"/>
        </w:rPr>
      </w:pPr>
    </w:p>
    <w:p>
      <w:pPr>
        <w:jc w:val="both"/>
        <w:ind w:left="8"/>
        <w:spacing w:after="0" w:line="357"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further that requirement of allotment within fifteen days shall not apply to allotment of specified securities on preferential basis pursuant to any resolution of stressed assets under a framework specified by the Reserve Bank of India or a resolution plan approved by the National Company Law Tribunal under the Insolvency and Bankruptcy Code 2016.</w:t>
      </w:r>
    </w:p>
    <w:p>
      <w:pPr>
        <w:spacing w:after="0" w:line="14" w:lineRule="exact"/>
        <w:rPr>
          <w:rFonts w:ascii="Times New Roman" w:cs="Times New Roman" w:eastAsia="Times New Roman" w:hAnsi="Times New Roman"/>
          <w:sz w:val="24"/>
          <w:szCs w:val="24"/>
          <w:b w:val="1"/>
          <w:bCs w:val="1"/>
          <w:color w:val="auto"/>
        </w:rPr>
      </w:pPr>
    </w:p>
    <w:p>
      <w:pPr>
        <w:jc w:val="both"/>
        <w:ind w:left="8"/>
        <w:spacing w:after="0" w:line="356"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If the allotment of the specified securities is not completed within fifteen days from the date of special resolution, a fresh special resolution shall be passed and the relevant date for determining the price of specified securities under this Chapter shall be taken with reference to the date of the latter special resolution.</w:t>
      </w:r>
    </w:p>
    <w:p>
      <w:pPr>
        <w:spacing w:after="0" w:line="18" w:lineRule="exact"/>
        <w:rPr>
          <w:rFonts w:ascii="Times New Roman" w:cs="Times New Roman" w:eastAsia="Times New Roman" w:hAnsi="Times New Roman"/>
          <w:sz w:val="24"/>
          <w:szCs w:val="24"/>
          <w:b w:val="1"/>
          <w:bCs w:val="1"/>
          <w:color w:val="auto"/>
        </w:rPr>
      </w:pPr>
    </w:p>
    <w:p>
      <w:pPr>
        <w:jc w:val="both"/>
        <w:ind w:left="8"/>
        <w:spacing w:after="0" w:line="35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(3) Notwithstanding anything contained in this regulation, where a preferential allotment is made that attracts an obligation to make an open offer for shares of the issuer under Securities and Exchange Board of India (Substantial Acquisition of Shares and Takeovers) Regulation, 2011, and there is no offer made under sub-regulation (1) of regulation 20 of the Securities and Exchange Board of India (Substantial Acquisition of Shares and Takeovers) Regulation, 2011, the period of fifteen days shall be considered from the expiry of the period specified in sub-regulation</w:t>
      </w:r>
    </w:p>
    <w:p>
      <w:pPr>
        <w:spacing w:after="0" w:line="25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110</w:t>
      </w:r>
    </w:p>
    <w:p>
      <w:pPr>
        <w:sectPr>
          <w:pgSz w:w="11900" w:h="16836" w:orient="portrait"/>
          <w:cols w:equalWidth="0" w:num="1">
            <w:col w:w="9468"/>
          </w:cols>
          <w:pgMar w:left="1152" w:top="1156" w:right="1284" w:bottom="103" w:gutter="0" w:footer="0" w:header="0"/>
        </w:sectPr>
      </w:pPr>
    </w:p>
    <w:bookmarkStart w:id="110" w:name="page111"/>
    <w:bookmarkEnd w:id="110"/>
    <w:p>
      <w:pPr>
        <w:jc w:val="both"/>
        <w:ind w:left="8" w:hanging="8"/>
        <w:spacing w:after="0" w:line="354" w:lineRule="auto"/>
        <w:tabs>
          <w:tab w:leader="none" w:pos="358" w:val="left"/>
        </w:tabs>
        <w:numPr>
          <w:ilvl w:val="0"/>
          <w:numId w:val="45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of regulation 20 or date of receipt of all statutory approvals required for the completion of an open offer under the Securities and Exchange Board of India (Substantial Acquisition of Shares and Takeovers) Regulation, 2011:</w:t>
      </w:r>
    </w:p>
    <w:p>
      <w:pPr>
        <w:spacing w:after="0" w:line="20" w:lineRule="exact"/>
        <w:rPr>
          <w:rFonts w:ascii="Times New Roman" w:cs="Times New Roman" w:eastAsia="Times New Roman" w:hAnsi="Times New Roman"/>
          <w:sz w:val="24"/>
          <w:szCs w:val="24"/>
          <w:color w:val="auto"/>
        </w:rPr>
      </w:pPr>
    </w:p>
    <w:p>
      <w:pPr>
        <w:jc w:val="both"/>
        <w:ind w:left="8"/>
        <w:spacing w:after="0" w:line="357"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if an offer is made under sub-regulation (1) of regulation 20 of the Securities and Exchange Board of India (Substantial Acquisition of Shares and Takeovers) Regulation, 2011, the period of fifteen days shall be counted from the expiry of the offer period as defined in the Securities and Exchange Board of India (Substantial Acquisition of Shares and Takeovers) Regulation, 2011:</w:t>
      </w:r>
    </w:p>
    <w:p>
      <w:pPr>
        <w:spacing w:after="0" w:line="19" w:lineRule="exact"/>
        <w:rPr>
          <w:rFonts w:ascii="Times New Roman" w:cs="Times New Roman" w:eastAsia="Times New Roman" w:hAnsi="Times New Roman"/>
          <w:sz w:val="24"/>
          <w:szCs w:val="24"/>
          <w:color w:val="auto"/>
        </w:rPr>
      </w:pPr>
    </w:p>
    <w:p>
      <w:pPr>
        <w:jc w:val="both"/>
        <w:ind w:left="8"/>
        <w:spacing w:after="0" w:line="35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further that the provisions of this sub-regulation shall not apply to an offer made under sub-regulation (1) of regulation 20 of the Securities and Exchange Board of India (Substantial Acquisition of Shares and Takeovers) Regulation, 2011, pursuant to a preferential allotment.”</w:t>
      </w:r>
    </w:p>
    <w:p>
      <w:pPr>
        <w:spacing w:after="0" w:line="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(4) Allotment of the specified securities shall be made only in dematerialised form.</w:t>
      </w:r>
    </w:p>
    <w:p>
      <w:pPr>
        <w:spacing w:after="0" w:line="151" w:lineRule="exact"/>
        <w:rPr>
          <w:sz w:val="20"/>
          <w:szCs w:val="20"/>
          <w:color w:val="auto"/>
        </w:rPr>
      </w:pPr>
    </w:p>
    <w:p>
      <w:pPr>
        <w:jc w:val="both"/>
        <w:ind w:left="8" w:right="60"/>
        <w:spacing w:after="0" w:line="354" w:lineRule="auto"/>
        <w:rPr>
          <w:sz w:val="20"/>
          <w:szCs w:val="20"/>
          <w:color w:val="auto"/>
        </w:rPr>
      </w:pPr>
      <w:r>
        <w:rPr>
          <w:rFonts w:ascii="Times New Roman" w:cs="Times New Roman" w:eastAsia="Times New Roman" w:hAnsi="Times New Roman"/>
          <w:sz w:val="24"/>
          <w:szCs w:val="24"/>
          <w:b w:val="1"/>
          <w:bCs w:val="1"/>
          <w:color w:val="auto"/>
        </w:rPr>
        <w:t>Explanation</w:t>
      </w:r>
      <w:r>
        <w:rPr>
          <w:rFonts w:ascii="Times New Roman" w:cs="Times New Roman" w:eastAsia="Times New Roman" w:hAnsi="Times New Roman"/>
          <w:sz w:val="24"/>
          <w:szCs w:val="24"/>
          <w:color w:val="auto"/>
        </w:rPr>
        <w:t>: The requirement of allotment in dematerialised form shall also be applicable for</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the equity shares to be allotted pursuant to exercise of option attached to warrant or conversion of convertible securities.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6"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111</w:t>
      </w:r>
    </w:p>
    <w:p>
      <w:pPr>
        <w:sectPr>
          <w:pgSz w:w="11900" w:h="16836" w:orient="portrait"/>
          <w:cols w:equalWidth="0" w:num="1">
            <w:col w:w="9468"/>
          </w:cols>
          <w:pgMar w:left="1152" w:top="1156" w:right="1284" w:bottom="103" w:gutter="0" w:footer="0" w:header="0"/>
        </w:sectPr>
      </w:pPr>
    </w:p>
    <w:bookmarkStart w:id="111" w:name="page112"/>
    <w:bookmarkEnd w:id="111"/>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CHAPTER VI – QUALIFIED INSTITUTIONS PLACEMENT</w:t>
      </w:r>
    </w:p>
    <w:p>
      <w:pPr>
        <w:spacing w:after="0" w:line="200" w:lineRule="exact"/>
        <w:rPr>
          <w:sz w:val="20"/>
          <w:szCs w:val="20"/>
          <w:color w:val="auto"/>
        </w:rPr>
      </w:pPr>
    </w:p>
    <w:p>
      <w:pPr>
        <w:spacing w:after="0" w:line="35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Definitions</w:t>
      </w:r>
    </w:p>
    <w:p>
      <w:pPr>
        <w:spacing w:after="0" w:line="132" w:lineRule="exact"/>
        <w:rPr>
          <w:sz w:val="20"/>
          <w:szCs w:val="20"/>
          <w:color w:val="auto"/>
        </w:rPr>
      </w:pPr>
    </w:p>
    <w:p>
      <w:pPr>
        <w:ind w:left="488" w:hanging="488"/>
        <w:spacing w:after="0"/>
        <w:tabs>
          <w:tab w:leader="none" w:pos="488" w:val="left"/>
        </w:tabs>
        <w:numPr>
          <w:ilvl w:val="0"/>
          <w:numId w:val="45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For the purpose of this Chapter:</w:t>
      </w:r>
    </w:p>
    <w:p>
      <w:pPr>
        <w:spacing w:after="0" w:line="151" w:lineRule="exact"/>
        <w:rPr>
          <w:sz w:val="20"/>
          <w:szCs w:val="20"/>
          <w:color w:val="auto"/>
        </w:rPr>
      </w:pPr>
    </w:p>
    <w:p>
      <w:pPr>
        <w:ind w:left="368" w:hanging="368"/>
        <w:spacing w:after="0" w:line="342" w:lineRule="auto"/>
        <w:tabs>
          <w:tab w:leader="none" w:pos="368" w:val="left"/>
        </w:tabs>
        <w:numPr>
          <w:ilvl w:val="0"/>
          <w:numId w:val="456"/>
        </w:numPr>
        <w:rPr>
          <w:rFonts w:ascii="Calibri" w:cs="Calibri" w:eastAsia="Calibri" w:hAnsi="Calibri"/>
          <w:sz w:val="22"/>
          <w:szCs w:val="22"/>
          <w:color w:val="auto"/>
        </w:rPr>
      </w:pPr>
      <w:r>
        <w:rPr>
          <w:rFonts w:ascii="Times New Roman" w:cs="Times New Roman" w:eastAsia="Times New Roman" w:hAnsi="Times New Roman"/>
          <w:sz w:val="24"/>
          <w:szCs w:val="24"/>
          <w:color w:val="auto"/>
        </w:rPr>
        <w:t>“eligible securities” include equity shares, non-convertible debt instruments along with warrants and convertible securities other than warrants;</w:t>
      </w:r>
    </w:p>
    <w:p>
      <w:pPr>
        <w:spacing w:after="0" w:line="11" w:lineRule="exact"/>
        <w:rPr>
          <w:rFonts w:ascii="Calibri" w:cs="Calibri" w:eastAsia="Calibri" w:hAnsi="Calibri"/>
          <w:sz w:val="22"/>
          <w:szCs w:val="22"/>
          <w:color w:val="auto"/>
        </w:rPr>
      </w:pPr>
    </w:p>
    <w:p>
      <w:pPr>
        <w:ind w:left="368" w:hanging="368"/>
        <w:spacing w:after="0"/>
        <w:tabs>
          <w:tab w:leader="none" w:pos="368" w:val="left"/>
        </w:tabs>
        <w:numPr>
          <w:ilvl w:val="0"/>
          <w:numId w:val="456"/>
        </w:numPr>
        <w:rPr>
          <w:rFonts w:ascii="Calibri" w:cs="Calibri" w:eastAsia="Calibri" w:hAnsi="Calibri"/>
          <w:sz w:val="22"/>
          <w:szCs w:val="22"/>
          <w:color w:val="auto"/>
        </w:rPr>
      </w:pPr>
      <w:r>
        <w:rPr>
          <w:rFonts w:ascii="Times New Roman" w:cs="Times New Roman" w:eastAsia="Times New Roman" w:hAnsi="Times New Roman"/>
          <w:sz w:val="24"/>
          <w:szCs w:val="24"/>
          <w:color w:val="auto"/>
        </w:rPr>
        <w:t>"relevant date" means:</w:t>
      </w:r>
    </w:p>
    <w:p>
      <w:pPr>
        <w:spacing w:after="0" w:line="149" w:lineRule="exact"/>
        <w:rPr>
          <w:rFonts w:ascii="Calibri" w:cs="Calibri" w:eastAsia="Calibri" w:hAnsi="Calibri"/>
          <w:sz w:val="22"/>
          <w:szCs w:val="22"/>
          <w:color w:val="auto"/>
        </w:rPr>
      </w:pPr>
    </w:p>
    <w:p>
      <w:pPr>
        <w:jc w:val="both"/>
        <w:ind w:left="728" w:hanging="368"/>
        <w:spacing w:after="0" w:line="354" w:lineRule="auto"/>
        <w:tabs>
          <w:tab w:leader="none" w:pos="728" w:val="left"/>
        </w:tabs>
        <w:numPr>
          <w:ilvl w:val="1"/>
          <w:numId w:val="45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allotment of equity shares, the date of the meeting in which the board of directors of the issuer or the committee of directors duly authorised by the board of directors of the issuer decides to open the proposed issue;</w:t>
      </w:r>
    </w:p>
    <w:p>
      <w:pPr>
        <w:spacing w:after="0" w:line="22" w:lineRule="exact"/>
        <w:rPr>
          <w:rFonts w:ascii="Times New Roman" w:cs="Times New Roman" w:eastAsia="Times New Roman" w:hAnsi="Times New Roman"/>
          <w:sz w:val="24"/>
          <w:szCs w:val="24"/>
          <w:color w:val="auto"/>
        </w:rPr>
      </w:pPr>
    </w:p>
    <w:p>
      <w:pPr>
        <w:jc w:val="both"/>
        <w:ind w:left="728" w:hanging="368"/>
        <w:spacing w:after="0" w:line="357" w:lineRule="auto"/>
        <w:tabs>
          <w:tab w:leader="none" w:pos="728" w:val="left"/>
        </w:tabs>
        <w:numPr>
          <w:ilvl w:val="1"/>
          <w:numId w:val="45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allotment of eligible convertible securities, either the date of the meeting in which the board of directors of the issuer or the committee of directors duly authorised by the board of directors of the issuer decides to open the issue of such convertible securities or the date on which the holders of such convertible securities become entitled to apply for the equity shares.</w:t>
      </w:r>
    </w:p>
    <w:p>
      <w:pPr>
        <w:spacing w:after="0" w:line="200" w:lineRule="exact"/>
        <w:rPr>
          <w:sz w:val="20"/>
          <w:szCs w:val="20"/>
          <w:color w:val="auto"/>
        </w:rPr>
      </w:pPr>
    </w:p>
    <w:p>
      <w:pPr>
        <w:spacing w:after="0" w:line="224"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I: CONDITIONS FOR QUALIFIED INSTITUTIONS PLACEMENT</w:t>
      </w:r>
    </w:p>
    <w:p>
      <w:pPr>
        <w:spacing w:after="0" w:line="200" w:lineRule="exact"/>
        <w:rPr>
          <w:sz w:val="20"/>
          <w:szCs w:val="20"/>
          <w:color w:val="auto"/>
        </w:rPr>
      </w:pPr>
    </w:p>
    <w:p>
      <w:pPr>
        <w:spacing w:after="0" w:line="35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Eligibility conditions</w:t>
      </w:r>
    </w:p>
    <w:p>
      <w:pPr>
        <w:spacing w:after="0" w:line="144" w:lineRule="exact"/>
        <w:rPr>
          <w:sz w:val="20"/>
          <w:szCs w:val="20"/>
          <w:color w:val="auto"/>
        </w:rPr>
      </w:pPr>
    </w:p>
    <w:p>
      <w:pPr>
        <w:ind w:left="8"/>
        <w:spacing w:after="0" w:line="350" w:lineRule="auto"/>
        <w:rPr>
          <w:sz w:val="20"/>
          <w:szCs w:val="20"/>
          <w:color w:val="auto"/>
        </w:rPr>
      </w:pPr>
      <w:r>
        <w:rPr>
          <w:rFonts w:ascii="Times New Roman" w:cs="Times New Roman" w:eastAsia="Times New Roman" w:hAnsi="Times New Roman"/>
          <w:sz w:val="24"/>
          <w:szCs w:val="24"/>
          <w:b w:val="1"/>
          <w:bCs w:val="1"/>
          <w:color w:val="auto"/>
        </w:rPr>
        <w:t>172</w:t>
      </w:r>
      <w:r>
        <w:rPr>
          <w:rFonts w:ascii="Times New Roman" w:cs="Times New Roman" w:eastAsia="Times New Roman" w:hAnsi="Times New Roman"/>
          <w:sz w:val="24"/>
          <w:szCs w:val="24"/>
          <w:color w:val="auto"/>
        </w:rPr>
        <w:t>. (1) A listed issuer may make a qualified institutions placement of eligible securities if it satisfies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the following conditions:</w:t>
      </w:r>
    </w:p>
    <w:p>
      <w:pPr>
        <w:spacing w:after="0" w:line="23" w:lineRule="exact"/>
        <w:rPr>
          <w:sz w:val="20"/>
          <w:szCs w:val="20"/>
          <w:color w:val="auto"/>
        </w:rPr>
      </w:pPr>
    </w:p>
    <w:p>
      <w:pPr>
        <w:jc w:val="both"/>
        <w:ind w:left="548" w:hanging="548"/>
        <w:spacing w:after="0" w:line="357" w:lineRule="auto"/>
        <w:tabs>
          <w:tab w:leader="none" w:pos="548" w:val="left"/>
        </w:tabs>
        <w:numPr>
          <w:ilvl w:val="0"/>
          <w:numId w:val="45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special resolution approving the qualified institutions placement has been passed by its shareholders, and the special resolution shall, among other relevant matters, specify that the allotment is proposed to be made through qualified institutions placement and the relevant date referred to in sub-clause (ii) of clause (b) of regulation 171;</w:t>
      </w:r>
    </w:p>
    <w:p>
      <w:pPr>
        <w:spacing w:after="0" w:line="14" w:lineRule="exact"/>
        <w:rPr>
          <w:rFonts w:ascii="Times New Roman" w:cs="Times New Roman" w:eastAsia="Times New Roman" w:hAnsi="Times New Roman"/>
          <w:sz w:val="24"/>
          <w:szCs w:val="24"/>
          <w:color w:val="auto"/>
        </w:rPr>
      </w:pPr>
    </w:p>
    <w:p>
      <w:pPr>
        <w:jc w:val="both"/>
        <w:ind w:left="548"/>
        <w:spacing w:after="0" w:line="356"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no shareholders’ resolution will be required in case the qualified institutions placement is through an offer for sale by promoters or promoter group for compliance with minimum public shareholding requirements specified in the Securities Contracts (Regulation) Rules, 1957;</w:t>
      </w:r>
    </w:p>
    <w:p>
      <w:pPr>
        <w:spacing w:after="0" w:line="18" w:lineRule="exact"/>
        <w:rPr>
          <w:rFonts w:ascii="Times New Roman" w:cs="Times New Roman" w:eastAsia="Times New Roman" w:hAnsi="Times New Roman"/>
          <w:sz w:val="24"/>
          <w:szCs w:val="24"/>
          <w:color w:val="auto"/>
        </w:rPr>
      </w:pPr>
    </w:p>
    <w:p>
      <w:pPr>
        <w:jc w:val="both"/>
        <w:ind w:left="548"/>
        <w:spacing w:after="0" w:line="35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further that allotment pursuant to the special resolution referred to in this clause (a) of regulation 172 shall be completed within a period of 365 days from the date of passing of the resolution.</w:t>
      </w:r>
    </w:p>
    <w:p>
      <w:pPr>
        <w:spacing w:after="0" w:line="22" w:lineRule="exact"/>
        <w:rPr>
          <w:rFonts w:ascii="Times New Roman" w:cs="Times New Roman" w:eastAsia="Times New Roman" w:hAnsi="Times New Roman"/>
          <w:sz w:val="24"/>
          <w:szCs w:val="24"/>
          <w:color w:val="auto"/>
        </w:rPr>
      </w:pPr>
    </w:p>
    <w:p>
      <w:pPr>
        <w:jc w:val="both"/>
        <w:ind w:left="548" w:hanging="548"/>
        <w:spacing w:after="0" w:line="375" w:lineRule="auto"/>
        <w:tabs>
          <w:tab w:leader="none" w:pos="548" w:val="left"/>
        </w:tabs>
        <w:numPr>
          <w:ilvl w:val="0"/>
          <w:numId w:val="457"/>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the equity shares of the same class, which are proposed to be allotted through qualified institutions placement or pursuant to conversion or exchange of eligible securities offered through qualified institutions placement, have been listed on a stock exchange for a period of at</w:t>
      </w:r>
    </w:p>
    <w:p>
      <w:pPr>
        <w:spacing w:after="0" w:line="246"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112</w:t>
      </w:r>
    </w:p>
    <w:p>
      <w:pPr>
        <w:sectPr>
          <w:pgSz w:w="11900" w:h="16836" w:orient="portrait"/>
          <w:cols w:equalWidth="0" w:num="1">
            <w:col w:w="9468"/>
          </w:cols>
          <w:pgMar w:left="1152" w:top="1149" w:right="1284" w:bottom="103" w:gutter="0" w:footer="0" w:header="0"/>
        </w:sectPr>
      </w:pPr>
    </w:p>
    <w:bookmarkStart w:id="112" w:name="page113"/>
    <w:bookmarkEnd w:id="112"/>
    <w:p>
      <w:pPr>
        <w:jc w:val="both"/>
        <w:ind w:left="548" w:right="20"/>
        <w:spacing w:after="0" w:line="348" w:lineRule="auto"/>
        <w:rPr>
          <w:sz w:val="20"/>
          <w:szCs w:val="20"/>
          <w:color w:val="auto"/>
        </w:rPr>
      </w:pPr>
      <w:r>
        <w:rPr>
          <w:rFonts w:ascii="Times New Roman" w:cs="Times New Roman" w:eastAsia="Times New Roman" w:hAnsi="Times New Roman"/>
          <w:sz w:val="24"/>
          <w:szCs w:val="24"/>
          <w:color w:val="auto"/>
        </w:rPr>
        <w:t>least one year prior to the date of issuance of notice to its shareholders for convening the meeting to pass the special resolution:</w:t>
      </w:r>
    </w:p>
    <w:p>
      <w:pPr>
        <w:spacing w:after="0" w:line="28" w:lineRule="exact"/>
        <w:rPr>
          <w:sz w:val="20"/>
          <w:szCs w:val="20"/>
          <w:color w:val="auto"/>
        </w:rPr>
      </w:pPr>
    </w:p>
    <w:p>
      <w:pPr>
        <w:jc w:val="both"/>
        <w:ind w:left="548" w:right="20"/>
        <w:spacing w:after="0" w:line="358" w:lineRule="auto"/>
        <w:rPr>
          <w:sz w:val="20"/>
          <w:szCs w:val="20"/>
          <w:color w:val="auto"/>
        </w:rPr>
      </w:pPr>
      <w:r>
        <w:rPr>
          <w:rFonts w:ascii="Times New Roman" w:cs="Times New Roman" w:eastAsia="Times New Roman" w:hAnsi="Times New Roman"/>
          <w:sz w:val="24"/>
          <w:szCs w:val="24"/>
          <w:color w:val="auto"/>
        </w:rPr>
        <w:t>Provided that where an issuer, being a transferee company in a scheme of compromise, arrangement and amalgamation sanctioned by a High Court under sections 391-394 of the Companies Act, 1956 or approved by a tribunal or the Central Government under sections 230 to 234 of the Companies Act, 2013, whichever is applicable makes qualified institutions placement, the period for which the equity shares of the same class of the transferor company were listed on a stock exchange having nation-wide trading terminals shall also be considered for the purpose of computation of the period of one year.</w:t>
      </w:r>
    </w:p>
    <w:p>
      <w:pPr>
        <w:spacing w:after="0" w:line="16" w:lineRule="exact"/>
        <w:rPr>
          <w:sz w:val="20"/>
          <w:szCs w:val="20"/>
          <w:color w:val="auto"/>
        </w:rPr>
      </w:pPr>
    </w:p>
    <w:p>
      <w:pPr>
        <w:jc w:val="both"/>
        <w:ind w:left="548" w:right="20"/>
        <w:spacing w:after="0" w:line="354" w:lineRule="auto"/>
        <w:rPr>
          <w:sz w:val="20"/>
          <w:szCs w:val="20"/>
          <w:color w:val="auto"/>
        </w:rPr>
      </w:pPr>
      <w:r>
        <w:rPr>
          <w:rFonts w:ascii="Times New Roman" w:cs="Times New Roman" w:eastAsia="Times New Roman" w:hAnsi="Times New Roman"/>
          <w:sz w:val="24"/>
          <w:szCs w:val="24"/>
          <w:color w:val="auto"/>
        </w:rPr>
        <w:t>Provided further that this clause shall not be applicable to an issuer proposing to undertake qualified institutional placement for complying with the minimum public shareholding requirements specified in the Securities Contracts (Regulation) 1957.</w:t>
      </w:r>
    </w:p>
    <w:p>
      <w:pPr>
        <w:spacing w:after="0" w:line="22" w:lineRule="exact"/>
        <w:rPr>
          <w:sz w:val="20"/>
          <w:szCs w:val="20"/>
          <w:color w:val="auto"/>
        </w:rPr>
      </w:pPr>
    </w:p>
    <w:p>
      <w:pPr>
        <w:jc w:val="both"/>
        <w:ind w:left="548"/>
        <w:spacing w:after="0" w:line="348" w:lineRule="auto"/>
        <w:rPr>
          <w:sz w:val="20"/>
          <w:szCs w:val="20"/>
          <w:color w:val="auto"/>
        </w:rPr>
      </w:pPr>
      <w:r>
        <w:rPr>
          <w:rFonts w:ascii="Times New Roman" w:cs="Times New Roman" w:eastAsia="Times New Roman" w:hAnsi="Times New Roman"/>
          <w:sz w:val="24"/>
          <w:szCs w:val="24"/>
          <w:b w:val="1"/>
          <w:bCs w:val="1"/>
          <w:color w:val="auto"/>
        </w:rPr>
        <w:t>Explanation</w:t>
      </w:r>
      <w:r>
        <w:rPr>
          <w:rFonts w:ascii="Times New Roman" w:cs="Times New Roman" w:eastAsia="Times New Roman" w:hAnsi="Times New Roman"/>
          <w:sz w:val="24"/>
          <w:szCs w:val="24"/>
          <w:color w:val="auto"/>
        </w:rPr>
        <w:t>: For the purpose of clause (b), “equity shares of the same class” shall mean equity</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shares which rank pari-passu in relation to rights as to dividend, voting or otherwise.</w:t>
      </w:r>
    </w:p>
    <w:p>
      <w:pPr>
        <w:spacing w:after="0" w:line="200" w:lineRule="exact"/>
        <w:rPr>
          <w:sz w:val="20"/>
          <w:szCs w:val="20"/>
          <w:color w:val="auto"/>
        </w:rPr>
      </w:pPr>
    </w:p>
    <w:p>
      <w:pPr>
        <w:spacing w:after="0" w:line="240" w:lineRule="exact"/>
        <w:rPr>
          <w:sz w:val="20"/>
          <w:szCs w:val="20"/>
          <w:color w:val="auto"/>
        </w:rPr>
      </w:pPr>
    </w:p>
    <w:p>
      <w:pPr>
        <w:ind w:left="548" w:hanging="548"/>
        <w:spacing w:after="0"/>
        <w:tabs>
          <w:tab w:leader="none" w:pos="548" w:val="left"/>
        </w:tabs>
        <w:numPr>
          <w:ilvl w:val="0"/>
          <w:numId w:val="458"/>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An issuer shall be eligible to make a qualified institutions placement if any of its promoters or</w:t>
      </w:r>
    </w:p>
    <w:p>
      <w:pPr>
        <w:spacing w:after="0" w:line="140" w:lineRule="exact"/>
        <w:rPr>
          <w:sz w:val="20"/>
          <w:szCs w:val="20"/>
          <w:color w:val="auto"/>
        </w:rPr>
      </w:pPr>
    </w:p>
    <w:p>
      <w:pPr>
        <w:ind w:left="548"/>
        <w:spacing w:after="0"/>
        <w:rPr>
          <w:sz w:val="20"/>
          <w:szCs w:val="20"/>
          <w:color w:val="auto"/>
        </w:rPr>
      </w:pPr>
      <w:r>
        <w:rPr>
          <w:rFonts w:ascii="Times New Roman" w:cs="Times New Roman" w:eastAsia="Times New Roman" w:hAnsi="Times New Roman"/>
          <w:sz w:val="24"/>
          <w:szCs w:val="24"/>
          <w:color w:val="auto"/>
        </w:rPr>
        <w:t>directors is not a fugitive economic offender.</w:t>
      </w:r>
    </w:p>
    <w:p>
      <w:pPr>
        <w:spacing w:after="0" w:line="149" w:lineRule="exact"/>
        <w:rPr>
          <w:sz w:val="20"/>
          <w:szCs w:val="20"/>
          <w:color w:val="auto"/>
        </w:rPr>
      </w:pPr>
    </w:p>
    <w:p>
      <w:pPr>
        <w:ind w:left="8" w:right="20" w:hanging="8"/>
        <w:spacing w:after="0" w:line="350" w:lineRule="auto"/>
        <w:tabs>
          <w:tab w:leader="none" w:pos="470" w:val="left"/>
        </w:tabs>
        <w:numPr>
          <w:ilvl w:val="0"/>
          <w:numId w:val="45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All eligible securities issued through a qualified institutions placement shall be listed on the recognised stock exchange where the equity shares of the issuer are listed.</w:t>
      </w:r>
    </w:p>
    <w:p>
      <w:pPr>
        <w:spacing w:after="0" w:line="23" w:lineRule="exact"/>
        <w:rPr>
          <w:rFonts w:ascii="Times New Roman" w:cs="Times New Roman" w:eastAsia="Times New Roman" w:hAnsi="Times New Roman"/>
          <w:sz w:val="24"/>
          <w:szCs w:val="24"/>
          <w:color w:val="auto"/>
        </w:rPr>
      </w:pPr>
    </w:p>
    <w:p>
      <w:pPr>
        <w:ind w:left="8" w:right="20"/>
        <w:spacing w:after="0" w:line="350"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the issuer shall seek approval under rule 19(7) of the Securities Contracts (Regulation) Rules, 1957, if applicable.</w:t>
      </w:r>
    </w:p>
    <w:p>
      <w:pPr>
        <w:spacing w:after="0" w:line="22" w:lineRule="exact"/>
        <w:rPr>
          <w:rFonts w:ascii="Times New Roman" w:cs="Times New Roman" w:eastAsia="Times New Roman" w:hAnsi="Times New Roman"/>
          <w:sz w:val="24"/>
          <w:szCs w:val="24"/>
          <w:color w:val="auto"/>
        </w:rPr>
      </w:pPr>
    </w:p>
    <w:p>
      <w:pPr>
        <w:ind w:left="328" w:hanging="328"/>
        <w:spacing w:after="0"/>
        <w:tabs>
          <w:tab w:leader="none" w:pos="328" w:val="left"/>
        </w:tabs>
        <w:numPr>
          <w:ilvl w:val="0"/>
          <w:numId w:val="459"/>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The issuer shall not make any subsequent qualified institutions placement until the expiry of [two</w:t>
      </w:r>
    </w:p>
    <w:p>
      <w:pPr>
        <w:spacing w:after="0" w:line="131" w:lineRule="exact"/>
        <w:rPr>
          <w:rFonts w:ascii="Times New Roman" w:cs="Times New Roman" w:eastAsia="Times New Roman" w:hAnsi="Times New Roman"/>
          <w:sz w:val="23"/>
          <w:szCs w:val="23"/>
          <w:color w:val="auto"/>
        </w:rPr>
      </w:pPr>
    </w:p>
    <w:p>
      <w:pPr>
        <w:ind w:left="8" w:right="20"/>
        <w:spacing w:after="0" w:line="286" w:lineRule="auto"/>
        <w:rPr>
          <w:rFonts w:ascii="Times New Roman" w:cs="Times New Roman" w:eastAsia="Times New Roman" w:hAnsi="Times New Roman"/>
          <w:sz w:val="23"/>
          <w:szCs w:val="23"/>
          <w:color w:val="auto"/>
        </w:rPr>
      </w:pPr>
      <w:r>
        <w:rPr>
          <w:rFonts w:ascii="Times New Roman" w:cs="Times New Roman" w:eastAsia="Times New Roman" w:hAnsi="Times New Roman"/>
          <w:sz w:val="24"/>
          <w:szCs w:val="24"/>
          <w:color w:val="auto"/>
        </w:rPr>
        <w:t>weeks]</w:t>
      </w:r>
      <w:r>
        <w:rPr>
          <w:rFonts w:ascii="Times New Roman" w:cs="Times New Roman" w:eastAsia="Times New Roman" w:hAnsi="Times New Roman"/>
          <w:sz w:val="32"/>
          <w:szCs w:val="32"/>
          <w:color w:val="auto"/>
          <w:vertAlign w:val="superscript"/>
        </w:rPr>
        <w:t>71</w:t>
      </w:r>
      <w:r>
        <w:rPr>
          <w:rFonts w:ascii="Times New Roman" w:cs="Times New Roman" w:eastAsia="Times New Roman" w:hAnsi="Times New Roman"/>
          <w:sz w:val="24"/>
          <w:szCs w:val="24"/>
          <w:color w:val="auto"/>
        </w:rPr>
        <w:t xml:space="preserve"> from the date of the prior qualified institutions placement made pursuant to one or more special resolutions.</w:t>
      </w:r>
    </w:p>
    <w:p>
      <w:pPr>
        <w:spacing w:after="0" w:line="200" w:lineRule="exact"/>
        <w:rPr>
          <w:sz w:val="20"/>
          <w:szCs w:val="20"/>
          <w:color w:val="auto"/>
        </w:rPr>
      </w:pPr>
    </w:p>
    <w:p>
      <w:pPr>
        <w:spacing w:after="0" w:line="299" w:lineRule="exact"/>
        <w:rPr>
          <w:sz w:val="20"/>
          <w:szCs w:val="20"/>
          <w:color w:val="auto"/>
        </w:rPr>
      </w:pPr>
    </w:p>
    <w:p>
      <w:pPr>
        <w:ind w:left="8" w:right="20"/>
        <w:spacing w:after="0" w:line="350" w:lineRule="auto"/>
        <w:rPr>
          <w:sz w:val="20"/>
          <w:szCs w:val="20"/>
          <w:color w:val="auto"/>
        </w:rPr>
      </w:pPr>
      <w:r>
        <w:rPr>
          <w:rFonts w:ascii="Times New Roman" w:cs="Times New Roman" w:eastAsia="Times New Roman" w:hAnsi="Times New Roman"/>
          <w:sz w:val="24"/>
          <w:szCs w:val="24"/>
          <w:b w:val="1"/>
          <w:bCs w:val="1"/>
          <w:color w:val="auto"/>
        </w:rPr>
        <w:t>Conditions for offer for sale by promoters for compliance with minimum public shareholding requirements specified in the Securities Contracts (Regulation) Rules, 1957.</w:t>
      </w:r>
    </w:p>
    <w:p>
      <w:pPr>
        <w:spacing w:after="0" w:line="18" w:lineRule="exact"/>
        <w:rPr>
          <w:sz w:val="20"/>
          <w:szCs w:val="20"/>
          <w:color w:val="auto"/>
        </w:rPr>
      </w:pPr>
    </w:p>
    <w:p>
      <w:pPr>
        <w:jc w:val="both"/>
        <w:ind w:left="8" w:right="20" w:hanging="8"/>
        <w:spacing w:after="0" w:line="354" w:lineRule="auto"/>
        <w:tabs>
          <w:tab w:leader="none" w:pos="500" w:val="left"/>
        </w:tabs>
        <w:numPr>
          <w:ilvl w:val="0"/>
          <w:numId w:val="46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promoters and members of the promoter group may make an offer for sale of fully paid up equity shares, through a qualified institutions placement, for the purpose of achieving minimum public shareholding in terms of the Securities Contracts (Regulation) Rules, 1957.</w:t>
      </w:r>
    </w:p>
    <w:p>
      <w:pPr>
        <w:spacing w:after="0" w:line="22" w:lineRule="exact"/>
        <w:rPr>
          <w:rFonts w:ascii="Times New Roman" w:cs="Times New Roman" w:eastAsia="Times New Roman" w:hAnsi="Times New Roman"/>
          <w:sz w:val="24"/>
          <w:szCs w:val="24"/>
          <w:b w:val="1"/>
          <w:bCs w:val="1"/>
          <w:color w:val="auto"/>
        </w:rPr>
      </w:pPr>
    </w:p>
    <w:p>
      <w:pPr>
        <w:jc w:val="both"/>
        <w:ind w:left="8" w:right="20"/>
        <w:spacing w:after="0" w:line="375"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3"/>
          <w:szCs w:val="23"/>
          <w:color w:val="auto"/>
        </w:rPr>
        <w:t>Provided that the promoters or members of the promoter group shall not make such offer for sale if the promoter or member of the promoter group has purchased or sold any equity shares of the issuer during twelve weeks period prior to the date of the opening of the issue and they shall not purchase</w:t>
      </w:r>
    </w:p>
    <w:p>
      <w:pPr>
        <w:spacing w:after="0" w:line="320" w:lineRule="exact"/>
        <w:rPr>
          <w:sz w:val="20"/>
          <w:szCs w:val="20"/>
          <w:color w:val="auto"/>
        </w:rPr>
      </w:pPr>
    </w:p>
    <w:p>
      <w:pPr>
        <w:ind w:left="8" w:right="40"/>
        <w:spacing w:after="0" w:line="211" w:lineRule="auto"/>
        <w:rPr>
          <w:sz w:val="20"/>
          <w:szCs w:val="20"/>
          <w:color w:val="auto"/>
        </w:rPr>
      </w:pPr>
      <w:r>
        <w:rPr>
          <w:rFonts w:ascii="Times New Roman" w:cs="Times New Roman" w:eastAsia="Times New Roman" w:hAnsi="Times New Roman"/>
          <w:sz w:val="25"/>
          <w:szCs w:val="25"/>
          <w:color w:val="auto"/>
          <w:vertAlign w:val="superscript"/>
        </w:rPr>
        <w:t>71</w:t>
      </w:r>
      <w:r>
        <w:rPr>
          <w:rFonts w:ascii="Times New Roman" w:cs="Times New Roman" w:eastAsia="Times New Roman" w:hAnsi="Times New Roman"/>
          <w:sz w:val="20"/>
          <w:szCs w:val="20"/>
          <w:color w:val="auto"/>
        </w:rPr>
        <w:t xml:space="preserve"> Substituted by the Securities and Exchange Board of India (Issue of Capital and Disclosure Requirements) (Amendment) Regulations, 2020, w-e-f 16.06.2020 for the words “six months”.</w:t>
      </w:r>
    </w:p>
    <w:p>
      <w:pPr>
        <w:spacing w:after="0" w:line="300" w:lineRule="exact"/>
        <w:rPr>
          <w:sz w:val="20"/>
          <w:szCs w:val="20"/>
          <w:color w:val="auto"/>
        </w:rPr>
      </w:pPr>
    </w:p>
    <w:p>
      <w:pPr>
        <w:jc w:val="center"/>
        <w:ind w:right="12"/>
        <w:spacing w:after="0"/>
        <w:rPr>
          <w:sz w:val="20"/>
          <w:szCs w:val="20"/>
          <w:color w:val="auto"/>
        </w:rPr>
      </w:pPr>
      <w:r>
        <w:rPr>
          <w:rFonts w:ascii="Times New Roman" w:cs="Times New Roman" w:eastAsia="Times New Roman" w:hAnsi="Times New Roman"/>
          <w:sz w:val="24"/>
          <w:szCs w:val="24"/>
          <w:color w:val="auto"/>
        </w:rPr>
        <w:t>113</w:t>
      </w:r>
    </w:p>
    <w:p>
      <w:pPr>
        <w:sectPr>
          <w:pgSz w:w="11900" w:h="16836" w:orient="portrait"/>
          <w:cols w:equalWidth="0" w:num="1">
            <w:col w:w="9488"/>
          </w:cols>
          <w:pgMar w:left="1152" w:top="1156" w:right="1264" w:bottom="103" w:gutter="0" w:footer="0" w:header="0"/>
        </w:sectPr>
      </w:pPr>
    </w:p>
    <w:bookmarkStart w:id="113" w:name="page114"/>
    <w:bookmarkEnd w:id="113"/>
    <w:p>
      <w:pPr>
        <w:jc w:val="both"/>
        <w:ind w:left="8"/>
        <w:spacing w:after="0" w:line="348" w:lineRule="auto"/>
        <w:rPr>
          <w:sz w:val="20"/>
          <w:szCs w:val="20"/>
          <w:color w:val="auto"/>
        </w:rPr>
      </w:pPr>
      <w:r>
        <w:rPr>
          <w:rFonts w:ascii="Times New Roman" w:cs="Times New Roman" w:eastAsia="Times New Roman" w:hAnsi="Times New Roman"/>
          <w:sz w:val="24"/>
          <w:szCs w:val="24"/>
          <w:color w:val="auto"/>
        </w:rPr>
        <w:t>or sell any equity shares of the issuer during the twelve weeks period after the date of closure of the issue:</w:t>
      </w:r>
    </w:p>
    <w:p>
      <w:pPr>
        <w:spacing w:after="0" w:line="28" w:lineRule="exact"/>
        <w:rPr>
          <w:sz w:val="20"/>
          <w:szCs w:val="20"/>
          <w:color w:val="auto"/>
        </w:rPr>
      </w:pPr>
    </w:p>
    <w:p>
      <w:pPr>
        <w:jc w:val="both"/>
        <w:ind w:left="8"/>
        <w:spacing w:after="0" w:line="357" w:lineRule="auto"/>
        <w:rPr>
          <w:sz w:val="20"/>
          <w:szCs w:val="20"/>
          <w:color w:val="auto"/>
        </w:rPr>
      </w:pPr>
      <w:r>
        <w:rPr>
          <w:rFonts w:ascii="Times New Roman" w:cs="Times New Roman" w:eastAsia="Times New Roman" w:hAnsi="Times New Roman"/>
          <w:sz w:val="24"/>
          <w:szCs w:val="24"/>
          <w:color w:val="auto"/>
        </w:rPr>
        <w:t>Provided further that such promoters or members of the promoter group may, within the twelve week periods provided above, sell equity shares of the issuer held by them through offer for sale through stock exchange mechanism specified by the Board or through an open market sale, in accordance with the conditions specified by the Board from time to time, subject to the condition that there shall be a gap of minimum two weeks between the two successive offer(s).</w:t>
      </w:r>
    </w:p>
    <w:p>
      <w:pPr>
        <w:spacing w:after="0" w:line="200" w:lineRule="exact"/>
        <w:rPr>
          <w:sz w:val="20"/>
          <w:szCs w:val="20"/>
          <w:color w:val="auto"/>
        </w:rPr>
      </w:pPr>
    </w:p>
    <w:p>
      <w:pPr>
        <w:spacing w:after="0" w:line="225"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II: APPOINTMENT OF LEAD MANAGERS</w:t>
      </w:r>
    </w:p>
    <w:p>
      <w:pPr>
        <w:spacing w:after="0" w:line="200" w:lineRule="exact"/>
        <w:rPr>
          <w:sz w:val="20"/>
          <w:szCs w:val="20"/>
          <w:color w:val="auto"/>
        </w:rPr>
      </w:pPr>
    </w:p>
    <w:p>
      <w:pPr>
        <w:spacing w:after="0" w:line="359" w:lineRule="exact"/>
        <w:rPr>
          <w:sz w:val="20"/>
          <w:szCs w:val="20"/>
          <w:color w:val="auto"/>
        </w:rPr>
      </w:pPr>
    </w:p>
    <w:p>
      <w:pPr>
        <w:ind w:left="8" w:hanging="8"/>
        <w:spacing w:after="0" w:line="348" w:lineRule="auto"/>
        <w:tabs>
          <w:tab w:leader="none" w:pos="524" w:val="left"/>
        </w:tabs>
        <w:numPr>
          <w:ilvl w:val="0"/>
          <w:numId w:val="46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An issuer shall appoint one or more merchant bankers, which are registered with the Board, as lead manager(s) to the issue.</w:t>
      </w:r>
    </w:p>
    <w:p>
      <w:pPr>
        <w:spacing w:after="0" w:line="27" w:lineRule="exact"/>
        <w:rPr>
          <w:rFonts w:ascii="Times New Roman" w:cs="Times New Roman" w:eastAsia="Times New Roman" w:hAnsi="Times New Roman"/>
          <w:sz w:val="24"/>
          <w:szCs w:val="24"/>
          <w:b w:val="1"/>
          <w:bCs w:val="1"/>
          <w:color w:val="auto"/>
        </w:rPr>
      </w:pPr>
    </w:p>
    <w:p>
      <w:pPr>
        <w:jc w:val="both"/>
        <w:ind w:left="8"/>
        <w:spacing w:after="0" w:line="356"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At least one lead manager to the issue shall not be an associate (as defined under the Securities and Exchange Board of India (Merchant Bankers) Regulations, 1992) of the issuer and if any of the lead manager is an associate of the issuer, it shall disclose itself as an associate of the issuer and its role shall be limited to marketing of the issue.</w:t>
      </w:r>
    </w:p>
    <w:p>
      <w:pPr>
        <w:spacing w:after="0" w:line="18" w:lineRule="exact"/>
        <w:rPr>
          <w:rFonts w:ascii="Times New Roman" w:cs="Times New Roman" w:eastAsia="Times New Roman" w:hAnsi="Times New Roman"/>
          <w:sz w:val="24"/>
          <w:szCs w:val="24"/>
          <w:b w:val="1"/>
          <w:bCs w:val="1"/>
          <w:color w:val="auto"/>
        </w:rPr>
      </w:pPr>
    </w:p>
    <w:p>
      <w:pPr>
        <w:jc w:val="both"/>
        <w:ind w:left="8"/>
        <w:spacing w:after="0" w:line="357"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(3) The lead manager(s) shall, while seeking in-principle listing approval for the eligible securities, furnish to each stock exchange on which the same class of equity shares of the issuer are listed, a due diligence certificate stating that the eligible securities are being issued under qualified institutions placement and that the issuer complies with requirements of this Chapter, and also furnish a copy of the preliminary placement document along with any other document required by the stock exchange.</w:t>
      </w:r>
    </w:p>
    <w:p>
      <w:pPr>
        <w:spacing w:after="0" w:line="200" w:lineRule="exact"/>
        <w:rPr>
          <w:sz w:val="20"/>
          <w:szCs w:val="20"/>
          <w:color w:val="auto"/>
        </w:rPr>
      </w:pPr>
    </w:p>
    <w:p>
      <w:pPr>
        <w:spacing w:after="0" w:line="22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III: PLACEMENT DOCUMENT</w:t>
      </w:r>
    </w:p>
    <w:p>
      <w:pPr>
        <w:spacing w:after="0" w:line="200" w:lineRule="exact"/>
        <w:rPr>
          <w:sz w:val="20"/>
          <w:szCs w:val="20"/>
          <w:color w:val="auto"/>
        </w:rPr>
      </w:pPr>
    </w:p>
    <w:p>
      <w:pPr>
        <w:spacing w:after="0" w:line="359" w:lineRule="exact"/>
        <w:rPr>
          <w:sz w:val="20"/>
          <w:szCs w:val="20"/>
          <w:color w:val="auto"/>
        </w:rPr>
      </w:pPr>
    </w:p>
    <w:p>
      <w:pPr>
        <w:ind w:left="8" w:hanging="8"/>
        <w:spacing w:after="0" w:line="350" w:lineRule="auto"/>
        <w:tabs>
          <w:tab w:leader="none" w:pos="519" w:val="left"/>
        </w:tabs>
        <w:numPr>
          <w:ilvl w:val="0"/>
          <w:numId w:val="46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lead manager(s) shall exercise due diligence and shall satisfy themselves with all aspects of the Issue including the veracity and adequacy of disclosures in the offer document.</w:t>
      </w:r>
    </w:p>
    <w:p>
      <w:pPr>
        <w:spacing w:after="0" w:line="23" w:lineRule="exact"/>
        <w:rPr>
          <w:rFonts w:ascii="Times New Roman" w:cs="Times New Roman" w:eastAsia="Times New Roman" w:hAnsi="Times New Roman"/>
          <w:sz w:val="24"/>
          <w:szCs w:val="24"/>
          <w:b w:val="1"/>
          <w:bCs w:val="1"/>
          <w:color w:val="auto"/>
        </w:rPr>
      </w:pPr>
    </w:p>
    <w:p>
      <w:pPr>
        <w:jc w:val="both"/>
        <w:ind w:left="8"/>
        <w:spacing w:after="0" w:line="356"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(2) The qualified institutions placement shall be made on the basis of a placement document which shall contain all material information, including those specified in the Companies Act, 2013, if any, and disclosures as specified in </w:t>
      </w:r>
      <w:r>
        <w:rPr>
          <w:rFonts w:ascii="Times New Roman" w:cs="Times New Roman" w:eastAsia="Times New Roman" w:hAnsi="Times New Roman"/>
          <w:sz w:val="24"/>
          <w:szCs w:val="24"/>
          <w:b w:val="1"/>
          <w:bCs w:val="1"/>
          <w:color w:val="auto"/>
        </w:rPr>
        <w:t>Schedule VII</w:t>
      </w:r>
      <w:r>
        <w:rPr>
          <w:rFonts w:ascii="Times New Roman" w:cs="Times New Roman" w:eastAsia="Times New Roman" w:hAnsi="Times New Roman"/>
          <w:sz w:val="24"/>
          <w:szCs w:val="24"/>
          <w:color w:val="auto"/>
        </w:rPr>
        <w:t xml:space="preserve"> shall be made, including as specified therein if the issuer or any of its promoters or directors is a wilful defaulter.</w:t>
      </w:r>
    </w:p>
    <w:p>
      <w:pPr>
        <w:spacing w:after="0" w:line="18" w:lineRule="exact"/>
        <w:rPr>
          <w:rFonts w:ascii="Times New Roman" w:cs="Times New Roman" w:eastAsia="Times New Roman" w:hAnsi="Times New Roman"/>
          <w:sz w:val="24"/>
          <w:szCs w:val="24"/>
          <w:b w:val="1"/>
          <w:bCs w:val="1"/>
          <w:color w:val="auto"/>
        </w:rPr>
      </w:pPr>
    </w:p>
    <w:p>
      <w:pPr>
        <w:ind w:left="8"/>
        <w:spacing w:after="0" w:line="350"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(3) The preliminary placement document and the placement document shall be serially numbered and copies the same shall be circulated only to select investors.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114</w:t>
      </w:r>
    </w:p>
    <w:p>
      <w:pPr>
        <w:sectPr>
          <w:pgSz w:w="11900" w:h="16836" w:orient="portrait"/>
          <w:cols w:equalWidth="0" w:num="1">
            <w:col w:w="9468"/>
          </w:cols>
          <w:pgMar w:left="1152" w:top="1156" w:right="1284" w:bottom="103" w:gutter="0" w:footer="0" w:header="0"/>
        </w:sectPr>
      </w:pPr>
    </w:p>
    <w:bookmarkStart w:id="114" w:name="page115"/>
    <w:bookmarkEnd w:id="114"/>
    <w:p>
      <w:pPr>
        <w:jc w:val="both"/>
        <w:ind w:left="8" w:hanging="8"/>
        <w:spacing w:after="0" w:line="356" w:lineRule="auto"/>
        <w:tabs>
          <w:tab w:leader="none" w:pos="368" w:val="left"/>
        </w:tabs>
        <w:numPr>
          <w:ilvl w:val="0"/>
          <w:numId w:val="4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preliminary placement document and the placement document shall be placed on the websites of the relevant stock exchange(s) and of the issuer with a disclaimer to the effect that it is in connection with a qualified institutions placement and that no offer is being made to the public or to any other category of investors.</w:t>
      </w:r>
    </w:p>
    <w:p>
      <w:pPr>
        <w:spacing w:after="0" w:line="200" w:lineRule="exact"/>
        <w:rPr>
          <w:sz w:val="20"/>
          <w:szCs w:val="20"/>
          <w:color w:val="auto"/>
        </w:rPr>
      </w:pPr>
    </w:p>
    <w:p>
      <w:pPr>
        <w:spacing w:after="0" w:line="224"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IV: PRICING</w:t>
      </w:r>
    </w:p>
    <w:p>
      <w:pPr>
        <w:spacing w:after="0" w:line="200" w:lineRule="exact"/>
        <w:rPr>
          <w:sz w:val="20"/>
          <w:szCs w:val="20"/>
          <w:color w:val="auto"/>
        </w:rPr>
      </w:pPr>
    </w:p>
    <w:p>
      <w:pPr>
        <w:spacing w:after="0" w:line="359" w:lineRule="exact"/>
        <w:rPr>
          <w:sz w:val="20"/>
          <w:szCs w:val="20"/>
          <w:color w:val="auto"/>
        </w:rPr>
      </w:pPr>
    </w:p>
    <w:p>
      <w:pPr>
        <w:jc w:val="both"/>
        <w:ind w:left="8" w:hanging="8"/>
        <w:spacing w:after="0" w:line="354" w:lineRule="auto"/>
        <w:tabs>
          <w:tab w:leader="none" w:pos="495" w:val="left"/>
        </w:tabs>
        <w:numPr>
          <w:ilvl w:val="0"/>
          <w:numId w:val="46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qualified institutions placement shall be made at a price not less than the average of the weekly high and low of the closing prices of the equity shares of the same class quoted on the stock exchange during the two weeks preceding the relevant date:</w:t>
      </w:r>
    </w:p>
    <w:p>
      <w:pPr>
        <w:spacing w:after="0" w:line="22" w:lineRule="exact"/>
        <w:rPr>
          <w:rFonts w:ascii="Times New Roman" w:cs="Times New Roman" w:eastAsia="Times New Roman" w:hAnsi="Times New Roman"/>
          <w:sz w:val="24"/>
          <w:szCs w:val="24"/>
          <w:b w:val="1"/>
          <w:bCs w:val="1"/>
          <w:color w:val="auto"/>
        </w:rPr>
      </w:pPr>
    </w:p>
    <w:p>
      <w:pPr>
        <w:jc w:val="both"/>
        <w:ind w:left="8"/>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the issuer may offer a discount of not more than five per cent. on the price so calculated, subject to approval of shareholders as specified in clause (a) of regulation 172 of these</w:t>
      </w:r>
    </w:p>
    <w:p>
      <w:pPr>
        <w:spacing w:after="0" w:line="28" w:lineRule="exact"/>
        <w:rPr>
          <w:sz w:val="20"/>
          <w:szCs w:val="20"/>
          <w:color w:val="auto"/>
        </w:rPr>
      </w:pPr>
    </w:p>
    <w:p>
      <w:pPr>
        <w:jc w:val="both"/>
        <w:ind w:left="8"/>
        <w:spacing w:after="0" w:line="354" w:lineRule="auto"/>
        <w:rPr>
          <w:sz w:val="20"/>
          <w:szCs w:val="20"/>
          <w:color w:val="auto"/>
        </w:rPr>
      </w:pPr>
      <w:r>
        <w:rPr>
          <w:rFonts w:ascii="Times New Roman" w:cs="Times New Roman" w:eastAsia="Times New Roman" w:hAnsi="Times New Roman"/>
          <w:sz w:val="24"/>
          <w:szCs w:val="24"/>
          <w:color w:val="auto"/>
        </w:rPr>
        <w:t>regulations, except that no shareholders’ approval will be required in case of a qualified institutions placement made through an offer for sale by promoters for compliance with minimum public shareholding requirements specified in the Securities Contracts (Regulation) Rules, 1957.</w:t>
      </w:r>
    </w:p>
    <w:p>
      <w:pPr>
        <w:spacing w:after="0" w:line="20" w:lineRule="exact"/>
        <w:rPr>
          <w:sz w:val="20"/>
          <w:szCs w:val="20"/>
          <w:color w:val="auto"/>
        </w:rPr>
      </w:pPr>
    </w:p>
    <w:p>
      <w:pPr>
        <w:jc w:val="both"/>
        <w:ind w:left="8" w:hanging="8"/>
        <w:spacing w:after="0" w:line="356" w:lineRule="auto"/>
        <w:tabs>
          <w:tab w:leader="none" w:pos="339" w:val="left"/>
        </w:tabs>
        <w:numPr>
          <w:ilvl w:val="0"/>
          <w:numId w:val="4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Where eligible securities are convertible into or exchangeable with equity shares of the issuer, the issuer shall determine the price of such equity shares allotted pursuant to such conversion or exchange taking the relevant date as disclosed in the special resolution referred to in clause (a) of sub regulation (1) of regulation 172.</w:t>
      </w:r>
    </w:p>
    <w:p>
      <w:pPr>
        <w:spacing w:after="0" w:line="6" w:lineRule="exact"/>
        <w:rPr>
          <w:rFonts w:ascii="Times New Roman" w:cs="Times New Roman" w:eastAsia="Times New Roman" w:hAnsi="Times New Roman"/>
          <w:sz w:val="24"/>
          <w:szCs w:val="24"/>
          <w:color w:val="auto"/>
        </w:rPr>
      </w:pPr>
    </w:p>
    <w:p>
      <w:pPr>
        <w:ind w:left="328" w:hanging="328"/>
        <w:spacing w:after="0"/>
        <w:tabs>
          <w:tab w:leader="none" w:pos="328" w:val="left"/>
        </w:tabs>
        <w:numPr>
          <w:ilvl w:val="0"/>
          <w:numId w:val="4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not issue or allot partly paid-up eligible securities:</w:t>
      </w:r>
    </w:p>
    <w:p>
      <w:pPr>
        <w:spacing w:after="0" w:line="151" w:lineRule="exact"/>
        <w:rPr>
          <w:sz w:val="20"/>
          <w:szCs w:val="20"/>
          <w:color w:val="auto"/>
        </w:rPr>
      </w:pPr>
    </w:p>
    <w:p>
      <w:pPr>
        <w:jc w:val="both"/>
        <w:ind w:left="8"/>
        <w:spacing w:after="0" w:line="354" w:lineRule="auto"/>
        <w:rPr>
          <w:sz w:val="20"/>
          <w:szCs w:val="20"/>
          <w:color w:val="auto"/>
        </w:rPr>
      </w:pPr>
      <w:r>
        <w:rPr>
          <w:rFonts w:ascii="Times New Roman" w:cs="Times New Roman" w:eastAsia="Times New Roman" w:hAnsi="Times New Roman"/>
          <w:sz w:val="24"/>
          <w:szCs w:val="24"/>
          <w:color w:val="auto"/>
        </w:rPr>
        <w:t>Provided that in case of allotment of non-convertible debt instruments along with warrants, the allottees may pay the full consideration or part thereof payable with respect to warrants, at the time of allotment of such warrants:</w:t>
      </w:r>
    </w:p>
    <w:p>
      <w:pPr>
        <w:spacing w:after="0" w:line="20" w:lineRule="exact"/>
        <w:rPr>
          <w:sz w:val="20"/>
          <w:szCs w:val="20"/>
          <w:color w:val="auto"/>
        </w:rPr>
      </w:pPr>
    </w:p>
    <w:p>
      <w:pPr>
        <w:jc w:val="both"/>
        <w:ind w:left="8"/>
        <w:spacing w:after="0" w:line="350" w:lineRule="auto"/>
        <w:rPr>
          <w:sz w:val="20"/>
          <w:szCs w:val="20"/>
          <w:color w:val="auto"/>
        </w:rPr>
      </w:pPr>
      <w:r>
        <w:rPr>
          <w:rFonts w:ascii="Times New Roman" w:cs="Times New Roman" w:eastAsia="Times New Roman" w:hAnsi="Times New Roman"/>
          <w:sz w:val="24"/>
          <w:szCs w:val="24"/>
          <w:color w:val="auto"/>
        </w:rPr>
        <w:t>Provided further that on allotment of equity shares on exercise of options attached to warrants, such equity shares shall be fully paid-up.</w:t>
      </w:r>
    </w:p>
    <w:p>
      <w:pPr>
        <w:spacing w:after="0" w:line="11" w:lineRule="exact"/>
        <w:rPr>
          <w:sz w:val="20"/>
          <w:szCs w:val="20"/>
          <w:color w:val="auto"/>
        </w:rPr>
      </w:pPr>
    </w:p>
    <w:p>
      <w:pPr>
        <w:ind w:left="328" w:hanging="328"/>
        <w:spacing w:after="0"/>
        <w:tabs>
          <w:tab w:leader="none" w:pos="328" w:val="left"/>
        </w:tabs>
        <w:numPr>
          <w:ilvl w:val="0"/>
          <w:numId w:val="4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 price shall be subject to appropriate adjustments, if the issuer:</w:t>
      </w:r>
    </w:p>
    <w:p>
      <w:pPr>
        <w:spacing w:after="0" w:line="151" w:lineRule="exact"/>
        <w:rPr>
          <w:rFonts w:ascii="Times New Roman" w:cs="Times New Roman" w:eastAsia="Times New Roman" w:hAnsi="Times New Roman"/>
          <w:sz w:val="24"/>
          <w:szCs w:val="24"/>
          <w:color w:val="auto"/>
        </w:rPr>
      </w:pPr>
    </w:p>
    <w:p>
      <w:pPr>
        <w:ind w:left="728" w:hanging="368"/>
        <w:spacing w:after="0" w:line="348" w:lineRule="auto"/>
        <w:tabs>
          <w:tab w:leader="none" w:pos="728" w:val="left"/>
        </w:tabs>
        <w:numPr>
          <w:ilvl w:val="1"/>
          <w:numId w:val="4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makes an issue of equity shares by way of capitalization of profits or reserves, other than by way of a dividend on shares;</w:t>
      </w:r>
    </w:p>
    <w:p>
      <w:pPr>
        <w:spacing w:after="0" w:line="15" w:lineRule="exact"/>
        <w:rPr>
          <w:rFonts w:ascii="Times New Roman" w:cs="Times New Roman" w:eastAsia="Times New Roman" w:hAnsi="Times New Roman"/>
          <w:sz w:val="24"/>
          <w:szCs w:val="24"/>
          <w:color w:val="auto"/>
        </w:rPr>
      </w:pPr>
    </w:p>
    <w:p>
      <w:pPr>
        <w:ind w:left="728" w:hanging="368"/>
        <w:spacing w:after="0"/>
        <w:tabs>
          <w:tab w:leader="none" w:pos="728" w:val="left"/>
        </w:tabs>
        <w:numPr>
          <w:ilvl w:val="1"/>
          <w:numId w:val="4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makes a rights issue of equity shares;</w:t>
      </w:r>
    </w:p>
    <w:p>
      <w:pPr>
        <w:spacing w:after="0" w:line="136" w:lineRule="exact"/>
        <w:rPr>
          <w:rFonts w:ascii="Times New Roman" w:cs="Times New Roman" w:eastAsia="Times New Roman" w:hAnsi="Times New Roman"/>
          <w:sz w:val="24"/>
          <w:szCs w:val="24"/>
          <w:color w:val="auto"/>
        </w:rPr>
      </w:pPr>
    </w:p>
    <w:p>
      <w:pPr>
        <w:ind w:left="728" w:hanging="368"/>
        <w:spacing w:after="0"/>
        <w:tabs>
          <w:tab w:leader="none" w:pos="728" w:val="left"/>
        </w:tabs>
        <w:numPr>
          <w:ilvl w:val="1"/>
          <w:numId w:val="4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consolidates its outstanding equity shares into a smaller number of shares;</w:t>
      </w:r>
    </w:p>
    <w:p>
      <w:pPr>
        <w:spacing w:after="0" w:line="139" w:lineRule="exact"/>
        <w:rPr>
          <w:rFonts w:ascii="Times New Roman" w:cs="Times New Roman" w:eastAsia="Times New Roman" w:hAnsi="Times New Roman"/>
          <w:sz w:val="24"/>
          <w:szCs w:val="24"/>
          <w:color w:val="auto"/>
        </w:rPr>
      </w:pPr>
    </w:p>
    <w:p>
      <w:pPr>
        <w:ind w:left="728" w:hanging="368"/>
        <w:spacing w:after="0"/>
        <w:tabs>
          <w:tab w:leader="none" w:pos="728" w:val="left"/>
        </w:tabs>
        <w:numPr>
          <w:ilvl w:val="1"/>
          <w:numId w:val="4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divides its outstanding equity shares including by way of stock split;</w:t>
      </w:r>
    </w:p>
    <w:p>
      <w:pPr>
        <w:spacing w:after="0" w:line="137" w:lineRule="exact"/>
        <w:rPr>
          <w:rFonts w:ascii="Times New Roman" w:cs="Times New Roman" w:eastAsia="Times New Roman" w:hAnsi="Times New Roman"/>
          <w:sz w:val="24"/>
          <w:szCs w:val="24"/>
          <w:color w:val="auto"/>
        </w:rPr>
      </w:pPr>
    </w:p>
    <w:p>
      <w:pPr>
        <w:ind w:left="728" w:hanging="368"/>
        <w:spacing w:after="0"/>
        <w:tabs>
          <w:tab w:leader="none" w:pos="728" w:val="left"/>
        </w:tabs>
        <w:numPr>
          <w:ilvl w:val="1"/>
          <w:numId w:val="4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re-classifies any of its equity shares into other securities of the issuer;</w:t>
      </w:r>
    </w:p>
    <w:p>
      <w:pPr>
        <w:spacing w:after="0" w:line="151" w:lineRule="exact"/>
        <w:rPr>
          <w:rFonts w:ascii="Times New Roman" w:cs="Times New Roman" w:eastAsia="Times New Roman" w:hAnsi="Times New Roman"/>
          <w:sz w:val="24"/>
          <w:szCs w:val="24"/>
          <w:color w:val="auto"/>
        </w:rPr>
      </w:pPr>
    </w:p>
    <w:p>
      <w:pPr>
        <w:ind w:left="728" w:hanging="368"/>
        <w:spacing w:after="0" w:line="348" w:lineRule="auto"/>
        <w:tabs>
          <w:tab w:leader="none" w:pos="728" w:val="left"/>
        </w:tabs>
        <w:numPr>
          <w:ilvl w:val="1"/>
          <w:numId w:val="4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is involved in such other similar events or circumstances, which in the opinion of the concerned stock exchange, requires adjustments.</w:t>
      </w: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115</w:t>
      </w:r>
    </w:p>
    <w:p>
      <w:pPr>
        <w:sectPr>
          <w:pgSz w:w="11900" w:h="16836" w:orient="portrait"/>
          <w:cols w:equalWidth="0" w:num="1">
            <w:col w:w="9468"/>
          </w:cols>
          <w:pgMar w:left="1152" w:top="1156" w:right="1284" w:bottom="103" w:gutter="0" w:footer="0" w:header="0"/>
        </w:sectPr>
      </w:pPr>
    </w:p>
    <w:bookmarkStart w:id="115" w:name="page116"/>
    <w:bookmarkEnd w:id="115"/>
    <w:p>
      <w:pPr>
        <w:jc w:val="both"/>
        <w:ind w:left="8"/>
        <w:spacing w:after="0" w:line="356" w:lineRule="auto"/>
        <w:rPr>
          <w:sz w:val="20"/>
          <w:szCs w:val="20"/>
          <w:color w:val="auto"/>
        </w:rPr>
      </w:pPr>
      <w:r>
        <w:rPr>
          <w:rFonts w:ascii="Times New Roman" w:cs="Times New Roman" w:eastAsia="Times New Roman" w:hAnsi="Times New Roman"/>
          <w:sz w:val="24"/>
          <w:szCs w:val="24"/>
          <w:b w:val="1"/>
          <w:bCs w:val="1"/>
          <w:color w:val="auto"/>
        </w:rPr>
        <w:t xml:space="preserve">Explanation: </w:t>
      </w:r>
      <w:r>
        <w:rPr>
          <w:rFonts w:ascii="Times New Roman" w:cs="Times New Roman" w:eastAsia="Times New Roman" w:hAnsi="Times New Roman"/>
          <w:sz w:val="24"/>
          <w:szCs w:val="24"/>
          <w:color w:val="auto"/>
        </w:rPr>
        <w:t>For the purpose of sub-regulation (1), the term “stock exchange” means any of the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recognised stock exchanges in which the equity shares of the same class of the issuer are listed and in which the highest trading volume in such equity shares has been recorded during the two weeks immediately preceding the relevant date.</w:t>
      </w:r>
    </w:p>
    <w:p>
      <w:pPr>
        <w:spacing w:after="0" w:line="200" w:lineRule="exact"/>
        <w:rPr>
          <w:sz w:val="20"/>
          <w:szCs w:val="20"/>
          <w:color w:val="auto"/>
        </w:rPr>
      </w:pPr>
    </w:p>
    <w:p>
      <w:pPr>
        <w:spacing w:after="0" w:line="224"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V: TENURE OF CONVERTIBLE SECURITIES</w:t>
      </w:r>
    </w:p>
    <w:p>
      <w:pPr>
        <w:spacing w:after="0" w:line="200" w:lineRule="exact"/>
        <w:rPr>
          <w:sz w:val="20"/>
          <w:szCs w:val="20"/>
          <w:color w:val="auto"/>
        </w:rPr>
      </w:pPr>
    </w:p>
    <w:p>
      <w:pPr>
        <w:spacing w:after="0" w:line="359" w:lineRule="exact"/>
        <w:rPr>
          <w:sz w:val="20"/>
          <w:szCs w:val="20"/>
          <w:color w:val="auto"/>
        </w:rPr>
      </w:pPr>
    </w:p>
    <w:p>
      <w:pPr>
        <w:ind w:left="8" w:hanging="8"/>
        <w:spacing w:after="0" w:line="350" w:lineRule="auto"/>
        <w:tabs>
          <w:tab w:leader="none" w:pos="548" w:val="left"/>
        </w:tabs>
        <w:numPr>
          <w:ilvl w:val="0"/>
          <w:numId w:val="46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tenure of the convertible or exchangeable eligible securities issued through qualified institutions placement shall not exceed sixty months from the date of allotment.</w:t>
      </w:r>
    </w:p>
    <w:p>
      <w:pPr>
        <w:spacing w:after="0" w:line="200" w:lineRule="exact"/>
        <w:rPr>
          <w:sz w:val="20"/>
          <w:szCs w:val="20"/>
          <w:color w:val="auto"/>
        </w:rPr>
      </w:pPr>
    </w:p>
    <w:p>
      <w:pPr>
        <w:spacing w:after="0" w:line="231"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VI: TRANSFERABILITY</w:t>
      </w:r>
    </w:p>
    <w:p>
      <w:pPr>
        <w:spacing w:after="0" w:line="200" w:lineRule="exact"/>
        <w:rPr>
          <w:sz w:val="20"/>
          <w:szCs w:val="20"/>
          <w:color w:val="auto"/>
        </w:rPr>
      </w:pPr>
    </w:p>
    <w:p>
      <w:pPr>
        <w:spacing w:after="0" w:line="359" w:lineRule="exact"/>
        <w:rPr>
          <w:sz w:val="20"/>
          <w:szCs w:val="20"/>
          <w:color w:val="auto"/>
        </w:rPr>
      </w:pPr>
    </w:p>
    <w:p>
      <w:pPr>
        <w:ind w:left="8" w:hanging="8"/>
        <w:spacing w:after="0" w:line="373" w:lineRule="auto"/>
        <w:tabs>
          <w:tab w:leader="none" w:pos="490" w:val="left"/>
        </w:tabs>
        <w:numPr>
          <w:ilvl w:val="0"/>
          <w:numId w:val="468"/>
        </w:numPr>
        <w:rPr>
          <w:rFonts w:ascii="Times New Roman" w:cs="Times New Roman" w:eastAsia="Times New Roman" w:hAnsi="Times New Roman"/>
          <w:sz w:val="23"/>
          <w:szCs w:val="23"/>
          <w:b w:val="1"/>
          <w:bCs w:val="1"/>
          <w:color w:val="auto"/>
        </w:rPr>
      </w:pPr>
      <w:r>
        <w:rPr>
          <w:rFonts w:ascii="Times New Roman" w:cs="Times New Roman" w:eastAsia="Times New Roman" w:hAnsi="Times New Roman"/>
          <w:sz w:val="23"/>
          <w:szCs w:val="23"/>
          <w:color w:val="auto"/>
        </w:rPr>
        <w:t>The eligible securities allotted under the qualified institutions placement shall not be sold by the allottee for a period of one year from the date of allotment, except on a recognised stock exchange.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VII: APPLICATION AND ALLOTMENT</w:t>
      </w:r>
    </w:p>
    <w:p>
      <w:pPr>
        <w:spacing w:after="0" w:line="200" w:lineRule="exact"/>
        <w:rPr>
          <w:sz w:val="20"/>
          <w:szCs w:val="20"/>
          <w:color w:val="auto"/>
        </w:rPr>
      </w:pPr>
    </w:p>
    <w:p>
      <w:pPr>
        <w:spacing w:after="0" w:line="359" w:lineRule="exact"/>
        <w:rPr>
          <w:sz w:val="20"/>
          <w:szCs w:val="20"/>
          <w:color w:val="auto"/>
        </w:rPr>
      </w:pPr>
    </w:p>
    <w:p>
      <w:pPr>
        <w:ind w:left="8" w:hanging="8"/>
        <w:spacing w:after="0" w:line="348" w:lineRule="auto"/>
        <w:tabs>
          <w:tab w:leader="none" w:pos="507" w:val="left"/>
        </w:tabs>
        <w:numPr>
          <w:ilvl w:val="0"/>
          <w:numId w:val="46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applicants in qualified institutions placement shall not withdraw or revise downwards their bids after the closure of the issue.</w:t>
      </w:r>
    </w:p>
    <w:p>
      <w:pPr>
        <w:spacing w:after="0" w:line="15" w:lineRule="exact"/>
        <w:rPr>
          <w:rFonts w:ascii="Times New Roman" w:cs="Times New Roman" w:eastAsia="Times New Roman" w:hAnsi="Times New Roman"/>
          <w:sz w:val="24"/>
          <w:szCs w:val="24"/>
          <w:b w:val="1"/>
          <w:bCs w:val="1"/>
          <w:color w:val="auto"/>
        </w:rPr>
      </w:pPr>
    </w:p>
    <w:p>
      <w:pPr>
        <w:ind w:left="8"/>
        <w:spacing w:after="0"/>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Allotment of specified securities shall be made subject to the following conditions:</w:t>
      </w:r>
    </w:p>
    <w:p>
      <w:pPr>
        <w:spacing w:after="0" w:line="137" w:lineRule="exact"/>
        <w:rPr>
          <w:sz w:val="20"/>
          <w:szCs w:val="20"/>
          <w:color w:val="auto"/>
        </w:rPr>
      </w:pPr>
    </w:p>
    <w:p>
      <w:pPr>
        <w:ind w:left="548" w:hanging="548"/>
        <w:spacing w:after="0"/>
        <w:tabs>
          <w:tab w:leader="none" w:pos="548" w:val="left"/>
        </w:tabs>
        <w:numPr>
          <w:ilvl w:val="0"/>
          <w:numId w:val="47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minimum of ten per cent. of eligible securities shall be allotted to mutual funds:</w:t>
      </w:r>
    </w:p>
    <w:p>
      <w:pPr>
        <w:spacing w:after="0" w:line="151" w:lineRule="exact"/>
        <w:rPr>
          <w:rFonts w:ascii="Times New Roman" w:cs="Times New Roman" w:eastAsia="Times New Roman" w:hAnsi="Times New Roman"/>
          <w:sz w:val="24"/>
          <w:szCs w:val="24"/>
          <w:color w:val="auto"/>
        </w:rPr>
      </w:pPr>
    </w:p>
    <w:p>
      <w:pPr>
        <w:ind w:left="548"/>
        <w:spacing w:after="0" w:line="348"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any unsubscribed portion of the said minimum percentage or any part thereof may be allotted to other qualified institutional buyers;</w:t>
      </w:r>
    </w:p>
    <w:p>
      <w:pPr>
        <w:spacing w:after="0" w:line="28" w:lineRule="exact"/>
        <w:rPr>
          <w:rFonts w:ascii="Times New Roman" w:cs="Times New Roman" w:eastAsia="Times New Roman" w:hAnsi="Times New Roman"/>
          <w:sz w:val="24"/>
          <w:szCs w:val="24"/>
          <w:color w:val="auto"/>
        </w:rPr>
      </w:pPr>
    </w:p>
    <w:p>
      <w:pPr>
        <w:ind w:left="548" w:hanging="548"/>
        <w:spacing w:after="0" w:line="348" w:lineRule="auto"/>
        <w:tabs>
          <w:tab w:leader="none" w:pos="548" w:val="left"/>
        </w:tabs>
        <w:numPr>
          <w:ilvl w:val="0"/>
          <w:numId w:val="47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no allotment shall be made, either directly or indirectly, to any qualified institutional buyer who is a promoter or any person related to the promoters of the issuer:</w:t>
      </w:r>
    </w:p>
    <w:p>
      <w:pPr>
        <w:spacing w:after="0" w:line="27" w:lineRule="exact"/>
        <w:rPr>
          <w:rFonts w:ascii="Times New Roman" w:cs="Times New Roman" w:eastAsia="Times New Roman" w:hAnsi="Times New Roman"/>
          <w:sz w:val="24"/>
          <w:szCs w:val="24"/>
          <w:color w:val="auto"/>
        </w:rPr>
      </w:pPr>
    </w:p>
    <w:p>
      <w:pPr>
        <w:jc w:val="both"/>
        <w:ind w:left="548"/>
        <w:spacing w:after="0" w:line="35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a qualified institutional buyer who does not hold any shares in the issuer and who has acquired the said rights in the capacity of a lender shall not be deemed to be a person related to the promoters.</w:t>
      </w:r>
    </w:p>
    <w:p>
      <w:pPr>
        <w:spacing w:after="0" w:line="18" w:lineRule="exact"/>
        <w:rPr>
          <w:rFonts w:ascii="Times New Roman" w:cs="Times New Roman" w:eastAsia="Times New Roman" w:hAnsi="Times New Roman"/>
          <w:sz w:val="24"/>
          <w:szCs w:val="24"/>
          <w:color w:val="auto"/>
        </w:rPr>
      </w:pPr>
    </w:p>
    <w:p>
      <w:pPr>
        <w:ind w:left="548"/>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3"/>
          <w:szCs w:val="23"/>
          <w:color w:val="auto"/>
        </w:rPr>
        <w:t>Explanation: For the purpose of this clause, a qualified institutional buyer who has any of the</w:t>
      </w:r>
    </w:p>
    <w:p>
      <w:pPr>
        <w:spacing w:after="0" w:line="139" w:lineRule="exact"/>
        <w:rPr>
          <w:rFonts w:ascii="Times New Roman" w:cs="Times New Roman" w:eastAsia="Times New Roman" w:hAnsi="Times New Roman"/>
          <w:sz w:val="24"/>
          <w:szCs w:val="24"/>
          <w:color w:val="auto"/>
        </w:rPr>
      </w:pPr>
    </w:p>
    <w:p>
      <w:pPr>
        <w:ind w:left="548"/>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following rights shall be deemed to be a person related to the promoters of the issuer:-</w:t>
      </w:r>
    </w:p>
    <w:p>
      <w:pPr>
        <w:spacing w:after="0" w:line="149" w:lineRule="exact"/>
        <w:rPr>
          <w:rFonts w:ascii="Times New Roman" w:cs="Times New Roman" w:eastAsia="Times New Roman" w:hAnsi="Times New Roman"/>
          <w:sz w:val="24"/>
          <w:szCs w:val="24"/>
          <w:color w:val="auto"/>
        </w:rPr>
      </w:pPr>
    </w:p>
    <w:p>
      <w:pPr>
        <w:ind w:left="1448" w:right="20" w:hanging="548"/>
        <w:spacing w:after="0" w:line="350" w:lineRule="auto"/>
        <w:tabs>
          <w:tab w:leader="none" w:pos="1448" w:val="left"/>
        </w:tabs>
        <w:numPr>
          <w:ilvl w:val="1"/>
          <w:numId w:val="47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rights under a shareholders‘ agreement or voting agreement entered into with promoters or promoter group;</w:t>
      </w:r>
    </w:p>
    <w:p>
      <w:pPr>
        <w:spacing w:after="0" w:line="10" w:lineRule="exact"/>
        <w:rPr>
          <w:rFonts w:ascii="Times New Roman" w:cs="Times New Roman" w:eastAsia="Times New Roman" w:hAnsi="Times New Roman"/>
          <w:sz w:val="24"/>
          <w:szCs w:val="24"/>
          <w:color w:val="auto"/>
        </w:rPr>
      </w:pPr>
    </w:p>
    <w:p>
      <w:pPr>
        <w:ind w:left="1448" w:hanging="548"/>
        <w:spacing w:after="0"/>
        <w:tabs>
          <w:tab w:leader="none" w:pos="1448" w:val="left"/>
        </w:tabs>
        <w:numPr>
          <w:ilvl w:val="1"/>
          <w:numId w:val="47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veto rights; or</w:t>
      </w:r>
    </w:p>
    <w:p>
      <w:pPr>
        <w:spacing w:after="0" w:line="139" w:lineRule="exact"/>
        <w:rPr>
          <w:rFonts w:ascii="Times New Roman" w:cs="Times New Roman" w:eastAsia="Times New Roman" w:hAnsi="Times New Roman"/>
          <w:sz w:val="24"/>
          <w:szCs w:val="24"/>
          <w:color w:val="auto"/>
        </w:rPr>
      </w:pPr>
    </w:p>
    <w:p>
      <w:pPr>
        <w:ind w:left="1448" w:hanging="548"/>
        <w:spacing w:after="0"/>
        <w:tabs>
          <w:tab w:leader="none" w:pos="1448" w:val="left"/>
        </w:tabs>
        <w:numPr>
          <w:ilvl w:val="1"/>
          <w:numId w:val="47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right to appoint any nominee director on the board of the issuer.</w:t>
      </w:r>
    </w:p>
    <w:p>
      <w:pPr>
        <w:spacing w:after="0" w:line="394"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116</w:t>
      </w:r>
    </w:p>
    <w:p>
      <w:pPr>
        <w:sectPr>
          <w:pgSz w:w="11900" w:h="16836" w:orient="portrait"/>
          <w:cols w:equalWidth="0" w:num="1">
            <w:col w:w="9468"/>
          </w:cols>
          <w:pgMar w:left="1152" w:top="1156" w:right="1284" w:bottom="103" w:gutter="0" w:footer="0" w:header="0"/>
        </w:sectPr>
      </w:pPr>
    </w:p>
    <w:bookmarkStart w:id="116" w:name="page117"/>
    <w:bookmarkEnd w:id="116"/>
    <w:p>
      <w:pPr>
        <w:jc w:val="both"/>
        <w:ind w:left="8" w:hanging="8"/>
        <w:spacing w:after="0" w:line="356" w:lineRule="auto"/>
        <w:tabs>
          <w:tab w:leader="none" w:pos="370" w:val="left"/>
        </w:tabs>
        <w:numPr>
          <w:ilvl w:val="0"/>
          <w:numId w:val="4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a qualified institutions placement of non-convertible debt instrument along with warrants, an investor can subscribe to the combined offering of non-convertible debt instruments with warrants or to the individual securities, that is, either non- convertible debt instruments or warrants.</w:t>
      </w:r>
    </w:p>
    <w:p>
      <w:pPr>
        <w:spacing w:after="0" w:line="200" w:lineRule="exact"/>
        <w:rPr>
          <w:sz w:val="20"/>
          <w:szCs w:val="20"/>
          <w:color w:val="auto"/>
        </w:rPr>
      </w:pPr>
    </w:p>
    <w:p>
      <w:pPr>
        <w:spacing w:after="0" w:line="224"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Minimum number of allottees</w:t>
      </w:r>
    </w:p>
    <w:p>
      <w:pPr>
        <w:spacing w:after="0" w:line="147" w:lineRule="exact"/>
        <w:rPr>
          <w:sz w:val="20"/>
          <w:szCs w:val="20"/>
          <w:color w:val="auto"/>
        </w:rPr>
      </w:pPr>
    </w:p>
    <w:p>
      <w:pPr>
        <w:ind w:left="8" w:hanging="8"/>
        <w:spacing w:after="0" w:line="348" w:lineRule="auto"/>
        <w:tabs>
          <w:tab w:leader="none" w:pos="497" w:val="left"/>
        </w:tabs>
        <w:numPr>
          <w:ilvl w:val="0"/>
          <w:numId w:val="47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minimum number of allottees for each placement of eligible securities made under this Chapter shall at least be:</w:t>
      </w:r>
    </w:p>
    <w:p>
      <w:pPr>
        <w:spacing w:after="0" w:line="16" w:lineRule="exact"/>
        <w:rPr>
          <w:sz w:val="20"/>
          <w:szCs w:val="20"/>
          <w:color w:val="auto"/>
        </w:rPr>
      </w:pPr>
    </w:p>
    <w:p>
      <w:pPr>
        <w:ind w:left="548" w:hanging="548"/>
        <w:spacing w:after="0"/>
        <w:tabs>
          <w:tab w:leader="none" w:pos="548" w:val="left"/>
        </w:tabs>
        <w:numPr>
          <w:ilvl w:val="0"/>
          <w:numId w:val="47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two, where the issue size is less than or equal to two hundred and fifty crore rupees;</w:t>
      </w:r>
    </w:p>
    <w:p>
      <w:pPr>
        <w:spacing w:after="0" w:line="149" w:lineRule="exact"/>
        <w:rPr>
          <w:rFonts w:ascii="Times New Roman" w:cs="Times New Roman" w:eastAsia="Times New Roman" w:hAnsi="Times New Roman"/>
          <w:sz w:val="24"/>
          <w:szCs w:val="24"/>
          <w:color w:val="auto"/>
        </w:rPr>
      </w:pPr>
    </w:p>
    <w:p>
      <w:pPr>
        <w:ind w:left="8" w:right="1140" w:hanging="8"/>
        <w:spacing w:after="0" w:line="375" w:lineRule="auto"/>
        <w:tabs>
          <w:tab w:leader="none" w:pos="548" w:val="left"/>
        </w:tabs>
        <w:numPr>
          <w:ilvl w:val="0"/>
          <w:numId w:val="473"/>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five, where the issue size is greater than two hundred and fifty crore rupees: Provided that no single allottee shall be allotted more than fifty per cent. of the issue size.</w:t>
      </w:r>
    </w:p>
    <w:p>
      <w:pPr>
        <w:ind w:left="8"/>
        <w:spacing w:after="0"/>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(2) Qualified institutional buyers belonging to the same group or who are under same control shall be</w:t>
      </w:r>
    </w:p>
    <w:p>
      <w:pPr>
        <w:spacing w:after="0" w:line="139"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deemed to be a single allottee.</w:t>
      </w:r>
    </w:p>
    <w:p>
      <w:pPr>
        <w:spacing w:after="0" w:line="149" w:lineRule="exact"/>
        <w:rPr>
          <w:sz w:val="20"/>
          <w:szCs w:val="20"/>
          <w:color w:val="auto"/>
        </w:rPr>
      </w:pPr>
    </w:p>
    <w:p>
      <w:pPr>
        <w:jc w:val="both"/>
        <w:ind w:left="8"/>
        <w:spacing w:after="0" w:line="358" w:lineRule="auto"/>
        <w:rPr>
          <w:sz w:val="20"/>
          <w:szCs w:val="20"/>
          <w:color w:val="auto"/>
        </w:rPr>
      </w:pPr>
      <w:r>
        <w:rPr>
          <w:rFonts w:ascii="Times New Roman" w:cs="Times New Roman" w:eastAsia="Times New Roman" w:hAnsi="Times New Roman"/>
          <w:sz w:val="24"/>
          <w:szCs w:val="24"/>
          <w:b w:val="1"/>
          <w:bCs w:val="1"/>
          <w:color w:val="auto"/>
        </w:rPr>
        <w:t>Explanation</w:t>
      </w:r>
      <w:r>
        <w:rPr>
          <w:rFonts w:ascii="Times New Roman" w:cs="Times New Roman" w:eastAsia="Times New Roman" w:hAnsi="Times New Roman"/>
          <w:sz w:val="24"/>
          <w:szCs w:val="24"/>
          <w:color w:val="auto"/>
        </w:rPr>
        <w:t>: For the purpose of sub-regulation (2), the expression “qualified institutional buyers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belonging to the same group” shall mean entities where, - (i) any of them controls directly or indirectly, through its subsidiary or holding company, not less than fifteen per cent. of the voting rights in the other; or (ii) any of them directly or indirectly, by itself, or in combination with other persons exercise control over the others; or (iii) there is a common director, excluding nominee and independent directors amongst the investor, its subsidiary or holding company and any other investor.</w:t>
      </w:r>
    </w:p>
    <w:p>
      <w:pPr>
        <w:spacing w:after="0" w:line="200" w:lineRule="exact"/>
        <w:rPr>
          <w:sz w:val="20"/>
          <w:szCs w:val="20"/>
          <w:color w:val="auto"/>
        </w:rPr>
      </w:pPr>
    </w:p>
    <w:p>
      <w:pPr>
        <w:spacing w:after="0" w:line="223"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CHAPTER VII - INITIAL PUBLIC OFFER OF INDIAN DEPOSITORY RECEIPTS</w:t>
      </w:r>
    </w:p>
    <w:p>
      <w:pPr>
        <w:spacing w:after="0" w:line="200" w:lineRule="exact"/>
        <w:rPr>
          <w:sz w:val="20"/>
          <w:szCs w:val="20"/>
          <w:color w:val="auto"/>
        </w:rPr>
      </w:pPr>
    </w:p>
    <w:p>
      <w:pPr>
        <w:spacing w:after="0" w:line="35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APPLICABILITY</w:t>
      </w:r>
    </w:p>
    <w:p>
      <w:pPr>
        <w:spacing w:after="0" w:line="200" w:lineRule="exact"/>
        <w:rPr>
          <w:sz w:val="20"/>
          <w:szCs w:val="20"/>
          <w:color w:val="auto"/>
        </w:rPr>
      </w:pPr>
    </w:p>
    <w:p>
      <w:pPr>
        <w:spacing w:after="0" w:line="347" w:lineRule="exact"/>
        <w:rPr>
          <w:sz w:val="20"/>
          <w:szCs w:val="20"/>
          <w:color w:val="auto"/>
        </w:rPr>
      </w:pPr>
    </w:p>
    <w:p>
      <w:pPr>
        <w:ind w:left="568" w:hanging="568"/>
        <w:spacing w:after="0"/>
        <w:tabs>
          <w:tab w:leader="none" w:pos="568" w:val="left"/>
        </w:tabs>
        <w:numPr>
          <w:ilvl w:val="0"/>
          <w:numId w:val="47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provisions  of  this  Chapter  shall  apply  to  an  issue  of  Indian  Depository  Receipts</w:t>
      </w:r>
    </w:p>
    <w:p>
      <w:pPr>
        <w:spacing w:after="0" w:line="151" w:lineRule="exact"/>
        <w:rPr>
          <w:sz w:val="20"/>
          <w:szCs w:val="20"/>
          <w:color w:val="auto"/>
        </w:rPr>
      </w:pPr>
    </w:p>
    <w:p>
      <w:pPr>
        <w:ind w:left="8"/>
        <w:spacing w:after="0" w:line="348" w:lineRule="auto"/>
        <w:rPr>
          <w:sz w:val="20"/>
          <w:szCs w:val="20"/>
          <w:color w:val="auto"/>
        </w:rPr>
      </w:pPr>
      <w:r>
        <w:rPr>
          <w:rFonts w:ascii="Times New Roman" w:cs="Times New Roman" w:eastAsia="Times New Roman" w:hAnsi="Times New Roman"/>
          <w:sz w:val="24"/>
          <w:szCs w:val="24"/>
          <w:color w:val="auto"/>
        </w:rPr>
        <w:t>(hereinafter referred to as “IDR”) made in terms of the Companies Act, 2013 and Companies (Registration of Foreign Companies) Rules, 2014.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I: ELIGIBILITY REQUIREMENTS</w:t>
      </w:r>
    </w:p>
    <w:p>
      <w:pPr>
        <w:spacing w:after="0" w:line="200" w:lineRule="exact"/>
        <w:rPr>
          <w:sz w:val="20"/>
          <w:szCs w:val="20"/>
          <w:color w:val="auto"/>
        </w:rPr>
      </w:pPr>
    </w:p>
    <w:p>
      <w:pPr>
        <w:spacing w:after="0" w:line="35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Reference date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117</w:t>
      </w:r>
    </w:p>
    <w:p>
      <w:pPr>
        <w:sectPr>
          <w:pgSz w:w="11900" w:h="16836" w:orient="portrait"/>
          <w:cols w:equalWidth="0" w:num="1">
            <w:col w:w="9468"/>
          </w:cols>
          <w:pgMar w:left="1152" w:top="1156" w:right="1284" w:bottom="103" w:gutter="0" w:footer="0" w:header="0"/>
        </w:sectPr>
      </w:pPr>
    </w:p>
    <w:bookmarkStart w:id="117" w:name="page118"/>
    <w:bookmarkEnd w:id="117"/>
    <w:p>
      <w:pPr>
        <w:jc w:val="both"/>
        <w:ind w:left="8" w:hanging="8"/>
        <w:spacing w:after="0" w:line="340" w:lineRule="auto"/>
        <w:tabs>
          <w:tab w:leader="none" w:pos="521" w:val="left"/>
        </w:tabs>
        <w:numPr>
          <w:ilvl w:val="0"/>
          <w:numId w:val="47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Unless otherwise provided in this Chapter, an issuer making a public issue of IDRs shall satisfy the conditions of this Chapter as on the date of filing draft offer document with the Board and also as on the date of </w:t>
      </w:r>
      <w:r>
        <w:rPr>
          <w:rFonts w:ascii="Times New Roman" w:cs="Times New Roman" w:eastAsia="Times New Roman" w:hAnsi="Times New Roman"/>
          <w:sz w:val="32"/>
          <w:szCs w:val="32"/>
          <w:color w:val="auto"/>
          <w:vertAlign w:val="superscript"/>
        </w:rPr>
        <w:t>72</w:t>
      </w:r>
      <w:r>
        <w:rPr>
          <w:rFonts w:ascii="Times New Roman" w:cs="Times New Roman" w:eastAsia="Times New Roman" w:hAnsi="Times New Roman"/>
          <w:sz w:val="24"/>
          <w:szCs w:val="24"/>
          <w:color w:val="auto"/>
        </w:rPr>
        <w:t>[filing] the offer document with the Registrar of Companies.</w:t>
      </w:r>
    </w:p>
    <w:p>
      <w:pPr>
        <w:spacing w:after="0" w:line="346"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Eligibility conditions</w:t>
      </w:r>
    </w:p>
    <w:p>
      <w:pPr>
        <w:spacing w:after="0" w:line="132" w:lineRule="exact"/>
        <w:rPr>
          <w:sz w:val="20"/>
          <w:szCs w:val="20"/>
          <w:color w:val="auto"/>
        </w:rPr>
      </w:pPr>
    </w:p>
    <w:p>
      <w:pPr>
        <w:ind w:left="488" w:hanging="488"/>
        <w:spacing w:after="0"/>
        <w:tabs>
          <w:tab w:leader="none" w:pos="488" w:val="left"/>
        </w:tabs>
        <w:numPr>
          <w:ilvl w:val="0"/>
          <w:numId w:val="47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An issuer shall be eligible to make an issue of IDRs only if:</w:t>
      </w:r>
    </w:p>
    <w:p>
      <w:pPr>
        <w:spacing w:after="0" w:line="151" w:lineRule="exact"/>
        <w:rPr>
          <w:sz w:val="20"/>
          <w:szCs w:val="20"/>
          <w:color w:val="auto"/>
        </w:rPr>
      </w:pPr>
    </w:p>
    <w:p>
      <w:pPr>
        <w:ind w:left="548" w:hanging="548"/>
        <w:spacing w:after="0" w:line="348" w:lineRule="auto"/>
        <w:tabs>
          <w:tab w:leader="none" w:pos="548" w:val="left"/>
        </w:tabs>
        <w:numPr>
          <w:ilvl w:val="0"/>
          <w:numId w:val="47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issuing company is listed in its home country for at least three immediately preceding years;</w:t>
      </w:r>
    </w:p>
    <w:p>
      <w:pPr>
        <w:spacing w:after="0" w:line="16" w:lineRule="exact"/>
        <w:rPr>
          <w:rFonts w:ascii="Times New Roman" w:cs="Times New Roman" w:eastAsia="Times New Roman" w:hAnsi="Times New Roman"/>
          <w:sz w:val="24"/>
          <w:szCs w:val="24"/>
          <w:color w:val="auto"/>
        </w:rPr>
      </w:pPr>
    </w:p>
    <w:p>
      <w:pPr>
        <w:ind w:left="548" w:hanging="548"/>
        <w:spacing w:after="0"/>
        <w:tabs>
          <w:tab w:leader="none" w:pos="548" w:val="left"/>
        </w:tabs>
        <w:numPr>
          <w:ilvl w:val="0"/>
          <w:numId w:val="47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is not prohibited to issue securities by any regulatory body;</w:t>
      </w:r>
    </w:p>
    <w:p>
      <w:pPr>
        <w:spacing w:after="0" w:line="149" w:lineRule="exact"/>
        <w:rPr>
          <w:rFonts w:ascii="Times New Roman" w:cs="Times New Roman" w:eastAsia="Times New Roman" w:hAnsi="Times New Roman"/>
          <w:sz w:val="24"/>
          <w:szCs w:val="24"/>
          <w:color w:val="auto"/>
        </w:rPr>
      </w:pPr>
    </w:p>
    <w:p>
      <w:pPr>
        <w:ind w:left="548" w:hanging="548"/>
        <w:spacing w:after="0" w:line="350" w:lineRule="auto"/>
        <w:tabs>
          <w:tab w:leader="none" w:pos="548" w:val="left"/>
        </w:tabs>
        <w:numPr>
          <w:ilvl w:val="0"/>
          <w:numId w:val="47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has a track record of compliance with the securities market regulations in its home country;</w:t>
      </w:r>
    </w:p>
    <w:p>
      <w:pPr>
        <w:spacing w:after="0" w:line="10" w:lineRule="exact"/>
        <w:rPr>
          <w:rFonts w:ascii="Times New Roman" w:cs="Times New Roman" w:eastAsia="Times New Roman" w:hAnsi="Times New Roman"/>
          <w:sz w:val="24"/>
          <w:szCs w:val="24"/>
          <w:color w:val="auto"/>
        </w:rPr>
      </w:pPr>
    </w:p>
    <w:p>
      <w:pPr>
        <w:ind w:left="548" w:hanging="548"/>
        <w:spacing w:after="0"/>
        <w:tabs>
          <w:tab w:leader="none" w:pos="548" w:val="left"/>
        </w:tabs>
        <w:numPr>
          <w:ilvl w:val="0"/>
          <w:numId w:val="47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of its promoters or directors is not a fugitive economic offender.</w:t>
      </w:r>
    </w:p>
    <w:p>
      <w:pPr>
        <w:spacing w:after="0" w:line="151" w:lineRule="exact"/>
        <w:rPr>
          <w:sz w:val="20"/>
          <w:szCs w:val="20"/>
          <w:color w:val="auto"/>
        </w:rPr>
      </w:pPr>
    </w:p>
    <w:p>
      <w:pPr>
        <w:ind w:left="8"/>
        <w:spacing w:after="0" w:line="348" w:lineRule="auto"/>
        <w:rPr>
          <w:sz w:val="20"/>
          <w:szCs w:val="20"/>
          <w:color w:val="auto"/>
        </w:rPr>
      </w:pPr>
      <w:r>
        <w:rPr>
          <w:rFonts w:ascii="Times New Roman" w:cs="Times New Roman" w:eastAsia="Times New Roman" w:hAnsi="Times New Roman"/>
          <w:sz w:val="24"/>
          <w:szCs w:val="24"/>
          <w:b w:val="1"/>
          <w:bCs w:val="1"/>
          <w:color w:val="auto"/>
        </w:rPr>
        <w:t xml:space="preserve">Explanation: </w:t>
      </w:r>
      <w:r>
        <w:rPr>
          <w:rFonts w:ascii="Times New Roman" w:cs="Times New Roman" w:eastAsia="Times New Roman" w:hAnsi="Times New Roman"/>
          <w:sz w:val="24"/>
          <w:szCs w:val="24"/>
          <w:color w:val="auto"/>
        </w:rPr>
        <w:t>For the purpose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of this regulation, the term “home country” means the country</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where the issuer is incorporated and listed.</w:t>
      </w:r>
    </w:p>
    <w:p>
      <w:pPr>
        <w:spacing w:after="0" w:line="15"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(2) The issue shall be subject to the following conditions:</w:t>
      </w:r>
    </w:p>
    <w:p>
      <w:pPr>
        <w:spacing w:after="0" w:line="137" w:lineRule="exact"/>
        <w:rPr>
          <w:sz w:val="20"/>
          <w:szCs w:val="20"/>
          <w:color w:val="auto"/>
        </w:rPr>
      </w:pPr>
    </w:p>
    <w:p>
      <w:pPr>
        <w:ind w:left="548" w:hanging="548"/>
        <w:spacing w:after="0"/>
        <w:tabs>
          <w:tab w:leader="none" w:pos="548" w:val="left"/>
        </w:tabs>
        <w:numPr>
          <w:ilvl w:val="0"/>
          <w:numId w:val="47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issue size shall not be less than fifty crore rupees;</w:t>
      </w:r>
    </w:p>
    <w:p>
      <w:pPr>
        <w:spacing w:after="0" w:line="139" w:lineRule="exact"/>
        <w:rPr>
          <w:rFonts w:ascii="Times New Roman" w:cs="Times New Roman" w:eastAsia="Times New Roman" w:hAnsi="Times New Roman"/>
          <w:sz w:val="24"/>
          <w:szCs w:val="24"/>
          <w:color w:val="auto"/>
        </w:rPr>
      </w:pPr>
    </w:p>
    <w:p>
      <w:pPr>
        <w:ind w:left="548" w:hanging="548"/>
        <w:spacing w:after="0"/>
        <w:tabs>
          <w:tab w:leader="none" w:pos="548" w:val="left"/>
        </w:tabs>
        <w:numPr>
          <w:ilvl w:val="0"/>
          <w:numId w:val="47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at any given time, there shall be only one denomination of IDRs of the issuer.</w:t>
      </w:r>
    </w:p>
    <w:p>
      <w:pPr>
        <w:spacing w:after="0" w:line="149" w:lineRule="exact"/>
        <w:rPr>
          <w:rFonts w:ascii="Times New Roman" w:cs="Times New Roman" w:eastAsia="Times New Roman" w:hAnsi="Times New Roman"/>
          <w:sz w:val="24"/>
          <w:szCs w:val="24"/>
          <w:color w:val="auto"/>
        </w:rPr>
      </w:pPr>
    </w:p>
    <w:p>
      <w:pPr>
        <w:ind w:left="548" w:hanging="548"/>
        <w:spacing w:after="0" w:line="350" w:lineRule="auto"/>
        <w:tabs>
          <w:tab w:leader="none" w:pos="548" w:val="left"/>
        </w:tabs>
        <w:numPr>
          <w:ilvl w:val="0"/>
          <w:numId w:val="47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issuer shall ensure that the underlying equity shares against which IDRs are issued have been or will be listed in its home country before listing of IDRs in stock exchange(s).</w:t>
      </w:r>
    </w:p>
    <w:p>
      <w:pPr>
        <w:spacing w:after="0" w:line="10" w:lineRule="exact"/>
        <w:rPr>
          <w:rFonts w:ascii="Times New Roman" w:cs="Times New Roman" w:eastAsia="Times New Roman" w:hAnsi="Times New Roman"/>
          <w:sz w:val="24"/>
          <w:szCs w:val="24"/>
          <w:color w:val="auto"/>
        </w:rPr>
      </w:pPr>
    </w:p>
    <w:p>
      <w:pPr>
        <w:ind w:left="548" w:hanging="548"/>
        <w:spacing w:after="0"/>
        <w:tabs>
          <w:tab w:leader="none" w:pos="548" w:val="left"/>
        </w:tabs>
        <w:numPr>
          <w:ilvl w:val="0"/>
          <w:numId w:val="47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issuer shall ensure that the underlying shares of IDRs shall rank pari passu with the existing</w:t>
      </w:r>
    </w:p>
    <w:p>
      <w:pPr>
        <w:spacing w:after="0" w:line="139" w:lineRule="exact"/>
        <w:rPr>
          <w:sz w:val="20"/>
          <w:szCs w:val="20"/>
          <w:color w:val="auto"/>
        </w:rPr>
      </w:pPr>
    </w:p>
    <w:p>
      <w:pPr>
        <w:ind w:left="548"/>
        <w:spacing w:after="0"/>
        <w:rPr>
          <w:sz w:val="20"/>
          <w:szCs w:val="20"/>
          <w:color w:val="auto"/>
        </w:rPr>
      </w:pPr>
      <w:r>
        <w:rPr>
          <w:rFonts w:ascii="Times New Roman" w:cs="Times New Roman" w:eastAsia="Times New Roman" w:hAnsi="Times New Roman"/>
          <w:sz w:val="24"/>
          <w:szCs w:val="24"/>
          <w:color w:val="auto"/>
        </w:rPr>
        <w:t>shares of the same class.</w:t>
      </w:r>
    </w:p>
    <w:p>
      <w:pPr>
        <w:spacing w:after="0" w:line="13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(3) The issuer shall ensure that:</w:t>
      </w:r>
    </w:p>
    <w:p>
      <w:pPr>
        <w:spacing w:after="0" w:line="151" w:lineRule="exact"/>
        <w:rPr>
          <w:sz w:val="20"/>
          <w:szCs w:val="20"/>
          <w:color w:val="auto"/>
        </w:rPr>
      </w:pPr>
    </w:p>
    <w:p>
      <w:pPr>
        <w:jc w:val="both"/>
        <w:ind w:left="548" w:hanging="548"/>
        <w:spacing w:after="0" w:line="354" w:lineRule="auto"/>
        <w:tabs>
          <w:tab w:leader="none" w:pos="548" w:val="left"/>
        </w:tabs>
        <w:numPr>
          <w:ilvl w:val="0"/>
          <w:numId w:val="47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it has made an application to one or more stock exchanges to seek an in-principle approval for listing of the IDRs on such stock exchanges and has chosen one of them as the designated stock exchange, in terms of </w:t>
      </w:r>
      <w:r>
        <w:rPr>
          <w:rFonts w:ascii="Times New Roman" w:cs="Times New Roman" w:eastAsia="Times New Roman" w:hAnsi="Times New Roman"/>
          <w:sz w:val="24"/>
          <w:szCs w:val="24"/>
          <w:b w:val="1"/>
          <w:bCs w:val="1"/>
          <w:color w:val="auto"/>
        </w:rPr>
        <w:t>Schedule XIX</w:t>
      </w:r>
      <w:r>
        <w:rPr>
          <w:rFonts w:ascii="Times New Roman" w:cs="Times New Roman" w:eastAsia="Times New Roman" w:hAnsi="Times New Roman"/>
          <w:sz w:val="24"/>
          <w:szCs w:val="24"/>
          <w:color w:val="auto"/>
        </w:rPr>
        <w:t>;</w:t>
      </w:r>
    </w:p>
    <w:p>
      <w:pPr>
        <w:spacing w:after="0" w:line="20" w:lineRule="exact"/>
        <w:rPr>
          <w:rFonts w:ascii="Times New Roman" w:cs="Times New Roman" w:eastAsia="Times New Roman" w:hAnsi="Times New Roman"/>
          <w:sz w:val="24"/>
          <w:szCs w:val="24"/>
          <w:color w:val="auto"/>
        </w:rPr>
      </w:pPr>
    </w:p>
    <w:p>
      <w:pPr>
        <w:ind w:left="548" w:hanging="548"/>
        <w:spacing w:after="0" w:line="350" w:lineRule="auto"/>
        <w:tabs>
          <w:tab w:leader="none" w:pos="548" w:val="left"/>
        </w:tabs>
        <w:numPr>
          <w:ilvl w:val="0"/>
          <w:numId w:val="47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 has entered into an agreement with a depository for dematerialisation of the IDRs proposed to be issued;</w:t>
      </w:r>
    </w:p>
    <w:p>
      <w:pPr>
        <w:spacing w:after="0" w:line="23" w:lineRule="exact"/>
        <w:rPr>
          <w:rFonts w:ascii="Times New Roman" w:cs="Times New Roman" w:eastAsia="Times New Roman" w:hAnsi="Times New Roman"/>
          <w:sz w:val="24"/>
          <w:szCs w:val="24"/>
          <w:color w:val="auto"/>
        </w:rPr>
      </w:pPr>
    </w:p>
    <w:p>
      <w:pPr>
        <w:jc w:val="both"/>
        <w:ind w:left="548" w:hanging="548"/>
        <w:spacing w:after="0" w:line="356" w:lineRule="auto"/>
        <w:tabs>
          <w:tab w:leader="none" w:pos="548" w:val="left"/>
        </w:tabs>
        <w:numPr>
          <w:ilvl w:val="0"/>
          <w:numId w:val="47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 has made firm arrangements of finance through verifiable means towards seventy five per cent. of the stated means of finance for the project proposed to be funded from issue proceeds, excluding the amount to be raised through the proposed issue of IDRs or through existing identifiable internal accruals, have been made.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ind w:left="8" w:hanging="8"/>
        <w:spacing w:after="0" w:line="203" w:lineRule="auto"/>
        <w:tabs>
          <w:tab w:leader="none" w:pos="188" w:val="left"/>
        </w:tabs>
        <w:numPr>
          <w:ilvl w:val="0"/>
          <w:numId w:val="480"/>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Securities and Exchange Board of India (Issue of Capital and Disclosure Requirements) (Seventh Amendment) Regulations, 2019, w-e-f 01.01.2020 for the word “registering”.</w:t>
      </w:r>
    </w:p>
    <w:p>
      <w:pPr>
        <w:spacing w:after="0" w:line="30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118</w:t>
      </w:r>
    </w:p>
    <w:p>
      <w:pPr>
        <w:sectPr>
          <w:pgSz w:w="11900" w:h="16836" w:orient="portrait"/>
          <w:cols w:equalWidth="0" w:num="1">
            <w:col w:w="9468"/>
          </w:cols>
          <w:pgMar w:left="1152" w:top="1156" w:right="1284" w:bottom="103" w:gutter="0" w:footer="0" w:header="0"/>
        </w:sectPr>
      </w:pPr>
    </w:p>
    <w:bookmarkStart w:id="118" w:name="page119"/>
    <w:bookmarkEnd w:id="118"/>
    <w:p>
      <w:pPr>
        <w:ind w:left="728" w:hanging="636"/>
        <w:spacing w:after="0" w:line="354" w:lineRule="auto"/>
        <w:tabs>
          <w:tab w:leader="none" w:pos="454" w:val="left"/>
        </w:tabs>
        <w:numPr>
          <w:ilvl w:val="0"/>
          <w:numId w:val="48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amount for general corporate purposes, as mentioned in objects of the issue in the draft offer document and the offer document, shall not exceed twenty five per cent. of the amount being raised by the issuer.</w:t>
      </w:r>
    </w:p>
    <w:p>
      <w:pPr>
        <w:spacing w:after="0" w:line="200" w:lineRule="exact"/>
        <w:rPr>
          <w:sz w:val="20"/>
          <w:szCs w:val="20"/>
          <w:color w:val="auto"/>
        </w:rPr>
      </w:pPr>
    </w:p>
    <w:p>
      <w:pPr>
        <w:spacing w:after="0" w:line="240" w:lineRule="exact"/>
        <w:rPr>
          <w:sz w:val="20"/>
          <w:szCs w:val="20"/>
          <w:color w:val="auto"/>
        </w:rPr>
      </w:pPr>
    </w:p>
    <w:p>
      <w:pPr>
        <w:ind w:left="8" w:right="300"/>
        <w:spacing w:after="0" w:line="348" w:lineRule="auto"/>
        <w:rPr>
          <w:sz w:val="20"/>
          <w:szCs w:val="20"/>
          <w:color w:val="auto"/>
        </w:rPr>
      </w:pPr>
      <w:r>
        <w:rPr>
          <w:rFonts w:ascii="Times New Roman" w:cs="Times New Roman" w:eastAsia="Times New Roman" w:hAnsi="Times New Roman"/>
          <w:sz w:val="24"/>
          <w:szCs w:val="24"/>
          <w:b w:val="1"/>
          <w:bCs w:val="1"/>
          <w:color w:val="auto"/>
        </w:rPr>
        <w:t>PART II: APPOINTMENT OF LEAD MANAGERS, OTHER INTERMEDIARIES AND COMPLIANCE OFFICER.</w:t>
      </w:r>
    </w:p>
    <w:p>
      <w:pPr>
        <w:spacing w:after="0" w:line="200" w:lineRule="exact"/>
        <w:rPr>
          <w:sz w:val="20"/>
          <w:szCs w:val="20"/>
          <w:color w:val="auto"/>
        </w:rPr>
      </w:pPr>
    </w:p>
    <w:p>
      <w:pPr>
        <w:spacing w:after="0" w:line="236" w:lineRule="exact"/>
        <w:rPr>
          <w:sz w:val="20"/>
          <w:szCs w:val="20"/>
          <w:color w:val="auto"/>
        </w:rPr>
      </w:pPr>
    </w:p>
    <w:p>
      <w:pPr>
        <w:jc w:val="both"/>
        <w:ind w:left="8" w:hanging="8"/>
        <w:spacing w:after="0" w:line="357" w:lineRule="auto"/>
        <w:tabs>
          <w:tab w:leader="none" w:pos="519" w:val="left"/>
        </w:tabs>
        <w:numPr>
          <w:ilvl w:val="0"/>
          <w:numId w:val="48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(1) The issuer shall appoint one or more merchant bankers, which are registered with the Board, as lead manager(s) to the issue and shall also appoint other intermediaries, in consultation with the lead manager and shall enter into an agreement with the lead manager on the lines of format of agreement as specified in </w:t>
      </w:r>
      <w:r>
        <w:rPr>
          <w:rFonts w:ascii="Times New Roman" w:cs="Times New Roman" w:eastAsia="Times New Roman" w:hAnsi="Times New Roman"/>
          <w:sz w:val="24"/>
          <w:szCs w:val="24"/>
          <w:b w:val="1"/>
          <w:bCs w:val="1"/>
          <w:color w:val="auto"/>
        </w:rPr>
        <w:t>Schedule II</w:t>
      </w:r>
      <w:r>
        <w:rPr>
          <w:rFonts w:ascii="Times New Roman" w:cs="Times New Roman" w:eastAsia="Times New Roman" w:hAnsi="Times New Roman"/>
          <w:sz w:val="24"/>
          <w:szCs w:val="24"/>
          <w:color w:val="auto"/>
        </w:rPr>
        <w:t>.</w:t>
      </w:r>
    </w:p>
    <w:p>
      <w:pPr>
        <w:spacing w:after="0" w:line="14" w:lineRule="exact"/>
        <w:rPr>
          <w:rFonts w:ascii="Times New Roman" w:cs="Times New Roman" w:eastAsia="Times New Roman" w:hAnsi="Times New Roman"/>
          <w:sz w:val="24"/>
          <w:szCs w:val="24"/>
          <w:b w:val="1"/>
          <w:bCs w:val="1"/>
          <w:color w:val="auto"/>
        </w:rPr>
      </w:pPr>
    </w:p>
    <w:p>
      <w:pPr>
        <w:jc w:val="both"/>
        <w:ind w:left="8"/>
        <w:spacing w:after="0" w:line="356"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(2) Where the issue is managed by more than one lead manager, the rights, obligations and responsibilities, relating </w:t>
      </w:r>
      <w:r>
        <w:rPr>
          <w:rFonts w:ascii="Times New Roman" w:cs="Times New Roman" w:eastAsia="Times New Roman" w:hAnsi="Times New Roman"/>
          <w:sz w:val="24"/>
          <w:szCs w:val="24"/>
          <w:i w:val="1"/>
          <w:iCs w:val="1"/>
          <w:color w:val="auto"/>
        </w:rPr>
        <w:t>inter alia</w:t>
      </w:r>
      <w:r>
        <w:rPr>
          <w:rFonts w:ascii="Times New Roman" w:cs="Times New Roman" w:eastAsia="Times New Roman" w:hAnsi="Times New Roman"/>
          <w:sz w:val="24"/>
          <w:szCs w:val="24"/>
          <w:color w:val="auto"/>
        </w:rPr>
        <w:t xml:space="preserve"> to disclosures, allotment, refund and underwriting obligations, if any, of each lead manager shall be predetermined and be disclosed in the draft offer document and the offer documents as specified in </w:t>
      </w:r>
      <w:r>
        <w:rPr>
          <w:rFonts w:ascii="Times New Roman" w:cs="Times New Roman" w:eastAsia="Times New Roman" w:hAnsi="Times New Roman"/>
          <w:sz w:val="24"/>
          <w:szCs w:val="24"/>
          <w:b w:val="1"/>
          <w:bCs w:val="1"/>
          <w:color w:val="auto"/>
        </w:rPr>
        <w:t>Schedule I</w:t>
      </w:r>
      <w:r>
        <w:rPr>
          <w:rFonts w:ascii="Times New Roman" w:cs="Times New Roman" w:eastAsia="Times New Roman" w:hAnsi="Times New Roman"/>
          <w:sz w:val="24"/>
          <w:szCs w:val="24"/>
          <w:color w:val="auto"/>
        </w:rPr>
        <w:t>.</w:t>
      </w:r>
    </w:p>
    <w:p>
      <w:pPr>
        <w:spacing w:after="0" w:line="18" w:lineRule="exact"/>
        <w:rPr>
          <w:rFonts w:ascii="Times New Roman" w:cs="Times New Roman" w:eastAsia="Times New Roman" w:hAnsi="Times New Roman"/>
          <w:sz w:val="24"/>
          <w:szCs w:val="24"/>
          <w:b w:val="1"/>
          <w:bCs w:val="1"/>
          <w:color w:val="auto"/>
        </w:rPr>
      </w:pPr>
    </w:p>
    <w:p>
      <w:pPr>
        <w:jc w:val="both"/>
        <w:ind w:left="8"/>
        <w:spacing w:after="0" w:line="356"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(3) At least one lead manager to the issue shall not be an associate (as defined under the Securities and Exchange Board of India (Merchant Bankers) Regulations, 1992) of the issuer and if any of the lead manager(s) is an associate of the issuer, it shall disclose itself as an associate of the issuer and its role shall be limited to marketing of the issue.</w:t>
      </w:r>
    </w:p>
    <w:p>
      <w:pPr>
        <w:spacing w:after="0" w:line="18" w:lineRule="exact"/>
        <w:rPr>
          <w:rFonts w:ascii="Times New Roman" w:cs="Times New Roman" w:eastAsia="Times New Roman" w:hAnsi="Times New Roman"/>
          <w:sz w:val="24"/>
          <w:szCs w:val="24"/>
          <w:b w:val="1"/>
          <w:bCs w:val="1"/>
          <w:color w:val="auto"/>
        </w:rPr>
      </w:pPr>
    </w:p>
    <w:p>
      <w:pPr>
        <w:ind w:left="8"/>
        <w:spacing w:after="0" w:line="350"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(4) The issuer shall appoint a registrar to the issue, registered with the Board, which has connectivity with all the depositories.</w:t>
      </w:r>
    </w:p>
    <w:p>
      <w:pPr>
        <w:spacing w:after="0" w:line="23" w:lineRule="exact"/>
        <w:rPr>
          <w:rFonts w:ascii="Times New Roman" w:cs="Times New Roman" w:eastAsia="Times New Roman" w:hAnsi="Times New Roman"/>
          <w:sz w:val="24"/>
          <w:szCs w:val="24"/>
          <w:b w:val="1"/>
          <w:bCs w:val="1"/>
          <w:color w:val="auto"/>
        </w:rPr>
      </w:pPr>
    </w:p>
    <w:p>
      <w:pPr>
        <w:ind w:left="8"/>
        <w:spacing w:after="0" w:line="350"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(5) The issuer shall enter into an agreement with an overseas custodian bank and a domestic depository.</w:t>
      </w:r>
    </w:p>
    <w:p>
      <w:pPr>
        <w:spacing w:after="0" w:line="11" w:lineRule="exact"/>
        <w:rPr>
          <w:rFonts w:ascii="Times New Roman" w:cs="Times New Roman" w:eastAsia="Times New Roman" w:hAnsi="Times New Roman"/>
          <w:sz w:val="24"/>
          <w:szCs w:val="24"/>
          <w:b w:val="1"/>
          <w:bCs w:val="1"/>
          <w:color w:val="auto"/>
        </w:rPr>
      </w:pPr>
    </w:p>
    <w:p>
      <w:pPr>
        <w:ind w:left="8"/>
        <w:spacing w:after="0"/>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(6)  The  issuing  company  shall  make  arrangements  for  collection  at  centres  as  specified  in</w:t>
      </w:r>
    </w:p>
    <w:p>
      <w:pPr>
        <w:spacing w:after="0" w:line="144"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Schedule XII.</w:t>
      </w:r>
    </w:p>
    <w:p>
      <w:pPr>
        <w:spacing w:after="0" w:line="144" w:lineRule="exact"/>
        <w:rPr>
          <w:sz w:val="20"/>
          <w:szCs w:val="20"/>
          <w:color w:val="auto"/>
        </w:rPr>
      </w:pPr>
    </w:p>
    <w:p>
      <w:pPr>
        <w:ind w:left="8"/>
        <w:spacing w:after="0" w:line="350" w:lineRule="auto"/>
        <w:rPr>
          <w:sz w:val="20"/>
          <w:szCs w:val="20"/>
          <w:color w:val="auto"/>
        </w:rPr>
      </w:pPr>
      <w:r>
        <w:rPr>
          <w:rFonts w:ascii="Times New Roman" w:cs="Times New Roman" w:eastAsia="Times New Roman" w:hAnsi="Times New Roman"/>
          <w:sz w:val="24"/>
          <w:szCs w:val="24"/>
          <w:color w:val="auto"/>
        </w:rPr>
        <w:t>(7) The issuer shall appoint a compliance officer who shall be responsible for monitoring the compliance of the securities laws and for redressal of investors’ grievances.</w:t>
      </w:r>
    </w:p>
    <w:p>
      <w:pPr>
        <w:spacing w:after="0" w:line="200" w:lineRule="exact"/>
        <w:rPr>
          <w:sz w:val="20"/>
          <w:szCs w:val="20"/>
          <w:color w:val="auto"/>
        </w:rPr>
      </w:pPr>
    </w:p>
    <w:p>
      <w:pPr>
        <w:spacing w:after="0" w:line="231"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IV: DISCLOSURES IN AND FILING OF OFFER DOCUMENTS</w:t>
      </w:r>
    </w:p>
    <w:p>
      <w:pPr>
        <w:spacing w:after="0" w:line="200" w:lineRule="exact"/>
        <w:rPr>
          <w:sz w:val="20"/>
          <w:szCs w:val="20"/>
          <w:color w:val="auto"/>
        </w:rPr>
      </w:pPr>
    </w:p>
    <w:p>
      <w:pPr>
        <w:spacing w:after="0" w:line="35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Disclosures in the draft offer document and offer document</w:t>
      </w:r>
    </w:p>
    <w:p>
      <w:pPr>
        <w:spacing w:after="0" w:line="145" w:lineRule="exact"/>
        <w:rPr>
          <w:sz w:val="20"/>
          <w:szCs w:val="20"/>
          <w:color w:val="auto"/>
        </w:rPr>
      </w:pPr>
    </w:p>
    <w:p>
      <w:pPr>
        <w:ind w:left="8" w:hanging="8"/>
        <w:spacing w:after="0" w:line="350" w:lineRule="auto"/>
        <w:tabs>
          <w:tab w:leader="none" w:pos="528" w:val="left"/>
        </w:tabs>
        <w:numPr>
          <w:ilvl w:val="0"/>
          <w:numId w:val="48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offer document shall contain all material disclosures which are true, correct and adequate to enable the applicants to take an informed investment decision.</w:t>
      </w:r>
    </w:p>
    <w:p>
      <w:pPr>
        <w:spacing w:after="0" w:line="10" w:lineRule="exact"/>
        <w:rPr>
          <w:rFonts w:ascii="Times New Roman" w:cs="Times New Roman" w:eastAsia="Times New Roman" w:hAnsi="Times New Roman"/>
          <w:sz w:val="24"/>
          <w:szCs w:val="24"/>
          <w:b w:val="1"/>
          <w:bCs w:val="1"/>
          <w:color w:val="auto"/>
        </w:rPr>
      </w:pPr>
    </w:p>
    <w:p>
      <w:pPr>
        <w:ind w:left="8"/>
        <w:spacing w:after="0"/>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Without prejudice to the generality of sub-regulation (1), the offer document shall contain: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119</w:t>
      </w:r>
    </w:p>
    <w:p>
      <w:pPr>
        <w:sectPr>
          <w:pgSz w:w="11900" w:h="16836" w:orient="portrait"/>
          <w:cols w:equalWidth="0" w:num="1">
            <w:col w:w="9468"/>
          </w:cols>
          <w:pgMar w:left="1152" w:top="1156" w:right="1284" w:bottom="103" w:gutter="0" w:footer="0" w:header="0"/>
        </w:sectPr>
      </w:pPr>
    </w:p>
    <w:bookmarkStart w:id="119" w:name="page120"/>
    <w:bookmarkEnd w:id="119"/>
    <w:p>
      <w:pPr>
        <w:ind w:left="868" w:hanging="508"/>
        <w:spacing w:after="0" w:line="348" w:lineRule="auto"/>
        <w:tabs>
          <w:tab w:leader="none" w:pos="868" w:val="left"/>
        </w:tabs>
        <w:numPr>
          <w:ilvl w:val="1"/>
          <w:numId w:val="48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disclosures specified in the Companies (Registration of Foreign Companies) Rules, 2014; and</w:t>
      </w:r>
    </w:p>
    <w:p>
      <w:pPr>
        <w:spacing w:after="0" w:line="15" w:lineRule="exact"/>
        <w:rPr>
          <w:rFonts w:ascii="Times New Roman" w:cs="Times New Roman" w:eastAsia="Times New Roman" w:hAnsi="Times New Roman"/>
          <w:sz w:val="24"/>
          <w:szCs w:val="24"/>
          <w:color w:val="auto"/>
        </w:rPr>
      </w:pPr>
    </w:p>
    <w:p>
      <w:pPr>
        <w:ind w:left="868" w:hanging="508"/>
        <w:spacing w:after="0"/>
        <w:tabs>
          <w:tab w:leader="none" w:pos="868" w:val="left"/>
        </w:tabs>
        <w:numPr>
          <w:ilvl w:val="1"/>
          <w:numId w:val="48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disclosures in the manner as specified in </w:t>
      </w:r>
      <w:r>
        <w:rPr>
          <w:rFonts w:ascii="Times New Roman" w:cs="Times New Roman" w:eastAsia="Times New Roman" w:hAnsi="Times New Roman"/>
          <w:sz w:val="24"/>
          <w:szCs w:val="24"/>
          <w:b w:val="1"/>
          <w:bCs w:val="1"/>
          <w:color w:val="auto"/>
        </w:rPr>
        <w:t>Part A</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 VIII.</w:t>
      </w:r>
    </w:p>
    <w:p>
      <w:pPr>
        <w:spacing w:after="0" w:line="149"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370" w:val="left"/>
        </w:tabs>
        <w:numPr>
          <w:ilvl w:val="0"/>
          <w:numId w:val="48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 shall exercise due diligence and satisfy themselves about all aspects of the issue including the veracity and adequacy of disclosure in the draft offer document and the offer documents.</w:t>
      </w:r>
    </w:p>
    <w:p>
      <w:pPr>
        <w:spacing w:after="0" w:line="22"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406" w:val="left"/>
        </w:tabs>
        <w:numPr>
          <w:ilvl w:val="0"/>
          <w:numId w:val="48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 shall call upon the issuer, its promoters or directors to fulfil their obligations as disclosed by them in the draft offer document or offer document, as the case may be, and as required in terms of these Regulations.</w:t>
      </w:r>
    </w:p>
    <w:p>
      <w:pPr>
        <w:spacing w:after="0" w:line="200" w:lineRule="exact"/>
        <w:rPr>
          <w:sz w:val="20"/>
          <w:szCs w:val="20"/>
          <w:color w:val="auto"/>
        </w:rPr>
      </w:pPr>
    </w:p>
    <w:p>
      <w:pPr>
        <w:spacing w:after="0" w:line="22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Filing of the draft offer document and offer document</w:t>
      </w:r>
    </w:p>
    <w:p>
      <w:pPr>
        <w:spacing w:after="0" w:line="144" w:lineRule="exact"/>
        <w:rPr>
          <w:sz w:val="20"/>
          <w:szCs w:val="20"/>
          <w:color w:val="auto"/>
        </w:rPr>
      </w:pPr>
    </w:p>
    <w:p>
      <w:pPr>
        <w:jc w:val="both"/>
        <w:ind w:left="8" w:hanging="8"/>
        <w:spacing w:after="0" w:line="350" w:lineRule="auto"/>
        <w:tabs>
          <w:tab w:leader="none" w:pos="502" w:val="left"/>
        </w:tabs>
        <w:numPr>
          <w:ilvl w:val="0"/>
          <w:numId w:val="48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(1) Prior to making an initial public offer, the issuer shall file three copies of the draft offer document with the Board, in accordance with </w:t>
      </w:r>
      <w:r>
        <w:rPr>
          <w:rFonts w:ascii="Times New Roman" w:cs="Times New Roman" w:eastAsia="Times New Roman" w:hAnsi="Times New Roman"/>
          <w:sz w:val="24"/>
          <w:szCs w:val="24"/>
          <w:b w:val="1"/>
          <w:bCs w:val="1"/>
          <w:color w:val="auto"/>
        </w:rPr>
        <w:t>Schedule IV</w:t>
      </w:r>
      <w:r>
        <w:rPr>
          <w:rFonts w:ascii="Times New Roman" w:cs="Times New Roman" w:eastAsia="Times New Roman" w:hAnsi="Times New Roman"/>
          <w:sz w:val="24"/>
          <w:szCs w:val="24"/>
          <w:color w:val="auto"/>
        </w:rPr>
        <w:t>, along with fees as specified in</w:t>
      </w:r>
    </w:p>
    <w:p>
      <w:pPr>
        <w:spacing w:after="0" w:line="200" w:lineRule="exact"/>
        <w:rPr>
          <w:sz w:val="20"/>
          <w:szCs w:val="20"/>
          <w:color w:val="auto"/>
        </w:rPr>
      </w:pPr>
    </w:p>
    <w:p>
      <w:pPr>
        <w:spacing w:after="0" w:line="238" w:lineRule="exact"/>
        <w:rPr>
          <w:sz w:val="20"/>
          <w:szCs w:val="20"/>
          <w:color w:val="auto"/>
        </w:rPr>
      </w:pPr>
    </w:p>
    <w:p>
      <w:pPr>
        <w:ind w:left="8" w:hanging="8"/>
        <w:spacing w:after="0" w:line="348" w:lineRule="auto"/>
        <w:tabs>
          <w:tab w:leader="none" w:pos="353" w:val="left"/>
        </w:tabs>
        <w:numPr>
          <w:ilvl w:val="0"/>
          <w:numId w:val="48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draft offer document and the offer documents filed with the Board shall also be furnished to the Board in a soft copy.</w:t>
      </w:r>
    </w:p>
    <w:p>
      <w:pPr>
        <w:spacing w:after="0" w:line="15" w:lineRule="exact"/>
        <w:rPr>
          <w:rFonts w:ascii="Times New Roman" w:cs="Times New Roman" w:eastAsia="Times New Roman" w:hAnsi="Times New Roman"/>
          <w:sz w:val="24"/>
          <w:szCs w:val="24"/>
          <w:color w:val="auto"/>
        </w:rPr>
      </w:pPr>
    </w:p>
    <w:p>
      <w:pPr>
        <w:ind w:left="8"/>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(3)The lead manager(s) shall:</w:t>
      </w:r>
    </w:p>
    <w:p>
      <w:pPr>
        <w:spacing w:after="0" w:line="149" w:lineRule="exact"/>
        <w:rPr>
          <w:sz w:val="20"/>
          <w:szCs w:val="20"/>
          <w:color w:val="auto"/>
        </w:rPr>
      </w:pPr>
    </w:p>
    <w:p>
      <w:pPr>
        <w:ind w:left="548" w:hanging="512"/>
        <w:spacing w:after="0" w:line="350" w:lineRule="auto"/>
        <w:tabs>
          <w:tab w:leader="none" w:pos="548" w:val="left"/>
        </w:tabs>
        <w:numPr>
          <w:ilvl w:val="1"/>
          <w:numId w:val="48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submit a certificate confirming that an agreement has been entered into between the issuer and the lead manager(s)</w:t>
      </w:r>
    </w:p>
    <w:p>
      <w:pPr>
        <w:spacing w:after="0" w:line="23" w:lineRule="exact"/>
        <w:rPr>
          <w:rFonts w:ascii="Times New Roman" w:cs="Times New Roman" w:eastAsia="Times New Roman" w:hAnsi="Times New Roman"/>
          <w:sz w:val="24"/>
          <w:szCs w:val="24"/>
          <w:color w:val="auto"/>
        </w:rPr>
      </w:pPr>
    </w:p>
    <w:p>
      <w:pPr>
        <w:ind w:left="548" w:hanging="512"/>
        <w:spacing w:after="0" w:line="350" w:lineRule="auto"/>
        <w:tabs>
          <w:tab w:leader="none" w:pos="548" w:val="left"/>
        </w:tabs>
        <w:numPr>
          <w:ilvl w:val="1"/>
          <w:numId w:val="48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submit a due diligence certificate as per format given in </w:t>
      </w:r>
      <w:r>
        <w:rPr>
          <w:rFonts w:ascii="Times New Roman" w:cs="Times New Roman" w:eastAsia="Times New Roman" w:hAnsi="Times New Roman"/>
          <w:sz w:val="24"/>
          <w:szCs w:val="24"/>
          <w:b w:val="1"/>
          <w:bCs w:val="1"/>
          <w:color w:val="auto"/>
        </w:rPr>
        <w:t>Part H</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 V</w:t>
      </w:r>
      <w:r>
        <w:rPr>
          <w:rFonts w:ascii="Times New Roman" w:cs="Times New Roman" w:eastAsia="Times New Roman" w:hAnsi="Times New Roman"/>
          <w:sz w:val="24"/>
          <w:szCs w:val="24"/>
          <w:color w:val="auto"/>
        </w:rPr>
        <w:t xml:space="preserve"> to the Board along with the draft offer document</w:t>
      </w:r>
      <w:r>
        <w:rPr>
          <w:rFonts w:ascii="Times New Roman" w:cs="Times New Roman" w:eastAsia="Times New Roman" w:hAnsi="Times New Roman"/>
          <w:sz w:val="24"/>
          <w:szCs w:val="24"/>
          <w:b w:val="1"/>
          <w:bCs w:val="1"/>
          <w:color w:val="auto"/>
        </w:rPr>
        <w:t>;</w:t>
      </w:r>
    </w:p>
    <w:p>
      <w:pPr>
        <w:spacing w:after="0" w:line="23" w:lineRule="exact"/>
        <w:rPr>
          <w:rFonts w:ascii="Times New Roman" w:cs="Times New Roman" w:eastAsia="Times New Roman" w:hAnsi="Times New Roman"/>
          <w:sz w:val="24"/>
          <w:szCs w:val="24"/>
          <w:color w:val="auto"/>
        </w:rPr>
      </w:pPr>
    </w:p>
    <w:p>
      <w:pPr>
        <w:ind w:left="548" w:hanging="512"/>
        <w:spacing w:after="0" w:line="350" w:lineRule="auto"/>
        <w:tabs>
          <w:tab w:leader="none" w:pos="548" w:val="left"/>
        </w:tabs>
        <w:numPr>
          <w:ilvl w:val="1"/>
          <w:numId w:val="48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certify that all amendments, suggestions or observations made by the Board have been incorporated in the offer document;</w:t>
      </w:r>
    </w:p>
    <w:p>
      <w:pPr>
        <w:spacing w:after="0" w:line="23" w:lineRule="exact"/>
        <w:rPr>
          <w:rFonts w:ascii="Times New Roman" w:cs="Times New Roman" w:eastAsia="Times New Roman" w:hAnsi="Times New Roman"/>
          <w:sz w:val="24"/>
          <w:szCs w:val="24"/>
          <w:color w:val="auto"/>
        </w:rPr>
      </w:pPr>
    </w:p>
    <w:p>
      <w:pPr>
        <w:ind w:left="548" w:hanging="512"/>
        <w:spacing w:after="0" w:line="350" w:lineRule="auto"/>
        <w:tabs>
          <w:tab w:leader="none" w:pos="548" w:val="left"/>
        </w:tabs>
        <w:numPr>
          <w:ilvl w:val="1"/>
          <w:numId w:val="48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submit a due diligence certificate as per format given in </w:t>
      </w:r>
      <w:r>
        <w:rPr>
          <w:rFonts w:ascii="Times New Roman" w:cs="Times New Roman" w:eastAsia="Times New Roman" w:hAnsi="Times New Roman"/>
          <w:sz w:val="24"/>
          <w:szCs w:val="24"/>
          <w:b w:val="1"/>
          <w:bCs w:val="1"/>
          <w:color w:val="auto"/>
        </w:rPr>
        <w:t>Part C</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 V</w:t>
      </w:r>
      <w:r>
        <w:rPr>
          <w:rFonts w:ascii="Times New Roman" w:cs="Times New Roman" w:eastAsia="Times New Roman" w:hAnsi="Times New Roman"/>
          <w:sz w:val="24"/>
          <w:szCs w:val="24"/>
          <w:color w:val="auto"/>
        </w:rPr>
        <w:t>, at the time of filing the offer document with the Registrar of the Companies.</w:t>
      </w:r>
    </w:p>
    <w:p>
      <w:pPr>
        <w:spacing w:after="0" w:line="23" w:lineRule="exact"/>
        <w:rPr>
          <w:rFonts w:ascii="Times New Roman" w:cs="Times New Roman" w:eastAsia="Times New Roman" w:hAnsi="Times New Roman"/>
          <w:sz w:val="24"/>
          <w:szCs w:val="24"/>
          <w:color w:val="auto"/>
        </w:rPr>
      </w:pPr>
    </w:p>
    <w:p>
      <w:pPr>
        <w:ind w:left="548" w:hanging="512"/>
        <w:spacing w:after="0" w:line="350" w:lineRule="auto"/>
        <w:tabs>
          <w:tab w:leader="none" w:pos="548" w:val="left"/>
        </w:tabs>
        <w:numPr>
          <w:ilvl w:val="1"/>
          <w:numId w:val="48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a due diligence certificate as per </w:t>
      </w:r>
      <w:r>
        <w:rPr>
          <w:rFonts w:ascii="Times New Roman" w:cs="Times New Roman" w:eastAsia="Times New Roman" w:hAnsi="Times New Roman"/>
          <w:sz w:val="24"/>
          <w:szCs w:val="24"/>
          <w:b w:val="1"/>
          <w:bCs w:val="1"/>
          <w:color w:val="auto"/>
        </w:rPr>
        <w:t>Form D</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 V</w:t>
      </w:r>
      <w:r>
        <w:rPr>
          <w:rFonts w:ascii="Times New Roman" w:cs="Times New Roman" w:eastAsia="Times New Roman" w:hAnsi="Times New Roman"/>
          <w:sz w:val="24"/>
          <w:szCs w:val="24"/>
          <w:color w:val="auto"/>
        </w:rPr>
        <w:t>, in the event the issuer has made a disclosure of any material development by issuing a public notice.</w:t>
      </w:r>
    </w:p>
    <w:p>
      <w:pPr>
        <w:spacing w:after="0" w:line="23"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368" w:val="left"/>
        </w:tabs>
        <w:numPr>
          <w:ilvl w:val="0"/>
          <w:numId w:val="4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before filing the offer document with the Registrar of Companies, file with the Board through the lead manager(s), an updated draft offer document highlighting all changes made in the draft offer document.</w:t>
      </w:r>
    </w:p>
    <w:p>
      <w:pPr>
        <w:spacing w:after="0" w:line="9" w:lineRule="exact"/>
        <w:rPr>
          <w:rFonts w:ascii="Times New Roman" w:cs="Times New Roman" w:eastAsia="Times New Roman" w:hAnsi="Times New Roman"/>
          <w:sz w:val="24"/>
          <w:szCs w:val="24"/>
          <w:color w:val="auto"/>
        </w:rPr>
      </w:pPr>
    </w:p>
    <w:p>
      <w:pPr>
        <w:ind w:left="368" w:hanging="368"/>
        <w:spacing w:after="0"/>
        <w:tabs>
          <w:tab w:leader="none" w:pos="368" w:val="left"/>
        </w:tabs>
        <w:numPr>
          <w:ilvl w:val="0"/>
          <w:numId w:val="4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there are any changes in the draft offer document in relation to the matters specified in</w:t>
      </w:r>
    </w:p>
    <w:p>
      <w:pPr>
        <w:spacing w:after="0" w:line="149" w:lineRule="exact"/>
        <w:rPr>
          <w:sz w:val="20"/>
          <w:szCs w:val="20"/>
          <w:color w:val="auto"/>
        </w:rPr>
      </w:pPr>
    </w:p>
    <w:p>
      <w:pPr>
        <w:ind w:left="8"/>
        <w:spacing w:after="0" w:line="350" w:lineRule="auto"/>
        <w:rPr>
          <w:sz w:val="20"/>
          <w:szCs w:val="20"/>
          <w:color w:val="auto"/>
        </w:rPr>
      </w:pPr>
      <w:r>
        <w:rPr>
          <w:rFonts w:ascii="Times New Roman" w:cs="Times New Roman" w:eastAsia="Times New Roman" w:hAnsi="Times New Roman"/>
          <w:sz w:val="24"/>
          <w:szCs w:val="24"/>
          <w:b w:val="1"/>
          <w:bCs w:val="1"/>
          <w:color w:val="auto"/>
        </w:rPr>
        <w:t>Schedule XVI</w:t>
      </w:r>
      <w:r>
        <w:rPr>
          <w:rFonts w:ascii="Times New Roman" w:cs="Times New Roman" w:eastAsia="Times New Roman" w:hAnsi="Times New Roman"/>
          <w:sz w:val="24"/>
          <w:szCs w:val="24"/>
          <w:color w:val="auto"/>
        </w:rPr>
        <w:t>, an updated offer document or a fresh draft offer document, as the case may be,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 xml:space="preserve">shall be filed with the Board along with fees specified in </w:t>
      </w:r>
      <w:r>
        <w:rPr>
          <w:rFonts w:ascii="Times New Roman" w:cs="Times New Roman" w:eastAsia="Times New Roman" w:hAnsi="Times New Roman"/>
          <w:sz w:val="24"/>
          <w:szCs w:val="24"/>
          <w:b w:val="1"/>
          <w:bCs w:val="1"/>
          <w:color w:val="auto"/>
        </w:rPr>
        <w:t>Schedule III</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120</w:t>
      </w:r>
    </w:p>
    <w:p>
      <w:pPr>
        <w:sectPr>
          <w:pgSz w:w="11900" w:h="16836" w:orient="portrait"/>
          <w:cols w:equalWidth="0" w:num="1">
            <w:col w:w="9468"/>
          </w:cols>
          <w:pgMar w:left="1152" w:top="1156" w:right="1284" w:bottom="103" w:gutter="0" w:footer="0" w:header="0"/>
        </w:sectPr>
      </w:pPr>
    </w:p>
    <w:bookmarkStart w:id="120" w:name="page121"/>
    <w:bookmarkEnd w:id="120"/>
    <w:p>
      <w:pPr>
        <w:ind w:left="368" w:hanging="368"/>
        <w:spacing w:after="0"/>
        <w:tabs>
          <w:tab w:leader="none" w:pos="368" w:val="left"/>
        </w:tabs>
        <w:numPr>
          <w:ilvl w:val="0"/>
          <w:numId w:val="49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Copy of the offer documents shall also be filed with the Board and the stock exchange(s)</w:t>
      </w:r>
    </w:p>
    <w:p>
      <w:pPr>
        <w:spacing w:after="0" w:line="129" w:lineRule="exact"/>
        <w:rPr>
          <w:rFonts w:ascii="Times New Roman" w:cs="Times New Roman" w:eastAsia="Times New Roman" w:hAnsi="Times New Roman"/>
          <w:sz w:val="24"/>
          <w:szCs w:val="24"/>
          <w:color w:val="auto"/>
        </w:rPr>
      </w:pPr>
    </w:p>
    <w:p>
      <w:pPr>
        <w:ind w:left="8"/>
        <w:spacing w:after="0" w:line="287"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through the lead manager(s) promptly after </w:t>
      </w:r>
      <w:r>
        <w:rPr>
          <w:rFonts w:ascii="Times New Roman" w:cs="Times New Roman" w:eastAsia="Times New Roman" w:hAnsi="Times New Roman"/>
          <w:sz w:val="32"/>
          <w:szCs w:val="32"/>
          <w:color w:val="auto"/>
          <w:vertAlign w:val="superscript"/>
        </w:rPr>
        <w:t>73</w:t>
      </w:r>
      <w:r>
        <w:rPr>
          <w:rFonts w:ascii="Times New Roman" w:cs="Times New Roman" w:eastAsia="Times New Roman" w:hAnsi="Times New Roman"/>
          <w:sz w:val="24"/>
          <w:szCs w:val="24"/>
          <w:color w:val="auto"/>
        </w:rPr>
        <w:t>[filing] the offer documents with the registrar of companies.</w:t>
      </w:r>
    </w:p>
    <w:p>
      <w:pPr>
        <w:spacing w:after="0" w:line="200" w:lineRule="exact"/>
        <w:rPr>
          <w:sz w:val="20"/>
          <w:szCs w:val="20"/>
          <w:color w:val="auto"/>
        </w:rPr>
      </w:pPr>
    </w:p>
    <w:p>
      <w:pPr>
        <w:spacing w:after="0" w:line="286"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Draft offer document and offer document to be available to the public</w:t>
      </w:r>
    </w:p>
    <w:p>
      <w:pPr>
        <w:spacing w:after="0" w:line="144" w:lineRule="exact"/>
        <w:rPr>
          <w:sz w:val="20"/>
          <w:szCs w:val="20"/>
          <w:color w:val="auto"/>
        </w:rPr>
      </w:pPr>
    </w:p>
    <w:p>
      <w:pPr>
        <w:jc w:val="both"/>
        <w:ind w:left="8" w:hanging="8"/>
        <w:spacing w:after="0" w:line="357" w:lineRule="auto"/>
        <w:tabs>
          <w:tab w:leader="none" w:pos="492" w:val="left"/>
        </w:tabs>
        <w:numPr>
          <w:ilvl w:val="0"/>
          <w:numId w:val="49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draft offer document filed with the Board shall be made public for comments, if any, for a period of at least twenty one days from the date of filing, by hosting it on the websites of the Board, stock exchanges where specified securities are proposed to be listed and lead manager(s) associated with the issue.</w:t>
      </w:r>
    </w:p>
    <w:p>
      <w:pPr>
        <w:spacing w:after="0" w:line="14" w:lineRule="exact"/>
        <w:rPr>
          <w:rFonts w:ascii="Times New Roman" w:cs="Times New Roman" w:eastAsia="Times New Roman" w:hAnsi="Times New Roman"/>
          <w:sz w:val="24"/>
          <w:szCs w:val="24"/>
          <w:b w:val="1"/>
          <w:bCs w:val="1"/>
          <w:color w:val="auto"/>
        </w:rPr>
      </w:pPr>
    </w:p>
    <w:p>
      <w:pPr>
        <w:jc w:val="both"/>
        <w:ind w:left="8"/>
        <w:spacing w:after="0" w:line="35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The issuer shall, within two days of filing of the draft offer document with the Board, make a public announcement in one English national daily newspaper with wide circulation and one Hindi national daily newspaper with wide circulation, disclosing to the public the fact of filing of the draft offer document with the Board and inviting the public to provide their comments to the Board, the issuer or the lead manager(s) in respect of the disclosures made in the draft offer document.</w:t>
      </w:r>
    </w:p>
    <w:p>
      <w:pPr>
        <w:spacing w:after="0" w:line="14" w:lineRule="exact"/>
        <w:rPr>
          <w:rFonts w:ascii="Times New Roman" w:cs="Times New Roman" w:eastAsia="Times New Roman" w:hAnsi="Times New Roman"/>
          <w:sz w:val="24"/>
          <w:szCs w:val="24"/>
          <w:b w:val="1"/>
          <w:bCs w:val="1"/>
          <w:color w:val="auto"/>
        </w:rPr>
      </w:pPr>
    </w:p>
    <w:p>
      <w:pPr>
        <w:jc w:val="both"/>
        <w:ind w:left="8"/>
        <w:spacing w:after="0" w:line="356"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(3) The lead manager(s) shall, after expiry of the period stipulated in sub-regulation (1), file with the Board, details of the comments received by them or the issuer from the public, on the draft offer document, during that period and the consequential changes, if any, that are required to be made in the draft offer document.</w:t>
      </w:r>
    </w:p>
    <w:p>
      <w:pPr>
        <w:spacing w:after="0" w:line="18"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(4) The issuer and the lead manager(s) shall ensure that the offer documents are hosted on the websites as required under these regulations and its contents are the same as the versions as filed with the registrar of companies, Board and the stock exchanges, as applicable.</w:t>
      </w:r>
    </w:p>
    <w:p>
      <w:pPr>
        <w:spacing w:after="0" w:line="22" w:lineRule="exact"/>
        <w:rPr>
          <w:rFonts w:ascii="Times New Roman" w:cs="Times New Roman" w:eastAsia="Times New Roman" w:hAnsi="Times New Roman"/>
          <w:sz w:val="24"/>
          <w:szCs w:val="24"/>
          <w:b w:val="1"/>
          <w:bCs w:val="1"/>
          <w:color w:val="auto"/>
        </w:rPr>
      </w:pPr>
    </w:p>
    <w:p>
      <w:pPr>
        <w:ind w:left="8"/>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(5) The lead manager(s) and the stock exchanges shall provide copies of the offer document to the public as and when requested and may charge a reasonable sum for providing a copy of the same.</w:t>
      </w:r>
    </w:p>
    <w:p>
      <w:pPr>
        <w:spacing w:after="0" w:line="200" w:lineRule="exact"/>
        <w:rPr>
          <w:sz w:val="20"/>
          <w:szCs w:val="20"/>
          <w:color w:val="auto"/>
        </w:rPr>
      </w:pPr>
    </w:p>
    <w:p>
      <w:pPr>
        <w:spacing w:after="0" w:line="234"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V - PRICING</w:t>
      </w:r>
    </w:p>
    <w:p>
      <w:pPr>
        <w:spacing w:after="0" w:line="200" w:lineRule="exact"/>
        <w:rPr>
          <w:sz w:val="20"/>
          <w:szCs w:val="20"/>
          <w:color w:val="auto"/>
        </w:rPr>
      </w:pPr>
    </w:p>
    <w:p>
      <w:pPr>
        <w:spacing w:after="0" w:line="35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Pricing</w:t>
      </w:r>
    </w:p>
    <w:p>
      <w:pPr>
        <w:spacing w:after="0" w:line="147" w:lineRule="exact"/>
        <w:rPr>
          <w:sz w:val="20"/>
          <w:szCs w:val="20"/>
          <w:color w:val="auto"/>
        </w:rPr>
      </w:pPr>
    </w:p>
    <w:p>
      <w:pPr>
        <w:ind w:left="8" w:hanging="8"/>
        <w:spacing w:after="0" w:line="348" w:lineRule="auto"/>
        <w:tabs>
          <w:tab w:leader="none" w:pos="488" w:val="left"/>
        </w:tabs>
        <w:numPr>
          <w:ilvl w:val="0"/>
          <w:numId w:val="49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may determine the price of the IDRs in consultation with the lead manager(s) or through the book building process, as the case may be.</w:t>
      </w:r>
    </w:p>
    <w:p>
      <w:pPr>
        <w:spacing w:after="0" w:line="15" w:lineRule="exact"/>
        <w:rPr>
          <w:rFonts w:ascii="Times New Roman" w:cs="Times New Roman" w:eastAsia="Times New Roman" w:hAnsi="Times New Roman"/>
          <w:sz w:val="24"/>
          <w:szCs w:val="24"/>
          <w:b w:val="1"/>
          <w:bCs w:val="1"/>
          <w:color w:val="auto"/>
        </w:rPr>
      </w:pPr>
    </w:p>
    <w:p>
      <w:pPr>
        <w:ind w:left="8"/>
        <w:spacing w:after="0"/>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(2) The issuer shall undertake the book building process in a manner specified in </w:t>
      </w:r>
      <w:r>
        <w:rPr>
          <w:rFonts w:ascii="Times New Roman" w:cs="Times New Roman" w:eastAsia="Times New Roman" w:hAnsi="Times New Roman"/>
          <w:sz w:val="24"/>
          <w:szCs w:val="24"/>
          <w:b w:val="1"/>
          <w:bCs w:val="1"/>
          <w:color w:val="auto"/>
        </w:rPr>
        <w:t>Schedule XIII</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35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Price and price band</w:t>
      </w:r>
    </w:p>
    <w:p>
      <w:pPr>
        <w:spacing w:after="0" w:line="200" w:lineRule="exact"/>
        <w:rPr>
          <w:sz w:val="20"/>
          <w:szCs w:val="20"/>
          <w:color w:val="auto"/>
        </w:rPr>
      </w:pPr>
    </w:p>
    <w:p>
      <w:pPr>
        <w:spacing w:after="0" w:line="269" w:lineRule="exact"/>
        <w:rPr>
          <w:sz w:val="20"/>
          <w:szCs w:val="20"/>
          <w:color w:val="auto"/>
        </w:rPr>
      </w:pPr>
    </w:p>
    <w:p>
      <w:pPr>
        <w:ind w:left="8" w:hanging="8"/>
        <w:spacing w:after="0" w:line="203" w:lineRule="auto"/>
        <w:tabs>
          <w:tab w:leader="none" w:pos="188" w:val="left"/>
        </w:tabs>
        <w:numPr>
          <w:ilvl w:val="0"/>
          <w:numId w:val="493"/>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Securities and Exchange Board of India (Issue of Capital and Disclosure Requirements) (Seventh Amendment) Regulations, 2019, w-e-f 01.01.2020 for the word “registering”.</w:t>
      </w:r>
    </w:p>
    <w:p>
      <w:pPr>
        <w:spacing w:after="0" w:line="30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121</w:t>
      </w:r>
    </w:p>
    <w:p>
      <w:pPr>
        <w:sectPr>
          <w:pgSz w:w="11900" w:h="16836" w:orient="portrait"/>
          <w:cols w:equalWidth="0" w:num="1">
            <w:col w:w="9468"/>
          </w:cols>
          <w:pgMar w:left="1152" w:top="1144" w:right="1284" w:bottom="103" w:gutter="0" w:footer="0" w:header="0"/>
        </w:sectPr>
      </w:pPr>
    </w:p>
    <w:bookmarkStart w:id="121" w:name="page122"/>
    <w:bookmarkEnd w:id="121"/>
    <w:p>
      <w:pPr>
        <w:jc w:val="both"/>
        <w:ind w:left="8" w:hanging="8"/>
        <w:spacing w:after="0" w:line="348" w:lineRule="auto"/>
        <w:tabs>
          <w:tab w:leader="none" w:pos="502" w:val="left"/>
        </w:tabs>
        <w:numPr>
          <w:ilvl w:val="0"/>
          <w:numId w:val="49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may mention a price or a price band in the offer document (in case of a fixed price issue) and a floor price or a price band in the red herring prospectus (in case of a book built</w:t>
      </w:r>
    </w:p>
    <w:p>
      <w:pPr>
        <w:spacing w:after="0" w:line="8" w:lineRule="exact"/>
        <w:rPr>
          <w:rFonts w:ascii="Times New Roman" w:cs="Times New Roman" w:eastAsia="Times New Roman" w:hAnsi="Times New Roman"/>
          <w:sz w:val="24"/>
          <w:szCs w:val="24"/>
          <w:b w:val="1"/>
          <w:bCs w:val="1"/>
          <w:color w:val="auto"/>
        </w:rPr>
      </w:pPr>
    </w:p>
    <w:p>
      <w:pPr>
        <w:ind w:left="8"/>
        <w:spacing w:after="0" w:line="285"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issue) and determine the price at a later date before </w:t>
      </w:r>
      <w:r>
        <w:rPr>
          <w:rFonts w:ascii="Times New Roman" w:cs="Times New Roman" w:eastAsia="Times New Roman" w:hAnsi="Times New Roman"/>
          <w:sz w:val="32"/>
          <w:szCs w:val="32"/>
          <w:color w:val="auto"/>
          <w:vertAlign w:val="superscript"/>
        </w:rPr>
        <w:t>74</w:t>
      </w:r>
      <w:r>
        <w:rPr>
          <w:rFonts w:ascii="Times New Roman" w:cs="Times New Roman" w:eastAsia="Times New Roman" w:hAnsi="Times New Roman"/>
          <w:sz w:val="24"/>
          <w:szCs w:val="24"/>
          <w:color w:val="auto"/>
        </w:rPr>
        <w:t>[filing] the prospectus with the Registrar of Companies:</w:t>
      </w:r>
    </w:p>
    <w:p>
      <w:pPr>
        <w:spacing w:after="0" w:line="63" w:lineRule="exact"/>
        <w:rPr>
          <w:rFonts w:ascii="Times New Roman" w:cs="Times New Roman" w:eastAsia="Times New Roman" w:hAnsi="Times New Roman"/>
          <w:sz w:val="24"/>
          <w:szCs w:val="24"/>
          <w:b w:val="1"/>
          <w:bCs w:val="1"/>
          <w:color w:val="auto"/>
        </w:rPr>
      </w:pPr>
    </w:p>
    <w:p>
      <w:pPr>
        <w:ind w:left="8"/>
        <w:spacing w:after="0" w:line="285"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Provided that the prospectus </w:t>
      </w:r>
      <w:r>
        <w:rPr>
          <w:rFonts w:ascii="Times New Roman" w:cs="Times New Roman" w:eastAsia="Times New Roman" w:hAnsi="Times New Roman"/>
          <w:sz w:val="32"/>
          <w:szCs w:val="32"/>
          <w:color w:val="auto"/>
          <w:vertAlign w:val="superscript"/>
        </w:rPr>
        <w:t>75</w:t>
      </w:r>
      <w:r>
        <w:rPr>
          <w:rFonts w:ascii="Times New Roman" w:cs="Times New Roman" w:eastAsia="Times New Roman" w:hAnsi="Times New Roman"/>
          <w:sz w:val="24"/>
          <w:szCs w:val="24"/>
          <w:color w:val="auto"/>
        </w:rPr>
        <w:t>[filed] with the Registrar of Companies shall contain only one price or the specific coupon rate, as the case may be.</w:t>
      </w:r>
    </w:p>
    <w:p>
      <w:pPr>
        <w:spacing w:after="0" w:line="83" w:lineRule="exact"/>
        <w:rPr>
          <w:rFonts w:ascii="Times New Roman" w:cs="Times New Roman" w:eastAsia="Times New Roman" w:hAnsi="Times New Roman"/>
          <w:sz w:val="24"/>
          <w:szCs w:val="24"/>
          <w:b w:val="1"/>
          <w:bCs w:val="1"/>
          <w:color w:val="auto"/>
        </w:rPr>
      </w:pPr>
    </w:p>
    <w:p>
      <w:pPr>
        <w:ind w:left="8"/>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The cap on the price band shall be less than or equal to one hundred and twenty per cent of the floor price.</w:t>
      </w:r>
    </w:p>
    <w:p>
      <w:pPr>
        <w:spacing w:after="0" w:line="16" w:lineRule="exact"/>
        <w:rPr>
          <w:rFonts w:ascii="Times New Roman" w:cs="Times New Roman" w:eastAsia="Times New Roman" w:hAnsi="Times New Roman"/>
          <w:sz w:val="24"/>
          <w:szCs w:val="24"/>
          <w:b w:val="1"/>
          <w:bCs w:val="1"/>
          <w:color w:val="auto"/>
        </w:rPr>
      </w:pPr>
    </w:p>
    <w:p>
      <w:pPr>
        <w:ind w:left="8"/>
        <w:spacing w:after="0"/>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(3) The floor price or the final price shall not be less than the face value of the IDRs.</w:t>
      </w:r>
    </w:p>
    <w:p>
      <w:pPr>
        <w:spacing w:after="0" w:line="149" w:lineRule="exact"/>
        <w:rPr>
          <w:rFonts w:ascii="Times New Roman" w:cs="Times New Roman" w:eastAsia="Times New Roman" w:hAnsi="Times New Roman"/>
          <w:sz w:val="24"/>
          <w:szCs w:val="24"/>
          <w:b w:val="1"/>
          <w:bCs w:val="1"/>
          <w:color w:val="auto"/>
        </w:rPr>
      </w:pPr>
    </w:p>
    <w:p>
      <w:pPr>
        <w:jc w:val="both"/>
        <w:ind w:left="8"/>
        <w:spacing w:after="0" w:line="356"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(4) Where the issuer opts not to make the disclosure of the floor price or price band in the red herring prospectus, the issuer shall announce the floor price or the price band at least two working days before the opening of the issue in the same newspapers in which the pre-issue advertisement was released or together with the pre-issue advertisement in the format prescribed under Part A of</w:t>
      </w:r>
    </w:p>
    <w:p>
      <w:pPr>
        <w:spacing w:after="0" w:line="200" w:lineRule="exact"/>
        <w:rPr>
          <w:sz w:val="20"/>
          <w:szCs w:val="20"/>
          <w:color w:val="auto"/>
        </w:rPr>
      </w:pPr>
    </w:p>
    <w:p>
      <w:pPr>
        <w:spacing w:after="0" w:line="234" w:lineRule="exact"/>
        <w:rPr>
          <w:sz w:val="20"/>
          <w:szCs w:val="20"/>
          <w:color w:val="auto"/>
        </w:rPr>
      </w:pPr>
    </w:p>
    <w:p>
      <w:pPr>
        <w:jc w:val="both"/>
        <w:ind w:left="8" w:hanging="8"/>
        <w:spacing w:after="0" w:line="354" w:lineRule="auto"/>
        <w:tabs>
          <w:tab w:leader="none" w:pos="368" w:val="left"/>
        </w:tabs>
        <w:numPr>
          <w:ilvl w:val="0"/>
          <w:numId w:val="4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announcement referred to in sub-regulation (4) shall contain relevant financial ratios computed for both upper and lower end of the price band and also a statement drawing attention of the investors to the section titled “basis of issue price” of the offer document.</w:t>
      </w:r>
    </w:p>
    <w:p>
      <w:pPr>
        <w:spacing w:after="0" w:line="200" w:lineRule="exact"/>
        <w:rPr>
          <w:rFonts w:ascii="Times New Roman" w:cs="Times New Roman" w:eastAsia="Times New Roman" w:hAnsi="Times New Roman"/>
          <w:sz w:val="24"/>
          <w:szCs w:val="24"/>
          <w:color w:val="auto"/>
        </w:rPr>
      </w:pPr>
    </w:p>
    <w:p>
      <w:pPr>
        <w:spacing w:after="0" w:line="235"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368" w:val="left"/>
        </w:tabs>
        <w:numPr>
          <w:ilvl w:val="0"/>
          <w:numId w:val="4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announcement referred to in sub-regulation (4) and the relevant financial ratios referred to in sub-regulation (5) shall be disclosed on the websites of the stock exchange(s) and shall also be pre-filled in the application forms to be made available on the websites of the stock exchange(s).</w:t>
      </w:r>
    </w:p>
    <w:p>
      <w:pPr>
        <w:spacing w:after="0" w:line="200" w:lineRule="exact"/>
        <w:rPr>
          <w:sz w:val="20"/>
          <w:szCs w:val="20"/>
          <w:color w:val="auto"/>
        </w:rPr>
      </w:pPr>
    </w:p>
    <w:p>
      <w:pPr>
        <w:spacing w:after="0" w:line="22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Differential pricing</w:t>
      </w:r>
    </w:p>
    <w:p>
      <w:pPr>
        <w:spacing w:after="0" w:line="133" w:lineRule="exact"/>
        <w:rPr>
          <w:sz w:val="20"/>
          <w:szCs w:val="20"/>
          <w:color w:val="auto"/>
        </w:rPr>
      </w:pPr>
    </w:p>
    <w:p>
      <w:pPr>
        <w:ind w:left="468" w:hanging="468"/>
        <w:spacing w:after="0"/>
        <w:tabs>
          <w:tab w:leader="none" w:pos="468" w:val="left"/>
        </w:tabs>
        <w:numPr>
          <w:ilvl w:val="0"/>
          <w:numId w:val="49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may offer its IDRs at different prices, subject to the following:</w:t>
      </w:r>
    </w:p>
    <w:p>
      <w:pPr>
        <w:spacing w:after="0" w:line="151" w:lineRule="exact"/>
        <w:rPr>
          <w:sz w:val="20"/>
          <w:szCs w:val="20"/>
          <w:color w:val="auto"/>
        </w:rPr>
      </w:pPr>
    </w:p>
    <w:p>
      <w:pPr>
        <w:jc w:val="both"/>
        <w:ind w:left="548" w:hanging="512"/>
        <w:spacing w:after="0" w:line="354" w:lineRule="auto"/>
        <w:tabs>
          <w:tab w:leader="none" w:pos="548" w:val="left"/>
        </w:tabs>
        <w:numPr>
          <w:ilvl w:val="0"/>
          <w:numId w:val="49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retail individual investors or employees entitled for reservation may be offered specified securities at a price not lower by more than ten per cent. of the price at which net offer is made to other categories of applicants, excluding anchor investors.</w:t>
      </w:r>
    </w:p>
    <w:p>
      <w:pPr>
        <w:spacing w:after="0" w:line="7" w:lineRule="exact"/>
        <w:rPr>
          <w:rFonts w:ascii="Times New Roman" w:cs="Times New Roman" w:eastAsia="Times New Roman" w:hAnsi="Times New Roman"/>
          <w:sz w:val="24"/>
          <w:szCs w:val="24"/>
          <w:color w:val="auto"/>
        </w:rPr>
      </w:pPr>
    </w:p>
    <w:p>
      <w:pPr>
        <w:ind w:left="548"/>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Explanation</w:t>
      </w:r>
      <w:r>
        <w:rPr>
          <w:rFonts w:ascii="Times New Roman" w:cs="Times New Roman" w:eastAsia="Times New Roman" w:hAnsi="Times New Roman"/>
          <w:sz w:val="24"/>
          <w:szCs w:val="24"/>
          <w:color w:val="auto"/>
        </w:rPr>
        <w:t>: For the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purpose of this Chapter, “employee” shall mean a person who:</w:t>
      </w:r>
    </w:p>
    <w:p>
      <w:pPr>
        <w:spacing w:after="0" w:line="139" w:lineRule="exact"/>
        <w:rPr>
          <w:rFonts w:ascii="Times New Roman" w:cs="Times New Roman" w:eastAsia="Times New Roman" w:hAnsi="Times New Roman"/>
          <w:sz w:val="24"/>
          <w:szCs w:val="24"/>
          <w:color w:val="auto"/>
        </w:rPr>
      </w:pPr>
    </w:p>
    <w:p>
      <w:pPr>
        <w:ind w:left="968" w:hanging="428"/>
        <w:spacing w:after="0"/>
        <w:tabs>
          <w:tab w:leader="none" w:pos="968" w:val="left"/>
        </w:tabs>
        <w:numPr>
          <w:ilvl w:val="1"/>
          <w:numId w:val="49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is a resident of India, and</w:t>
      </w:r>
    </w:p>
    <w:p>
      <w:pPr>
        <w:spacing w:after="0" w:line="149" w:lineRule="exact"/>
        <w:rPr>
          <w:rFonts w:ascii="Times New Roman" w:cs="Times New Roman" w:eastAsia="Times New Roman" w:hAnsi="Times New Roman"/>
          <w:sz w:val="24"/>
          <w:szCs w:val="24"/>
          <w:color w:val="auto"/>
        </w:rPr>
      </w:pPr>
    </w:p>
    <w:p>
      <w:pPr>
        <w:jc w:val="both"/>
        <w:ind w:left="928" w:hanging="388"/>
        <w:spacing w:after="0" w:line="350" w:lineRule="auto"/>
        <w:tabs>
          <w:tab w:leader="none" w:pos="1168" w:val="left"/>
        </w:tabs>
        <w:numPr>
          <w:ilvl w:val="1"/>
          <w:numId w:val="49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is a permanent and full-time employee or a director, whether whole time or part time, of the issuer or of the holding company or subsidiary company or of the material</w:t>
      </w: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ind w:left="8" w:hanging="8"/>
        <w:spacing w:after="0" w:line="203" w:lineRule="auto"/>
        <w:tabs>
          <w:tab w:leader="none" w:pos="188" w:val="left"/>
        </w:tabs>
        <w:numPr>
          <w:ilvl w:val="0"/>
          <w:numId w:val="498"/>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Securities and Exchange Board of India (Issue of Capital and Disclosure Requirements) (Seventh Amendment) Regulations, 2019, w-e-f 01.01.2020 for the word “registering”.</w:t>
      </w:r>
    </w:p>
    <w:p>
      <w:pPr>
        <w:spacing w:after="0" w:line="13" w:lineRule="exact"/>
        <w:rPr>
          <w:rFonts w:ascii="Times New Roman" w:cs="Times New Roman" w:eastAsia="Times New Roman" w:hAnsi="Times New Roman"/>
          <w:sz w:val="26"/>
          <w:szCs w:val="26"/>
          <w:color w:val="auto"/>
          <w:vertAlign w:val="superscript"/>
        </w:rPr>
      </w:pPr>
    </w:p>
    <w:p>
      <w:pPr>
        <w:ind w:left="8" w:hanging="8"/>
        <w:spacing w:after="0" w:line="203" w:lineRule="auto"/>
        <w:tabs>
          <w:tab w:leader="none" w:pos="188" w:val="left"/>
        </w:tabs>
        <w:numPr>
          <w:ilvl w:val="0"/>
          <w:numId w:val="498"/>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Securities and Exchange Board of India (Issue of Capital and Disclosure Requirements) (Seventh Amendment) Regulations, 2019, w-e-f 01.01.2020 for the word “registered”.</w:t>
      </w:r>
    </w:p>
    <w:p>
      <w:pPr>
        <w:spacing w:after="0" w:line="30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122</w:t>
      </w:r>
    </w:p>
    <w:p>
      <w:pPr>
        <w:sectPr>
          <w:pgSz w:w="11900" w:h="16836" w:orient="portrait"/>
          <w:cols w:equalWidth="0" w:num="1">
            <w:col w:w="9468"/>
          </w:cols>
          <w:pgMar w:left="1152" w:top="1156" w:right="1284" w:bottom="103" w:gutter="0" w:footer="0" w:header="0"/>
        </w:sectPr>
      </w:pPr>
    </w:p>
    <w:bookmarkStart w:id="122" w:name="page123"/>
    <w:bookmarkEnd w:id="122"/>
    <w:p>
      <w:pPr>
        <w:jc w:val="both"/>
        <w:ind w:left="928"/>
        <w:spacing w:after="0" w:line="354" w:lineRule="auto"/>
        <w:rPr>
          <w:sz w:val="20"/>
          <w:szCs w:val="20"/>
          <w:color w:val="auto"/>
        </w:rPr>
      </w:pPr>
      <w:r>
        <w:rPr>
          <w:rFonts w:ascii="Times New Roman" w:cs="Times New Roman" w:eastAsia="Times New Roman" w:hAnsi="Times New Roman"/>
          <w:sz w:val="24"/>
          <w:szCs w:val="24"/>
          <w:color w:val="auto"/>
        </w:rPr>
        <w:t>associate(s) of the issuer, whose financial statements are consolidated with the issuer’s financial statements, working in India and does not include promoters and an immediate relative of the promoter.</w:t>
      </w:r>
    </w:p>
    <w:p>
      <w:pPr>
        <w:spacing w:after="0" w:line="20" w:lineRule="exact"/>
        <w:rPr>
          <w:sz w:val="20"/>
          <w:szCs w:val="20"/>
          <w:color w:val="auto"/>
        </w:rPr>
      </w:pPr>
    </w:p>
    <w:p>
      <w:pPr>
        <w:jc w:val="both"/>
        <w:ind w:left="548" w:hanging="512"/>
        <w:spacing w:after="0" w:line="354" w:lineRule="auto"/>
        <w:tabs>
          <w:tab w:leader="none" w:pos="548" w:val="left"/>
        </w:tabs>
        <w:numPr>
          <w:ilvl w:val="0"/>
          <w:numId w:val="49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In case the issuer opts for the alternate method of book building in terms of Part D of </w:t>
      </w:r>
      <w:r>
        <w:rPr>
          <w:rFonts w:ascii="Times New Roman" w:cs="Times New Roman" w:eastAsia="Times New Roman" w:hAnsi="Times New Roman"/>
          <w:sz w:val="24"/>
          <w:szCs w:val="24"/>
          <w:b w:val="1"/>
          <w:bCs w:val="1"/>
          <w:color w:val="auto"/>
        </w:rPr>
        <w:t>Schedule XIII</w:t>
      </w:r>
      <w:r>
        <w:rPr>
          <w:rFonts w:ascii="Times New Roman" w:cs="Times New Roman" w:eastAsia="Times New Roman" w:hAnsi="Times New Roman"/>
          <w:sz w:val="24"/>
          <w:szCs w:val="24"/>
          <w:color w:val="auto"/>
        </w:rPr>
        <w:t>, the issuer may offer specified securities to its employees at a price not lower</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by more than ten per cent. of the floor price.</w:t>
      </w:r>
    </w:p>
    <w:p>
      <w:pPr>
        <w:spacing w:after="0" w:line="10"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(2) Discount, if any, shall be expressed in rupee terms in the offer document.</w:t>
      </w:r>
    </w:p>
    <w:p>
      <w:pPr>
        <w:spacing w:after="0" w:line="200" w:lineRule="exact"/>
        <w:rPr>
          <w:sz w:val="20"/>
          <w:szCs w:val="20"/>
          <w:color w:val="auto"/>
        </w:rPr>
      </w:pPr>
    </w:p>
    <w:p>
      <w:pPr>
        <w:spacing w:after="0" w:line="35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VI: ISSUANCE CONDITIONS AND PROCEDURE</w:t>
      </w:r>
    </w:p>
    <w:p>
      <w:pPr>
        <w:spacing w:after="0" w:line="200" w:lineRule="exact"/>
        <w:rPr>
          <w:sz w:val="20"/>
          <w:szCs w:val="20"/>
          <w:color w:val="auto"/>
        </w:rPr>
      </w:pPr>
    </w:p>
    <w:p>
      <w:pPr>
        <w:spacing w:after="0" w:line="35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Issuance conditions</w:t>
      </w:r>
    </w:p>
    <w:p>
      <w:pPr>
        <w:spacing w:after="0" w:line="144" w:lineRule="exact"/>
        <w:rPr>
          <w:sz w:val="20"/>
          <w:szCs w:val="20"/>
          <w:color w:val="auto"/>
        </w:rPr>
      </w:pPr>
    </w:p>
    <w:p>
      <w:pPr>
        <w:ind w:left="8" w:hanging="8"/>
        <w:spacing w:after="0" w:line="350" w:lineRule="auto"/>
        <w:tabs>
          <w:tab w:leader="none" w:pos="504" w:val="left"/>
        </w:tabs>
        <w:numPr>
          <w:ilvl w:val="0"/>
          <w:numId w:val="50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procedure to be followed by each class of applicant shall be mentioned in the offer document.</w:t>
      </w:r>
    </w:p>
    <w:p>
      <w:pPr>
        <w:spacing w:after="0" w:line="10" w:lineRule="exact"/>
        <w:rPr>
          <w:rFonts w:ascii="Times New Roman" w:cs="Times New Roman" w:eastAsia="Times New Roman" w:hAnsi="Times New Roman"/>
          <w:sz w:val="24"/>
          <w:szCs w:val="24"/>
          <w:b w:val="1"/>
          <w:bCs w:val="1"/>
          <w:color w:val="auto"/>
        </w:rPr>
      </w:pPr>
    </w:p>
    <w:p>
      <w:pPr>
        <w:ind w:left="8"/>
        <w:spacing w:after="0"/>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The minimum application amount shall be twenty thousand rupees.</w:t>
      </w:r>
    </w:p>
    <w:p>
      <w:pPr>
        <w:spacing w:after="0" w:line="200" w:lineRule="exact"/>
        <w:rPr>
          <w:sz w:val="20"/>
          <w:szCs w:val="20"/>
          <w:color w:val="auto"/>
        </w:rPr>
      </w:pPr>
    </w:p>
    <w:p>
      <w:pPr>
        <w:spacing w:after="0" w:line="35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Allocation in the issue</w:t>
      </w:r>
    </w:p>
    <w:p>
      <w:pPr>
        <w:spacing w:after="0" w:line="135"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192</w:t>
      </w:r>
      <w:r>
        <w:rPr>
          <w:rFonts w:ascii="Times New Roman" w:cs="Times New Roman" w:eastAsia="Times New Roman" w:hAnsi="Times New Roman"/>
          <w:sz w:val="24"/>
          <w:szCs w:val="24"/>
          <w:color w:val="auto"/>
        </w:rPr>
        <w:t>. (1) The allocation in the issue shall be as follows:</w:t>
      </w:r>
    </w:p>
    <w:p>
      <w:pPr>
        <w:spacing w:after="0" w:line="149" w:lineRule="exact"/>
        <w:rPr>
          <w:sz w:val="20"/>
          <w:szCs w:val="20"/>
          <w:color w:val="auto"/>
        </w:rPr>
      </w:pPr>
    </w:p>
    <w:p>
      <w:pPr>
        <w:ind w:left="368" w:hanging="368"/>
        <w:spacing w:after="0" w:line="350" w:lineRule="auto"/>
        <w:tabs>
          <w:tab w:leader="none" w:pos="396" w:val="left"/>
        </w:tabs>
        <w:numPr>
          <w:ilvl w:val="0"/>
          <w:numId w:val="50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at least fifty per cent. of the issue shall be allotted to qualified institutional buyers on proportionate basis as per illustration given in </w:t>
      </w:r>
      <w:r>
        <w:rPr>
          <w:rFonts w:ascii="Times New Roman" w:cs="Times New Roman" w:eastAsia="Times New Roman" w:hAnsi="Times New Roman"/>
          <w:sz w:val="24"/>
          <w:szCs w:val="24"/>
          <w:b w:val="1"/>
          <w:bCs w:val="1"/>
          <w:color w:val="auto"/>
        </w:rPr>
        <w:t>Part A of Schedule XIV</w:t>
      </w:r>
      <w:r>
        <w:rPr>
          <w:rFonts w:ascii="Times New Roman" w:cs="Times New Roman" w:eastAsia="Times New Roman" w:hAnsi="Times New Roman"/>
          <w:sz w:val="24"/>
          <w:szCs w:val="24"/>
          <w:color w:val="auto"/>
        </w:rPr>
        <w:t>;</w:t>
      </w:r>
    </w:p>
    <w:p>
      <w:pPr>
        <w:spacing w:after="0" w:line="23" w:lineRule="exact"/>
        <w:rPr>
          <w:rFonts w:ascii="Times New Roman" w:cs="Times New Roman" w:eastAsia="Times New Roman" w:hAnsi="Times New Roman"/>
          <w:sz w:val="24"/>
          <w:szCs w:val="24"/>
          <w:color w:val="auto"/>
        </w:rPr>
      </w:pPr>
    </w:p>
    <w:p>
      <w:pPr>
        <w:jc w:val="both"/>
        <w:ind w:left="368" w:hanging="368"/>
        <w:spacing w:after="0" w:line="356" w:lineRule="auto"/>
        <w:tabs>
          <w:tab w:leader="none" w:pos="355" w:val="left"/>
        </w:tabs>
        <w:numPr>
          <w:ilvl w:val="0"/>
          <w:numId w:val="50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remaining portion of the issue may be allocated among the categories of non-institutional investors and retail individual investors including employees, at the discretion of the issuer and the manner of allocation shall be disclosed in the offer document. Allotment to investors within a category shall be on proportionate basis:</w:t>
      </w:r>
    </w:p>
    <w:p>
      <w:pPr>
        <w:spacing w:after="0" w:line="19" w:lineRule="exact"/>
        <w:rPr>
          <w:rFonts w:ascii="Times New Roman" w:cs="Times New Roman" w:eastAsia="Times New Roman" w:hAnsi="Times New Roman"/>
          <w:sz w:val="24"/>
          <w:szCs w:val="24"/>
          <w:color w:val="auto"/>
        </w:rPr>
      </w:pPr>
    </w:p>
    <w:p>
      <w:pPr>
        <w:jc w:val="both"/>
        <w:ind w:left="368"/>
        <w:spacing w:after="0" w:line="35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Provided that </w:t>
      </w:r>
      <w:r>
        <w:rPr>
          <w:rFonts w:ascii="Times New Roman" w:cs="Times New Roman" w:eastAsia="Times New Roman" w:hAnsi="Times New Roman"/>
          <w:sz w:val="24"/>
          <w:szCs w:val="24"/>
          <w:color w:val="auto"/>
        </w:rPr>
        <w:t>at least thirty per cent. of the IDRs being offered in the public issue shall be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available for allocation to retail individual investors and in case of under-subscription in retail individual investor category, spill over to other categories to the extent of under subscription</w:t>
      </w:r>
    </w:p>
    <w:p>
      <w:pPr>
        <w:spacing w:after="0" w:line="10" w:lineRule="exact"/>
        <w:rPr>
          <w:sz w:val="20"/>
          <w:szCs w:val="20"/>
          <w:color w:val="auto"/>
        </w:rPr>
      </w:pPr>
    </w:p>
    <w:p>
      <w:pPr>
        <w:ind w:left="368"/>
        <w:spacing w:after="0"/>
        <w:rPr>
          <w:sz w:val="20"/>
          <w:szCs w:val="20"/>
          <w:color w:val="auto"/>
        </w:rPr>
      </w:pPr>
      <w:r>
        <w:rPr>
          <w:rFonts w:ascii="Times New Roman" w:cs="Times New Roman" w:eastAsia="Times New Roman" w:hAnsi="Times New Roman"/>
          <w:sz w:val="24"/>
          <w:szCs w:val="24"/>
          <w:color w:val="auto"/>
        </w:rPr>
        <w:t>may be permitted.</w:t>
      </w:r>
    </w:p>
    <w:p>
      <w:pPr>
        <w:spacing w:after="0" w:line="149" w:lineRule="exact"/>
        <w:rPr>
          <w:sz w:val="20"/>
          <w:szCs w:val="20"/>
          <w:color w:val="auto"/>
        </w:rPr>
      </w:pPr>
    </w:p>
    <w:p>
      <w:pPr>
        <w:ind w:left="8" w:hanging="8"/>
        <w:spacing w:after="0" w:line="350" w:lineRule="auto"/>
        <w:tabs>
          <w:tab w:leader="none" w:pos="365" w:val="left"/>
        </w:tabs>
        <w:numPr>
          <w:ilvl w:val="0"/>
          <w:numId w:val="50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person shall not make an application in the net offer category for a number of IDRs which exceeds the total number of IDRs offered to the public.</w:t>
      </w:r>
    </w:p>
    <w:p>
      <w:pPr>
        <w:spacing w:after="0" w:line="200" w:lineRule="exact"/>
        <w:rPr>
          <w:sz w:val="20"/>
          <w:szCs w:val="20"/>
          <w:color w:val="auto"/>
        </w:rPr>
      </w:pPr>
    </w:p>
    <w:p>
      <w:pPr>
        <w:spacing w:after="0" w:line="231"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Abridged prospectus</w:t>
      </w:r>
    </w:p>
    <w:p>
      <w:pPr>
        <w:spacing w:after="0" w:line="145" w:lineRule="exact"/>
        <w:rPr>
          <w:sz w:val="20"/>
          <w:szCs w:val="20"/>
          <w:color w:val="auto"/>
        </w:rPr>
      </w:pPr>
    </w:p>
    <w:p>
      <w:pPr>
        <w:ind w:left="8" w:hanging="8"/>
        <w:spacing w:after="0" w:line="350" w:lineRule="auto"/>
        <w:tabs>
          <w:tab w:leader="none" w:pos="500" w:val="left"/>
        </w:tabs>
        <w:numPr>
          <w:ilvl w:val="0"/>
          <w:numId w:val="50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(1)The abridged prospectus shall contain the disclosures as specified in </w:t>
      </w:r>
      <w:r>
        <w:rPr>
          <w:rFonts w:ascii="Times New Roman" w:cs="Times New Roman" w:eastAsia="Times New Roman" w:hAnsi="Times New Roman"/>
          <w:sz w:val="24"/>
          <w:szCs w:val="24"/>
          <w:b w:val="1"/>
          <w:bCs w:val="1"/>
          <w:color w:val="auto"/>
        </w:rPr>
        <w:t>Part B</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 xml:space="preserve">VIII </w:t>
      </w:r>
      <w:r>
        <w:rPr>
          <w:rFonts w:ascii="Times New Roman" w:cs="Times New Roman" w:eastAsia="Times New Roman" w:hAnsi="Times New Roman"/>
          <w:sz w:val="24"/>
          <w:szCs w:val="24"/>
          <w:color w:val="auto"/>
        </w:rPr>
        <w:t>and shall not contain any matter extraneous to the contents of the offer document.</w:t>
      </w:r>
    </w:p>
    <w:p>
      <w:pPr>
        <w:spacing w:after="0" w:line="23" w:lineRule="exact"/>
        <w:rPr>
          <w:rFonts w:ascii="Times New Roman" w:cs="Times New Roman" w:eastAsia="Times New Roman" w:hAnsi="Times New Roman"/>
          <w:sz w:val="24"/>
          <w:szCs w:val="24"/>
          <w:b w:val="1"/>
          <w:bCs w:val="1"/>
          <w:color w:val="auto"/>
        </w:rPr>
      </w:pPr>
    </w:p>
    <w:p>
      <w:pPr>
        <w:ind w:left="8"/>
        <w:spacing w:after="0" w:line="350"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Every application form distributed by the issuer or any other person in relation to an issue shall be accompanied by a copy of the abridged prospectus.</w:t>
      </w:r>
    </w:p>
    <w:p>
      <w:pPr>
        <w:spacing w:after="0" w:line="268"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123</w:t>
      </w:r>
    </w:p>
    <w:p>
      <w:pPr>
        <w:sectPr>
          <w:pgSz w:w="11900" w:h="16836" w:orient="portrait"/>
          <w:cols w:equalWidth="0" w:num="1">
            <w:col w:w="9468"/>
          </w:cols>
          <w:pgMar w:left="1152" w:top="1156" w:right="1284" w:bottom="103" w:gutter="0" w:footer="0" w:header="0"/>
        </w:sectPr>
      </w:pPr>
    </w:p>
    <w:bookmarkStart w:id="123" w:name="page124"/>
    <w:bookmarkEnd w:id="12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ASBA</w:t>
      </w:r>
    </w:p>
    <w:p>
      <w:pPr>
        <w:spacing w:after="0" w:line="147" w:lineRule="exact"/>
        <w:rPr>
          <w:sz w:val="20"/>
          <w:szCs w:val="20"/>
          <w:color w:val="auto"/>
        </w:rPr>
      </w:pPr>
    </w:p>
    <w:p>
      <w:pPr>
        <w:ind w:left="8" w:hanging="8"/>
        <w:spacing w:after="0" w:line="348" w:lineRule="auto"/>
        <w:tabs>
          <w:tab w:leader="none" w:pos="521" w:val="left"/>
        </w:tabs>
        <w:numPr>
          <w:ilvl w:val="0"/>
          <w:numId w:val="50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issuer shall accept bids using only the ASBA facility in the manner specified by the Board.</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Availability of issue material</w:t>
      </w:r>
    </w:p>
    <w:p>
      <w:pPr>
        <w:spacing w:after="0" w:line="147" w:lineRule="exact"/>
        <w:rPr>
          <w:sz w:val="20"/>
          <w:szCs w:val="20"/>
          <w:color w:val="auto"/>
        </w:rPr>
      </w:pPr>
    </w:p>
    <w:p>
      <w:pPr>
        <w:jc w:val="both"/>
        <w:ind w:left="8" w:hanging="8"/>
        <w:spacing w:after="0" w:line="354" w:lineRule="auto"/>
        <w:tabs>
          <w:tab w:leader="none" w:pos="500" w:val="left"/>
        </w:tabs>
        <w:numPr>
          <w:ilvl w:val="0"/>
          <w:numId w:val="50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lead manager(s) shall ensure availability of the offer document and other issue material including application forms to stock exchanges, syndicate members, registrar to issue, registrar and share transfer agents, depository participants, stock brokers, underwriters, bankers to the</w:t>
      </w:r>
    </w:p>
    <w:p>
      <w:pPr>
        <w:spacing w:after="0" w:line="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issue, investors’ associations and self certified syndicate banks before the opening of the issue.</w:t>
      </w:r>
    </w:p>
    <w:p>
      <w:pPr>
        <w:spacing w:after="0" w:line="200" w:lineRule="exact"/>
        <w:rPr>
          <w:sz w:val="20"/>
          <w:szCs w:val="20"/>
          <w:color w:val="auto"/>
        </w:rPr>
      </w:pPr>
    </w:p>
    <w:p>
      <w:pPr>
        <w:spacing w:after="0" w:line="35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Prohibition on payment of incentives</w:t>
      </w:r>
    </w:p>
    <w:p>
      <w:pPr>
        <w:spacing w:after="0" w:line="147" w:lineRule="exact"/>
        <w:rPr>
          <w:sz w:val="20"/>
          <w:szCs w:val="20"/>
          <w:color w:val="auto"/>
        </w:rPr>
      </w:pPr>
    </w:p>
    <w:p>
      <w:pPr>
        <w:jc w:val="both"/>
        <w:ind w:left="8" w:hanging="8"/>
        <w:spacing w:after="0" w:line="356" w:lineRule="auto"/>
        <w:tabs>
          <w:tab w:leader="none" w:pos="500" w:val="left"/>
        </w:tabs>
        <w:numPr>
          <w:ilvl w:val="0"/>
          <w:numId w:val="50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Any person connected with the issue shall not offer any incentive, whether direct or indirect, in any manner, whether in cash or kind or services or otherwise to any person for making an application in the initial public offer, except for fees or commission for services rendered in relation to the issue.</w:t>
      </w:r>
    </w:p>
    <w:p>
      <w:pPr>
        <w:spacing w:after="0" w:line="200" w:lineRule="exact"/>
        <w:rPr>
          <w:sz w:val="20"/>
          <w:szCs w:val="20"/>
          <w:color w:val="auto"/>
        </w:rPr>
      </w:pPr>
    </w:p>
    <w:p>
      <w:pPr>
        <w:spacing w:after="0" w:line="224"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Security deposit</w:t>
      </w:r>
    </w:p>
    <w:p>
      <w:pPr>
        <w:spacing w:after="0" w:line="147" w:lineRule="exact"/>
        <w:rPr>
          <w:sz w:val="20"/>
          <w:szCs w:val="20"/>
          <w:color w:val="auto"/>
        </w:rPr>
      </w:pPr>
    </w:p>
    <w:p>
      <w:pPr>
        <w:jc w:val="both"/>
        <w:ind w:left="8" w:hanging="8"/>
        <w:spacing w:after="0" w:line="354" w:lineRule="auto"/>
        <w:tabs>
          <w:tab w:leader="none" w:pos="492" w:val="left"/>
        </w:tabs>
        <w:numPr>
          <w:ilvl w:val="0"/>
          <w:numId w:val="50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shall, before the opening of subscription list, deposit with the designated stock exchange, an amount calculated at the rate of one per cent. of the issue size available for subscription to the public in the manner specified by Board and/or stock exchange(s).</w:t>
      </w:r>
    </w:p>
    <w:p>
      <w:pPr>
        <w:spacing w:after="0" w:line="20" w:lineRule="exact"/>
        <w:rPr>
          <w:rFonts w:ascii="Times New Roman" w:cs="Times New Roman" w:eastAsia="Times New Roman" w:hAnsi="Times New Roman"/>
          <w:sz w:val="24"/>
          <w:szCs w:val="24"/>
          <w:b w:val="1"/>
          <w:bCs w:val="1"/>
          <w:color w:val="auto"/>
        </w:rPr>
      </w:pPr>
    </w:p>
    <w:p>
      <w:pPr>
        <w:ind w:left="8"/>
        <w:spacing w:after="0" w:line="350"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The amount specified in sub-regulation (1) shall be refundable or forfeitable in the manner specified by the Board.</w:t>
      </w:r>
    </w:p>
    <w:p>
      <w:pPr>
        <w:spacing w:after="0" w:line="200" w:lineRule="exact"/>
        <w:rPr>
          <w:sz w:val="20"/>
          <w:szCs w:val="20"/>
          <w:color w:val="auto"/>
        </w:rPr>
      </w:pPr>
    </w:p>
    <w:p>
      <w:pPr>
        <w:spacing w:after="0" w:line="231"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Underwriting</w:t>
      </w:r>
    </w:p>
    <w:p>
      <w:pPr>
        <w:spacing w:after="0" w:line="144" w:lineRule="exact"/>
        <w:rPr>
          <w:sz w:val="20"/>
          <w:szCs w:val="20"/>
          <w:color w:val="auto"/>
        </w:rPr>
      </w:pPr>
    </w:p>
    <w:p>
      <w:pPr>
        <w:jc w:val="both"/>
        <w:ind w:left="8" w:hanging="8"/>
        <w:spacing w:after="0" w:line="354" w:lineRule="auto"/>
        <w:tabs>
          <w:tab w:leader="none" w:pos="490" w:val="left"/>
        </w:tabs>
        <w:numPr>
          <w:ilvl w:val="0"/>
          <w:numId w:val="50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If the issuer making an initial public offer of IDRs, other than through the book building process, desires to have the issue underwritten, it shall appoint underwriters in accordance with the Securities and Exchange Board of India (Underwriters) Regulations, 1993.</w:t>
      </w:r>
    </w:p>
    <w:p>
      <w:pPr>
        <w:spacing w:after="0" w:line="9" w:lineRule="exact"/>
        <w:rPr>
          <w:rFonts w:ascii="Times New Roman" w:cs="Times New Roman" w:eastAsia="Times New Roman" w:hAnsi="Times New Roman"/>
          <w:sz w:val="24"/>
          <w:szCs w:val="24"/>
          <w:b w:val="1"/>
          <w:bCs w:val="1"/>
          <w:color w:val="auto"/>
        </w:rPr>
      </w:pPr>
    </w:p>
    <w:p>
      <w:pPr>
        <w:ind w:left="8"/>
        <w:spacing w:after="0"/>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If the issuer makes a public issue through the book building process,</w:t>
      </w:r>
    </w:p>
    <w:p>
      <w:pPr>
        <w:spacing w:after="0" w:line="130" w:lineRule="exact"/>
        <w:rPr>
          <w:sz w:val="20"/>
          <w:szCs w:val="20"/>
          <w:color w:val="auto"/>
        </w:rPr>
      </w:pPr>
    </w:p>
    <w:p>
      <w:pPr>
        <w:ind w:left="548" w:hanging="548"/>
        <w:spacing w:after="0"/>
        <w:tabs>
          <w:tab w:leader="none" w:pos="548" w:val="left"/>
        </w:tabs>
        <w:numPr>
          <w:ilvl w:val="0"/>
          <w:numId w:val="509"/>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issue shall be underwritten by lead manager(s) and syndicate member(s):</w:t>
      </w:r>
    </w:p>
    <w:p>
      <w:pPr>
        <w:spacing w:after="0" w:line="151" w:lineRule="exact"/>
        <w:rPr>
          <w:rFonts w:ascii="Calibri" w:cs="Calibri" w:eastAsia="Calibri" w:hAnsi="Calibri"/>
          <w:sz w:val="22"/>
          <w:szCs w:val="22"/>
          <w:color w:val="auto"/>
        </w:rPr>
      </w:pPr>
    </w:p>
    <w:p>
      <w:pPr>
        <w:jc w:val="both"/>
        <w:ind w:left="548" w:hanging="548"/>
        <w:spacing w:after="0" w:line="342" w:lineRule="auto"/>
        <w:tabs>
          <w:tab w:leader="none" w:pos="548" w:val="left"/>
        </w:tabs>
        <w:numPr>
          <w:ilvl w:val="0"/>
          <w:numId w:val="509"/>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issuer shall, prior to filing the prospectus, enter into underwriting agreement with the lead manager(s), and syndicate member(s), indicating therein the number of specified</w:t>
      </w: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124</w:t>
      </w:r>
    </w:p>
    <w:p>
      <w:pPr>
        <w:sectPr>
          <w:pgSz w:w="11900" w:h="16836" w:orient="portrait"/>
          <w:cols w:equalWidth="0" w:num="1">
            <w:col w:w="9468"/>
          </w:cols>
          <w:pgMar w:left="1152" w:top="1440" w:right="1284" w:bottom="103" w:gutter="0" w:footer="0" w:header="0"/>
        </w:sectPr>
      </w:pPr>
    </w:p>
    <w:bookmarkStart w:id="124" w:name="page125"/>
    <w:bookmarkEnd w:id="124"/>
    <w:p>
      <w:pPr>
        <w:ind w:left="548"/>
        <w:spacing w:after="0" w:line="348" w:lineRule="auto"/>
        <w:rPr>
          <w:sz w:val="20"/>
          <w:szCs w:val="20"/>
          <w:color w:val="auto"/>
        </w:rPr>
      </w:pPr>
      <w:r>
        <w:rPr>
          <w:rFonts w:ascii="Times New Roman" w:cs="Times New Roman" w:eastAsia="Times New Roman" w:hAnsi="Times New Roman"/>
          <w:sz w:val="24"/>
          <w:szCs w:val="24"/>
          <w:color w:val="auto"/>
        </w:rPr>
        <w:t>securities which they shall subscribe to at the predetermined price in the event of under-subscription in the issue.</w:t>
      </w:r>
    </w:p>
    <w:p>
      <w:pPr>
        <w:spacing w:after="0" w:line="28" w:lineRule="exact"/>
        <w:rPr>
          <w:sz w:val="20"/>
          <w:szCs w:val="20"/>
          <w:color w:val="auto"/>
        </w:rPr>
      </w:pPr>
    </w:p>
    <w:p>
      <w:pPr>
        <w:ind w:left="548" w:hanging="548"/>
        <w:spacing w:after="0" w:line="342" w:lineRule="auto"/>
        <w:tabs>
          <w:tab w:leader="none" w:pos="548" w:val="left"/>
        </w:tabs>
        <w:numPr>
          <w:ilvl w:val="0"/>
          <w:numId w:val="510"/>
        </w:numPr>
        <w:rPr>
          <w:rFonts w:ascii="Calibri" w:cs="Calibri" w:eastAsia="Calibri" w:hAnsi="Calibri"/>
          <w:sz w:val="22"/>
          <w:szCs w:val="22"/>
          <w:color w:val="auto"/>
        </w:rPr>
      </w:pPr>
      <w:r>
        <w:rPr>
          <w:rFonts w:ascii="Times New Roman" w:cs="Times New Roman" w:eastAsia="Times New Roman" w:hAnsi="Times New Roman"/>
          <w:sz w:val="24"/>
          <w:szCs w:val="24"/>
          <w:color w:val="auto"/>
        </w:rPr>
        <w:t>If the syndicate member(s) fail to fulfil their underwriting obligations, the lead manager(s) shall fulfil such underwriting obligations.</w:t>
      </w:r>
    </w:p>
    <w:p>
      <w:pPr>
        <w:spacing w:after="0" w:line="31" w:lineRule="exact"/>
        <w:rPr>
          <w:rFonts w:ascii="Calibri" w:cs="Calibri" w:eastAsia="Calibri" w:hAnsi="Calibri"/>
          <w:sz w:val="22"/>
          <w:szCs w:val="22"/>
          <w:color w:val="auto"/>
        </w:rPr>
      </w:pPr>
    </w:p>
    <w:p>
      <w:pPr>
        <w:ind w:left="548" w:hanging="548"/>
        <w:spacing w:after="0" w:line="342" w:lineRule="auto"/>
        <w:tabs>
          <w:tab w:leader="none" w:pos="548" w:val="left"/>
        </w:tabs>
        <w:numPr>
          <w:ilvl w:val="0"/>
          <w:numId w:val="510"/>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lead manager(s) and the syndicate member(s) shall not subscribe to the issue in any manner except for fulfilling their underwriting obligations.</w:t>
      </w:r>
    </w:p>
    <w:p>
      <w:pPr>
        <w:spacing w:after="0" w:line="31" w:lineRule="exact"/>
        <w:rPr>
          <w:rFonts w:ascii="Calibri" w:cs="Calibri" w:eastAsia="Calibri" w:hAnsi="Calibri"/>
          <w:sz w:val="22"/>
          <w:szCs w:val="22"/>
          <w:color w:val="auto"/>
        </w:rPr>
      </w:pPr>
    </w:p>
    <w:p>
      <w:pPr>
        <w:jc w:val="both"/>
        <w:ind w:left="548" w:hanging="548"/>
        <w:spacing w:after="0" w:line="350" w:lineRule="auto"/>
        <w:tabs>
          <w:tab w:leader="none" w:pos="548" w:val="left"/>
        </w:tabs>
        <w:numPr>
          <w:ilvl w:val="0"/>
          <w:numId w:val="510"/>
        </w:numPr>
        <w:rPr>
          <w:rFonts w:ascii="Calibri" w:cs="Calibri" w:eastAsia="Calibri" w:hAnsi="Calibri"/>
          <w:sz w:val="22"/>
          <w:szCs w:val="22"/>
          <w:color w:val="auto"/>
        </w:rPr>
      </w:pPr>
      <w:r>
        <w:rPr>
          <w:rFonts w:ascii="Times New Roman" w:cs="Times New Roman" w:eastAsia="Times New Roman" w:hAnsi="Times New Roman"/>
          <w:sz w:val="24"/>
          <w:szCs w:val="24"/>
          <w:color w:val="auto"/>
        </w:rPr>
        <w:t>In case of every underwritten issue, the lead manager(s) shall undertake minimum underwriting obligations as specified in the Securities and Exchange Board of India (Merchant Bankers) Regulations, 1992.</w:t>
      </w:r>
    </w:p>
    <w:p>
      <w:pPr>
        <w:spacing w:after="0" w:line="23" w:lineRule="exact"/>
        <w:rPr>
          <w:rFonts w:ascii="Calibri" w:cs="Calibri" w:eastAsia="Calibri" w:hAnsi="Calibri"/>
          <w:sz w:val="22"/>
          <w:szCs w:val="22"/>
          <w:color w:val="auto"/>
        </w:rPr>
      </w:pPr>
    </w:p>
    <w:p>
      <w:pPr>
        <w:ind w:left="548" w:hanging="548"/>
        <w:spacing w:after="0" w:line="344" w:lineRule="auto"/>
        <w:tabs>
          <w:tab w:leader="none" w:pos="548" w:val="left"/>
        </w:tabs>
        <w:numPr>
          <w:ilvl w:val="0"/>
          <w:numId w:val="510"/>
        </w:numPr>
        <w:rPr>
          <w:rFonts w:ascii="Calibri" w:cs="Calibri" w:eastAsia="Calibri" w:hAnsi="Calibri"/>
          <w:sz w:val="22"/>
          <w:szCs w:val="22"/>
          <w:color w:val="auto"/>
        </w:rPr>
      </w:pPr>
      <w:r>
        <w:rPr>
          <w:rFonts w:ascii="Times New Roman" w:cs="Times New Roman" w:eastAsia="Times New Roman" w:hAnsi="Times New Roman"/>
          <w:sz w:val="24"/>
          <w:szCs w:val="24"/>
          <w:color w:val="auto"/>
        </w:rPr>
        <w:t>where the issue is required to be underwritten, the underwriting obligations should at least to the extent of minimum subscription.</w:t>
      </w:r>
    </w:p>
    <w:p>
      <w:pPr>
        <w:spacing w:after="0" w:line="200" w:lineRule="exact"/>
        <w:rPr>
          <w:sz w:val="20"/>
          <w:szCs w:val="20"/>
          <w:color w:val="auto"/>
        </w:rPr>
      </w:pPr>
    </w:p>
    <w:p>
      <w:pPr>
        <w:spacing w:after="0" w:line="234"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Public communications, publicity materials, advertisements and research reports.</w:t>
      </w:r>
    </w:p>
    <w:p>
      <w:pPr>
        <w:spacing w:after="0" w:line="144" w:lineRule="exact"/>
        <w:rPr>
          <w:sz w:val="20"/>
          <w:szCs w:val="20"/>
          <w:color w:val="auto"/>
        </w:rPr>
      </w:pPr>
    </w:p>
    <w:p>
      <w:pPr>
        <w:ind w:left="8" w:hanging="8"/>
        <w:spacing w:after="0" w:line="350" w:lineRule="auto"/>
        <w:tabs>
          <w:tab w:leader="none" w:pos="536" w:val="left"/>
        </w:tabs>
        <w:numPr>
          <w:ilvl w:val="0"/>
          <w:numId w:val="51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All public communication, publicity materials, advertisements and research reports shall comply with the provisions of </w:t>
      </w:r>
      <w:r>
        <w:rPr>
          <w:rFonts w:ascii="Times New Roman" w:cs="Times New Roman" w:eastAsia="Times New Roman" w:hAnsi="Times New Roman"/>
          <w:sz w:val="24"/>
          <w:szCs w:val="24"/>
          <w:b w:val="1"/>
          <w:bCs w:val="1"/>
          <w:color w:val="auto"/>
        </w:rPr>
        <w:t>Schedule IX</w:t>
      </w:r>
      <w:r>
        <w:rPr>
          <w:rFonts w:ascii="Times New Roman" w:cs="Times New Roman" w:eastAsia="Times New Roman" w:hAnsi="Times New Roman"/>
          <w:sz w:val="24"/>
          <w:szCs w:val="24"/>
          <w:color w:val="auto"/>
        </w:rPr>
        <w:t>, subject to the following:</w:t>
      </w:r>
    </w:p>
    <w:p>
      <w:pPr>
        <w:spacing w:after="0" w:line="23" w:lineRule="exact"/>
        <w:rPr>
          <w:sz w:val="20"/>
          <w:szCs w:val="20"/>
          <w:color w:val="auto"/>
        </w:rPr>
      </w:pPr>
    </w:p>
    <w:p>
      <w:pPr>
        <w:jc w:val="both"/>
        <w:ind w:left="548" w:hanging="548"/>
        <w:spacing w:after="0" w:line="354" w:lineRule="auto"/>
        <w:tabs>
          <w:tab w:leader="none" w:pos="548" w:val="left"/>
        </w:tabs>
        <w:numPr>
          <w:ilvl w:val="0"/>
          <w:numId w:val="5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applicability of clauses (1) and (7) and Explanation II shall be restricted to any issue advertisements made in India or any research report circulated in India, pertaining to the IDR issue of the issuing company;</w:t>
      </w:r>
    </w:p>
    <w:p>
      <w:pPr>
        <w:spacing w:after="0" w:line="22" w:lineRule="exact"/>
        <w:rPr>
          <w:rFonts w:ascii="Times New Roman" w:cs="Times New Roman" w:eastAsia="Times New Roman" w:hAnsi="Times New Roman"/>
          <w:sz w:val="24"/>
          <w:szCs w:val="24"/>
          <w:color w:val="auto"/>
        </w:rPr>
      </w:pPr>
    </w:p>
    <w:p>
      <w:pPr>
        <w:ind w:left="548" w:hanging="548"/>
        <w:spacing w:after="0" w:line="348" w:lineRule="auto"/>
        <w:tabs>
          <w:tab w:leader="none" w:pos="608" w:val="left"/>
        </w:tabs>
        <w:numPr>
          <w:ilvl w:val="0"/>
          <w:numId w:val="5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applicability of clauses (2) and (3) shall be restricted to any public communications and publicity material issued or published in any media in India;</w:t>
      </w:r>
    </w:p>
    <w:p>
      <w:pPr>
        <w:spacing w:after="0" w:line="27" w:lineRule="exact"/>
        <w:rPr>
          <w:rFonts w:ascii="Times New Roman" w:cs="Times New Roman" w:eastAsia="Times New Roman" w:hAnsi="Times New Roman"/>
          <w:sz w:val="24"/>
          <w:szCs w:val="24"/>
          <w:color w:val="auto"/>
        </w:rPr>
      </w:pPr>
    </w:p>
    <w:p>
      <w:pPr>
        <w:jc w:val="both"/>
        <w:ind w:left="548" w:hanging="548"/>
        <w:spacing w:after="0" w:line="354" w:lineRule="auto"/>
        <w:tabs>
          <w:tab w:leader="none" w:pos="548" w:val="left"/>
        </w:tabs>
        <w:numPr>
          <w:ilvl w:val="0"/>
          <w:numId w:val="5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applicability of clauses (4) and (5) shall be restricted to any material or information released in India and any issue advertisements and publicity materials issued or published in any media in India;</w:t>
      </w:r>
    </w:p>
    <w:p>
      <w:pPr>
        <w:spacing w:after="0" w:line="20" w:lineRule="exact"/>
        <w:rPr>
          <w:rFonts w:ascii="Times New Roman" w:cs="Times New Roman" w:eastAsia="Times New Roman" w:hAnsi="Times New Roman"/>
          <w:sz w:val="24"/>
          <w:szCs w:val="24"/>
          <w:color w:val="auto"/>
        </w:rPr>
      </w:pPr>
    </w:p>
    <w:p>
      <w:pPr>
        <w:ind w:left="548" w:hanging="548"/>
        <w:spacing w:after="0" w:line="350" w:lineRule="auto"/>
        <w:tabs>
          <w:tab w:leader="none" w:pos="548" w:val="left"/>
        </w:tabs>
        <w:numPr>
          <w:ilvl w:val="0"/>
          <w:numId w:val="5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applicability of clause (10) shall be restricted to any product advertisement of the issuer issued or published in any media in India;</w:t>
      </w:r>
    </w:p>
    <w:p>
      <w:pPr>
        <w:spacing w:after="0" w:line="10" w:lineRule="exact"/>
        <w:rPr>
          <w:rFonts w:ascii="Times New Roman" w:cs="Times New Roman" w:eastAsia="Times New Roman" w:hAnsi="Times New Roman"/>
          <w:sz w:val="24"/>
          <w:szCs w:val="24"/>
          <w:color w:val="auto"/>
        </w:rPr>
      </w:pPr>
    </w:p>
    <w:p>
      <w:pPr>
        <w:ind w:left="548" w:hanging="548"/>
        <w:spacing w:after="0"/>
        <w:tabs>
          <w:tab w:leader="none" w:pos="548" w:val="left"/>
        </w:tabs>
        <w:numPr>
          <w:ilvl w:val="0"/>
          <w:numId w:val="5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all other provisions of </w:t>
      </w:r>
      <w:r>
        <w:rPr>
          <w:rFonts w:ascii="Times New Roman" w:cs="Times New Roman" w:eastAsia="Times New Roman" w:hAnsi="Times New Roman"/>
          <w:sz w:val="24"/>
          <w:szCs w:val="24"/>
          <w:b w:val="1"/>
          <w:bCs w:val="1"/>
          <w:color w:val="auto"/>
        </w:rPr>
        <w:t>Schedule IX</w:t>
      </w:r>
      <w:r>
        <w:rPr>
          <w:rFonts w:ascii="Times New Roman" w:cs="Times New Roman" w:eastAsia="Times New Roman" w:hAnsi="Times New Roman"/>
          <w:sz w:val="24"/>
          <w:szCs w:val="24"/>
          <w:color w:val="auto"/>
        </w:rPr>
        <w:t xml:space="preserve"> shall be applicable.</w:t>
      </w:r>
    </w:p>
    <w:p>
      <w:pPr>
        <w:spacing w:after="0" w:line="200" w:lineRule="exact"/>
        <w:rPr>
          <w:sz w:val="20"/>
          <w:szCs w:val="20"/>
          <w:color w:val="auto"/>
        </w:rPr>
      </w:pPr>
    </w:p>
    <w:p>
      <w:pPr>
        <w:spacing w:after="0" w:line="35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Issue-related advertisements</w:t>
      </w:r>
    </w:p>
    <w:p>
      <w:pPr>
        <w:spacing w:after="0" w:line="147" w:lineRule="exact"/>
        <w:rPr>
          <w:sz w:val="20"/>
          <w:szCs w:val="20"/>
          <w:color w:val="auto"/>
        </w:rPr>
      </w:pPr>
    </w:p>
    <w:p>
      <w:pPr>
        <w:ind w:left="8" w:hanging="8"/>
        <w:spacing w:after="0" w:line="348" w:lineRule="auto"/>
        <w:tabs>
          <w:tab w:leader="none" w:pos="483" w:val="left"/>
        </w:tabs>
        <w:numPr>
          <w:ilvl w:val="0"/>
          <w:numId w:val="51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(1)The issuer may release advertisements for issue opening and issue closing, which shall be in the formats specified in </w:t>
      </w:r>
      <w:r>
        <w:rPr>
          <w:rFonts w:ascii="Times New Roman" w:cs="Times New Roman" w:eastAsia="Times New Roman" w:hAnsi="Times New Roman"/>
          <w:sz w:val="24"/>
          <w:szCs w:val="24"/>
          <w:b w:val="1"/>
          <w:bCs w:val="1"/>
          <w:color w:val="auto"/>
        </w:rPr>
        <w:t>Parts B and C of Schedule X.</w:t>
      </w:r>
    </w:p>
    <w:p>
      <w:pPr>
        <w:spacing w:after="0" w:line="28" w:lineRule="exact"/>
        <w:rPr>
          <w:sz w:val="20"/>
          <w:szCs w:val="20"/>
          <w:color w:val="auto"/>
        </w:rPr>
      </w:pPr>
    </w:p>
    <w:p>
      <w:pPr>
        <w:jc w:val="both"/>
        <w:ind w:left="8"/>
        <w:spacing w:after="0" w:line="354" w:lineRule="auto"/>
        <w:rPr>
          <w:sz w:val="20"/>
          <w:szCs w:val="20"/>
          <w:color w:val="auto"/>
        </w:rPr>
      </w:pPr>
      <w:r>
        <w:rPr>
          <w:rFonts w:ascii="Times New Roman" w:cs="Times New Roman" w:eastAsia="Times New Roman" w:hAnsi="Times New Roman"/>
          <w:sz w:val="24"/>
          <w:szCs w:val="24"/>
          <w:color w:val="auto"/>
        </w:rPr>
        <w:t>(2) During the period the issue is open for subscription, no advertisement shall be released giving an impression that the issue has been fully subscribed or oversubscribed or indicating investors’ response to the issue.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125</w:t>
      </w:r>
    </w:p>
    <w:p>
      <w:pPr>
        <w:sectPr>
          <w:pgSz w:w="11900" w:h="16836" w:orient="portrait"/>
          <w:cols w:equalWidth="0" w:num="1">
            <w:col w:w="9468"/>
          </w:cols>
          <w:pgMar w:left="1152" w:top="1156" w:right="1284" w:bottom="103" w:gutter="0" w:footer="0" w:header="0"/>
        </w:sectPr>
      </w:pPr>
    </w:p>
    <w:bookmarkStart w:id="125" w:name="page126"/>
    <w:bookmarkEnd w:id="125"/>
    <w:p>
      <w:pPr>
        <w:jc w:val="both"/>
        <w:ind w:left="8" w:hanging="8"/>
        <w:spacing w:after="0" w:line="354" w:lineRule="auto"/>
        <w:tabs>
          <w:tab w:leader="none" w:pos="360" w:val="left"/>
        </w:tabs>
        <w:numPr>
          <w:ilvl w:val="0"/>
          <w:numId w:val="5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 announcement regarding closure of the issue shall be made only after the lead manager(s) is satisfied that at least ninety per cent. of the issue has been subscribed and a certificate has been obtained to that effect from the registrar to the issue:</w:t>
      </w:r>
    </w:p>
    <w:p>
      <w:pPr>
        <w:spacing w:after="0" w:line="20" w:lineRule="exact"/>
        <w:rPr>
          <w:rFonts w:ascii="Times New Roman" w:cs="Times New Roman" w:eastAsia="Times New Roman" w:hAnsi="Times New Roman"/>
          <w:sz w:val="24"/>
          <w:szCs w:val="24"/>
          <w:color w:val="auto"/>
        </w:rPr>
      </w:pPr>
    </w:p>
    <w:p>
      <w:pPr>
        <w:ind w:left="8"/>
        <w:spacing w:after="0" w:line="350"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such an announcement shall not be made before the date on which the issue is to be closed except for issue closing advertisement made in the format prescribed in these regulations.</w:t>
      </w:r>
    </w:p>
    <w:p>
      <w:pPr>
        <w:spacing w:after="0" w:line="200" w:lineRule="exact"/>
        <w:rPr>
          <w:sz w:val="20"/>
          <w:szCs w:val="20"/>
          <w:color w:val="auto"/>
        </w:rPr>
      </w:pPr>
    </w:p>
    <w:p>
      <w:pPr>
        <w:spacing w:after="0" w:line="231"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Opening of the issue</w:t>
      </w:r>
    </w:p>
    <w:p>
      <w:pPr>
        <w:spacing w:after="0" w:line="144" w:lineRule="exact"/>
        <w:rPr>
          <w:sz w:val="20"/>
          <w:szCs w:val="20"/>
          <w:color w:val="auto"/>
        </w:rPr>
      </w:pPr>
    </w:p>
    <w:p>
      <w:pPr>
        <w:ind w:left="8" w:hanging="8"/>
        <w:spacing w:after="0" w:line="350" w:lineRule="auto"/>
        <w:tabs>
          <w:tab w:leader="none" w:pos="497" w:val="left"/>
        </w:tabs>
        <w:numPr>
          <w:ilvl w:val="0"/>
          <w:numId w:val="51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(1)Subject to the compliance with the provisions of the Companies Act, 2013, a public issue may be opened:</w:t>
      </w:r>
    </w:p>
    <w:p>
      <w:pPr>
        <w:spacing w:after="0" w:line="24" w:lineRule="exact"/>
        <w:rPr>
          <w:sz w:val="20"/>
          <w:szCs w:val="20"/>
          <w:color w:val="auto"/>
        </w:rPr>
      </w:pPr>
    </w:p>
    <w:p>
      <w:pPr>
        <w:ind w:left="368" w:hanging="359"/>
        <w:spacing w:after="0" w:line="350" w:lineRule="auto"/>
        <w:tabs>
          <w:tab w:leader="none" w:pos="347" w:val="left"/>
        </w:tabs>
        <w:rPr>
          <w:sz w:val="20"/>
          <w:szCs w:val="20"/>
          <w:color w:val="auto"/>
        </w:rPr>
      </w:pPr>
      <w:r>
        <w:rPr>
          <w:rFonts w:ascii="Times New Roman" w:cs="Times New Roman" w:eastAsia="Times New Roman" w:hAnsi="Times New Roman"/>
          <w:sz w:val="24"/>
          <w:szCs w:val="24"/>
          <w:color w:val="auto"/>
        </w:rPr>
        <w:t>a)</w:t>
        <w:tab/>
        <w:t>within twelve months from the date of issuance of the observations by the Board under regulation 6; or</w:t>
      </w:r>
    </w:p>
    <w:p>
      <w:pPr>
        <w:spacing w:after="0" w:line="3" w:lineRule="exact"/>
        <w:rPr>
          <w:sz w:val="20"/>
          <w:szCs w:val="20"/>
          <w:color w:val="auto"/>
        </w:rPr>
      </w:pPr>
    </w:p>
    <w:p>
      <w:pPr>
        <w:ind w:left="8" w:hanging="8"/>
        <w:spacing w:after="0" w:line="287" w:lineRule="auto"/>
        <w:tabs>
          <w:tab w:leader="none" w:pos="394" w:val="left"/>
        </w:tabs>
        <w:numPr>
          <w:ilvl w:val="0"/>
          <w:numId w:val="51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an issue shall be opened after at least three working days from the date of </w:t>
      </w:r>
      <w:r>
        <w:rPr>
          <w:rFonts w:ascii="Times New Roman" w:cs="Times New Roman" w:eastAsia="Times New Roman" w:hAnsi="Times New Roman"/>
          <w:sz w:val="32"/>
          <w:szCs w:val="32"/>
          <w:color w:val="auto"/>
          <w:vertAlign w:val="superscript"/>
        </w:rPr>
        <w:t>76</w:t>
      </w:r>
      <w:r>
        <w:rPr>
          <w:rFonts w:ascii="Times New Roman" w:cs="Times New Roman" w:eastAsia="Times New Roman" w:hAnsi="Times New Roman"/>
          <w:sz w:val="24"/>
          <w:szCs w:val="24"/>
          <w:color w:val="auto"/>
        </w:rPr>
        <w:t>[filing] the prospectus with the Registrar of Companies.</w:t>
      </w:r>
    </w:p>
    <w:p>
      <w:pPr>
        <w:spacing w:after="0" w:line="200" w:lineRule="exact"/>
        <w:rPr>
          <w:sz w:val="20"/>
          <w:szCs w:val="20"/>
          <w:color w:val="auto"/>
        </w:rPr>
      </w:pPr>
    </w:p>
    <w:p>
      <w:pPr>
        <w:spacing w:after="0" w:line="286"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Minimum subscription</w:t>
      </w:r>
    </w:p>
    <w:p>
      <w:pPr>
        <w:spacing w:after="0" w:line="144" w:lineRule="exact"/>
        <w:rPr>
          <w:sz w:val="20"/>
          <w:szCs w:val="20"/>
          <w:color w:val="auto"/>
        </w:rPr>
      </w:pPr>
    </w:p>
    <w:p>
      <w:pPr>
        <w:ind w:left="8" w:hanging="8"/>
        <w:spacing w:after="0" w:line="350" w:lineRule="auto"/>
        <w:tabs>
          <w:tab w:leader="none" w:pos="497" w:val="left"/>
        </w:tabs>
        <w:numPr>
          <w:ilvl w:val="0"/>
          <w:numId w:val="51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minimum subscription to be received in the issue shall be at least ninety per cent. of the offer through the offer document.</w:t>
      </w:r>
    </w:p>
    <w:p>
      <w:pPr>
        <w:spacing w:after="0" w:line="11" w:lineRule="exact"/>
        <w:rPr>
          <w:rFonts w:ascii="Times New Roman" w:cs="Times New Roman" w:eastAsia="Times New Roman" w:hAnsi="Times New Roman"/>
          <w:sz w:val="24"/>
          <w:szCs w:val="24"/>
          <w:b w:val="1"/>
          <w:bCs w:val="1"/>
          <w:color w:val="auto"/>
        </w:rPr>
      </w:pPr>
    </w:p>
    <w:p>
      <w:pPr>
        <w:ind w:left="8"/>
        <w:spacing w:after="0"/>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For non-underwritten issues:</w:t>
      </w:r>
    </w:p>
    <w:p>
      <w:pPr>
        <w:spacing w:after="0" w:line="151" w:lineRule="exact"/>
        <w:rPr>
          <w:rFonts w:ascii="Times New Roman" w:cs="Times New Roman" w:eastAsia="Times New Roman" w:hAnsi="Times New Roman"/>
          <w:sz w:val="24"/>
          <w:szCs w:val="24"/>
          <w:b w:val="1"/>
          <w:bCs w:val="1"/>
          <w:color w:val="auto"/>
        </w:rPr>
      </w:pPr>
    </w:p>
    <w:p>
      <w:pPr>
        <w:jc w:val="both"/>
        <w:ind w:left="1448" w:hanging="728"/>
        <w:spacing w:after="0" w:line="357" w:lineRule="auto"/>
        <w:tabs>
          <w:tab w:leader="none" w:pos="1448" w:val="left"/>
        </w:tabs>
        <w:numPr>
          <w:ilvl w:val="1"/>
          <w:numId w:val="5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issuer does not receive the minimum subscription of ninety per cent. of the offer through offer document on the date of closure of the issue, or if the subscription level falls below ninety per cent. after the closure of issue, the issuer shall forthwith refund through verifiable means the entire subscription amount received.</w:t>
      </w:r>
    </w:p>
    <w:p>
      <w:pPr>
        <w:spacing w:after="0" w:line="4" w:lineRule="exact"/>
        <w:rPr>
          <w:rFonts w:ascii="Times New Roman" w:cs="Times New Roman" w:eastAsia="Times New Roman" w:hAnsi="Times New Roman"/>
          <w:sz w:val="24"/>
          <w:szCs w:val="24"/>
          <w:color w:val="auto"/>
        </w:rPr>
      </w:pPr>
    </w:p>
    <w:p>
      <w:pPr>
        <w:ind w:left="1448" w:hanging="728"/>
        <w:spacing w:after="0"/>
        <w:tabs>
          <w:tab w:leader="none" w:pos="1448" w:val="left"/>
        </w:tabs>
        <w:numPr>
          <w:ilvl w:val="1"/>
          <w:numId w:val="5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issuer fails to refund the entire subscription amount within fifteen days from</w:t>
      </w:r>
    </w:p>
    <w:p>
      <w:pPr>
        <w:spacing w:after="0" w:line="151" w:lineRule="exact"/>
        <w:rPr>
          <w:sz w:val="20"/>
          <w:szCs w:val="20"/>
          <w:color w:val="auto"/>
        </w:rPr>
      </w:pPr>
    </w:p>
    <w:p>
      <w:pPr>
        <w:ind w:left="1448"/>
        <w:spacing w:after="0" w:line="348" w:lineRule="auto"/>
        <w:rPr>
          <w:sz w:val="20"/>
          <w:szCs w:val="20"/>
          <w:color w:val="auto"/>
        </w:rPr>
      </w:pPr>
      <w:r>
        <w:rPr>
          <w:rFonts w:ascii="Times New Roman" w:cs="Times New Roman" w:eastAsia="Times New Roman" w:hAnsi="Times New Roman"/>
          <w:sz w:val="24"/>
          <w:szCs w:val="24"/>
          <w:color w:val="auto"/>
        </w:rPr>
        <w:t>the date of the closure of the issue, it is liable to pay the amount with interest to the subscribers at the rate of fifteen per cent. per annum for the period of delay.</w:t>
      </w:r>
    </w:p>
    <w:p>
      <w:pPr>
        <w:spacing w:after="0" w:line="15" w:lineRule="exact"/>
        <w:rPr>
          <w:sz w:val="20"/>
          <w:szCs w:val="20"/>
          <w:color w:val="auto"/>
        </w:rPr>
      </w:pPr>
    </w:p>
    <w:p>
      <w:pPr>
        <w:ind w:left="368" w:hanging="368"/>
        <w:spacing w:after="0"/>
        <w:tabs>
          <w:tab w:leader="none" w:pos="368" w:val="left"/>
        </w:tabs>
        <w:numPr>
          <w:ilvl w:val="0"/>
          <w:numId w:val="5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For underwritten issues:</w:t>
      </w:r>
    </w:p>
    <w:p>
      <w:pPr>
        <w:spacing w:after="0" w:line="149" w:lineRule="exact"/>
        <w:rPr>
          <w:rFonts w:ascii="Times New Roman" w:cs="Times New Roman" w:eastAsia="Times New Roman" w:hAnsi="Times New Roman"/>
          <w:sz w:val="24"/>
          <w:szCs w:val="24"/>
          <w:color w:val="auto"/>
        </w:rPr>
      </w:pPr>
    </w:p>
    <w:p>
      <w:pPr>
        <w:jc w:val="both"/>
        <w:ind w:left="1448" w:hanging="728"/>
        <w:spacing w:after="0" w:line="356" w:lineRule="auto"/>
        <w:tabs>
          <w:tab w:leader="none" w:pos="1448" w:val="left"/>
        </w:tabs>
        <w:numPr>
          <w:ilvl w:val="1"/>
          <w:numId w:val="5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issuer does not receive the minimum subscription of ninety per cent. of the offer through offer document including devolvement of underwriters, all application monies received shall be refunded through verifiable means to the applicants forthwith, but not later than fifteen days from the closure of the issue.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ind w:left="8" w:hanging="8"/>
        <w:spacing w:after="0" w:line="203" w:lineRule="auto"/>
        <w:tabs>
          <w:tab w:leader="none" w:pos="188" w:val="left"/>
        </w:tabs>
        <w:numPr>
          <w:ilvl w:val="0"/>
          <w:numId w:val="519"/>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Securities and Exchange Board of India (Issue of Capital and Disclosure Requirements) (Seventh Amendment) Regulations, 2019, w-e-f 01.01.2020 for the word “registering”.</w:t>
      </w:r>
    </w:p>
    <w:p>
      <w:pPr>
        <w:spacing w:after="0" w:line="30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126</w:t>
      </w:r>
    </w:p>
    <w:p>
      <w:pPr>
        <w:sectPr>
          <w:pgSz w:w="11900" w:h="16836" w:orient="portrait"/>
          <w:cols w:equalWidth="0" w:num="1">
            <w:col w:w="9468"/>
          </w:cols>
          <w:pgMar w:left="1152" w:top="1156" w:right="1284" w:bottom="103" w:gutter="0" w:footer="0" w:header="0"/>
        </w:sectPr>
      </w:pPr>
    </w:p>
    <w:bookmarkStart w:id="126" w:name="page127"/>
    <w:bookmarkEnd w:id="126"/>
    <w:p>
      <w:pPr>
        <w:jc w:val="both"/>
        <w:ind w:left="1448" w:hanging="728"/>
        <w:spacing w:after="0" w:line="354" w:lineRule="auto"/>
        <w:tabs>
          <w:tab w:leader="none" w:pos="1448" w:val="left"/>
        </w:tabs>
        <w:numPr>
          <w:ilvl w:val="1"/>
          <w:numId w:val="5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issuer fails to refund the entire subscription amount within fifteen days from the date of the closure of the issue, it is liable to pay the amount with interest to the subscribers at the rate of fifteen per cent. per annum for the period of delay.</w:t>
      </w:r>
    </w:p>
    <w:p>
      <w:pPr>
        <w:spacing w:after="0" w:line="20"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387" w:val="left"/>
        </w:tabs>
        <w:numPr>
          <w:ilvl w:val="0"/>
          <w:numId w:val="5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In case of an undersubscribed issue that is underwritten, the lead manager(s) shall furnish information to the Board in respect of underwriters who have failed to meet their underwriting devolvement in the format specified in </w:t>
      </w:r>
      <w:r>
        <w:rPr>
          <w:rFonts w:ascii="Times New Roman" w:cs="Times New Roman" w:eastAsia="Times New Roman" w:hAnsi="Times New Roman"/>
          <w:sz w:val="24"/>
          <w:szCs w:val="24"/>
          <w:b w:val="1"/>
          <w:bCs w:val="1"/>
          <w:color w:val="auto"/>
        </w:rPr>
        <w:t>Schedule XVIII</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22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Period of subscription</w:t>
      </w:r>
    </w:p>
    <w:p>
      <w:pPr>
        <w:spacing w:after="0" w:line="147" w:lineRule="exact"/>
        <w:rPr>
          <w:sz w:val="20"/>
          <w:szCs w:val="20"/>
          <w:color w:val="auto"/>
        </w:rPr>
      </w:pPr>
    </w:p>
    <w:p>
      <w:pPr>
        <w:ind w:left="8" w:hanging="8"/>
        <w:spacing w:after="0" w:line="348" w:lineRule="auto"/>
        <w:tabs>
          <w:tab w:leader="none" w:pos="492" w:val="left"/>
        </w:tabs>
        <w:numPr>
          <w:ilvl w:val="0"/>
          <w:numId w:val="52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Except as otherwise provided in these regulations, an initial public offer of IDRs shall be kept open for at least three working days and not more than ten working days.</w:t>
      </w:r>
    </w:p>
    <w:p>
      <w:pPr>
        <w:spacing w:after="0" w:line="27"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In case of a revision in the price band, the issuer shall extend the bidding (issue) period disclosed in the red herring prospectus, for a minimum period of three working days, subject to the provisions of sub-regulation (1).</w:t>
      </w:r>
    </w:p>
    <w:p>
      <w:pPr>
        <w:spacing w:after="0" w:line="19" w:lineRule="exact"/>
        <w:rPr>
          <w:rFonts w:ascii="Times New Roman" w:cs="Times New Roman" w:eastAsia="Times New Roman" w:hAnsi="Times New Roman"/>
          <w:sz w:val="24"/>
          <w:szCs w:val="24"/>
          <w:b w:val="1"/>
          <w:bCs w:val="1"/>
          <w:color w:val="auto"/>
        </w:rPr>
      </w:pPr>
    </w:p>
    <w:p>
      <w:pPr>
        <w:jc w:val="both"/>
        <w:ind w:left="8"/>
        <w:spacing w:after="0" w:line="375"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3"/>
          <w:szCs w:val="23"/>
          <w:color w:val="auto"/>
        </w:rPr>
        <w:t>(3) In case of force majeure, banking strike or similar circumstances, the issuer may, for reasons to be recorded in writing, extend the bidding (issue) period disclosed in the red herring prospectus (in case of a book built issue) or the issue period disclosed in the prospectus (in case of a fixed price issue), for a minimum period of three working days, subject to the provisions of sub-regulation (1).</w:t>
      </w:r>
    </w:p>
    <w:p>
      <w:pPr>
        <w:spacing w:after="0" w:line="200" w:lineRule="exact"/>
        <w:rPr>
          <w:sz w:val="20"/>
          <w:szCs w:val="20"/>
          <w:color w:val="auto"/>
        </w:rPr>
      </w:pPr>
    </w:p>
    <w:p>
      <w:pPr>
        <w:spacing w:after="0" w:line="211"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Allotment procedure and basis of allotment</w:t>
      </w:r>
    </w:p>
    <w:p>
      <w:pPr>
        <w:spacing w:after="0" w:line="144" w:lineRule="exact"/>
        <w:rPr>
          <w:sz w:val="20"/>
          <w:szCs w:val="20"/>
          <w:color w:val="auto"/>
        </w:rPr>
      </w:pPr>
    </w:p>
    <w:p>
      <w:pPr>
        <w:jc w:val="both"/>
        <w:ind w:left="8" w:hanging="8"/>
        <w:spacing w:after="0" w:line="354" w:lineRule="auto"/>
        <w:tabs>
          <w:tab w:leader="none" w:pos="526" w:val="left"/>
        </w:tabs>
        <w:numPr>
          <w:ilvl w:val="0"/>
          <w:numId w:val="52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shall not make any allotment in excess of the specified securities offered through the offer document except in case of oversubscription for the purpose of rounding off to make allotment, in consultation with the designated stock exchange.</w:t>
      </w:r>
    </w:p>
    <w:p>
      <w:pPr>
        <w:spacing w:after="0" w:line="22" w:lineRule="exact"/>
        <w:rPr>
          <w:rFonts w:ascii="Times New Roman" w:cs="Times New Roman" w:eastAsia="Times New Roman" w:hAnsi="Times New Roman"/>
          <w:sz w:val="24"/>
          <w:szCs w:val="24"/>
          <w:b w:val="1"/>
          <w:bCs w:val="1"/>
          <w:color w:val="auto"/>
        </w:rPr>
      </w:pPr>
    </w:p>
    <w:p>
      <w:pPr>
        <w:ind w:left="8"/>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in case of oversubscription, an allotment of not more than one per cent. of the net offer to public may be made for the purpose of making allotment in minimum lots.</w:t>
      </w:r>
    </w:p>
    <w:p>
      <w:pPr>
        <w:spacing w:after="0" w:line="28" w:lineRule="exact"/>
        <w:rPr>
          <w:rFonts w:ascii="Times New Roman" w:cs="Times New Roman" w:eastAsia="Times New Roman" w:hAnsi="Times New Roman"/>
          <w:sz w:val="24"/>
          <w:szCs w:val="24"/>
          <w:b w:val="1"/>
          <w:bCs w:val="1"/>
          <w:color w:val="auto"/>
        </w:rPr>
      </w:pPr>
    </w:p>
    <w:p>
      <w:pPr>
        <w:jc w:val="both"/>
        <w:ind w:left="8"/>
        <w:spacing w:after="0" w:line="356"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The allotment of specified securities to applicants other than retail individual investors shall be on proportionate basis within the respective investor categories and the number of securities allotted shall be rounded off to the nearest integer, subject to minimum allotment being equal to the minimum application size as determined and disclosed in the offer document:</w:t>
      </w:r>
    </w:p>
    <w:p>
      <w:pPr>
        <w:spacing w:after="0" w:line="18" w:lineRule="exact"/>
        <w:rPr>
          <w:rFonts w:ascii="Times New Roman" w:cs="Times New Roman" w:eastAsia="Times New Roman" w:hAnsi="Times New Roman"/>
          <w:sz w:val="24"/>
          <w:szCs w:val="24"/>
          <w:b w:val="1"/>
          <w:bCs w:val="1"/>
          <w:color w:val="auto"/>
        </w:rPr>
      </w:pPr>
    </w:p>
    <w:p>
      <w:pPr>
        <w:ind w:left="8"/>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value of specified securities allotted to retail individual investors shall not exceed two lakhs rupees.</w:t>
      </w:r>
    </w:p>
    <w:p>
      <w:pPr>
        <w:spacing w:after="0" w:line="27"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(3) The allotment of specified securities to each retail individual investor shall not be less than the minimum bid lot, subject to availability of shares in retail individual investor category, and the remaining available shares, if any, shall be allotted on a proportionate basis.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127</w:t>
      </w:r>
    </w:p>
    <w:p>
      <w:pPr>
        <w:sectPr>
          <w:pgSz w:w="11900" w:h="16836" w:orient="portrait"/>
          <w:cols w:equalWidth="0" w:num="1">
            <w:col w:w="9468"/>
          </w:cols>
          <w:pgMar w:left="1152" w:top="1156" w:right="1284" w:bottom="103" w:gutter="0" w:footer="0" w:header="0"/>
        </w:sectPr>
      </w:pPr>
    </w:p>
    <w:bookmarkStart w:id="127" w:name="page128"/>
    <w:bookmarkEnd w:id="127"/>
    <w:p>
      <w:pPr>
        <w:jc w:val="both"/>
        <w:ind w:left="8" w:hanging="8"/>
        <w:spacing w:after="0" w:line="354" w:lineRule="auto"/>
        <w:tabs>
          <w:tab w:leader="none" w:pos="363" w:val="left"/>
        </w:tabs>
        <w:numPr>
          <w:ilvl w:val="0"/>
          <w:numId w:val="52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The authorised employees of the designated stock exchange, along with the lead manager(s) and registrars to the issue, shall ensure that the basis of allotment is finalised in a fair and proper manner in accordance with the allotment procedure as specified in </w:t>
      </w:r>
      <w:r>
        <w:rPr>
          <w:rFonts w:ascii="Times New Roman" w:cs="Times New Roman" w:eastAsia="Times New Roman" w:hAnsi="Times New Roman"/>
          <w:sz w:val="24"/>
          <w:szCs w:val="24"/>
          <w:b w:val="1"/>
          <w:bCs w:val="1"/>
          <w:color w:val="auto"/>
        </w:rPr>
        <w:t>Part A of Schedule XIV</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22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Allotment, refund and payment of interest</w:t>
      </w:r>
    </w:p>
    <w:p>
      <w:pPr>
        <w:spacing w:after="0" w:line="144" w:lineRule="exact"/>
        <w:rPr>
          <w:sz w:val="20"/>
          <w:szCs w:val="20"/>
          <w:color w:val="auto"/>
        </w:rPr>
      </w:pPr>
    </w:p>
    <w:p>
      <w:pPr>
        <w:jc w:val="both"/>
        <w:ind w:left="8" w:hanging="8"/>
        <w:spacing w:after="0" w:line="357" w:lineRule="auto"/>
        <w:tabs>
          <w:tab w:leader="none" w:pos="478" w:val="left"/>
        </w:tabs>
        <w:numPr>
          <w:ilvl w:val="0"/>
          <w:numId w:val="52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shall ensure that the letters of allotment for the IDRs are issued simultaneously to all allottees and that in the event of it being impossible to issue letters of regret at the same time, a notice to that effect shall be issued in the media so that it appears on the morning after the letters of allotment have been despatched.</w:t>
      </w:r>
    </w:p>
    <w:p>
      <w:pPr>
        <w:spacing w:after="0" w:line="14" w:lineRule="exact"/>
        <w:rPr>
          <w:rFonts w:ascii="Times New Roman" w:cs="Times New Roman" w:eastAsia="Times New Roman" w:hAnsi="Times New Roman"/>
          <w:sz w:val="24"/>
          <w:szCs w:val="24"/>
          <w:b w:val="1"/>
          <w:bCs w:val="1"/>
          <w:color w:val="auto"/>
        </w:rPr>
      </w:pPr>
    </w:p>
    <w:p>
      <w:pPr>
        <w:ind w:left="8"/>
        <w:spacing w:after="0" w:line="350"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The issuer and lead manager(s) shall ensure that the IDRs are allotted and/or application monies are refunded or unblocked within such period as may be specified by the Board.</w:t>
      </w:r>
    </w:p>
    <w:p>
      <w:pPr>
        <w:spacing w:after="0" w:line="23" w:lineRule="exact"/>
        <w:rPr>
          <w:rFonts w:ascii="Times New Roman" w:cs="Times New Roman" w:eastAsia="Times New Roman" w:hAnsi="Times New Roman"/>
          <w:sz w:val="24"/>
          <w:szCs w:val="24"/>
          <w:b w:val="1"/>
          <w:bCs w:val="1"/>
          <w:color w:val="auto"/>
        </w:rPr>
      </w:pPr>
    </w:p>
    <w:p>
      <w:pPr>
        <w:ind w:left="8"/>
        <w:spacing w:after="0" w:line="350"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(3) The lead manager(s) shall ensure that the allotment, credit of dematerialised securities, refunding or unlocking of application monies, as may be applicable, are done electronically.</w:t>
      </w:r>
    </w:p>
    <w:p>
      <w:pPr>
        <w:spacing w:after="0" w:line="23" w:lineRule="exact"/>
        <w:rPr>
          <w:rFonts w:ascii="Times New Roman" w:cs="Times New Roman" w:eastAsia="Times New Roman" w:hAnsi="Times New Roman"/>
          <w:sz w:val="24"/>
          <w:szCs w:val="24"/>
          <w:b w:val="1"/>
          <w:bCs w:val="1"/>
          <w:color w:val="auto"/>
        </w:rPr>
      </w:pPr>
    </w:p>
    <w:p>
      <w:pPr>
        <w:jc w:val="both"/>
        <w:ind w:left="8" w:firstLine="60"/>
        <w:spacing w:after="0" w:line="356"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(4) Where the specified securities are not allotted and/or application monies are not refunded or unblocked within the period stipulated in sub-regulation (1) above, the issuer shall undertake to pay interest at the rate of fifteen per cent per annum to the investors and within such time as disclosed in the offer document and the lead manager(s) shall ensure the same.</w:t>
      </w:r>
    </w:p>
    <w:p>
      <w:pPr>
        <w:spacing w:after="0" w:line="200" w:lineRule="exact"/>
        <w:rPr>
          <w:sz w:val="20"/>
          <w:szCs w:val="20"/>
          <w:color w:val="auto"/>
        </w:rPr>
      </w:pPr>
    </w:p>
    <w:p>
      <w:pPr>
        <w:spacing w:after="0" w:line="22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Post-issue advertisements</w:t>
      </w:r>
    </w:p>
    <w:p>
      <w:pPr>
        <w:spacing w:after="0" w:line="144" w:lineRule="exact"/>
        <w:rPr>
          <w:sz w:val="20"/>
          <w:szCs w:val="20"/>
          <w:color w:val="auto"/>
        </w:rPr>
      </w:pPr>
    </w:p>
    <w:p>
      <w:pPr>
        <w:jc w:val="both"/>
        <w:ind w:left="8" w:hanging="8"/>
        <w:spacing w:after="0" w:line="358" w:lineRule="auto"/>
        <w:tabs>
          <w:tab w:leader="none" w:pos="591" w:val="left"/>
        </w:tabs>
        <w:numPr>
          <w:ilvl w:val="0"/>
          <w:numId w:val="52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lead manager(s) shall ensure that advertisement giving details relating to subscription, basis of allotment, number, value and percentage of all applications including ASBA, number, value and percentage of successful allottees for all applications including ASBA, date of completion of despatch of refund orders, as applicable, or instructions to self-certified syndicate banks by the registrar, date of credit of the IDRs and date of filing of listing application, etc. is released within ten days from the date of completion of the various activities in at least one English national daily newspaper with wide circulation, one Hindi national daily newspaper with wide circulation.</w:t>
      </w:r>
    </w:p>
    <w:p>
      <w:pPr>
        <w:spacing w:after="0" w:line="19" w:lineRule="exact"/>
        <w:rPr>
          <w:rFonts w:ascii="Times New Roman" w:cs="Times New Roman" w:eastAsia="Times New Roman" w:hAnsi="Times New Roman"/>
          <w:sz w:val="24"/>
          <w:szCs w:val="24"/>
          <w:b w:val="1"/>
          <w:bCs w:val="1"/>
          <w:color w:val="auto"/>
        </w:rPr>
      </w:pPr>
    </w:p>
    <w:p>
      <w:pPr>
        <w:ind w:left="8"/>
        <w:spacing w:after="0" w:line="350"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Details specified in sub regulation (1) shall also be placed on the websites of the stock exchanges where the securities are listed.</w:t>
      </w:r>
    </w:p>
    <w:p>
      <w:pPr>
        <w:spacing w:after="0" w:line="200" w:lineRule="exact"/>
        <w:rPr>
          <w:sz w:val="20"/>
          <w:szCs w:val="20"/>
          <w:color w:val="auto"/>
        </w:rPr>
      </w:pPr>
    </w:p>
    <w:p>
      <w:pPr>
        <w:spacing w:after="0" w:line="231"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Post-issue responsibilities of the lead manager(s)</w:t>
      </w:r>
    </w:p>
    <w:p>
      <w:pPr>
        <w:spacing w:after="0" w:line="145" w:lineRule="exact"/>
        <w:rPr>
          <w:sz w:val="20"/>
          <w:szCs w:val="20"/>
          <w:color w:val="auto"/>
        </w:rPr>
      </w:pPr>
    </w:p>
    <w:p>
      <w:pPr>
        <w:ind w:left="8" w:hanging="8"/>
        <w:spacing w:after="0" w:line="350" w:lineRule="auto"/>
        <w:tabs>
          <w:tab w:leader="none" w:pos="524" w:val="left"/>
        </w:tabs>
        <w:numPr>
          <w:ilvl w:val="0"/>
          <w:numId w:val="52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responsibility of the lead manager(s) shall continue until completion of the issue process and for any issue related matter thereafter.</w:t>
      </w:r>
    </w:p>
    <w:p>
      <w:pPr>
        <w:spacing w:after="0" w:line="23" w:lineRule="exact"/>
        <w:rPr>
          <w:rFonts w:ascii="Times New Roman" w:cs="Times New Roman" w:eastAsia="Times New Roman" w:hAnsi="Times New Roman"/>
          <w:sz w:val="24"/>
          <w:szCs w:val="24"/>
          <w:b w:val="1"/>
          <w:bCs w:val="1"/>
          <w:color w:val="auto"/>
        </w:rPr>
      </w:pPr>
    </w:p>
    <w:p>
      <w:pPr>
        <w:ind w:left="8"/>
        <w:spacing w:after="0" w:line="350"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The lead manager(s) shall regularly monitor redressal of investor grievances arising from any issue related activities.</w:t>
      </w:r>
    </w:p>
    <w:p>
      <w:pPr>
        <w:spacing w:after="0" w:line="268"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128</w:t>
      </w:r>
    </w:p>
    <w:p>
      <w:pPr>
        <w:sectPr>
          <w:pgSz w:w="11900" w:h="16836" w:orient="portrait"/>
          <w:cols w:equalWidth="0" w:num="1">
            <w:col w:w="9468"/>
          </w:cols>
          <w:pgMar w:left="1152" w:top="1156" w:right="1284" w:bottom="103" w:gutter="0" w:footer="0" w:header="0"/>
        </w:sectPr>
      </w:pPr>
    </w:p>
    <w:bookmarkStart w:id="128" w:name="page129"/>
    <w:bookmarkEnd w:id="128"/>
    <w:p>
      <w:pPr>
        <w:jc w:val="both"/>
        <w:ind w:left="8" w:hanging="8"/>
        <w:spacing w:after="0" w:line="356" w:lineRule="auto"/>
        <w:tabs>
          <w:tab w:leader="none" w:pos="346" w:val="left"/>
        </w:tabs>
        <w:numPr>
          <w:ilvl w:val="0"/>
          <w:numId w:val="52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 shall continue to be responsible for post-issue activities till the applicants have received the credit of IDRs to their account or refund of application monies and the listing agreement is entered into by the issuer with the stock exchange and listing or trading permission is obtained.</w:t>
      </w:r>
    </w:p>
    <w:p>
      <w:pPr>
        <w:spacing w:after="0" w:line="18" w:lineRule="exact"/>
        <w:rPr>
          <w:rFonts w:ascii="Times New Roman" w:cs="Times New Roman" w:eastAsia="Times New Roman" w:hAnsi="Times New Roman"/>
          <w:sz w:val="24"/>
          <w:szCs w:val="24"/>
          <w:color w:val="auto"/>
        </w:rPr>
      </w:pPr>
    </w:p>
    <w:p>
      <w:pPr>
        <w:jc w:val="both"/>
        <w:ind w:left="8" w:firstLine="52"/>
        <w:spacing w:after="0" w:line="358" w:lineRule="auto"/>
        <w:tabs>
          <w:tab w:leader="none" w:pos="428" w:val="left"/>
        </w:tabs>
        <w:numPr>
          <w:ilvl w:val="1"/>
          <w:numId w:val="52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 shall be responsible for and co-ordinate with the registrars to the issue and with various intermediaries at regular intervals after the closure of the issue to monitor the flow of applications from syndicate member(s) or collecting bank branches and/ or self-certified syndicate banks processing of the applications including application form for ASBA and other matters till the basis of allotment is finalised, credit of the specified securities to the demat accounts of the allottees and unblocking of ASBA accounts/ despatch of refund orders are completed and securities are listed, as applicable.</w:t>
      </w:r>
    </w:p>
    <w:p>
      <w:pPr>
        <w:spacing w:after="0" w:line="15" w:lineRule="exact"/>
        <w:rPr>
          <w:rFonts w:ascii="Times New Roman" w:cs="Times New Roman" w:eastAsia="Times New Roman" w:hAnsi="Times New Roman"/>
          <w:sz w:val="24"/>
          <w:szCs w:val="24"/>
          <w:color w:val="auto"/>
        </w:rPr>
      </w:pPr>
    </w:p>
    <w:p>
      <w:pPr>
        <w:ind w:left="8" w:hanging="8"/>
        <w:spacing w:after="0" w:line="350" w:lineRule="auto"/>
        <w:tabs>
          <w:tab w:leader="none" w:pos="348" w:val="left"/>
        </w:tabs>
        <w:numPr>
          <w:ilvl w:val="0"/>
          <w:numId w:val="52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act of omission or commission on the part of any of the intermediaries noticed by the lead manager(s) shall be duly reported by them to the Board.</w:t>
      </w:r>
    </w:p>
    <w:p>
      <w:pPr>
        <w:spacing w:after="0" w:line="23"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288" w:val="left"/>
        </w:tabs>
        <w:numPr>
          <w:ilvl w:val="0"/>
          <w:numId w:val="52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there is a devolvement on the underwriters, the lead manager(s) shall ensure that the notice for devolvement containing the obligation of the underwriters is issued within ten days from the date of closure of the issue.</w:t>
      </w:r>
    </w:p>
    <w:p>
      <w:pPr>
        <w:spacing w:after="0" w:line="22"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394" w:val="left"/>
        </w:tabs>
        <w:numPr>
          <w:ilvl w:val="0"/>
          <w:numId w:val="52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In case of undersubscribed issues that are underwritten, the lead manager(s) shall furnish information to the Board in respect of underwriters who have failed to meet their underwriting devolvement in the format specified in </w:t>
      </w:r>
      <w:r>
        <w:rPr>
          <w:rFonts w:ascii="Times New Roman" w:cs="Times New Roman" w:eastAsia="Times New Roman" w:hAnsi="Times New Roman"/>
          <w:sz w:val="24"/>
          <w:szCs w:val="24"/>
          <w:b w:val="1"/>
          <w:bCs w:val="1"/>
          <w:color w:val="auto"/>
        </w:rPr>
        <w:t>Schedule XVIII</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22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Release of subscription money</w:t>
      </w:r>
    </w:p>
    <w:p>
      <w:pPr>
        <w:spacing w:after="0" w:line="144" w:lineRule="exact"/>
        <w:rPr>
          <w:sz w:val="20"/>
          <w:szCs w:val="20"/>
          <w:color w:val="auto"/>
        </w:rPr>
      </w:pPr>
    </w:p>
    <w:p>
      <w:pPr>
        <w:jc w:val="both"/>
        <w:ind w:left="8" w:hanging="8"/>
        <w:spacing w:after="0" w:line="357" w:lineRule="auto"/>
        <w:tabs>
          <w:tab w:leader="none" w:pos="485" w:val="left"/>
        </w:tabs>
        <w:numPr>
          <w:ilvl w:val="0"/>
          <w:numId w:val="53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lead manager(s) shall confirm to the bankers to the issue by way of copies of listing and trading approvals that all formalities in connection with the issue have been completed and that the banker is free to release the money to the issuer or release the money for refund in case of failure of the issue</w:t>
      </w:r>
      <w:r>
        <w:rPr>
          <w:rFonts w:ascii="Times New Roman" w:cs="Times New Roman" w:eastAsia="Times New Roman" w:hAnsi="Times New Roman"/>
          <w:sz w:val="24"/>
          <w:szCs w:val="24"/>
          <w:b w:val="1"/>
          <w:bCs w:val="1"/>
          <w:color w:val="auto"/>
        </w:rPr>
        <w:t>.</w:t>
      </w:r>
    </w:p>
    <w:p>
      <w:pPr>
        <w:spacing w:after="0" w:line="15" w:lineRule="exact"/>
        <w:rPr>
          <w:sz w:val="20"/>
          <w:szCs w:val="20"/>
          <w:color w:val="auto"/>
        </w:rPr>
      </w:pPr>
    </w:p>
    <w:p>
      <w:pPr>
        <w:jc w:val="both"/>
        <w:ind w:left="8" w:hanging="8"/>
        <w:spacing w:after="0" w:line="358" w:lineRule="auto"/>
        <w:tabs>
          <w:tab w:leader="none" w:pos="360" w:val="left"/>
        </w:tabs>
        <w:numPr>
          <w:ilvl w:val="0"/>
          <w:numId w:val="53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the issuer fails to obtain listing or trading permission from the stock exchanges where the specified securities were listed, it shall refund through verifiable means the entire monies received within seven days of receipt of intimation from stock exchanges rejecting the application for listing of IDRs, if any such money is not repaid within eight days after the issuer becomes liable to repay it the issuer and every director of the company who is an officer in default shall, on and from the expiry of the eighth day, be jointly and severally liable to repay that money with interest at the rate of fifteen per cent. per annum.</w:t>
      </w:r>
    </w:p>
    <w:p>
      <w:pPr>
        <w:spacing w:after="0" w:line="17" w:lineRule="exact"/>
        <w:rPr>
          <w:rFonts w:ascii="Times New Roman" w:cs="Times New Roman" w:eastAsia="Times New Roman" w:hAnsi="Times New Roman"/>
          <w:sz w:val="24"/>
          <w:szCs w:val="24"/>
          <w:color w:val="auto"/>
        </w:rPr>
      </w:pPr>
    </w:p>
    <w:p>
      <w:pPr>
        <w:jc w:val="both"/>
        <w:ind w:left="8" w:firstLine="52"/>
        <w:spacing w:after="0" w:line="354" w:lineRule="auto"/>
        <w:tabs>
          <w:tab w:leader="none" w:pos="415" w:val="left"/>
        </w:tabs>
        <w:numPr>
          <w:ilvl w:val="1"/>
          <w:numId w:val="53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 shall ensure that the monies received in respect of the issue are released to the issuer in compliance with the provisions of the Section 40 (3) of the Companies Act, 2013, as applicable.</w:t>
      </w:r>
    </w:p>
    <w:p>
      <w:pPr>
        <w:spacing w:after="0" w:line="264"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129</w:t>
      </w:r>
    </w:p>
    <w:p>
      <w:pPr>
        <w:sectPr>
          <w:pgSz w:w="11900" w:h="16836" w:orient="portrait"/>
          <w:cols w:equalWidth="0" w:num="1">
            <w:col w:w="9468"/>
          </w:cols>
          <w:pgMar w:left="1152" w:top="1156" w:right="1284" w:bottom="103" w:gutter="0" w:footer="0" w:header="0"/>
        </w:sectPr>
      </w:pPr>
    </w:p>
    <w:bookmarkStart w:id="129" w:name="page130"/>
    <w:bookmarkEnd w:id="129"/>
    <w:p>
      <w:pPr>
        <w:spacing w:after="0" w:line="12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Reporting of transactions by the promoters and promoter group</w:t>
      </w:r>
    </w:p>
    <w:p>
      <w:pPr>
        <w:spacing w:after="0" w:line="147" w:lineRule="exact"/>
        <w:rPr>
          <w:sz w:val="20"/>
          <w:szCs w:val="20"/>
          <w:color w:val="auto"/>
        </w:rPr>
      </w:pPr>
    </w:p>
    <w:p>
      <w:pPr>
        <w:jc w:val="both"/>
        <w:ind w:left="8" w:hanging="8"/>
        <w:spacing w:after="0" w:line="356" w:lineRule="auto"/>
        <w:tabs>
          <w:tab w:leader="none" w:pos="504" w:val="left"/>
        </w:tabs>
        <w:numPr>
          <w:ilvl w:val="0"/>
          <w:numId w:val="53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shall ensure that transactions in securities by the promoters and promoter group during the period between the date of filing of the draft offer document or offer document, as the case may be, and the date of closure of the issue shall be reported to the stock exchange(s) within twenty four hours of such transactions.</w:t>
      </w:r>
    </w:p>
    <w:p>
      <w:pPr>
        <w:spacing w:after="0" w:line="11"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Post-issue reports</w:t>
      </w:r>
    </w:p>
    <w:p>
      <w:pPr>
        <w:spacing w:after="0" w:line="132" w:lineRule="exact"/>
        <w:rPr>
          <w:sz w:val="20"/>
          <w:szCs w:val="20"/>
          <w:color w:val="auto"/>
        </w:rPr>
      </w:pPr>
    </w:p>
    <w:p>
      <w:pPr>
        <w:ind w:left="548" w:hanging="548"/>
        <w:spacing w:after="0"/>
        <w:tabs>
          <w:tab w:leader="none" w:pos="548" w:val="left"/>
        </w:tabs>
        <w:numPr>
          <w:ilvl w:val="0"/>
          <w:numId w:val="53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The lead manager(s)  shall  submit a final post-issue report on the lines of  </w:t>
      </w:r>
      <w:r>
        <w:rPr>
          <w:rFonts w:ascii="Times New Roman" w:cs="Times New Roman" w:eastAsia="Times New Roman" w:hAnsi="Times New Roman"/>
          <w:sz w:val="24"/>
          <w:szCs w:val="24"/>
          <w:b w:val="1"/>
          <w:bCs w:val="1"/>
          <w:color w:val="auto"/>
        </w:rPr>
        <w:t>Parts A</w:t>
      </w:r>
      <w:r>
        <w:rPr>
          <w:rFonts w:ascii="Times New Roman" w:cs="Times New Roman" w:eastAsia="Times New Roman" w:hAnsi="Times New Roman"/>
          <w:sz w:val="24"/>
          <w:szCs w:val="24"/>
          <w:color w:val="auto"/>
        </w:rPr>
        <w:t xml:space="preserve"> of</w:t>
      </w:r>
    </w:p>
    <w:p>
      <w:pPr>
        <w:spacing w:after="0" w:line="152" w:lineRule="exact"/>
        <w:rPr>
          <w:sz w:val="20"/>
          <w:szCs w:val="20"/>
          <w:color w:val="auto"/>
        </w:rPr>
      </w:pPr>
    </w:p>
    <w:p>
      <w:pPr>
        <w:jc w:val="both"/>
        <w:ind w:left="8"/>
        <w:spacing w:after="0" w:line="354" w:lineRule="auto"/>
        <w:rPr>
          <w:sz w:val="20"/>
          <w:szCs w:val="20"/>
          <w:color w:val="auto"/>
        </w:rPr>
      </w:pPr>
      <w:r>
        <w:rPr>
          <w:rFonts w:ascii="Times New Roman" w:cs="Times New Roman" w:eastAsia="Times New Roman" w:hAnsi="Times New Roman"/>
          <w:sz w:val="24"/>
          <w:szCs w:val="24"/>
          <w:b w:val="1"/>
          <w:bCs w:val="1"/>
          <w:color w:val="auto"/>
        </w:rPr>
        <w:t>Schedule XVII</w:t>
      </w:r>
      <w:r>
        <w:rPr>
          <w:rFonts w:ascii="Times New Roman" w:cs="Times New Roman" w:eastAsia="Times New Roman" w:hAnsi="Times New Roman"/>
          <w:sz w:val="24"/>
          <w:szCs w:val="24"/>
          <w:color w:val="auto"/>
        </w:rPr>
        <w:t>, along with a due diligence certificate as per the format specified in</w:t>
      </w:r>
      <w:r>
        <w:rPr>
          <w:rFonts w:ascii="Times New Roman" w:cs="Times New Roman" w:eastAsia="Times New Roman" w:hAnsi="Times New Roman"/>
          <w:sz w:val="24"/>
          <w:szCs w:val="24"/>
          <w:b w:val="1"/>
          <w:bCs w:val="1"/>
          <w:color w:val="auto"/>
        </w:rPr>
        <w:t xml:space="preserve"> Form F </w:t>
      </w:r>
      <w:r>
        <w:rPr>
          <w:rFonts w:ascii="Times New Roman" w:cs="Times New Roman" w:eastAsia="Times New Roman" w:hAnsi="Times New Roman"/>
          <w:sz w:val="24"/>
          <w:szCs w:val="24"/>
          <w:color w:val="auto"/>
        </w:rPr>
        <w:t>of</w:t>
      </w:r>
      <w:r>
        <w:rPr>
          <w:rFonts w:ascii="Times New Roman" w:cs="Times New Roman" w:eastAsia="Times New Roman" w:hAnsi="Times New Roman"/>
          <w:sz w:val="24"/>
          <w:szCs w:val="24"/>
          <w:b w:val="1"/>
          <w:bCs w:val="1"/>
          <w:color w:val="auto"/>
        </w:rPr>
        <w:t xml:space="preserve"> Schedule V</w:t>
      </w:r>
      <w:r>
        <w:rPr>
          <w:rFonts w:ascii="Times New Roman" w:cs="Times New Roman" w:eastAsia="Times New Roman" w:hAnsi="Times New Roman"/>
          <w:sz w:val="24"/>
          <w:szCs w:val="24"/>
          <w:color w:val="auto"/>
        </w:rPr>
        <w:t>, within seven days of the date of finalisation of basis of allotment or within seven</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days of refund of money in case of failure of issue.</w:t>
      </w:r>
    </w:p>
    <w:p>
      <w:pPr>
        <w:spacing w:after="0" w:line="200" w:lineRule="exact"/>
        <w:rPr>
          <w:sz w:val="20"/>
          <w:szCs w:val="20"/>
          <w:color w:val="auto"/>
        </w:rPr>
      </w:pPr>
    </w:p>
    <w:p>
      <w:pPr>
        <w:spacing w:after="0" w:line="22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Fungibility</w:t>
      </w:r>
    </w:p>
    <w:p>
      <w:pPr>
        <w:spacing w:after="0" w:line="144" w:lineRule="exact"/>
        <w:rPr>
          <w:sz w:val="20"/>
          <w:szCs w:val="20"/>
          <w:color w:val="auto"/>
        </w:rPr>
      </w:pPr>
    </w:p>
    <w:p>
      <w:pPr>
        <w:ind w:left="8" w:hanging="8"/>
        <w:spacing w:after="0" w:line="350" w:lineRule="auto"/>
        <w:tabs>
          <w:tab w:leader="none" w:pos="524" w:val="left"/>
        </w:tabs>
        <w:numPr>
          <w:ilvl w:val="0"/>
          <w:numId w:val="53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IDRs shall be fungible into the underlying equity shares of the issuer in the manner specified by the Board and Reserve Bank of India, from time to time.</w:t>
      </w:r>
    </w:p>
    <w:p>
      <w:pPr>
        <w:spacing w:after="0" w:line="200" w:lineRule="exact"/>
        <w:rPr>
          <w:sz w:val="20"/>
          <w:szCs w:val="20"/>
          <w:color w:val="auto"/>
        </w:rPr>
      </w:pPr>
    </w:p>
    <w:p>
      <w:pPr>
        <w:spacing w:after="0" w:line="23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CHAPTER VIII - RIGHTS ISSUE OF INDIAN DEPOSITORY RECEIPTS</w:t>
      </w:r>
    </w:p>
    <w:p>
      <w:pPr>
        <w:spacing w:after="0" w:line="200" w:lineRule="exact"/>
        <w:rPr>
          <w:sz w:val="20"/>
          <w:szCs w:val="20"/>
          <w:color w:val="auto"/>
        </w:rPr>
      </w:pPr>
    </w:p>
    <w:p>
      <w:pPr>
        <w:spacing w:after="0" w:line="35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Applicability</w:t>
      </w:r>
    </w:p>
    <w:p>
      <w:pPr>
        <w:spacing w:after="0" w:line="144" w:lineRule="exact"/>
        <w:rPr>
          <w:sz w:val="20"/>
          <w:szCs w:val="20"/>
          <w:color w:val="auto"/>
        </w:rPr>
      </w:pPr>
    </w:p>
    <w:p>
      <w:pPr>
        <w:jc w:val="both"/>
        <w:ind w:left="8" w:hanging="8"/>
        <w:spacing w:after="0" w:line="354" w:lineRule="auto"/>
        <w:tabs>
          <w:tab w:leader="none" w:pos="612" w:val="left"/>
        </w:tabs>
        <w:numPr>
          <w:ilvl w:val="0"/>
          <w:numId w:val="53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In addition to compliance with Chapter VII, wherever applicable, a listed issuer offering IDRs through a rights issue shall satisfy the conditions specified in this Chapter at the time of filing the offer document:</w:t>
      </w:r>
    </w:p>
    <w:p>
      <w:pPr>
        <w:spacing w:after="0" w:line="22" w:lineRule="exact"/>
        <w:rPr>
          <w:rFonts w:ascii="Times New Roman" w:cs="Times New Roman" w:eastAsia="Times New Roman" w:hAnsi="Times New Roman"/>
          <w:sz w:val="24"/>
          <w:szCs w:val="24"/>
          <w:b w:val="1"/>
          <w:bCs w:val="1"/>
          <w:color w:val="auto"/>
        </w:rPr>
      </w:pPr>
    </w:p>
    <w:p>
      <w:pPr>
        <w:ind w:left="8"/>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the provisions of the following regulations shall not be applicable in case of rights issue of IDRs:</w:t>
      </w:r>
    </w:p>
    <w:p>
      <w:pPr>
        <w:spacing w:after="0" w:line="16" w:lineRule="exact"/>
        <w:rPr>
          <w:sz w:val="20"/>
          <w:szCs w:val="20"/>
          <w:color w:val="auto"/>
        </w:rPr>
      </w:pPr>
    </w:p>
    <w:p>
      <w:pPr>
        <w:ind w:left="548" w:hanging="548"/>
        <w:spacing w:after="0"/>
        <w:tabs>
          <w:tab w:leader="none" w:pos="548" w:val="left"/>
        </w:tabs>
        <w:numPr>
          <w:ilvl w:val="0"/>
          <w:numId w:val="5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regulation 191</w:t>
      </w:r>
    </w:p>
    <w:p>
      <w:pPr>
        <w:spacing w:after="0" w:line="136" w:lineRule="exact"/>
        <w:rPr>
          <w:rFonts w:ascii="Times New Roman" w:cs="Times New Roman" w:eastAsia="Times New Roman" w:hAnsi="Times New Roman"/>
          <w:sz w:val="24"/>
          <w:szCs w:val="24"/>
          <w:color w:val="auto"/>
        </w:rPr>
      </w:pPr>
    </w:p>
    <w:p>
      <w:pPr>
        <w:ind w:left="548" w:hanging="548"/>
        <w:spacing w:after="0"/>
        <w:tabs>
          <w:tab w:leader="none" w:pos="548" w:val="left"/>
        </w:tabs>
        <w:numPr>
          <w:ilvl w:val="0"/>
          <w:numId w:val="5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sub-regulation (1) of regulation 192</w:t>
      </w:r>
    </w:p>
    <w:p>
      <w:pPr>
        <w:spacing w:after="0" w:line="139" w:lineRule="exact"/>
        <w:rPr>
          <w:rFonts w:ascii="Times New Roman" w:cs="Times New Roman" w:eastAsia="Times New Roman" w:hAnsi="Times New Roman"/>
          <w:sz w:val="24"/>
          <w:szCs w:val="24"/>
          <w:color w:val="auto"/>
        </w:rPr>
      </w:pPr>
    </w:p>
    <w:p>
      <w:pPr>
        <w:ind w:left="548" w:hanging="548"/>
        <w:spacing w:after="0"/>
        <w:tabs>
          <w:tab w:leader="none" w:pos="548" w:val="left"/>
        </w:tabs>
        <w:numPr>
          <w:ilvl w:val="0"/>
          <w:numId w:val="5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clause (a) of sub regulation (2) of regulation 183</w:t>
      </w:r>
    </w:p>
    <w:p>
      <w:pPr>
        <w:spacing w:after="0" w:line="136" w:lineRule="exact"/>
        <w:rPr>
          <w:rFonts w:ascii="Times New Roman" w:cs="Times New Roman" w:eastAsia="Times New Roman" w:hAnsi="Times New Roman"/>
          <w:sz w:val="24"/>
          <w:szCs w:val="24"/>
          <w:color w:val="auto"/>
        </w:rPr>
      </w:pPr>
    </w:p>
    <w:p>
      <w:pPr>
        <w:ind w:left="548" w:hanging="548"/>
        <w:spacing w:after="0"/>
        <w:tabs>
          <w:tab w:leader="none" w:pos="548" w:val="left"/>
        </w:tabs>
        <w:numPr>
          <w:ilvl w:val="0"/>
          <w:numId w:val="5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regulation 205; and</w:t>
      </w:r>
    </w:p>
    <w:p>
      <w:pPr>
        <w:spacing w:after="0" w:line="139" w:lineRule="exact"/>
        <w:rPr>
          <w:rFonts w:ascii="Times New Roman" w:cs="Times New Roman" w:eastAsia="Times New Roman" w:hAnsi="Times New Roman"/>
          <w:sz w:val="24"/>
          <w:szCs w:val="24"/>
          <w:color w:val="auto"/>
        </w:rPr>
      </w:pPr>
    </w:p>
    <w:p>
      <w:pPr>
        <w:ind w:left="548" w:hanging="548"/>
        <w:spacing w:after="0"/>
        <w:tabs>
          <w:tab w:leader="none" w:pos="548" w:val="left"/>
        </w:tabs>
        <w:numPr>
          <w:ilvl w:val="0"/>
          <w:numId w:val="5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sub-regulation (2) of regulation 185.</w:t>
      </w:r>
    </w:p>
    <w:p>
      <w:pPr>
        <w:spacing w:after="0" w:line="200" w:lineRule="exact"/>
        <w:rPr>
          <w:sz w:val="20"/>
          <w:szCs w:val="20"/>
          <w:color w:val="auto"/>
        </w:rPr>
      </w:pPr>
    </w:p>
    <w:p>
      <w:pPr>
        <w:spacing w:after="0" w:line="35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Entities not eligible to make a rights issue</w:t>
      </w:r>
    </w:p>
    <w:p>
      <w:pPr>
        <w:spacing w:after="0" w:line="132" w:lineRule="exact"/>
        <w:rPr>
          <w:sz w:val="20"/>
          <w:szCs w:val="20"/>
          <w:color w:val="auto"/>
        </w:rPr>
      </w:pPr>
    </w:p>
    <w:p>
      <w:pPr>
        <w:ind w:left="488" w:hanging="488"/>
        <w:spacing w:after="0"/>
        <w:tabs>
          <w:tab w:leader="none" w:pos="488" w:val="left"/>
        </w:tabs>
        <w:numPr>
          <w:ilvl w:val="0"/>
          <w:numId w:val="53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An issuer shall not be eligible to make a rights issue of IDRs if –</w:t>
      </w:r>
    </w:p>
    <w:p>
      <w:pPr>
        <w:spacing w:after="0" w:line="151" w:lineRule="exact"/>
        <w:rPr>
          <w:sz w:val="20"/>
          <w:szCs w:val="20"/>
          <w:color w:val="auto"/>
        </w:rPr>
      </w:pPr>
    </w:p>
    <w:p>
      <w:pPr>
        <w:jc w:val="both"/>
        <w:ind w:left="8" w:hanging="8"/>
        <w:spacing w:after="0" w:line="354" w:lineRule="auto"/>
        <w:tabs>
          <w:tab w:leader="none" w:pos="396" w:val="left"/>
        </w:tabs>
        <w:numPr>
          <w:ilvl w:val="0"/>
          <w:numId w:val="53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at the time of undertaking the rights issue, the issuer is in breach of ongoing material obligations under the listing agreement and the Securities and Exchange Board of India (Listing Obligations and Disclosure Requirements) Regulations, 2015 as may be applicable to such issuer</w:t>
      </w:r>
    </w:p>
    <w:p>
      <w:pPr>
        <w:spacing w:after="0" w:line="264"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130</w:t>
      </w:r>
    </w:p>
    <w:p>
      <w:pPr>
        <w:sectPr>
          <w:pgSz w:w="11900" w:h="16836" w:orient="portrait"/>
          <w:cols w:equalWidth="0" w:num="1">
            <w:col w:w="9468"/>
          </w:cols>
          <w:pgMar w:left="1152" w:top="1440" w:right="1284" w:bottom="103" w:gutter="0" w:footer="0" w:header="0"/>
        </w:sectPr>
      </w:pPr>
    </w:p>
    <w:bookmarkStart w:id="130" w:name="page131"/>
    <w:bookmarkEnd w:id="130"/>
    <w:p>
      <w:pPr>
        <w:ind w:left="8"/>
        <w:spacing w:after="0" w:line="348" w:lineRule="auto"/>
        <w:rPr>
          <w:sz w:val="20"/>
          <w:szCs w:val="20"/>
          <w:color w:val="auto"/>
        </w:rPr>
      </w:pPr>
      <w:r>
        <w:rPr>
          <w:rFonts w:ascii="Times New Roman" w:cs="Times New Roman" w:eastAsia="Times New Roman" w:hAnsi="Times New Roman"/>
          <w:sz w:val="24"/>
          <w:szCs w:val="24"/>
          <w:color w:val="auto"/>
        </w:rPr>
        <w:t>or material obligations under the deposit agreement entered into between the domestic depository and the issuer at the time of initial offering of IDRs;</w:t>
      </w:r>
    </w:p>
    <w:p>
      <w:pPr>
        <w:spacing w:after="0" w:line="16"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(b) any of its promoters or directors is a fugitive economic offender.</w:t>
      </w:r>
    </w:p>
    <w:p>
      <w:pPr>
        <w:spacing w:after="0" w:line="200" w:lineRule="exact"/>
        <w:rPr>
          <w:sz w:val="20"/>
          <w:szCs w:val="20"/>
          <w:color w:val="auto"/>
        </w:rPr>
      </w:pPr>
    </w:p>
    <w:p>
      <w:pPr>
        <w:spacing w:after="0" w:line="35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General conditions</w:t>
      </w:r>
    </w:p>
    <w:p>
      <w:pPr>
        <w:spacing w:after="0" w:line="144" w:lineRule="exact"/>
        <w:rPr>
          <w:sz w:val="20"/>
          <w:szCs w:val="20"/>
          <w:color w:val="auto"/>
        </w:rPr>
      </w:pPr>
    </w:p>
    <w:p>
      <w:pPr>
        <w:jc w:val="both"/>
        <w:ind w:left="8" w:hanging="8"/>
        <w:spacing w:after="0" w:line="354" w:lineRule="auto"/>
        <w:tabs>
          <w:tab w:leader="none" w:pos="512" w:val="left"/>
        </w:tabs>
        <w:numPr>
          <w:ilvl w:val="0"/>
          <w:numId w:val="53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The issuer shall ensure that it has made an application to all the stock exchanges in India, where its IDRs are already listed, for listing of the IDRs to be issued by way of rights and has chosen one of them as the designated stock exchange, in terms of </w:t>
      </w:r>
      <w:r>
        <w:rPr>
          <w:rFonts w:ascii="Times New Roman" w:cs="Times New Roman" w:eastAsia="Times New Roman" w:hAnsi="Times New Roman"/>
          <w:sz w:val="24"/>
          <w:szCs w:val="24"/>
          <w:b w:val="1"/>
          <w:bCs w:val="1"/>
          <w:color w:val="auto"/>
        </w:rPr>
        <w:t>Schedule</w:t>
      </w:r>
      <w:r>
        <w:rPr>
          <w:rFonts w:ascii="Times New Roman" w:cs="Times New Roman" w:eastAsia="Times New Roman" w:hAnsi="Times New Roman"/>
          <w:sz w:val="24"/>
          <w:szCs w:val="24"/>
          <w:color w:val="auto"/>
        </w:rPr>
        <w:t xml:space="preserve"> XIX.</w:t>
      </w:r>
    </w:p>
    <w:p>
      <w:pPr>
        <w:spacing w:after="0" w:line="200" w:lineRule="exact"/>
        <w:rPr>
          <w:sz w:val="20"/>
          <w:szCs w:val="20"/>
          <w:color w:val="auto"/>
        </w:rPr>
      </w:pPr>
    </w:p>
    <w:p>
      <w:pPr>
        <w:spacing w:after="0" w:line="22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Renunciation by an IDR holder</w:t>
      </w:r>
    </w:p>
    <w:p>
      <w:pPr>
        <w:spacing w:after="0" w:line="147" w:lineRule="exact"/>
        <w:rPr>
          <w:sz w:val="20"/>
          <w:szCs w:val="20"/>
          <w:color w:val="auto"/>
        </w:rPr>
      </w:pPr>
    </w:p>
    <w:p>
      <w:pPr>
        <w:jc w:val="both"/>
        <w:ind w:left="8" w:hanging="8"/>
        <w:spacing w:after="0" w:line="356" w:lineRule="auto"/>
        <w:tabs>
          <w:tab w:leader="none" w:pos="490" w:val="left"/>
        </w:tabs>
        <w:numPr>
          <w:ilvl w:val="0"/>
          <w:numId w:val="54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Unless the laws of the home jurisdiction of the issuer otherwise provide, the rights issue shall be deemed to include a right exercisable by the person concerned to renounce the IDRs offered to the IDR holder in favour of any other person subject to applicable laws and the same shall be disclosed in the offer document.</w:t>
      </w:r>
    </w:p>
    <w:p>
      <w:pPr>
        <w:spacing w:after="0" w:line="200" w:lineRule="exact"/>
        <w:rPr>
          <w:sz w:val="20"/>
          <w:szCs w:val="20"/>
          <w:color w:val="auto"/>
        </w:rPr>
      </w:pPr>
    </w:p>
    <w:p>
      <w:pPr>
        <w:spacing w:after="0" w:line="224"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Depository</w:t>
      </w:r>
    </w:p>
    <w:p>
      <w:pPr>
        <w:spacing w:after="0" w:line="147" w:lineRule="exact"/>
        <w:rPr>
          <w:sz w:val="20"/>
          <w:szCs w:val="20"/>
          <w:color w:val="auto"/>
        </w:rPr>
      </w:pPr>
    </w:p>
    <w:p>
      <w:pPr>
        <w:jc w:val="both"/>
        <w:ind w:left="8" w:hanging="8"/>
        <w:spacing w:after="0" w:line="357" w:lineRule="auto"/>
        <w:tabs>
          <w:tab w:leader="none" w:pos="512" w:val="left"/>
        </w:tabs>
        <w:numPr>
          <w:ilvl w:val="0"/>
          <w:numId w:val="54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domestic depository shall, in accordance with the depository agreement executed with the issuer at the time of initial offering of IDR, take such steps as are necessary to enable the IDR holders to have entitlements under the rights offering and issue additional IDRs to such IDR holders, distribute the rights to the IDR holders or renouncees or arrange for the IDR holders or renouncees to subscribe for any additional rights which are available due to lack of take-up by other holders of underlying shares.</w:t>
      </w:r>
    </w:p>
    <w:p>
      <w:pPr>
        <w:spacing w:after="0" w:line="200" w:lineRule="exact"/>
        <w:rPr>
          <w:sz w:val="20"/>
          <w:szCs w:val="20"/>
          <w:color w:val="auto"/>
        </w:rPr>
      </w:pPr>
    </w:p>
    <w:p>
      <w:pPr>
        <w:spacing w:after="0" w:line="22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Record date</w:t>
      </w:r>
    </w:p>
    <w:p>
      <w:pPr>
        <w:spacing w:after="0" w:line="147" w:lineRule="exact"/>
        <w:rPr>
          <w:sz w:val="20"/>
          <w:szCs w:val="20"/>
          <w:color w:val="auto"/>
        </w:rPr>
      </w:pPr>
    </w:p>
    <w:p>
      <w:pPr>
        <w:jc w:val="both"/>
        <w:ind w:left="8" w:hanging="8"/>
        <w:spacing w:after="0" w:line="356" w:lineRule="auto"/>
        <w:tabs>
          <w:tab w:leader="none" w:pos="507" w:val="left"/>
        </w:tabs>
        <w:numPr>
          <w:ilvl w:val="0"/>
          <w:numId w:val="54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An issuer making a rights issue of IDRs shall, in accordance with the provisions of the Securities and Exchange Board of India (Listing Obligations and Disclosure Requirements) Regulations, 2015, the issuer shall announce a record date for the purpose of determining the shareholders eligible to apply for IDRs in the proposed rights issue.</w:t>
      </w:r>
    </w:p>
    <w:p>
      <w:pPr>
        <w:spacing w:after="0" w:line="18" w:lineRule="exact"/>
        <w:rPr>
          <w:rFonts w:ascii="Times New Roman" w:cs="Times New Roman" w:eastAsia="Times New Roman" w:hAnsi="Times New Roman"/>
          <w:sz w:val="24"/>
          <w:szCs w:val="24"/>
          <w:b w:val="1"/>
          <w:bCs w:val="1"/>
          <w:color w:val="auto"/>
        </w:rPr>
      </w:pPr>
    </w:p>
    <w:p>
      <w:pPr>
        <w:jc w:val="both"/>
        <w:ind w:left="8"/>
        <w:spacing w:after="0" w:line="35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If the issuer withdraws the rights issue after announcing the record date, it shall notify the Board about the same and shall notify the same in one English national daily newspaper with wide circulation, one Hindi national daily newspaper with wide circulation and one regional language daily newspaper with wide circulation at the place where principal office of the issuer is situated in India. If the issuer withdraws the rights issue after announcing the record date, it shall not make an application for offering of IDRs on a rights basis for a period of twelve months from the said record date.</w:t>
      </w:r>
    </w:p>
    <w:p>
      <w:pPr>
        <w:spacing w:after="0" w:line="260"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131</w:t>
      </w:r>
    </w:p>
    <w:p>
      <w:pPr>
        <w:sectPr>
          <w:pgSz w:w="11900" w:h="16836" w:orient="portrait"/>
          <w:cols w:equalWidth="0" w:num="1">
            <w:col w:w="9468"/>
          </w:cols>
          <w:pgMar w:left="1152" w:top="1156" w:right="1284" w:bottom="103" w:gutter="0" w:footer="0" w:header="0"/>
        </w:sectPr>
      </w:pPr>
    </w:p>
    <w:bookmarkStart w:id="131" w:name="page132"/>
    <w:bookmarkEnd w:id="131"/>
    <w:p>
      <w:pPr>
        <w:spacing w:after="0" w:line="12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Disclosures in the offer document and the addendum</w:t>
      </w:r>
    </w:p>
    <w:p>
      <w:pPr>
        <w:spacing w:after="0" w:line="147" w:lineRule="exact"/>
        <w:rPr>
          <w:sz w:val="20"/>
          <w:szCs w:val="20"/>
          <w:color w:val="auto"/>
        </w:rPr>
      </w:pPr>
    </w:p>
    <w:p>
      <w:pPr>
        <w:ind w:left="8" w:hanging="8"/>
        <w:spacing w:after="0" w:line="348" w:lineRule="auto"/>
        <w:tabs>
          <w:tab w:leader="none" w:pos="492" w:val="left"/>
        </w:tabs>
        <w:numPr>
          <w:ilvl w:val="0"/>
          <w:numId w:val="54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w:t>
      </w:r>
      <w:r>
        <w:rPr>
          <w:rFonts w:ascii="Times New Roman" w:cs="Times New Roman" w:eastAsia="Times New Roman" w:hAnsi="Times New Roman"/>
          <w:sz w:val="24"/>
          <w:szCs w:val="24"/>
          <w:i w:val="1"/>
          <w:iCs w:val="1"/>
          <w:color w:val="auto"/>
        </w:rPr>
        <w:t>)</w:t>
      </w:r>
      <w:r>
        <w:rPr>
          <w:rFonts w:ascii="Times New Roman" w:cs="Times New Roman" w:eastAsia="Times New Roman" w:hAnsi="Times New Roman"/>
          <w:sz w:val="24"/>
          <w:szCs w:val="24"/>
          <w:color w:val="auto"/>
        </w:rPr>
        <w:t xml:space="preserve"> The offer document for the rights offering shall contain disclosures as required under the home country regulations of the issuer.</w:t>
      </w:r>
    </w:p>
    <w:p>
      <w:pPr>
        <w:spacing w:after="0" w:line="27" w:lineRule="exact"/>
        <w:rPr>
          <w:rFonts w:ascii="Times New Roman" w:cs="Times New Roman" w:eastAsia="Times New Roman" w:hAnsi="Times New Roman"/>
          <w:sz w:val="24"/>
          <w:szCs w:val="24"/>
          <w:b w:val="1"/>
          <w:bCs w:val="1"/>
          <w:color w:val="auto"/>
        </w:rPr>
      </w:pPr>
    </w:p>
    <w:p>
      <w:pPr>
        <w:jc w:val="both"/>
        <w:ind w:left="8"/>
        <w:spacing w:after="0" w:line="356"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(2) An additional wrap (addendum to offer document) shall be attached to the offer document to be circulated in India containing information as specified in </w:t>
      </w:r>
      <w:r>
        <w:rPr>
          <w:rFonts w:ascii="Times New Roman" w:cs="Times New Roman" w:eastAsia="Times New Roman" w:hAnsi="Times New Roman"/>
          <w:sz w:val="24"/>
          <w:szCs w:val="24"/>
          <w:b w:val="1"/>
          <w:bCs w:val="1"/>
          <w:color w:val="auto"/>
        </w:rPr>
        <w:t>Part C</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 VIII</w:t>
      </w:r>
      <w:r>
        <w:rPr>
          <w:rFonts w:ascii="Times New Roman" w:cs="Times New Roman" w:eastAsia="Times New Roman" w:hAnsi="Times New Roman"/>
          <w:sz w:val="24"/>
          <w:szCs w:val="24"/>
          <w:color w:val="auto"/>
        </w:rPr>
        <w:t xml:space="preserve"> and other instructions as to the procedures and process to be followed with respect to rights issue of IDRs in India.</w:t>
      </w:r>
    </w:p>
    <w:p>
      <w:pPr>
        <w:spacing w:after="0" w:line="19"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(3) Without prejudice to the generality of sub-regulations (1) and (2), the offer document and the addendum attached with it, shall contain all material information, which are true, correct and adequate, so as to enable the applicants to take an informed investment decision.</w:t>
      </w:r>
    </w:p>
    <w:p>
      <w:pPr>
        <w:spacing w:after="0" w:line="200" w:lineRule="exact"/>
        <w:rPr>
          <w:sz w:val="20"/>
          <w:szCs w:val="20"/>
          <w:color w:val="auto"/>
        </w:rPr>
      </w:pPr>
    </w:p>
    <w:p>
      <w:pPr>
        <w:spacing w:after="0" w:line="22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Appointment of lead managers and compliance officer</w:t>
      </w:r>
    </w:p>
    <w:p>
      <w:pPr>
        <w:spacing w:after="0" w:line="132" w:lineRule="exact"/>
        <w:rPr>
          <w:sz w:val="20"/>
          <w:szCs w:val="20"/>
          <w:color w:val="auto"/>
        </w:rPr>
      </w:pPr>
    </w:p>
    <w:p>
      <w:pPr>
        <w:ind w:left="508" w:hanging="508"/>
        <w:spacing w:after="0"/>
        <w:tabs>
          <w:tab w:leader="none" w:pos="508" w:val="left"/>
        </w:tabs>
        <w:numPr>
          <w:ilvl w:val="0"/>
          <w:numId w:val="54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shall appoint one or more merchant bankers, which are registered with the</w:t>
      </w:r>
    </w:p>
    <w:p>
      <w:pPr>
        <w:spacing w:after="0" w:line="151" w:lineRule="exact"/>
        <w:rPr>
          <w:sz w:val="20"/>
          <w:szCs w:val="20"/>
          <w:color w:val="auto"/>
        </w:rPr>
      </w:pPr>
    </w:p>
    <w:p>
      <w:pPr>
        <w:ind w:left="8"/>
        <w:spacing w:after="0" w:line="348" w:lineRule="auto"/>
        <w:rPr>
          <w:sz w:val="20"/>
          <w:szCs w:val="20"/>
          <w:color w:val="auto"/>
        </w:rPr>
      </w:pPr>
      <w:r>
        <w:rPr>
          <w:rFonts w:ascii="Times New Roman" w:cs="Times New Roman" w:eastAsia="Times New Roman" w:hAnsi="Times New Roman"/>
          <w:sz w:val="24"/>
          <w:szCs w:val="24"/>
          <w:color w:val="auto"/>
        </w:rPr>
        <w:t>Board, as a lead manager(s) to the issue and shall also appoint other intermediaries, in consultation with the lead manager, to carry out the obligations relating to the issue.</w:t>
      </w:r>
    </w:p>
    <w:p>
      <w:pPr>
        <w:spacing w:after="0" w:line="28" w:lineRule="exact"/>
        <w:rPr>
          <w:sz w:val="20"/>
          <w:szCs w:val="20"/>
          <w:color w:val="auto"/>
        </w:rPr>
      </w:pPr>
    </w:p>
    <w:p>
      <w:pPr>
        <w:ind w:left="8" w:hanging="8"/>
        <w:spacing w:after="0" w:line="348" w:lineRule="auto"/>
        <w:tabs>
          <w:tab w:leader="none" w:pos="355" w:val="left"/>
        </w:tabs>
        <w:numPr>
          <w:ilvl w:val="0"/>
          <w:numId w:val="54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ensure that the compliance officer, in charge of ensuring compliance with the obligations under this Chapter, functions from within the territorial limits of India.</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Filing of draft offer document and the addendum for rights offering</w:t>
      </w:r>
    </w:p>
    <w:p>
      <w:pPr>
        <w:spacing w:after="0" w:line="147" w:lineRule="exact"/>
        <w:rPr>
          <w:sz w:val="20"/>
          <w:szCs w:val="20"/>
          <w:color w:val="auto"/>
        </w:rPr>
      </w:pPr>
    </w:p>
    <w:p>
      <w:pPr>
        <w:jc w:val="both"/>
        <w:ind w:left="8" w:hanging="8"/>
        <w:spacing w:after="0" w:line="356" w:lineRule="auto"/>
        <w:tabs>
          <w:tab w:leader="none" w:pos="509" w:val="left"/>
        </w:tabs>
        <w:numPr>
          <w:ilvl w:val="0"/>
          <w:numId w:val="54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(1) The issuer shall, through the lead manager(s), file the draft offer document prepared in accordance with the home country requirements along with an addendum containing disclosures as specified in </w:t>
      </w:r>
      <w:r>
        <w:rPr>
          <w:rFonts w:ascii="Times New Roman" w:cs="Times New Roman" w:eastAsia="Times New Roman" w:hAnsi="Times New Roman"/>
          <w:sz w:val="24"/>
          <w:szCs w:val="24"/>
          <w:b w:val="1"/>
          <w:bCs w:val="1"/>
          <w:color w:val="auto"/>
        </w:rPr>
        <w:t>Part C</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 VIII</w:t>
      </w:r>
      <w:r>
        <w:rPr>
          <w:rFonts w:ascii="Times New Roman" w:cs="Times New Roman" w:eastAsia="Times New Roman" w:hAnsi="Times New Roman"/>
          <w:sz w:val="24"/>
          <w:szCs w:val="24"/>
          <w:color w:val="auto"/>
        </w:rPr>
        <w:t xml:space="preserve"> with the Board, as a confidential filing accompanied with fees as specified in </w:t>
      </w:r>
      <w:r>
        <w:rPr>
          <w:rFonts w:ascii="Times New Roman" w:cs="Times New Roman" w:eastAsia="Times New Roman" w:hAnsi="Times New Roman"/>
          <w:sz w:val="24"/>
          <w:szCs w:val="24"/>
          <w:b w:val="1"/>
          <w:bCs w:val="1"/>
          <w:color w:val="auto"/>
        </w:rPr>
        <w:t>Schedule III</w:t>
      </w:r>
      <w:r>
        <w:rPr>
          <w:rFonts w:ascii="Times New Roman" w:cs="Times New Roman" w:eastAsia="Times New Roman" w:hAnsi="Times New Roman"/>
          <w:sz w:val="24"/>
          <w:szCs w:val="24"/>
          <w:color w:val="auto"/>
        </w:rPr>
        <w:t>.</w:t>
      </w:r>
    </w:p>
    <w:p>
      <w:pPr>
        <w:spacing w:after="0" w:line="19" w:lineRule="exact"/>
        <w:rPr>
          <w:rFonts w:ascii="Times New Roman" w:cs="Times New Roman" w:eastAsia="Times New Roman" w:hAnsi="Times New Roman"/>
          <w:sz w:val="24"/>
          <w:szCs w:val="24"/>
          <w:b w:val="1"/>
          <w:bCs w:val="1"/>
          <w:color w:val="auto"/>
        </w:rPr>
      </w:pPr>
    </w:p>
    <w:p>
      <w:pPr>
        <w:ind w:left="8"/>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The Board may specify changes or issue observations on the draft offer document and the addendum within thirty days from the later of the following dates :</w:t>
      </w:r>
    </w:p>
    <w:p>
      <w:pPr>
        <w:spacing w:after="0" w:line="27" w:lineRule="exact"/>
        <w:rPr>
          <w:rFonts w:ascii="Times New Roman" w:cs="Times New Roman" w:eastAsia="Times New Roman" w:hAnsi="Times New Roman"/>
          <w:sz w:val="24"/>
          <w:szCs w:val="24"/>
          <w:b w:val="1"/>
          <w:bCs w:val="1"/>
          <w:color w:val="auto"/>
        </w:rPr>
      </w:pPr>
    </w:p>
    <w:p>
      <w:pPr>
        <w:ind w:left="1088" w:hanging="368"/>
        <w:spacing w:after="0" w:line="348" w:lineRule="auto"/>
        <w:tabs>
          <w:tab w:leader="none" w:pos="1088" w:val="left"/>
        </w:tabs>
        <w:numPr>
          <w:ilvl w:val="1"/>
          <w:numId w:val="54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date of receipt of the draft offer document prepared in accordance with the home country requirements along with an addendum under sub-regulation (2); or</w:t>
      </w:r>
    </w:p>
    <w:p>
      <w:pPr>
        <w:spacing w:after="0" w:line="27" w:lineRule="exact"/>
        <w:rPr>
          <w:rFonts w:ascii="Times New Roman" w:cs="Times New Roman" w:eastAsia="Times New Roman" w:hAnsi="Times New Roman"/>
          <w:sz w:val="24"/>
          <w:szCs w:val="24"/>
          <w:color w:val="auto"/>
        </w:rPr>
      </w:pPr>
    </w:p>
    <w:p>
      <w:pPr>
        <w:ind w:left="1088" w:hanging="368"/>
        <w:spacing w:after="0" w:line="348" w:lineRule="auto"/>
        <w:tabs>
          <w:tab w:leader="none" w:pos="1088" w:val="left"/>
        </w:tabs>
        <w:numPr>
          <w:ilvl w:val="1"/>
          <w:numId w:val="54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date of receipt of satisfactory reply from the lead manager(s), where the Board has sought any clarification or additional information from them; or</w:t>
      </w:r>
    </w:p>
    <w:p>
      <w:pPr>
        <w:spacing w:after="0" w:line="27" w:lineRule="exact"/>
        <w:rPr>
          <w:rFonts w:ascii="Times New Roman" w:cs="Times New Roman" w:eastAsia="Times New Roman" w:hAnsi="Times New Roman"/>
          <w:sz w:val="24"/>
          <w:szCs w:val="24"/>
          <w:color w:val="auto"/>
        </w:rPr>
      </w:pPr>
    </w:p>
    <w:p>
      <w:pPr>
        <w:jc w:val="both"/>
        <w:ind w:left="1088" w:hanging="368"/>
        <w:spacing w:after="0" w:line="348" w:lineRule="auto"/>
        <w:tabs>
          <w:tab w:leader="none" w:pos="1088" w:val="left"/>
        </w:tabs>
        <w:numPr>
          <w:ilvl w:val="1"/>
          <w:numId w:val="54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date of receipt of clarification or information from any regulator or agency, where the Board has sought any clarification or information from such regulator or agency; or</w:t>
      </w:r>
    </w:p>
    <w:p>
      <w:pPr>
        <w:spacing w:after="0" w:line="28" w:lineRule="exact"/>
        <w:rPr>
          <w:rFonts w:ascii="Times New Roman" w:cs="Times New Roman" w:eastAsia="Times New Roman" w:hAnsi="Times New Roman"/>
          <w:sz w:val="24"/>
          <w:szCs w:val="24"/>
          <w:color w:val="auto"/>
        </w:rPr>
      </w:pPr>
    </w:p>
    <w:p>
      <w:pPr>
        <w:ind w:left="1088" w:hanging="368"/>
        <w:spacing w:after="0" w:line="348" w:lineRule="auto"/>
        <w:tabs>
          <w:tab w:leader="none" w:pos="1131" w:val="left"/>
        </w:tabs>
        <w:numPr>
          <w:ilvl w:val="1"/>
          <w:numId w:val="54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date of receipt of a copy of in-principle approval letter issued by the stock exchanges.</w:t>
      </w: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132</w:t>
      </w:r>
    </w:p>
    <w:p>
      <w:pPr>
        <w:sectPr>
          <w:pgSz w:w="11900" w:h="16836" w:orient="portrait"/>
          <w:cols w:equalWidth="0" w:num="1">
            <w:col w:w="9468"/>
          </w:cols>
          <w:pgMar w:left="1152" w:top="1440" w:right="1284" w:bottom="103" w:gutter="0" w:footer="0" w:header="0"/>
        </w:sectPr>
      </w:pPr>
    </w:p>
    <w:bookmarkStart w:id="132" w:name="page133"/>
    <w:bookmarkEnd w:id="132"/>
    <w:p>
      <w:pPr>
        <w:jc w:val="both"/>
        <w:ind w:left="8" w:hanging="8"/>
        <w:spacing w:after="0" w:line="370" w:lineRule="auto"/>
        <w:tabs>
          <w:tab w:leader="none" w:pos="360" w:val="left"/>
        </w:tabs>
        <w:numPr>
          <w:ilvl w:val="0"/>
          <w:numId w:val="5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Board specifies any changes or issues observations on the draft offer document and the addendum under sub-regulation (3), the issuer and the lead manager(s) shall file the revised draft offer document and the updated addendum after incorporating the changes specified by the Board.</w:t>
      </w:r>
    </w:p>
    <w:p>
      <w:pPr>
        <w:spacing w:after="0" w:line="380"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415" w:val="left"/>
        </w:tabs>
        <w:numPr>
          <w:ilvl w:val="0"/>
          <w:numId w:val="5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also submit an undertaking from the overseas custodian and domestic depository addressed to the issuer, to comply with their obligations with respect to the said rights issue under their respective agreements entered into between them, along with the offer document.</w:t>
      </w:r>
    </w:p>
    <w:p>
      <w:pPr>
        <w:spacing w:after="0" w:line="200" w:lineRule="exact"/>
        <w:rPr>
          <w:sz w:val="20"/>
          <w:szCs w:val="20"/>
          <w:color w:val="auto"/>
        </w:rPr>
      </w:pPr>
    </w:p>
    <w:p>
      <w:pPr>
        <w:spacing w:after="0" w:line="22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Pricing</w:t>
      </w:r>
    </w:p>
    <w:p>
      <w:pPr>
        <w:spacing w:after="0" w:line="144" w:lineRule="exact"/>
        <w:rPr>
          <w:sz w:val="20"/>
          <w:szCs w:val="20"/>
          <w:color w:val="auto"/>
        </w:rPr>
      </w:pPr>
    </w:p>
    <w:p>
      <w:pPr>
        <w:ind w:left="8" w:hanging="8"/>
        <w:spacing w:after="0" w:line="350" w:lineRule="auto"/>
        <w:tabs>
          <w:tab w:leader="none" w:pos="497" w:val="left"/>
        </w:tabs>
        <w:numPr>
          <w:ilvl w:val="0"/>
          <w:numId w:val="54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issue price and the ratio shall be decided simultaneously with record date in accordance with the home country regulations.</w:t>
      </w:r>
    </w:p>
    <w:p>
      <w:pPr>
        <w:spacing w:after="0" w:line="200" w:lineRule="exact"/>
        <w:rPr>
          <w:sz w:val="20"/>
          <w:szCs w:val="20"/>
          <w:color w:val="auto"/>
        </w:rPr>
      </w:pPr>
    </w:p>
    <w:p>
      <w:pPr>
        <w:spacing w:after="0" w:line="231"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Availability of Issue Material</w:t>
      </w:r>
    </w:p>
    <w:p>
      <w:pPr>
        <w:spacing w:after="0" w:line="144" w:lineRule="exact"/>
        <w:rPr>
          <w:sz w:val="20"/>
          <w:szCs w:val="20"/>
          <w:color w:val="auto"/>
        </w:rPr>
      </w:pPr>
    </w:p>
    <w:p>
      <w:pPr>
        <w:jc w:val="both"/>
        <w:ind w:left="8" w:hanging="8"/>
        <w:spacing w:after="0" w:line="358" w:lineRule="auto"/>
        <w:tabs>
          <w:tab w:leader="none" w:pos="492" w:val="left"/>
        </w:tabs>
        <w:numPr>
          <w:ilvl w:val="0"/>
          <w:numId w:val="54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(1) The abridged letter of offer, containing disclosures as specified in Part B of </w:t>
      </w:r>
      <w:r>
        <w:rPr>
          <w:rFonts w:ascii="Times New Roman" w:cs="Times New Roman" w:eastAsia="Times New Roman" w:hAnsi="Times New Roman"/>
          <w:sz w:val="24"/>
          <w:szCs w:val="24"/>
          <w:b w:val="1"/>
          <w:bCs w:val="1"/>
          <w:color w:val="auto"/>
        </w:rPr>
        <w:t>Schedule</w:t>
      </w:r>
      <w:r>
        <w:rPr>
          <w:rFonts w:ascii="Times New Roman" w:cs="Times New Roman" w:eastAsia="Times New Roman" w:hAnsi="Times New Roman"/>
          <w:sz w:val="24"/>
          <w:szCs w:val="24"/>
          <w:color w:val="auto"/>
        </w:rPr>
        <w:t xml:space="preserve"> IX, for a rights offering, along with application form, shall be dispatched through registered post or speed post or by courier service or by electronic mode to all the eligible IDR holders at least three days before the date of opening of the issue and shall be made available on the website of the issuer with appropriate access restrictions at the same time it is made available to the holders of its equity shares.</w:t>
      </w:r>
    </w:p>
    <w:p>
      <w:pPr>
        <w:spacing w:after="0" w:line="14"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a hard copy of the offer document for a rights offering along with the addendum shall be made available at the principal office of the issuer or lead manager to any existing IDR holder who has made a request in this regard.</w:t>
      </w:r>
    </w:p>
    <w:p>
      <w:pPr>
        <w:spacing w:after="0" w:line="22"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The eligible IDR holders who have not received the application form may apply in writing on a plain paper to the domestic depository, along with the requisite application money within the time frame for acceptance.</w:t>
      </w:r>
    </w:p>
    <w:p>
      <w:pPr>
        <w:spacing w:after="0" w:line="20"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(3) The eligible IDR holders making an application otherwise than on the application form shall not renounce their rights and shall not utilise the application form for any purpose including renunciation even if it is received subsequently.</w:t>
      </w:r>
    </w:p>
    <w:p>
      <w:pPr>
        <w:spacing w:after="0" w:line="22" w:lineRule="exact"/>
        <w:rPr>
          <w:rFonts w:ascii="Times New Roman" w:cs="Times New Roman" w:eastAsia="Times New Roman" w:hAnsi="Times New Roman"/>
          <w:sz w:val="24"/>
          <w:szCs w:val="24"/>
          <w:b w:val="1"/>
          <w:bCs w:val="1"/>
          <w:color w:val="auto"/>
        </w:rPr>
      </w:pPr>
    </w:p>
    <w:p>
      <w:pPr>
        <w:ind w:left="8"/>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(4) Where any eligible IDR holder makes an application on an application form as well as on plain paper, such application is liable to be rejected.</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Issue-related advertisement</w:t>
      </w:r>
    </w:p>
    <w:p>
      <w:pPr>
        <w:spacing w:after="0" w:line="134" w:lineRule="exact"/>
        <w:rPr>
          <w:sz w:val="20"/>
          <w:szCs w:val="20"/>
          <w:color w:val="auto"/>
        </w:rPr>
      </w:pPr>
    </w:p>
    <w:p>
      <w:pPr>
        <w:ind w:left="488" w:hanging="488"/>
        <w:spacing w:after="0"/>
        <w:tabs>
          <w:tab w:leader="none" w:pos="488" w:val="left"/>
        </w:tabs>
        <w:numPr>
          <w:ilvl w:val="0"/>
          <w:numId w:val="55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shall issue an advertisement for the rights issue disclosing the following:</w:t>
      </w:r>
    </w:p>
    <w:p>
      <w:pPr>
        <w:spacing w:after="0" w:line="137" w:lineRule="exact"/>
        <w:rPr>
          <w:sz w:val="20"/>
          <w:szCs w:val="20"/>
          <w:color w:val="auto"/>
        </w:rPr>
      </w:pPr>
    </w:p>
    <w:p>
      <w:pPr>
        <w:ind w:left="548" w:hanging="512"/>
        <w:spacing w:after="0"/>
        <w:tabs>
          <w:tab w:leader="none" w:pos="548" w:val="left"/>
        </w:tabs>
        <w:numPr>
          <w:ilvl w:val="0"/>
          <w:numId w:val="55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date of completion of despatch of the abridged letter of offer and the application form;</w:t>
      </w: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8" w:lineRule="exact"/>
        <w:rPr>
          <w:rFonts w:ascii="Times New Roman" w:cs="Times New Roman" w:eastAsia="Times New Roman" w:hAnsi="Times New Roman"/>
          <w:sz w:val="24"/>
          <w:szCs w:val="24"/>
          <w:color w:val="auto"/>
        </w:rPr>
      </w:pPr>
    </w:p>
    <w:p>
      <w:pPr>
        <w:ind w:left="4548"/>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133</w:t>
      </w:r>
    </w:p>
    <w:p>
      <w:pPr>
        <w:sectPr>
          <w:pgSz w:w="11900" w:h="16836" w:orient="portrait"/>
          <w:cols w:equalWidth="0" w:num="1">
            <w:col w:w="9468"/>
          </w:cols>
          <w:pgMar w:left="1152" w:top="1156" w:right="1284" w:bottom="103" w:gutter="0" w:footer="0" w:header="0"/>
        </w:sectPr>
      </w:pPr>
    </w:p>
    <w:bookmarkStart w:id="133" w:name="page134"/>
    <w:bookmarkEnd w:id="133"/>
    <w:p>
      <w:pPr>
        <w:jc w:val="both"/>
        <w:ind w:left="548" w:hanging="512"/>
        <w:spacing w:after="0" w:line="354" w:lineRule="auto"/>
        <w:tabs>
          <w:tab w:leader="none" w:pos="548" w:val="left"/>
        </w:tabs>
        <w:numPr>
          <w:ilvl w:val="1"/>
          <w:numId w:val="55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centres other than principal office of the issuer in India where the eligible IDR holders may obtain duplicate copies of the application forms in case they do not receive the application form within a reasonable time after opening of the rights issue;</w:t>
      </w:r>
    </w:p>
    <w:p>
      <w:pPr>
        <w:spacing w:after="0" w:line="20" w:lineRule="exact"/>
        <w:rPr>
          <w:rFonts w:ascii="Times New Roman" w:cs="Times New Roman" w:eastAsia="Times New Roman" w:hAnsi="Times New Roman"/>
          <w:sz w:val="24"/>
          <w:szCs w:val="24"/>
          <w:color w:val="auto"/>
        </w:rPr>
      </w:pPr>
    </w:p>
    <w:p>
      <w:pPr>
        <w:jc w:val="both"/>
        <w:ind w:left="548" w:hanging="512"/>
        <w:spacing w:after="0" w:line="354" w:lineRule="auto"/>
        <w:tabs>
          <w:tab w:leader="none" w:pos="548" w:val="left"/>
        </w:tabs>
        <w:numPr>
          <w:ilvl w:val="1"/>
          <w:numId w:val="55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statement that if the eligible IDR holders have neither received the original application forms nor they are in a position to obtain the duplicate forms, they may make application in writing on a plain paper to subscribe to the rights issue;</w:t>
      </w:r>
    </w:p>
    <w:p>
      <w:pPr>
        <w:spacing w:after="0" w:line="22" w:lineRule="exact"/>
        <w:rPr>
          <w:rFonts w:ascii="Times New Roman" w:cs="Times New Roman" w:eastAsia="Times New Roman" w:hAnsi="Times New Roman"/>
          <w:sz w:val="24"/>
          <w:szCs w:val="24"/>
          <w:color w:val="auto"/>
        </w:rPr>
      </w:pPr>
    </w:p>
    <w:p>
      <w:pPr>
        <w:jc w:val="both"/>
        <w:ind w:left="548" w:hanging="512"/>
        <w:spacing w:after="0" w:line="357" w:lineRule="auto"/>
        <w:tabs>
          <w:tab w:leader="none" w:pos="548" w:val="left"/>
        </w:tabs>
        <w:numPr>
          <w:ilvl w:val="1"/>
          <w:numId w:val="55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format to enable the eligible IDR holders, to make the application on a plain paper specifying therein necessary particulars such as name, address, ratio of rights issue, issue price, number of IDRs held, ledger folio numbers, depository participant ID, client ID, number of IDRs entitled and applied for, amount to be paid along with application, and particulars of cheque, etc. to be drawn in favour of the issuer’s account;</w:t>
      </w:r>
    </w:p>
    <w:p>
      <w:pPr>
        <w:spacing w:after="0" w:line="16" w:lineRule="exact"/>
        <w:rPr>
          <w:rFonts w:ascii="Times New Roman" w:cs="Times New Roman" w:eastAsia="Times New Roman" w:hAnsi="Times New Roman"/>
          <w:sz w:val="24"/>
          <w:szCs w:val="24"/>
          <w:color w:val="auto"/>
        </w:rPr>
      </w:pPr>
    </w:p>
    <w:p>
      <w:pPr>
        <w:jc w:val="both"/>
        <w:ind w:left="548" w:hanging="512"/>
        <w:spacing w:after="0" w:line="354" w:lineRule="auto"/>
        <w:tabs>
          <w:tab w:leader="none" w:pos="548" w:val="left"/>
        </w:tabs>
        <w:numPr>
          <w:ilvl w:val="1"/>
          <w:numId w:val="55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statement that the applications can be directly sent by the eligible IDR holders through registered post together with the application monies to the issuer's designated official at the address given in the advertisement;</w:t>
      </w:r>
    </w:p>
    <w:p>
      <w:pPr>
        <w:spacing w:after="0" w:line="22" w:lineRule="exact"/>
        <w:rPr>
          <w:rFonts w:ascii="Times New Roman" w:cs="Times New Roman" w:eastAsia="Times New Roman" w:hAnsi="Times New Roman"/>
          <w:sz w:val="24"/>
          <w:szCs w:val="24"/>
          <w:color w:val="auto"/>
        </w:rPr>
      </w:pPr>
    </w:p>
    <w:p>
      <w:pPr>
        <w:jc w:val="both"/>
        <w:ind w:left="548" w:hanging="512"/>
        <w:spacing w:after="0" w:line="354" w:lineRule="auto"/>
        <w:tabs>
          <w:tab w:leader="none" w:pos="548" w:val="left"/>
        </w:tabs>
        <w:numPr>
          <w:ilvl w:val="1"/>
          <w:numId w:val="55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statement to the effect that if the eligible IDR holder makes an application on plain paper and also on application form both the applications shall be liable to be rejected at the option of the issuer.</w:t>
      </w:r>
    </w:p>
    <w:p>
      <w:pPr>
        <w:spacing w:after="0" w:line="20" w:lineRule="exact"/>
        <w:rPr>
          <w:rFonts w:ascii="Times New Roman" w:cs="Times New Roman" w:eastAsia="Times New Roman" w:hAnsi="Times New Roman"/>
          <w:sz w:val="24"/>
          <w:szCs w:val="24"/>
          <w:color w:val="auto"/>
        </w:rPr>
      </w:pPr>
    </w:p>
    <w:p>
      <w:pPr>
        <w:jc w:val="both"/>
        <w:ind w:left="8" w:hanging="8"/>
        <w:spacing w:after="0" w:line="356" w:lineRule="auto"/>
        <w:tabs>
          <w:tab w:leader="none" w:pos="367" w:val="left"/>
        </w:tabs>
        <w:numPr>
          <w:ilvl w:val="0"/>
          <w:numId w:val="55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advertisement shall be made in at least one English national daily newspaper with wide circulation, one Hindi national daily newspaper with wide circulation and one regional language daily newspaper with wide circulation at the place where principal office of the issuer is situated in India at least three days before the date of opening of the issue.</w:t>
      </w:r>
    </w:p>
    <w:p>
      <w:pPr>
        <w:spacing w:after="0" w:line="200" w:lineRule="exact"/>
        <w:rPr>
          <w:sz w:val="20"/>
          <w:szCs w:val="20"/>
          <w:color w:val="auto"/>
        </w:rPr>
      </w:pPr>
    </w:p>
    <w:p>
      <w:pPr>
        <w:spacing w:after="0" w:line="226"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Period of subscription and issue of allotment letter</w:t>
      </w:r>
    </w:p>
    <w:p>
      <w:pPr>
        <w:spacing w:after="0" w:line="145" w:lineRule="exact"/>
        <w:rPr>
          <w:sz w:val="20"/>
          <w:szCs w:val="20"/>
          <w:color w:val="auto"/>
        </w:rPr>
      </w:pPr>
    </w:p>
    <w:p>
      <w:pPr>
        <w:ind w:left="8" w:hanging="8"/>
        <w:spacing w:after="0" w:line="350" w:lineRule="auto"/>
        <w:tabs>
          <w:tab w:leader="none" w:pos="497" w:val="left"/>
        </w:tabs>
        <w:numPr>
          <w:ilvl w:val="0"/>
          <w:numId w:val="55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A rights issue shall be open for subscription in India for a period as applicable under the laws of its home country but in no case less than ten days.</w:t>
      </w:r>
    </w:p>
    <w:p>
      <w:pPr>
        <w:spacing w:after="0" w:line="23"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The issuing company shall ensure that it sends the allotment letter of rights to IDR holders at the time these are sent to shareholders of the issuing company as per the requirement of its home country or other jurisdictions where its securities are listed.</w:t>
      </w:r>
    </w:p>
    <w:p>
      <w:pPr>
        <w:spacing w:after="0" w:line="200" w:lineRule="exact"/>
        <w:rPr>
          <w:sz w:val="20"/>
          <w:szCs w:val="20"/>
          <w:color w:val="auto"/>
        </w:rPr>
      </w:pPr>
    </w:p>
    <w:p>
      <w:pPr>
        <w:spacing w:after="0" w:line="22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Utilisation of funds</w:t>
      </w:r>
    </w:p>
    <w:p>
      <w:pPr>
        <w:spacing w:after="0" w:line="147" w:lineRule="exact"/>
        <w:rPr>
          <w:sz w:val="20"/>
          <w:szCs w:val="20"/>
          <w:color w:val="auto"/>
        </w:rPr>
      </w:pPr>
    </w:p>
    <w:p>
      <w:pPr>
        <w:ind w:left="8" w:hanging="8"/>
        <w:spacing w:after="0" w:line="348" w:lineRule="auto"/>
        <w:tabs>
          <w:tab w:leader="none" w:pos="516" w:val="left"/>
        </w:tabs>
        <w:numPr>
          <w:ilvl w:val="0"/>
          <w:numId w:val="55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issuer shall utilise funds raised in relation to the IDRs pursuant to the rights offering only upon completion of the allotment process.</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Fast track issue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134</w:t>
      </w:r>
    </w:p>
    <w:p>
      <w:pPr>
        <w:sectPr>
          <w:pgSz w:w="11900" w:h="16836" w:orient="portrait"/>
          <w:cols w:equalWidth="0" w:num="1">
            <w:col w:w="9468"/>
          </w:cols>
          <w:pgMar w:left="1152" w:top="1156" w:right="1284" w:bottom="103" w:gutter="0" w:footer="0" w:header="0"/>
        </w:sectPr>
      </w:pPr>
    </w:p>
    <w:bookmarkStart w:id="134" w:name="page135"/>
    <w:bookmarkEnd w:id="134"/>
    <w:p>
      <w:pPr>
        <w:ind w:left="488" w:hanging="488"/>
        <w:spacing w:after="0"/>
        <w:tabs>
          <w:tab w:leader="none" w:pos="488" w:val="left"/>
        </w:tabs>
        <w:numPr>
          <w:ilvl w:val="0"/>
          <w:numId w:val="55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Nothing contained in sub-regulations (1) of regulation 221, (1), (2) and (3) of regulation</w:t>
      </w:r>
    </w:p>
    <w:p>
      <w:pPr>
        <w:spacing w:after="0" w:line="137" w:lineRule="exact"/>
        <w:rPr>
          <w:rFonts w:ascii="Times New Roman" w:cs="Times New Roman" w:eastAsia="Times New Roman" w:hAnsi="Times New Roman"/>
          <w:sz w:val="24"/>
          <w:szCs w:val="24"/>
          <w:b w:val="1"/>
          <w:bCs w:val="1"/>
          <w:color w:val="auto"/>
        </w:rPr>
      </w:pPr>
    </w:p>
    <w:p>
      <w:pPr>
        <w:ind w:left="428" w:hanging="428"/>
        <w:spacing w:after="0"/>
        <w:tabs>
          <w:tab w:leader="none" w:pos="428" w:val="left"/>
        </w:tabs>
        <w:numPr>
          <w:ilvl w:val="0"/>
          <w:numId w:val="55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shall apply, if the issuer satisfies the following conditions:</w:t>
      </w:r>
    </w:p>
    <w:p>
      <w:pPr>
        <w:spacing w:after="0" w:line="151" w:lineRule="exact"/>
        <w:rPr>
          <w:sz w:val="20"/>
          <w:szCs w:val="20"/>
          <w:color w:val="auto"/>
        </w:rPr>
      </w:pPr>
    </w:p>
    <w:p>
      <w:pPr>
        <w:jc w:val="both"/>
        <w:ind w:left="548" w:hanging="548"/>
        <w:spacing w:after="0" w:line="357" w:lineRule="auto"/>
        <w:tabs>
          <w:tab w:leader="none" w:pos="548" w:val="left"/>
        </w:tabs>
        <w:numPr>
          <w:ilvl w:val="0"/>
          <w:numId w:val="55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is in compliance in all material respects with the provisions of deposit agreement and the provisions of listing agreements (or listing conditions) applicable in all the jurisdictions wherever the issuer is listed, for a period of at least three years immediately preceding the date of filing of the offer document, and a certification to this effect is provided by the issuer;</w:t>
      </w:r>
    </w:p>
    <w:p>
      <w:pPr>
        <w:spacing w:after="0" w:line="16" w:lineRule="exact"/>
        <w:rPr>
          <w:rFonts w:ascii="Times New Roman" w:cs="Times New Roman" w:eastAsia="Times New Roman" w:hAnsi="Times New Roman"/>
          <w:sz w:val="24"/>
          <w:szCs w:val="24"/>
          <w:color w:val="auto"/>
        </w:rPr>
      </w:pPr>
    </w:p>
    <w:p>
      <w:pPr>
        <w:ind w:left="548" w:hanging="548"/>
        <w:spacing w:after="0" w:line="350" w:lineRule="auto"/>
        <w:tabs>
          <w:tab w:leader="none" w:pos="548" w:val="left"/>
        </w:tabs>
        <w:numPr>
          <w:ilvl w:val="0"/>
          <w:numId w:val="55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offer document for the rights offering of the securities of the issuer has been filed and reviewed by the securities regulator in the home country of the issuer;</w:t>
      </w:r>
    </w:p>
    <w:p>
      <w:pPr>
        <w:spacing w:after="0" w:line="23" w:lineRule="exact"/>
        <w:rPr>
          <w:rFonts w:ascii="Times New Roman" w:cs="Times New Roman" w:eastAsia="Times New Roman" w:hAnsi="Times New Roman"/>
          <w:sz w:val="24"/>
          <w:szCs w:val="24"/>
          <w:color w:val="auto"/>
        </w:rPr>
      </w:pPr>
    </w:p>
    <w:p>
      <w:pPr>
        <w:jc w:val="both"/>
        <w:ind w:left="548" w:hanging="548"/>
        <w:spacing w:after="0" w:line="356" w:lineRule="auto"/>
        <w:tabs>
          <w:tab w:leader="none" w:pos="548" w:val="left"/>
        </w:tabs>
        <w:numPr>
          <w:ilvl w:val="0"/>
          <w:numId w:val="55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there are no pending show-cause notices or prosecution proceedings against the issuer or its promoters, where applicable, or whole time directors on the reference date by the Board or the regulatory authorities in its home country restricting them from accessing the capital markets; and</w:t>
      </w:r>
    </w:p>
    <w:p>
      <w:pPr>
        <w:spacing w:after="0" w:line="18" w:lineRule="exact"/>
        <w:rPr>
          <w:rFonts w:ascii="Times New Roman" w:cs="Times New Roman" w:eastAsia="Times New Roman" w:hAnsi="Times New Roman"/>
          <w:sz w:val="24"/>
          <w:szCs w:val="24"/>
          <w:color w:val="auto"/>
        </w:rPr>
      </w:pPr>
    </w:p>
    <w:p>
      <w:pPr>
        <w:jc w:val="both"/>
        <w:ind w:left="548" w:hanging="548"/>
        <w:spacing w:after="0" w:line="354" w:lineRule="auto"/>
        <w:tabs>
          <w:tab w:leader="none" w:pos="548" w:val="left"/>
        </w:tabs>
        <w:numPr>
          <w:ilvl w:val="0"/>
          <w:numId w:val="55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has redressed at least ninety five per cent. of the complaints received from the IDR holders before the end of the three months period immediately preceding the month of date of filing the letter of offer with the designated stock exchange.</w:t>
      </w:r>
    </w:p>
    <w:p>
      <w:pPr>
        <w:spacing w:after="0" w:line="22" w:lineRule="exact"/>
        <w:rPr>
          <w:sz w:val="20"/>
          <w:szCs w:val="20"/>
          <w:color w:val="auto"/>
        </w:rPr>
      </w:pPr>
    </w:p>
    <w:p>
      <w:pPr>
        <w:jc w:val="both"/>
        <w:ind w:left="8" w:hanging="8"/>
        <w:spacing w:after="0" w:line="356" w:lineRule="auto"/>
        <w:tabs>
          <w:tab w:leader="none" w:pos="358" w:val="left"/>
        </w:tabs>
        <w:numPr>
          <w:ilvl w:val="0"/>
          <w:numId w:val="55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Where the conditions in sub-regulation (1) are satisfied, the issuer may opt for rights issue of IDRs by filing a copy of the offer document prepared in accordance with the home country requirements along with an addendum containing disclosures as specified in </w:t>
      </w:r>
      <w:r>
        <w:rPr>
          <w:rFonts w:ascii="Times New Roman" w:cs="Times New Roman" w:eastAsia="Times New Roman" w:hAnsi="Times New Roman"/>
          <w:sz w:val="24"/>
          <w:szCs w:val="24"/>
          <w:b w:val="1"/>
          <w:bCs w:val="1"/>
          <w:color w:val="auto"/>
        </w:rPr>
        <w:t>Part C</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 xml:space="preserve">VIII </w:t>
      </w:r>
      <w:r>
        <w:rPr>
          <w:rFonts w:ascii="Times New Roman" w:cs="Times New Roman" w:eastAsia="Times New Roman" w:hAnsi="Times New Roman"/>
          <w:sz w:val="24"/>
          <w:szCs w:val="24"/>
          <w:color w:val="auto"/>
        </w:rPr>
        <w:t>with the Board for record purposes, before filing the same with the stock exchanges.</w:t>
      </w:r>
    </w:p>
    <w:p>
      <w:pPr>
        <w:spacing w:after="0" w:line="200" w:lineRule="exact"/>
        <w:rPr>
          <w:sz w:val="20"/>
          <w:szCs w:val="20"/>
          <w:color w:val="auto"/>
        </w:rPr>
      </w:pPr>
    </w:p>
    <w:p>
      <w:pPr>
        <w:spacing w:after="0" w:line="224"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CHAPTER IX - INITIAL PUBLIC OFFER BY SMALL AND MEDIUM ENTERPRISES</w:t>
      </w:r>
    </w:p>
    <w:p>
      <w:pPr>
        <w:spacing w:after="0" w:line="200" w:lineRule="exact"/>
        <w:rPr>
          <w:sz w:val="20"/>
          <w:szCs w:val="20"/>
          <w:color w:val="auto"/>
        </w:rPr>
      </w:pPr>
    </w:p>
    <w:p>
      <w:pPr>
        <w:spacing w:after="0" w:line="35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Reference date</w:t>
      </w:r>
    </w:p>
    <w:p>
      <w:pPr>
        <w:spacing w:after="0" w:line="147" w:lineRule="exact"/>
        <w:rPr>
          <w:sz w:val="20"/>
          <w:szCs w:val="20"/>
          <w:color w:val="auto"/>
        </w:rPr>
      </w:pPr>
    </w:p>
    <w:p>
      <w:pPr>
        <w:jc w:val="both"/>
        <w:ind w:left="8" w:hanging="8"/>
        <w:spacing w:after="0" w:line="348" w:lineRule="auto"/>
        <w:tabs>
          <w:tab w:leader="none" w:pos="548" w:val="left"/>
        </w:tabs>
        <w:numPr>
          <w:ilvl w:val="0"/>
          <w:numId w:val="56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Unless otherwise provided in this Chapter, an issuer making an initial public offer of specified securities shall satisfy the conditions of this Chapter as on the date of filing of the draft</w:t>
      </w:r>
    </w:p>
    <w:p>
      <w:pPr>
        <w:spacing w:after="0" w:line="7" w:lineRule="exact"/>
        <w:rPr>
          <w:rFonts w:ascii="Times New Roman" w:cs="Times New Roman" w:eastAsia="Times New Roman" w:hAnsi="Times New Roman"/>
          <w:sz w:val="24"/>
          <w:szCs w:val="24"/>
          <w:b w:val="1"/>
          <w:bCs w:val="1"/>
          <w:color w:val="auto"/>
        </w:rPr>
      </w:pPr>
    </w:p>
    <w:p>
      <w:pPr>
        <w:ind w:left="8"/>
        <w:spacing w:after="0" w:line="285"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offer document with the SME exchange and also as on the date of </w:t>
      </w:r>
      <w:r>
        <w:rPr>
          <w:rFonts w:ascii="Times New Roman" w:cs="Times New Roman" w:eastAsia="Times New Roman" w:hAnsi="Times New Roman"/>
          <w:sz w:val="32"/>
          <w:szCs w:val="32"/>
          <w:color w:val="auto"/>
          <w:vertAlign w:val="superscript"/>
        </w:rPr>
        <w:t>77</w:t>
      </w:r>
      <w:r>
        <w:rPr>
          <w:rFonts w:ascii="Times New Roman" w:cs="Times New Roman" w:eastAsia="Times New Roman" w:hAnsi="Times New Roman"/>
          <w:sz w:val="24"/>
          <w:szCs w:val="24"/>
          <w:color w:val="auto"/>
        </w:rPr>
        <w:t>[filing] the offer document with the Registrar of Companies.</w:t>
      </w:r>
    </w:p>
    <w:p>
      <w:pPr>
        <w:spacing w:after="0" w:line="200" w:lineRule="exact"/>
        <w:rPr>
          <w:sz w:val="20"/>
          <w:szCs w:val="20"/>
          <w:color w:val="auto"/>
        </w:rPr>
      </w:pPr>
    </w:p>
    <w:p>
      <w:pPr>
        <w:spacing w:after="0" w:line="289"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I: ELIGIBILITY REQUIREMENTS</w:t>
      </w:r>
    </w:p>
    <w:p>
      <w:pPr>
        <w:spacing w:after="0" w:line="200" w:lineRule="exact"/>
        <w:rPr>
          <w:sz w:val="20"/>
          <w:szCs w:val="20"/>
          <w:color w:val="auto"/>
        </w:rPr>
      </w:pPr>
    </w:p>
    <w:p>
      <w:pPr>
        <w:spacing w:after="0" w:line="35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Entities not eligible to make an initial public offer</w:t>
      </w:r>
    </w:p>
    <w:p>
      <w:pPr>
        <w:spacing w:after="0" w:line="134" w:lineRule="exact"/>
        <w:rPr>
          <w:sz w:val="20"/>
          <w:szCs w:val="20"/>
          <w:color w:val="auto"/>
        </w:rPr>
      </w:pPr>
    </w:p>
    <w:p>
      <w:pPr>
        <w:ind w:left="548" w:hanging="548"/>
        <w:spacing w:after="0"/>
        <w:tabs>
          <w:tab w:leader="none" w:pos="548" w:val="left"/>
        </w:tabs>
        <w:numPr>
          <w:ilvl w:val="0"/>
          <w:numId w:val="56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An issuer shall not be eligible to make an initial public offer:</w:t>
      </w:r>
    </w:p>
    <w:p>
      <w:pPr>
        <w:spacing w:after="0" w:line="200" w:lineRule="exact"/>
        <w:rPr>
          <w:sz w:val="20"/>
          <w:szCs w:val="20"/>
          <w:color w:val="auto"/>
        </w:rPr>
      </w:pPr>
    </w:p>
    <w:p>
      <w:pPr>
        <w:spacing w:after="0" w:line="274" w:lineRule="exact"/>
        <w:rPr>
          <w:sz w:val="20"/>
          <w:szCs w:val="20"/>
          <w:color w:val="auto"/>
        </w:rPr>
      </w:pPr>
    </w:p>
    <w:p>
      <w:pPr>
        <w:ind w:left="8" w:hanging="8"/>
        <w:spacing w:after="0" w:line="203" w:lineRule="auto"/>
        <w:tabs>
          <w:tab w:leader="none" w:pos="188" w:val="left"/>
        </w:tabs>
        <w:numPr>
          <w:ilvl w:val="0"/>
          <w:numId w:val="562"/>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Securities and Exchange Board of India (Issue of Capital and Disclosure Requirements) (Seventh Amendment) Regulations, 2019, w-e-f 01.01.2020 for the word “registering”.</w:t>
      </w:r>
    </w:p>
    <w:p>
      <w:pPr>
        <w:spacing w:after="0" w:line="30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135</w:t>
      </w:r>
    </w:p>
    <w:p>
      <w:pPr>
        <w:sectPr>
          <w:pgSz w:w="11900" w:h="16836" w:orient="portrait"/>
          <w:cols w:equalWidth="0" w:num="1">
            <w:col w:w="9468"/>
          </w:cols>
          <w:pgMar w:left="1152" w:top="1144" w:right="1284" w:bottom="103" w:gutter="0" w:footer="0" w:header="0"/>
        </w:sectPr>
      </w:pPr>
    </w:p>
    <w:bookmarkStart w:id="135" w:name="page136"/>
    <w:bookmarkEnd w:id="135"/>
    <w:p>
      <w:pPr>
        <w:ind w:left="508" w:hanging="508"/>
        <w:spacing w:after="0" w:line="348" w:lineRule="auto"/>
        <w:tabs>
          <w:tab w:leader="none" w:pos="508" w:val="left"/>
        </w:tabs>
        <w:numPr>
          <w:ilvl w:val="0"/>
          <w:numId w:val="5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issuer, any of its promoters, promoter group or directors or selling shareholders are debarred from accessing the capital market by the Board;</w:t>
      </w:r>
    </w:p>
    <w:p>
      <w:pPr>
        <w:spacing w:after="0" w:line="28" w:lineRule="exact"/>
        <w:rPr>
          <w:rFonts w:ascii="Times New Roman" w:cs="Times New Roman" w:eastAsia="Times New Roman" w:hAnsi="Times New Roman"/>
          <w:sz w:val="24"/>
          <w:szCs w:val="24"/>
          <w:color w:val="auto"/>
        </w:rPr>
      </w:pPr>
    </w:p>
    <w:p>
      <w:pPr>
        <w:ind w:left="508" w:hanging="508"/>
        <w:spacing w:after="0" w:line="348" w:lineRule="auto"/>
        <w:tabs>
          <w:tab w:leader="none" w:pos="508" w:val="left"/>
        </w:tabs>
        <w:numPr>
          <w:ilvl w:val="0"/>
          <w:numId w:val="5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any of the promoters or directors of the issuer is a promoter or director of any other company which is debarred from accessing the capital market by the Board;</w:t>
      </w:r>
    </w:p>
    <w:p>
      <w:pPr>
        <w:spacing w:after="0" w:line="15" w:lineRule="exact"/>
        <w:rPr>
          <w:rFonts w:ascii="Times New Roman" w:cs="Times New Roman" w:eastAsia="Times New Roman" w:hAnsi="Times New Roman"/>
          <w:sz w:val="24"/>
          <w:szCs w:val="24"/>
          <w:color w:val="auto"/>
        </w:rPr>
      </w:pPr>
    </w:p>
    <w:p>
      <w:pPr>
        <w:ind w:left="508" w:hanging="508"/>
        <w:spacing w:after="0"/>
        <w:tabs>
          <w:tab w:leader="none" w:pos="508" w:val="left"/>
        </w:tabs>
        <w:numPr>
          <w:ilvl w:val="0"/>
          <w:numId w:val="5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issuer or any of its promoters or directors is a wilful defaulter.</w:t>
      </w:r>
    </w:p>
    <w:p>
      <w:pPr>
        <w:spacing w:after="0" w:line="136" w:lineRule="exact"/>
        <w:rPr>
          <w:rFonts w:ascii="Times New Roman" w:cs="Times New Roman" w:eastAsia="Times New Roman" w:hAnsi="Times New Roman"/>
          <w:sz w:val="24"/>
          <w:szCs w:val="24"/>
          <w:color w:val="auto"/>
        </w:rPr>
      </w:pPr>
    </w:p>
    <w:p>
      <w:pPr>
        <w:ind w:left="508" w:hanging="508"/>
        <w:spacing w:after="0"/>
        <w:tabs>
          <w:tab w:leader="none" w:pos="508" w:val="left"/>
        </w:tabs>
        <w:numPr>
          <w:ilvl w:val="0"/>
          <w:numId w:val="5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any of its promoters or directors is a fugitive economic offender.</w:t>
      </w:r>
    </w:p>
    <w:p>
      <w:pPr>
        <w:spacing w:after="0" w:line="151" w:lineRule="exact"/>
        <w:rPr>
          <w:rFonts w:ascii="Times New Roman" w:cs="Times New Roman" w:eastAsia="Times New Roman" w:hAnsi="Times New Roman"/>
          <w:sz w:val="24"/>
          <w:szCs w:val="24"/>
          <w:color w:val="auto"/>
        </w:rPr>
      </w:pPr>
    </w:p>
    <w:p>
      <w:pPr>
        <w:jc w:val="both"/>
        <w:ind w:left="508"/>
        <w:spacing w:after="0" w:line="356"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Explanation</w:t>
      </w:r>
      <w:r>
        <w:rPr>
          <w:rFonts w:ascii="Times New Roman" w:cs="Times New Roman" w:eastAsia="Times New Roman" w:hAnsi="Times New Roman"/>
          <w:sz w:val="24"/>
          <w:szCs w:val="24"/>
          <w:color w:val="auto"/>
        </w:rPr>
        <w:t>: The restrictions under clauses (a) and (b) shall not apply to the persons or</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entities mentioned therein, who were debarred in the past by the Board and the period of debarment is already over as on the date of filing of the draft offer document with the SME Exchange.</w:t>
      </w:r>
    </w:p>
    <w:p>
      <w:pPr>
        <w:spacing w:after="0" w:line="200" w:lineRule="exact"/>
        <w:rPr>
          <w:sz w:val="20"/>
          <w:szCs w:val="20"/>
          <w:color w:val="auto"/>
        </w:rPr>
      </w:pPr>
    </w:p>
    <w:p>
      <w:pPr>
        <w:spacing w:after="0" w:line="225"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Eligibility requirements for an initial public offer</w:t>
      </w:r>
    </w:p>
    <w:p>
      <w:pPr>
        <w:spacing w:after="0" w:line="147" w:lineRule="exact"/>
        <w:rPr>
          <w:sz w:val="20"/>
          <w:szCs w:val="20"/>
          <w:color w:val="auto"/>
        </w:rPr>
      </w:pPr>
    </w:p>
    <w:p>
      <w:pPr>
        <w:ind w:left="8" w:hanging="8"/>
        <w:spacing w:after="0" w:line="348" w:lineRule="auto"/>
        <w:tabs>
          <w:tab w:leader="none" w:pos="509" w:val="left"/>
        </w:tabs>
        <w:numPr>
          <w:ilvl w:val="0"/>
          <w:numId w:val="56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An issuer shall be eligible to make an initial public offer only if its post-issue paid-up capital is less than or equal to ten crore rupees.</w:t>
      </w:r>
    </w:p>
    <w:p>
      <w:pPr>
        <w:spacing w:after="0" w:line="27"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An issuer, whose post issue face value capital is more than ten crore rupees and upto twenty five crore rupees, may also issue specified securities in accordance with provisions of this Chapter.</w:t>
      </w:r>
    </w:p>
    <w:p>
      <w:pPr>
        <w:spacing w:after="0" w:line="20" w:lineRule="exact"/>
        <w:rPr>
          <w:rFonts w:ascii="Times New Roman" w:cs="Times New Roman" w:eastAsia="Times New Roman" w:hAnsi="Times New Roman"/>
          <w:sz w:val="24"/>
          <w:szCs w:val="24"/>
          <w:b w:val="1"/>
          <w:bCs w:val="1"/>
          <w:color w:val="auto"/>
        </w:rPr>
      </w:pPr>
    </w:p>
    <w:p>
      <w:pPr>
        <w:ind w:left="8"/>
        <w:spacing w:after="0" w:line="35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(3) An issuer may make an initial public offer, if it satisfies track record and/or other eligibility conditions of the SME Exchange(s) on which the specified securities are proposed to be listed. Provided that In case of an issuer which had been a partnership firm or a limited liability partnership, the track record of operating profit of the partnership firm or the limited liability partnership shall be considered only if the financial statements of the partnership business for the period during which the issuer was a partnership firm or a limited liability partnership, conform to and are revised in the format prescribed for companies under the Companies Act, 2013 and also comply with the following:</w:t>
      </w:r>
    </w:p>
    <w:p>
      <w:pPr>
        <w:spacing w:after="0" w:line="19" w:lineRule="exact"/>
        <w:rPr>
          <w:rFonts w:ascii="Times New Roman" w:cs="Times New Roman" w:eastAsia="Times New Roman" w:hAnsi="Times New Roman"/>
          <w:sz w:val="24"/>
          <w:szCs w:val="24"/>
          <w:b w:val="1"/>
          <w:bCs w:val="1"/>
          <w:color w:val="auto"/>
        </w:rPr>
      </w:pPr>
    </w:p>
    <w:p>
      <w:pPr>
        <w:ind w:left="728" w:hanging="368"/>
        <w:spacing w:after="0" w:line="344" w:lineRule="auto"/>
        <w:tabs>
          <w:tab w:leader="none" w:pos="728" w:val="left"/>
        </w:tabs>
        <w:numPr>
          <w:ilvl w:val="1"/>
          <w:numId w:val="564"/>
        </w:numPr>
        <w:rPr>
          <w:rFonts w:ascii="Calibri" w:cs="Calibri" w:eastAsia="Calibri" w:hAnsi="Calibri"/>
          <w:sz w:val="22"/>
          <w:szCs w:val="22"/>
          <w:color w:val="auto"/>
        </w:rPr>
      </w:pPr>
      <w:r>
        <w:rPr>
          <w:rFonts w:ascii="Times New Roman" w:cs="Times New Roman" w:eastAsia="Times New Roman" w:hAnsi="Times New Roman"/>
          <w:sz w:val="24"/>
          <w:szCs w:val="24"/>
          <w:color w:val="auto"/>
        </w:rPr>
        <w:t xml:space="preserve">adequate disclosures are made in the financial statements as required to be made by the issuer as per </w:t>
      </w:r>
      <w:r>
        <w:rPr>
          <w:rFonts w:ascii="Times New Roman" w:cs="Times New Roman" w:eastAsia="Times New Roman" w:hAnsi="Times New Roman"/>
          <w:sz w:val="24"/>
          <w:szCs w:val="24"/>
          <w:b w:val="1"/>
          <w:bCs w:val="1"/>
          <w:color w:val="auto"/>
        </w:rPr>
        <w:t>Schedule</w:t>
      </w:r>
      <w:r>
        <w:rPr>
          <w:rFonts w:ascii="Times New Roman" w:cs="Times New Roman" w:eastAsia="Times New Roman" w:hAnsi="Times New Roman"/>
          <w:sz w:val="24"/>
          <w:szCs w:val="24"/>
          <w:color w:val="auto"/>
        </w:rPr>
        <w:t xml:space="preserve"> III of the Companies Act, 2013;</w:t>
      </w:r>
    </w:p>
    <w:p>
      <w:pPr>
        <w:spacing w:after="0" w:line="26" w:lineRule="exact"/>
        <w:rPr>
          <w:rFonts w:ascii="Calibri" w:cs="Calibri" w:eastAsia="Calibri" w:hAnsi="Calibri"/>
          <w:sz w:val="22"/>
          <w:szCs w:val="22"/>
          <w:color w:val="auto"/>
        </w:rPr>
      </w:pPr>
    </w:p>
    <w:p>
      <w:pPr>
        <w:jc w:val="both"/>
        <w:ind w:left="728" w:hanging="368"/>
        <w:spacing w:after="0" w:line="356" w:lineRule="auto"/>
        <w:tabs>
          <w:tab w:leader="none" w:pos="728" w:val="left"/>
        </w:tabs>
        <w:numPr>
          <w:ilvl w:val="1"/>
          <w:numId w:val="564"/>
        </w:numPr>
        <w:rPr>
          <w:rFonts w:ascii="Calibri" w:cs="Calibri" w:eastAsia="Calibri" w:hAnsi="Calibri"/>
          <w:sz w:val="22"/>
          <w:szCs w:val="22"/>
          <w:color w:val="auto"/>
        </w:rPr>
      </w:pPr>
      <w:r>
        <w:rPr>
          <w:rFonts w:ascii="Times New Roman" w:cs="Times New Roman" w:eastAsia="Times New Roman" w:hAnsi="Times New Roman"/>
          <w:sz w:val="24"/>
          <w:szCs w:val="24"/>
          <w:color w:val="auto"/>
        </w:rPr>
        <w:t xml:space="preserve">the financial statements are duly certified by auditors, who have subjected themselves to the peer review process of the Institute of Chartered Accountants of India (ICAI) and hold a valid certificate issued by the Peer Review Board‘ of the ICAI, stating that: (i) the accounts and the disclosures made are in accordance with the provisions of </w:t>
      </w:r>
      <w:r>
        <w:rPr>
          <w:rFonts w:ascii="Times New Roman" w:cs="Times New Roman" w:eastAsia="Times New Roman" w:hAnsi="Times New Roman"/>
          <w:sz w:val="24"/>
          <w:szCs w:val="24"/>
          <w:b w:val="1"/>
          <w:bCs w:val="1"/>
          <w:color w:val="auto"/>
        </w:rPr>
        <w:t>Schedule</w:t>
      </w:r>
      <w:r>
        <w:rPr>
          <w:rFonts w:ascii="Times New Roman" w:cs="Times New Roman" w:eastAsia="Times New Roman" w:hAnsi="Times New Roman"/>
          <w:sz w:val="24"/>
          <w:szCs w:val="24"/>
          <w:color w:val="auto"/>
        </w:rPr>
        <w:t xml:space="preserve"> III of the Companies Act, 2013; (ii) the accounting standards prescribed under the Companies Act, 2013 have been followed; (iii) the financial statements present a true and fair view of the firm‘s accounts;</w:t>
      </w: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136</w:t>
      </w:r>
    </w:p>
    <w:p>
      <w:pPr>
        <w:sectPr>
          <w:pgSz w:w="11900" w:h="16836" w:orient="portrait"/>
          <w:cols w:equalWidth="0" w:num="1">
            <w:col w:w="9468"/>
          </w:cols>
          <w:pgMar w:left="1152" w:top="1156" w:right="1284" w:bottom="103" w:gutter="0" w:footer="0" w:header="0"/>
        </w:sectPr>
      </w:pPr>
    </w:p>
    <w:bookmarkStart w:id="136" w:name="page137"/>
    <w:bookmarkEnd w:id="136"/>
    <w:p>
      <w:pPr>
        <w:jc w:val="both"/>
        <w:ind w:left="8"/>
        <w:spacing w:after="0" w:line="354" w:lineRule="auto"/>
        <w:rPr>
          <w:sz w:val="20"/>
          <w:szCs w:val="20"/>
          <w:color w:val="auto"/>
        </w:rPr>
      </w:pPr>
      <w:r>
        <w:rPr>
          <w:rFonts w:ascii="Times New Roman" w:cs="Times New Roman" w:eastAsia="Times New Roman" w:hAnsi="Times New Roman"/>
          <w:sz w:val="24"/>
          <w:szCs w:val="24"/>
          <w:color w:val="auto"/>
        </w:rPr>
        <w:t>Provided further that in case of an issuer formed out of merger or a division of an existing company, the track record of the resulting issuer shall be considered only if the requirements regarding financial statements as specified above in the first proviso are complied with.</w:t>
      </w:r>
    </w:p>
    <w:p>
      <w:pPr>
        <w:spacing w:after="0" w:line="200" w:lineRule="exact"/>
        <w:rPr>
          <w:sz w:val="20"/>
          <w:szCs w:val="20"/>
          <w:color w:val="auto"/>
        </w:rPr>
      </w:pPr>
    </w:p>
    <w:p>
      <w:pPr>
        <w:spacing w:after="0" w:line="22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General conditions</w:t>
      </w:r>
    </w:p>
    <w:p>
      <w:pPr>
        <w:spacing w:after="0" w:line="132" w:lineRule="exact"/>
        <w:rPr>
          <w:sz w:val="20"/>
          <w:szCs w:val="20"/>
          <w:color w:val="auto"/>
        </w:rPr>
      </w:pPr>
    </w:p>
    <w:p>
      <w:pPr>
        <w:ind w:left="488" w:hanging="488"/>
        <w:spacing w:after="0"/>
        <w:tabs>
          <w:tab w:leader="none" w:pos="488" w:val="left"/>
        </w:tabs>
        <w:numPr>
          <w:ilvl w:val="0"/>
          <w:numId w:val="56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An issuer making an initial public offer shall ensure that:</w:t>
      </w:r>
    </w:p>
    <w:p>
      <w:pPr>
        <w:spacing w:after="0" w:line="151" w:lineRule="exact"/>
        <w:rPr>
          <w:sz w:val="20"/>
          <w:szCs w:val="20"/>
          <w:color w:val="auto"/>
        </w:rPr>
      </w:pPr>
    </w:p>
    <w:p>
      <w:pPr>
        <w:ind w:left="548" w:hanging="548"/>
        <w:spacing w:after="0" w:line="354" w:lineRule="auto"/>
        <w:tabs>
          <w:tab w:leader="none" w:pos="398" w:val="left"/>
        </w:tabs>
        <w:numPr>
          <w:ilvl w:val="0"/>
          <w:numId w:val="5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 has made an application to one or more SME exchanges for listing of its specified securities on such SME exchange(s) and has chosen one of them as the designated stock exchange, in terms of Schedule XIX:</w:t>
      </w:r>
    </w:p>
    <w:p>
      <w:pPr>
        <w:spacing w:after="0" w:line="20" w:lineRule="exact"/>
        <w:rPr>
          <w:rFonts w:ascii="Times New Roman" w:cs="Times New Roman" w:eastAsia="Times New Roman" w:hAnsi="Times New Roman"/>
          <w:sz w:val="24"/>
          <w:szCs w:val="24"/>
          <w:color w:val="auto"/>
        </w:rPr>
      </w:pPr>
    </w:p>
    <w:p>
      <w:pPr>
        <w:ind w:left="508" w:hanging="508"/>
        <w:spacing w:after="0" w:line="350" w:lineRule="auto"/>
        <w:tabs>
          <w:tab w:leader="none" w:pos="508" w:val="left"/>
        </w:tabs>
        <w:numPr>
          <w:ilvl w:val="0"/>
          <w:numId w:val="5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 has entered into an agreement with a depository for dematerialisation of its specified securities already issued and proposed to be issued;</w:t>
      </w:r>
    </w:p>
    <w:p>
      <w:pPr>
        <w:spacing w:after="0" w:line="10" w:lineRule="exact"/>
        <w:rPr>
          <w:rFonts w:ascii="Times New Roman" w:cs="Times New Roman" w:eastAsia="Times New Roman" w:hAnsi="Times New Roman"/>
          <w:sz w:val="24"/>
          <w:szCs w:val="24"/>
          <w:color w:val="auto"/>
        </w:rPr>
      </w:pPr>
    </w:p>
    <w:p>
      <w:pPr>
        <w:ind w:left="508" w:hanging="508"/>
        <w:spacing w:after="0"/>
        <w:tabs>
          <w:tab w:leader="none" w:pos="508" w:val="left"/>
        </w:tabs>
        <w:numPr>
          <w:ilvl w:val="0"/>
          <w:numId w:val="5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all its existing partly paid-up equity shares have either been fully paid-up or forfeited;</w:t>
      </w:r>
    </w:p>
    <w:p>
      <w:pPr>
        <w:spacing w:after="0" w:line="139" w:lineRule="exact"/>
        <w:rPr>
          <w:rFonts w:ascii="Times New Roman" w:cs="Times New Roman" w:eastAsia="Times New Roman" w:hAnsi="Times New Roman"/>
          <w:sz w:val="24"/>
          <w:szCs w:val="24"/>
          <w:color w:val="auto"/>
        </w:rPr>
      </w:pPr>
    </w:p>
    <w:p>
      <w:pPr>
        <w:ind w:left="508" w:hanging="508"/>
        <w:spacing w:after="0"/>
        <w:tabs>
          <w:tab w:leader="none" w:pos="508" w:val="left"/>
        </w:tabs>
        <w:numPr>
          <w:ilvl w:val="0"/>
          <w:numId w:val="5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all specified securities held by the promoters are in the dematerialised form;</w:t>
      </w:r>
    </w:p>
    <w:p>
      <w:pPr>
        <w:spacing w:after="0" w:line="149" w:lineRule="exact"/>
        <w:rPr>
          <w:rFonts w:ascii="Times New Roman" w:cs="Times New Roman" w:eastAsia="Times New Roman" w:hAnsi="Times New Roman"/>
          <w:sz w:val="24"/>
          <w:szCs w:val="24"/>
          <w:color w:val="auto"/>
        </w:rPr>
      </w:pPr>
    </w:p>
    <w:p>
      <w:pPr>
        <w:jc w:val="both"/>
        <w:ind w:left="508" w:hanging="508"/>
        <w:spacing w:after="0" w:line="356" w:lineRule="auto"/>
        <w:tabs>
          <w:tab w:leader="none" w:pos="508" w:val="left"/>
        </w:tabs>
        <w:numPr>
          <w:ilvl w:val="0"/>
          <w:numId w:val="5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 has made firm arrangements of finance through verifiable means towards seventy five per cent. of the stated means of finance for the project proposed to be funded from the issue proceeds, excluding the amount to be raised through the proposed public offer or through existing identifiable internal accruals.</w:t>
      </w:r>
    </w:p>
    <w:p>
      <w:pPr>
        <w:spacing w:after="0" w:line="6" w:lineRule="exact"/>
        <w:rPr>
          <w:rFonts w:ascii="Times New Roman" w:cs="Times New Roman" w:eastAsia="Times New Roman" w:hAnsi="Times New Roman"/>
          <w:sz w:val="24"/>
          <w:szCs w:val="24"/>
          <w:color w:val="auto"/>
        </w:rPr>
      </w:pPr>
    </w:p>
    <w:p>
      <w:pPr>
        <w:ind w:left="508"/>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Explanation</w:t>
      </w:r>
      <w:r>
        <w:rPr>
          <w:rFonts w:ascii="Times New Roman" w:cs="Times New Roman" w:eastAsia="Times New Roman" w:hAnsi="Times New Roman"/>
          <w:sz w:val="24"/>
          <w:szCs w:val="24"/>
          <w:color w:val="auto"/>
        </w:rPr>
        <w:t>: “project” means the object for which monies are proposed to be raised to</w:t>
      </w:r>
    </w:p>
    <w:p>
      <w:pPr>
        <w:spacing w:after="0" w:line="139" w:lineRule="exact"/>
        <w:rPr>
          <w:sz w:val="20"/>
          <w:szCs w:val="20"/>
          <w:color w:val="auto"/>
        </w:rPr>
      </w:pPr>
    </w:p>
    <w:p>
      <w:pPr>
        <w:ind w:left="508"/>
        <w:spacing w:after="0"/>
        <w:rPr>
          <w:sz w:val="20"/>
          <w:szCs w:val="20"/>
          <w:color w:val="auto"/>
        </w:rPr>
      </w:pPr>
      <w:r>
        <w:rPr>
          <w:rFonts w:ascii="Times New Roman" w:cs="Times New Roman" w:eastAsia="Times New Roman" w:hAnsi="Times New Roman"/>
          <w:sz w:val="24"/>
          <w:szCs w:val="24"/>
          <w:color w:val="auto"/>
        </w:rPr>
        <w:t>cover the objects of the issue</w:t>
      </w:r>
    </w:p>
    <w:p>
      <w:pPr>
        <w:spacing w:after="0" w:line="149" w:lineRule="exact"/>
        <w:rPr>
          <w:sz w:val="20"/>
          <w:szCs w:val="20"/>
          <w:color w:val="auto"/>
        </w:rPr>
      </w:pPr>
    </w:p>
    <w:p>
      <w:pPr>
        <w:ind w:left="728" w:hanging="728"/>
        <w:spacing w:after="0" w:line="354" w:lineRule="auto"/>
        <w:tabs>
          <w:tab w:leader="none" w:pos="367" w:val="left"/>
        </w:tabs>
        <w:numPr>
          <w:ilvl w:val="0"/>
          <w:numId w:val="56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amount for general corporate purposes, as mentioned in objects of the issue in the draft offer document and the offer document shall not exceed twenty five per cent. of the amount being raised by the issuer.</w:t>
      </w:r>
    </w:p>
    <w:p>
      <w:pPr>
        <w:spacing w:after="0" w:line="200" w:lineRule="exact"/>
        <w:rPr>
          <w:sz w:val="20"/>
          <w:szCs w:val="20"/>
          <w:color w:val="auto"/>
        </w:rPr>
      </w:pPr>
    </w:p>
    <w:p>
      <w:pPr>
        <w:spacing w:after="0" w:line="22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II: ISSUE OF CONVERTIBLE DEBT INSTRUMENTS AND WARRANTS</w:t>
      </w:r>
    </w:p>
    <w:p>
      <w:pPr>
        <w:spacing w:after="0" w:line="147" w:lineRule="exact"/>
        <w:rPr>
          <w:sz w:val="20"/>
          <w:szCs w:val="20"/>
          <w:color w:val="auto"/>
        </w:rPr>
      </w:pPr>
    </w:p>
    <w:p>
      <w:pPr>
        <w:ind w:left="8" w:hanging="8"/>
        <w:spacing w:after="0" w:line="348" w:lineRule="auto"/>
        <w:tabs>
          <w:tab w:leader="none" w:pos="605" w:val="left"/>
        </w:tabs>
        <w:numPr>
          <w:ilvl w:val="0"/>
          <w:numId w:val="56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An issuer shall be eligible to make an initial public offer of convertible debt instruments even without making a prior public issue of its equity shares and listing thereof.</w:t>
      </w:r>
    </w:p>
    <w:p>
      <w:pPr>
        <w:spacing w:after="0" w:line="27"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an issuer shall not be eligible if it is in default of payment of interest or repayment of principal amount in respect of debt instruments issued by it to the public, if any, for a period of more than six months.</w:t>
      </w:r>
    </w:p>
    <w:p>
      <w:pPr>
        <w:spacing w:after="0" w:line="200" w:lineRule="exact"/>
        <w:rPr>
          <w:sz w:val="20"/>
          <w:szCs w:val="20"/>
          <w:color w:val="auto"/>
        </w:rPr>
      </w:pPr>
    </w:p>
    <w:p>
      <w:pPr>
        <w:spacing w:after="0" w:line="22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Additional requirements for issue of convertible debt instruments</w:t>
      </w:r>
    </w:p>
    <w:p>
      <w:pPr>
        <w:spacing w:after="0" w:line="145" w:lineRule="exact"/>
        <w:rPr>
          <w:sz w:val="20"/>
          <w:szCs w:val="20"/>
          <w:color w:val="auto"/>
        </w:rPr>
      </w:pPr>
    </w:p>
    <w:p>
      <w:pPr>
        <w:jc w:val="both"/>
        <w:ind w:left="8" w:hanging="8"/>
        <w:spacing w:after="0" w:line="354" w:lineRule="auto"/>
        <w:tabs>
          <w:tab w:leader="none" w:pos="521" w:val="left"/>
        </w:tabs>
        <w:numPr>
          <w:ilvl w:val="0"/>
          <w:numId w:val="56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In addition to other requirements laid down in these regulations, an issuer making an initial public offer of convertible debt instruments shall also comply with the following conditions:</w:t>
      </w:r>
    </w:p>
    <w:p>
      <w:pPr>
        <w:spacing w:after="0" w:line="22" w:lineRule="exact"/>
        <w:rPr>
          <w:sz w:val="20"/>
          <w:szCs w:val="20"/>
          <w:color w:val="auto"/>
        </w:rPr>
      </w:pPr>
    </w:p>
    <w:p>
      <w:pPr>
        <w:ind w:left="4548" w:right="2640" w:hanging="4548"/>
        <w:spacing w:after="0" w:line="571" w:lineRule="auto"/>
        <w:tabs>
          <w:tab w:leader="none" w:pos="498" w:val="left"/>
        </w:tabs>
        <w:numPr>
          <w:ilvl w:val="0"/>
          <w:numId w:val="57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 has obtained credit rating from at least one credit rating agency; 137</w:t>
      </w:r>
    </w:p>
    <w:p>
      <w:pPr>
        <w:sectPr>
          <w:pgSz w:w="11900" w:h="16836" w:orient="portrait"/>
          <w:cols w:equalWidth="0" w:num="1">
            <w:col w:w="9468"/>
          </w:cols>
          <w:pgMar w:left="1152" w:top="1156" w:right="1284" w:bottom="0" w:gutter="0" w:footer="0" w:header="0"/>
        </w:sectPr>
      </w:pPr>
    </w:p>
    <w:bookmarkStart w:id="137" w:name="page138"/>
    <w:bookmarkEnd w:id="137"/>
    <w:p>
      <w:pPr>
        <w:jc w:val="both"/>
        <w:ind w:left="508" w:hanging="508"/>
        <w:spacing w:after="0" w:line="354" w:lineRule="auto"/>
        <w:tabs>
          <w:tab w:leader="none" w:pos="508" w:val="left"/>
        </w:tabs>
        <w:numPr>
          <w:ilvl w:val="0"/>
          <w:numId w:val="5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 has appointed at least one debenture trustees in accordance with the provisions of the Companies Act, 2013 and the Securities and Exchange Board of India (Debenture Trustees) Regulations, 1993;</w:t>
      </w:r>
    </w:p>
    <w:p>
      <w:pPr>
        <w:spacing w:after="0" w:line="20" w:lineRule="exact"/>
        <w:rPr>
          <w:rFonts w:ascii="Times New Roman" w:cs="Times New Roman" w:eastAsia="Times New Roman" w:hAnsi="Times New Roman"/>
          <w:sz w:val="24"/>
          <w:szCs w:val="24"/>
          <w:color w:val="auto"/>
        </w:rPr>
      </w:pPr>
    </w:p>
    <w:p>
      <w:pPr>
        <w:ind w:left="508" w:hanging="508"/>
        <w:spacing w:after="0" w:line="350" w:lineRule="auto"/>
        <w:tabs>
          <w:tab w:leader="none" w:pos="508" w:val="left"/>
        </w:tabs>
        <w:numPr>
          <w:ilvl w:val="0"/>
          <w:numId w:val="5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 shall create a debenture redemption reserve in accordance with the provisions of the Companies Act, 2013 and the rules made thereunder;</w:t>
      </w:r>
    </w:p>
    <w:p>
      <w:pPr>
        <w:spacing w:after="0" w:line="23" w:lineRule="exact"/>
        <w:rPr>
          <w:rFonts w:ascii="Times New Roman" w:cs="Times New Roman" w:eastAsia="Times New Roman" w:hAnsi="Times New Roman"/>
          <w:sz w:val="24"/>
          <w:szCs w:val="24"/>
          <w:color w:val="auto"/>
        </w:rPr>
      </w:pPr>
    </w:p>
    <w:p>
      <w:pPr>
        <w:ind w:left="508" w:hanging="508"/>
        <w:spacing w:after="0" w:line="350" w:lineRule="auto"/>
        <w:tabs>
          <w:tab w:leader="none" w:pos="508" w:val="left"/>
        </w:tabs>
        <w:numPr>
          <w:ilvl w:val="0"/>
          <w:numId w:val="5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issuer proposes to create a charge or security on its assets in respect of secured convertible debt instruments, it shall ensure that:</w:t>
      </w:r>
    </w:p>
    <w:p>
      <w:pPr>
        <w:spacing w:after="0" w:line="10" w:lineRule="exact"/>
        <w:rPr>
          <w:rFonts w:ascii="Times New Roman" w:cs="Times New Roman" w:eastAsia="Times New Roman" w:hAnsi="Times New Roman"/>
          <w:sz w:val="24"/>
          <w:szCs w:val="24"/>
          <w:color w:val="auto"/>
        </w:rPr>
      </w:pPr>
    </w:p>
    <w:p>
      <w:pPr>
        <w:ind w:left="1268" w:hanging="548"/>
        <w:spacing w:after="0"/>
        <w:tabs>
          <w:tab w:leader="none" w:pos="1268" w:val="left"/>
        </w:tabs>
        <w:numPr>
          <w:ilvl w:val="1"/>
          <w:numId w:val="5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such assets are sufficient to discharge the principal amount at all times;</w:t>
      </w:r>
    </w:p>
    <w:p>
      <w:pPr>
        <w:spacing w:after="0" w:line="139" w:lineRule="exact"/>
        <w:rPr>
          <w:rFonts w:ascii="Times New Roman" w:cs="Times New Roman" w:eastAsia="Times New Roman" w:hAnsi="Times New Roman"/>
          <w:sz w:val="24"/>
          <w:szCs w:val="24"/>
          <w:color w:val="auto"/>
        </w:rPr>
      </w:pPr>
    </w:p>
    <w:p>
      <w:pPr>
        <w:ind w:left="1268" w:hanging="548"/>
        <w:spacing w:after="0"/>
        <w:tabs>
          <w:tab w:leader="none" w:pos="1268" w:val="left"/>
        </w:tabs>
        <w:numPr>
          <w:ilvl w:val="1"/>
          <w:numId w:val="5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such assets are free from any encumbrance;</w:t>
      </w:r>
    </w:p>
    <w:p>
      <w:pPr>
        <w:spacing w:after="0" w:line="149" w:lineRule="exact"/>
        <w:rPr>
          <w:rFonts w:ascii="Times New Roman" w:cs="Times New Roman" w:eastAsia="Times New Roman" w:hAnsi="Times New Roman"/>
          <w:sz w:val="24"/>
          <w:szCs w:val="24"/>
          <w:color w:val="auto"/>
        </w:rPr>
      </w:pPr>
    </w:p>
    <w:p>
      <w:pPr>
        <w:jc w:val="both"/>
        <w:ind w:left="1268" w:hanging="548"/>
        <w:spacing w:after="0" w:line="357" w:lineRule="auto"/>
        <w:tabs>
          <w:tab w:leader="none" w:pos="1268" w:val="left"/>
        </w:tabs>
        <w:numPr>
          <w:ilvl w:val="1"/>
          <w:numId w:val="5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where security is already created on such assets in favour of any existing lender or security trustee or the issue of convertible debt instruments is proposed to be secured by creation of security on a leasehold land, the consent of such lender or security trustee or lessor for a second or pari passu charge has been obtained and submitted to the debenture trustee before the opening of the issue;</w:t>
      </w:r>
    </w:p>
    <w:p>
      <w:pPr>
        <w:spacing w:after="0" w:line="18" w:lineRule="exact"/>
        <w:rPr>
          <w:rFonts w:ascii="Times New Roman" w:cs="Times New Roman" w:eastAsia="Times New Roman" w:hAnsi="Times New Roman"/>
          <w:sz w:val="24"/>
          <w:szCs w:val="24"/>
          <w:color w:val="auto"/>
        </w:rPr>
      </w:pPr>
    </w:p>
    <w:p>
      <w:pPr>
        <w:jc w:val="both"/>
        <w:ind w:left="1268" w:hanging="548"/>
        <w:spacing w:after="0" w:line="348" w:lineRule="auto"/>
        <w:tabs>
          <w:tab w:leader="none" w:pos="1268" w:val="left"/>
        </w:tabs>
        <w:numPr>
          <w:ilvl w:val="1"/>
          <w:numId w:val="5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security or asset cover shall be arrived at after reduction of the liabilities having a first or prior charge, in case the convertible debt instruments are secured by a second</w:t>
      </w:r>
    </w:p>
    <w:p>
      <w:pPr>
        <w:spacing w:after="0" w:line="16" w:lineRule="exact"/>
        <w:rPr>
          <w:sz w:val="20"/>
          <w:szCs w:val="20"/>
          <w:color w:val="auto"/>
        </w:rPr>
      </w:pPr>
    </w:p>
    <w:p>
      <w:pPr>
        <w:ind w:left="1268"/>
        <w:spacing w:after="0"/>
        <w:rPr>
          <w:sz w:val="20"/>
          <w:szCs w:val="20"/>
          <w:color w:val="auto"/>
        </w:rPr>
      </w:pPr>
      <w:r>
        <w:rPr>
          <w:rFonts w:ascii="Times New Roman" w:cs="Times New Roman" w:eastAsia="Times New Roman" w:hAnsi="Times New Roman"/>
          <w:sz w:val="24"/>
          <w:szCs w:val="24"/>
          <w:color w:val="auto"/>
        </w:rPr>
        <w:t>or subsequent charge.</w:t>
      </w:r>
    </w:p>
    <w:p>
      <w:pPr>
        <w:spacing w:after="0" w:line="13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(2) The issuer shall redeem the convertible debt instruments as stipulated in the offer document.</w:t>
      </w:r>
    </w:p>
    <w:p>
      <w:pPr>
        <w:spacing w:after="0" w:line="200" w:lineRule="exact"/>
        <w:rPr>
          <w:sz w:val="20"/>
          <w:szCs w:val="20"/>
          <w:color w:val="auto"/>
        </w:rPr>
      </w:pPr>
    </w:p>
    <w:p>
      <w:pPr>
        <w:spacing w:after="0" w:line="35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Conversion of optionally convertible debt instruments into equity share capital</w:t>
      </w:r>
    </w:p>
    <w:p>
      <w:pPr>
        <w:spacing w:after="0" w:line="147" w:lineRule="exact"/>
        <w:rPr>
          <w:sz w:val="20"/>
          <w:szCs w:val="20"/>
          <w:color w:val="auto"/>
        </w:rPr>
      </w:pPr>
    </w:p>
    <w:p>
      <w:pPr>
        <w:jc w:val="both"/>
        <w:ind w:left="8" w:hanging="8"/>
        <w:spacing w:after="0" w:line="356" w:lineRule="auto"/>
        <w:tabs>
          <w:tab w:leader="none" w:pos="497" w:val="left"/>
        </w:tabs>
        <w:numPr>
          <w:ilvl w:val="0"/>
          <w:numId w:val="57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shall not convert its optionally convertible debt instruments into equity shares unless the holders of such convertible debt instruments have sent their positive consent to the issuer and non-receipt of reply to any notice sent by the issuer for this purpose shall not be construed as consent for conversion of any convertible debt instruments.</w:t>
      </w:r>
    </w:p>
    <w:p>
      <w:pPr>
        <w:spacing w:after="0" w:line="19" w:lineRule="exact"/>
        <w:rPr>
          <w:rFonts w:ascii="Times New Roman" w:cs="Times New Roman" w:eastAsia="Times New Roman" w:hAnsi="Times New Roman"/>
          <w:sz w:val="24"/>
          <w:szCs w:val="24"/>
          <w:b w:val="1"/>
          <w:bCs w:val="1"/>
          <w:color w:val="auto"/>
        </w:rPr>
      </w:pPr>
    </w:p>
    <w:p>
      <w:pPr>
        <w:jc w:val="both"/>
        <w:ind w:left="8"/>
        <w:spacing w:after="0" w:line="356"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Where the value of the convertible portion of any listed convertible debt instruments issued by a issuer exceeds fifty lakh rupees and the issuer has not determined the conversion price of such convertible debt instruments at the time of making the issue, the holders of such convertible debt instruments shall be given the option of not converting the convertible portion into equity shares:</w:t>
      </w:r>
    </w:p>
    <w:p>
      <w:pPr>
        <w:spacing w:after="0" w:line="18" w:lineRule="exact"/>
        <w:rPr>
          <w:rFonts w:ascii="Times New Roman" w:cs="Times New Roman" w:eastAsia="Times New Roman" w:hAnsi="Times New Roman"/>
          <w:sz w:val="24"/>
          <w:szCs w:val="24"/>
          <w:b w:val="1"/>
          <w:bCs w:val="1"/>
          <w:color w:val="auto"/>
        </w:rPr>
      </w:pPr>
    </w:p>
    <w:p>
      <w:pPr>
        <w:jc w:val="both"/>
        <w:ind w:left="8"/>
        <w:spacing w:after="0" w:line="356"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where the upper limit on the price of such convertible debt instruments and justification thereon is determined and disclosed to the investors at the time of making the issue, it shall not be necessary to give such option to the holders of the convertible debt instruments for converting the convertible portion into equity share capital within the said upper limit.</w:t>
      </w:r>
    </w:p>
    <w:p>
      <w:pPr>
        <w:spacing w:after="0" w:line="18"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(3) Where an option is to be given to the holders of the convertible debt instruments in terms of sub-regulation (2) and if one or more of such holders do not exercise the option to convert the instruments into equity share capital at a price determined in the general meeting of the</w:t>
      </w:r>
    </w:p>
    <w:p>
      <w:pPr>
        <w:spacing w:after="0" w:line="264"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138</w:t>
      </w:r>
    </w:p>
    <w:p>
      <w:pPr>
        <w:sectPr>
          <w:pgSz w:w="11900" w:h="16836" w:orient="portrait"/>
          <w:cols w:equalWidth="0" w:num="1">
            <w:col w:w="9468"/>
          </w:cols>
          <w:pgMar w:left="1152" w:top="1156" w:right="1284" w:bottom="103" w:gutter="0" w:footer="0" w:header="0"/>
        </w:sectPr>
      </w:pPr>
    </w:p>
    <w:bookmarkStart w:id="138" w:name="page139"/>
    <w:bookmarkEnd w:id="138"/>
    <w:p>
      <w:pPr>
        <w:ind w:left="8"/>
        <w:spacing w:after="0" w:line="348" w:lineRule="auto"/>
        <w:rPr>
          <w:sz w:val="20"/>
          <w:szCs w:val="20"/>
          <w:color w:val="auto"/>
        </w:rPr>
      </w:pPr>
      <w:r>
        <w:rPr>
          <w:rFonts w:ascii="Times New Roman" w:cs="Times New Roman" w:eastAsia="Times New Roman" w:hAnsi="Times New Roman"/>
          <w:sz w:val="24"/>
          <w:szCs w:val="24"/>
          <w:color w:val="auto"/>
        </w:rPr>
        <w:t>shareholders, the issuer shall redeem that part of the instruments within one month from the last date by which option is to be exercised, at a price which shall not be less than its face value.</w:t>
      </w:r>
    </w:p>
    <w:p>
      <w:pPr>
        <w:spacing w:after="0" w:line="28" w:lineRule="exact"/>
        <w:rPr>
          <w:sz w:val="20"/>
          <w:szCs w:val="20"/>
          <w:color w:val="auto"/>
        </w:rPr>
      </w:pPr>
    </w:p>
    <w:p>
      <w:pPr>
        <w:ind w:left="8" w:hanging="8"/>
        <w:spacing w:after="0" w:line="348" w:lineRule="auto"/>
        <w:tabs>
          <w:tab w:leader="none" w:pos="391" w:val="left"/>
        </w:tabs>
        <w:numPr>
          <w:ilvl w:val="0"/>
          <w:numId w:val="57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provision of sub-regulation (3) shall not apply if such redemption is in terms of the disclosures made in the offer document.</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Issue of convertible debt instruments for financing</w:t>
      </w:r>
    </w:p>
    <w:p>
      <w:pPr>
        <w:spacing w:after="0" w:line="147" w:lineRule="exact"/>
        <w:rPr>
          <w:sz w:val="20"/>
          <w:szCs w:val="20"/>
          <w:color w:val="auto"/>
        </w:rPr>
      </w:pPr>
    </w:p>
    <w:p>
      <w:pPr>
        <w:ind w:left="8" w:hanging="8"/>
        <w:spacing w:after="0" w:line="357" w:lineRule="auto"/>
        <w:tabs>
          <w:tab w:leader="none" w:pos="497" w:val="left"/>
        </w:tabs>
        <w:numPr>
          <w:ilvl w:val="0"/>
          <w:numId w:val="57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An issuer shall not issue convertible debt instruments for financing or for providing loans to or for acquiring shares of any person who is part of the promoter group or group companies; Provided that an issuer shall be eligible to issue fully convertible debt instruments for these purposes if the period of conversion of such debt instruments is less than eighteen months from the date of issue of such debt instruments.</w:t>
      </w:r>
    </w:p>
    <w:p>
      <w:pPr>
        <w:spacing w:after="0" w:line="200" w:lineRule="exact"/>
        <w:rPr>
          <w:sz w:val="20"/>
          <w:szCs w:val="20"/>
          <w:color w:val="auto"/>
        </w:rPr>
      </w:pPr>
    </w:p>
    <w:p>
      <w:pPr>
        <w:spacing w:after="0" w:line="225"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Issue of warrants</w:t>
      </w:r>
    </w:p>
    <w:p>
      <w:pPr>
        <w:spacing w:after="0" w:line="132" w:lineRule="exact"/>
        <w:rPr>
          <w:sz w:val="20"/>
          <w:szCs w:val="20"/>
          <w:color w:val="auto"/>
        </w:rPr>
      </w:pPr>
    </w:p>
    <w:p>
      <w:pPr>
        <w:ind w:left="488" w:hanging="488"/>
        <w:spacing w:after="0"/>
        <w:tabs>
          <w:tab w:leader="none" w:pos="488" w:val="left"/>
        </w:tabs>
        <w:numPr>
          <w:ilvl w:val="0"/>
          <w:numId w:val="57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An issuer shall be eligible to issue warrants in an initial public offer subject to the following:</w:t>
      </w:r>
    </w:p>
    <w:p>
      <w:pPr>
        <w:spacing w:after="0" w:line="151" w:lineRule="exact"/>
        <w:rPr>
          <w:sz w:val="20"/>
          <w:szCs w:val="20"/>
          <w:color w:val="auto"/>
        </w:rPr>
      </w:pPr>
    </w:p>
    <w:p>
      <w:pPr>
        <w:ind w:left="508" w:hanging="508"/>
        <w:spacing w:after="0" w:line="348" w:lineRule="auto"/>
        <w:tabs>
          <w:tab w:leader="none" w:pos="508" w:val="left"/>
        </w:tabs>
        <w:numPr>
          <w:ilvl w:val="0"/>
          <w:numId w:val="57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tenure of such warrants shall not exceed eighteen months from their date of allotment in the initial public offer;</w:t>
      </w:r>
    </w:p>
    <w:p>
      <w:pPr>
        <w:spacing w:after="0" w:line="15" w:lineRule="exact"/>
        <w:rPr>
          <w:rFonts w:ascii="Times New Roman" w:cs="Times New Roman" w:eastAsia="Times New Roman" w:hAnsi="Times New Roman"/>
          <w:sz w:val="24"/>
          <w:szCs w:val="24"/>
          <w:color w:val="auto"/>
        </w:rPr>
      </w:pPr>
    </w:p>
    <w:p>
      <w:pPr>
        <w:ind w:left="508" w:hanging="508"/>
        <w:spacing w:after="0"/>
        <w:tabs>
          <w:tab w:leader="none" w:pos="508" w:val="left"/>
        </w:tabs>
        <w:numPr>
          <w:ilvl w:val="0"/>
          <w:numId w:val="57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specified security may have one or more warrants attached to it;</w:t>
      </w:r>
    </w:p>
    <w:p>
      <w:pPr>
        <w:spacing w:after="0" w:line="149" w:lineRule="exact"/>
        <w:rPr>
          <w:rFonts w:ascii="Times New Roman" w:cs="Times New Roman" w:eastAsia="Times New Roman" w:hAnsi="Times New Roman"/>
          <w:sz w:val="24"/>
          <w:szCs w:val="24"/>
          <w:color w:val="auto"/>
        </w:rPr>
      </w:pPr>
    </w:p>
    <w:p>
      <w:pPr>
        <w:jc w:val="both"/>
        <w:ind w:left="508" w:hanging="508"/>
        <w:spacing w:after="0" w:line="354" w:lineRule="auto"/>
        <w:tabs>
          <w:tab w:leader="none" w:pos="508" w:val="left"/>
        </w:tabs>
        <w:numPr>
          <w:ilvl w:val="0"/>
          <w:numId w:val="57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price or formula for determination of exercise price of the warrants shall be determined upfront and disclosed in the offer document and at least twenty-five per cent. of the consideration amount based on the exercise price shall also be received upfront;</w:t>
      </w:r>
    </w:p>
    <w:p>
      <w:pPr>
        <w:spacing w:after="0" w:line="22" w:lineRule="exact"/>
        <w:rPr>
          <w:rFonts w:ascii="Times New Roman" w:cs="Times New Roman" w:eastAsia="Times New Roman" w:hAnsi="Times New Roman"/>
          <w:sz w:val="24"/>
          <w:szCs w:val="24"/>
          <w:color w:val="auto"/>
        </w:rPr>
      </w:pPr>
    </w:p>
    <w:p>
      <w:pPr>
        <w:jc w:val="both"/>
        <w:ind w:left="508"/>
        <w:spacing w:after="0" w:line="35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in case the exercise price of warrants is based on a formula, twenty-five per cent. consideration amount based on the cap price of the price band determined for the linked equity shares or convertible securities shall be received upfront.;</w:t>
      </w:r>
    </w:p>
    <w:p>
      <w:pPr>
        <w:spacing w:after="0" w:line="20" w:lineRule="exact"/>
        <w:rPr>
          <w:rFonts w:ascii="Times New Roman" w:cs="Times New Roman" w:eastAsia="Times New Roman" w:hAnsi="Times New Roman"/>
          <w:sz w:val="24"/>
          <w:szCs w:val="24"/>
          <w:color w:val="auto"/>
        </w:rPr>
      </w:pPr>
    </w:p>
    <w:p>
      <w:pPr>
        <w:jc w:val="both"/>
        <w:ind w:left="508" w:hanging="508"/>
        <w:spacing w:after="0" w:line="356" w:lineRule="auto"/>
        <w:tabs>
          <w:tab w:leader="none" w:pos="508" w:val="left"/>
        </w:tabs>
        <w:numPr>
          <w:ilvl w:val="0"/>
          <w:numId w:val="57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the warrant holder does not exercise the option to take equity shares against any of the warrants held by the warrant holder, within three months from the date of payment of consideration, such consideration made in respect of such warrants shall be forfeited by the issuer.</w:t>
      </w:r>
    </w:p>
    <w:p>
      <w:pPr>
        <w:spacing w:after="0" w:line="200" w:lineRule="exact"/>
        <w:rPr>
          <w:sz w:val="20"/>
          <w:szCs w:val="20"/>
          <w:color w:val="auto"/>
        </w:rPr>
      </w:pPr>
    </w:p>
    <w:p>
      <w:pPr>
        <w:spacing w:after="0" w:line="226"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III: PROMOTERS’ CONTRIBUTION</w:t>
      </w:r>
    </w:p>
    <w:p>
      <w:pPr>
        <w:spacing w:after="0" w:line="200" w:lineRule="exact"/>
        <w:rPr>
          <w:sz w:val="20"/>
          <w:szCs w:val="20"/>
          <w:color w:val="auto"/>
        </w:rPr>
      </w:pPr>
    </w:p>
    <w:p>
      <w:pPr>
        <w:spacing w:after="0" w:line="35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Minimum promoters’ contribution</w:t>
      </w:r>
    </w:p>
    <w:p>
      <w:pPr>
        <w:spacing w:after="0" w:line="145" w:lineRule="exact"/>
        <w:rPr>
          <w:sz w:val="20"/>
          <w:szCs w:val="20"/>
          <w:color w:val="auto"/>
        </w:rPr>
      </w:pPr>
    </w:p>
    <w:p>
      <w:pPr>
        <w:ind w:left="8" w:hanging="8"/>
        <w:spacing w:after="0" w:line="356" w:lineRule="auto"/>
        <w:tabs>
          <w:tab w:leader="none" w:pos="488" w:val="left"/>
        </w:tabs>
        <w:numPr>
          <w:ilvl w:val="0"/>
          <w:numId w:val="57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promoters of the issuer shall hold at least twenty per cent. of the post-issue capital: Provided that in case the post-issue shareholding of the promoters is less than twenty per cent., alternative investment funds or foreign venture capital investors or scheduled commercial banks or public financial institutions or insurance companies registered with Insurance Regulatory and</w:t>
      </w:r>
    </w:p>
    <w:p>
      <w:pPr>
        <w:spacing w:after="0" w:line="263"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139</w:t>
      </w:r>
    </w:p>
    <w:p>
      <w:pPr>
        <w:sectPr>
          <w:pgSz w:w="11900" w:h="16836" w:orient="portrait"/>
          <w:cols w:equalWidth="0" w:num="1">
            <w:col w:w="9468"/>
          </w:cols>
          <w:pgMar w:left="1152" w:top="1156" w:right="1284" w:bottom="103" w:gutter="0" w:footer="0" w:header="0"/>
        </w:sectPr>
      </w:pPr>
    </w:p>
    <w:bookmarkStart w:id="139" w:name="page140"/>
    <w:bookmarkEnd w:id="139"/>
    <w:p>
      <w:pPr>
        <w:jc w:val="both"/>
        <w:ind w:left="8"/>
        <w:spacing w:after="0" w:line="354" w:lineRule="auto"/>
        <w:rPr>
          <w:sz w:val="20"/>
          <w:szCs w:val="20"/>
          <w:color w:val="auto"/>
        </w:rPr>
      </w:pPr>
      <w:r>
        <w:rPr>
          <w:rFonts w:ascii="Times New Roman" w:cs="Times New Roman" w:eastAsia="Times New Roman" w:hAnsi="Times New Roman"/>
          <w:sz w:val="24"/>
          <w:szCs w:val="24"/>
          <w:color w:val="auto"/>
        </w:rPr>
        <w:t>Development Authority of India may contribute to meet the shortfall in minimum contribution as specified for the promoters, subject to a maximum of ten per cent. of the post-issue capital without being identified as promoter(s);</w:t>
      </w:r>
    </w:p>
    <w:p>
      <w:pPr>
        <w:spacing w:after="0" w:line="20" w:lineRule="exact"/>
        <w:rPr>
          <w:sz w:val="20"/>
          <w:szCs w:val="20"/>
          <w:color w:val="auto"/>
        </w:rPr>
      </w:pPr>
    </w:p>
    <w:p>
      <w:pPr>
        <w:jc w:val="both"/>
        <w:ind w:left="8"/>
        <w:spacing w:after="0" w:line="350" w:lineRule="auto"/>
        <w:rPr>
          <w:sz w:val="20"/>
          <w:szCs w:val="20"/>
          <w:color w:val="auto"/>
        </w:rPr>
      </w:pPr>
      <w:r>
        <w:rPr>
          <w:rFonts w:ascii="Times New Roman" w:cs="Times New Roman" w:eastAsia="Times New Roman" w:hAnsi="Times New Roman"/>
          <w:sz w:val="24"/>
          <w:szCs w:val="24"/>
          <w:color w:val="auto"/>
        </w:rPr>
        <w:t>Provided further that the requirement of minimum promoters’ contribution shall not apply in case an issuer does not have any identifiable promoter.</w:t>
      </w:r>
    </w:p>
    <w:p>
      <w:pPr>
        <w:spacing w:after="0" w:line="11"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(2) The minimum promoters’ contribution shall be as follows:</w:t>
      </w:r>
    </w:p>
    <w:p>
      <w:pPr>
        <w:spacing w:after="0" w:line="151" w:lineRule="exact"/>
        <w:rPr>
          <w:sz w:val="20"/>
          <w:szCs w:val="20"/>
          <w:color w:val="auto"/>
        </w:rPr>
      </w:pPr>
    </w:p>
    <w:p>
      <w:pPr>
        <w:jc w:val="both"/>
        <w:ind w:left="508" w:hanging="508"/>
        <w:spacing w:after="0" w:line="354" w:lineRule="auto"/>
        <w:tabs>
          <w:tab w:leader="none" w:pos="508" w:val="left"/>
        </w:tabs>
        <w:numPr>
          <w:ilvl w:val="0"/>
          <w:numId w:val="57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promoters shall contribute twenty per cent. as stipulated sub-regulation (1), as the case may be, either by way of equity shares or by way of subscription to the convertible securities:</w:t>
      </w:r>
    </w:p>
    <w:p>
      <w:pPr>
        <w:spacing w:after="0" w:line="20" w:lineRule="exact"/>
        <w:rPr>
          <w:rFonts w:ascii="Times New Roman" w:cs="Times New Roman" w:eastAsia="Times New Roman" w:hAnsi="Times New Roman"/>
          <w:sz w:val="24"/>
          <w:szCs w:val="24"/>
          <w:color w:val="auto"/>
        </w:rPr>
      </w:pPr>
    </w:p>
    <w:p>
      <w:pPr>
        <w:jc w:val="both"/>
        <w:ind w:left="508"/>
        <w:spacing w:after="0" w:line="357"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if the price of the equity shares allotted pursuant to conversion is not pre-determined and not disclosed in the offer document, the promoters shall contribute only by way of subscription to the convertible securities being issued in the public offer and shall undertake in writing to subscribe to the equity shares pursuant to conversion of such securities.</w:t>
      </w:r>
    </w:p>
    <w:p>
      <w:pPr>
        <w:spacing w:after="0" w:line="18" w:lineRule="exact"/>
        <w:rPr>
          <w:rFonts w:ascii="Times New Roman" w:cs="Times New Roman" w:eastAsia="Times New Roman" w:hAnsi="Times New Roman"/>
          <w:sz w:val="24"/>
          <w:szCs w:val="24"/>
          <w:color w:val="auto"/>
        </w:rPr>
      </w:pPr>
    </w:p>
    <w:p>
      <w:pPr>
        <w:jc w:val="both"/>
        <w:ind w:left="508" w:hanging="508"/>
        <w:spacing w:after="0" w:line="356" w:lineRule="auto"/>
        <w:tabs>
          <w:tab w:leader="none" w:pos="508" w:val="left"/>
        </w:tabs>
        <w:numPr>
          <w:ilvl w:val="0"/>
          <w:numId w:val="57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any issue of convertible securities which are convertible or exchangeable on different dates and if the promoters’ contribution is by way of equity shares (conversion price being pre-determined), such contribution shall not be at a price lower than the weighted average price of the equity share capital arising out of conversion of such securities.</w:t>
      </w:r>
    </w:p>
    <w:p>
      <w:pPr>
        <w:spacing w:after="0" w:line="18" w:lineRule="exact"/>
        <w:rPr>
          <w:rFonts w:ascii="Times New Roman" w:cs="Times New Roman" w:eastAsia="Times New Roman" w:hAnsi="Times New Roman"/>
          <w:sz w:val="24"/>
          <w:szCs w:val="24"/>
          <w:color w:val="auto"/>
        </w:rPr>
      </w:pPr>
    </w:p>
    <w:p>
      <w:pPr>
        <w:jc w:val="both"/>
        <w:ind w:left="508" w:hanging="508"/>
        <w:spacing w:after="0" w:line="357" w:lineRule="auto"/>
        <w:tabs>
          <w:tab w:leader="none" w:pos="508" w:val="left"/>
        </w:tabs>
        <w:numPr>
          <w:ilvl w:val="0"/>
          <w:numId w:val="57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subject to the provisions of clause (a) and (b) above, in case of an initial public offer of convertible debt instruments without a prior public issue of equity shares, the promoters shall bring in a contribution of at least twenty per cent. of the project cost in the form of equity shares, subject to contributing at least twenty per cent. of the issue size from its own funds in the form of equity shares:</w:t>
      </w:r>
    </w:p>
    <w:p>
      <w:pPr>
        <w:spacing w:after="0" w:line="16" w:lineRule="exact"/>
        <w:rPr>
          <w:rFonts w:ascii="Times New Roman" w:cs="Times New Roman" w:eastAsia="Times New Roman" w:hAnsi="Times New Roman"/>
          <w:sz w:val="24"/>
          <w:szCs w:val="24"/>
          <w:color w:val="auto"/>
        </w:rPr>
      </w:pPr>
    </w:p>
    <w:p>
      <w:pPr>
        <w:jc w:val="both"/>
        <w:ind w:left="548"/>
        <w:spacing w:after="0" w:line="35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if the project is to be implemented in stages, the promoters’ contribution shall be with respect to total equity participation till the respective stage vis-à-vis the debt raised or proposed to be raised through the public offer.</w:t>
      </w:r>
    </w:p>
    <w:p>
      <w:pPr>
        <w:spacing w:after="0" w:line="22" w:lineRule="exact"/>
        <w:rPr>
          <w:rFonts w:ascii="Times New Roman" w:cs="Times New Roman" w:eastAsia="Times New Roman" w:hAnsi="Times New Roman"/>
          <w:sz w:val="24"/>
          <w:szCs w:val="24"/>
          <w:color w:val="auto"/>
        </w:rPr>
      </w:pPr>
    </w:p>
    <w:p>
      <w:pPr>
        <w:ind w:left="508" w:hanging="508"/>
        <w:spacing w:after="0" w:line="348" w:lineRule="auto"/>
        <w:tabs>
          <w:tab w:leader="none" w:pos="508" w:val="left"/>
        </w:tabs>
        <w:numPr>
          <w:ilvl w:val="0"/>
          <w:numId w:val="57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promoters shall satisfy the requirements of this regulation at least one day prior to the date of opening of the issue.</w:t>
      </w:r>
    </w:p>
    <w:p>
      <w:pPr>
        <w:spacing w:after="0" w:line="27" w:lineRule="exact"/>
        <w:rPr>
          <w:rFonts w:ascii="Times New Roman" w:cs="Times New Roman" w:eastAsia="Times New Roman" w:hAnsi="Times New Roman"/>
          <w:sz w:val="24"/>
          <w:szCs w:val="24"/>
          <w:color w:val="auto"/>
        </w:rPr>
      </w:pPr>
    </w:p>
    <w:p>
      <w:pPr>
        <w:jc w:val="both"/>
        <w:ind w:left="508" w:hanging="508"/>
        <w:spacing w:after="0" w:line="356" w:lineRule="auto"/>
        <w:tabs>
          <w:tab w:leader="none" w:pos="508" w:val="left"/>
        </w:tabs>
        <w:numPr>
          <w:ilvl w:val="0"/>
          <w:numId w:val="57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the promoters have to subscribe to equity shares or convertible securities towards minimum promoters’ contribution, the amount of promoters’ contribution shall be kept in an escrow account with a scheduled commercial bank, which shall be released to the issuer along with the release of the issue proceeds:</w:t>
      </w:r>
    </w:p>
    <w:p>
      <w:pPr>
        <w:spacing w:after="0" w:line="18" w:lineRule="exact"/>
        <w:rPr>
          <w:rFonts w:ascii="Times New Roman" w:cs="Times New Roman" w:eastAsia="Times New Roman" w:hAnsi="Times New Roman"/>
          <w:sz w:val="24"/>
          <w:szCs w:val="24"/>
          <w:color w:val="auto"/>
        </w:rPr>
      </w:pPr>
    </w:p>
    <w:p>
      <w:pPr>
        <w:jc w:val="both"/>
        <w:ind w:left="508"/>
        <w:spacing w:after="0" w:line="35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where the promoters’ contribution has already been brought in and utilised, the issuer shall give the cash flow statement disclosing the use of such funds in the offer document;</w:t>
      </w:r>
    </w:p>
    <w:p>
      <w:pPr>
        <w:spacing w:after="0" w:line="264"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140</w:t>
      </w:r>
    </w:p>
    <w:p>
      <w:pPr>
        <w:sectPr>
          <w:pgSz w:w="11900" w:h="16836" w:orient="portrait"/>
          <w:cols w:equalWidth="0" w:num="1">
            <w:col w:w="9468"/>
          </w:cols>
          <w:pgMar w:left="1152" w:top="1156" w:right="1284" w:bottom="103" w:gutter="0" w:footer="0" w:header="0"/>
        </w:sectPr>
      </w:pPr>
    </w:p>
    <w:bookmarkStart w:id="140" w:name="page141"/>
    <w:bookmarkEnd w:id="140"/>
    <w:p>
      <w:pPr>
        <w:ind w:left="8"/>
        <w:spacing w:after="0"/>
        <w:rPr>
          <w:sz w:val="20"/>
          <w:szCs w:val="20"/>
          <w:color w:val="auto"/>
        </w:rPr>
      </w:pPr>
      <w:r>
        <w:rPr>
          <w:rFonts w:ascii="Times New Roman" w:cs="Times New Roman" w:eastAsia="Times New Roman" w:hAnsi="Times New Roman"/>
          <w:sz w:val="24"/>
          <w:szCs w:val="24"/>
          <w:b w:val="1"/>
          <w:bCs w:val="1"/>
          <w:color w:val="auto"/>
        </w:rPr>
        <w:t>Explanation</w:t>
      </w:r>
      <w:r>
        <w:rPr>
          <w:rFonts w:ascii="Times New Roman" w:cs="Times New Roman" w:eastAsia="Times New Roman" w:hAnsi="Times New Roman"/>
          <w:sz w:val="24"/>
          <w:szCs w:val="24"/>
          <w:color w:val="auto"/>
        </w:rPr>
        <w:t>: For the purpose of this regulation:</w:t>
      </w:r>
    </w:p>
    <w:p>
      <w:pPr>
        <w:spacing w:after="0" w:line="137" w:lineRule="exact"/>
        <w:rPr>
          <w:sz w:val="20"/>
          <w:szCs w:val="20"/>
          <w:color w:val="auto"/>
        </w:rPr>
      </w:pPr>
    </w:p>
    <w:p>
      <w:pPr>
        <w:ind w:left="508" w:hanging="508"/>
        <w:spacing w:after="0"/>
        <w:tabs>
          <w:tab w:leader="none" w:pos="508" w:val="left"/>
        </w:tabs>
        <w:numPr>
          <w:ilvl w:val="0"/>
          <w:numId w:val="57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Promoters’ contribution shall be computed on the basis of the post-issue expanded capital:</w:t>
      </w:r>
    </w:p>
    <w:p>
      <w:pPr>
        <w:spacing w:after="0" w:line="139" w:lineRule="exact"/>
        <w:rPr>
          <w:rFonts w:ascii="Times New Roman" w:cs="Times New Roman" w:eastAsia="Times New Roman" w:hAnsi="Times New Roman"/>
          <w:sz w:val="24"/>
          <w:szCs w:val="24"/>
          <w:color w:val="auto"/>
        </w:rPr>
      </w:pPr>
    </w:p>
    <w:p>
      <w:pPr>
        <w:ind w:left="828" w:hanging="324"/>
        <w:spacing w:after="0"/>
        <w:tabs>
          <w:tab w:leader="none" w:pos="828" w:val="left"/>
        </w:tabs>
        <w:numPr>
          <w:ilvl w:val="1"/>
          <w:numId w:val="57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assuming full proposed conversion of convertible securities into equity shares;</w:t>
      </w:r>
    </w:p>
    <w:p>
      <w:pPr>
        <w:spacing w:after="0" w:line="136" w:lineRule="exact"/>
        <w:rPr>
          <w:rFonts w:ascii="Times New Roman" w:cs="Times New Roman" w:eastAsia="Times New Roman" w:hAnsi="Times New Roman"/>
          <w:sz w:val="24"/>
          <w:szCs w:val="24"/>
          <w:color w:val="auto"/>
        </w:rPr>
      </w:pPr>
    </w:p>
    <w:p>
      <w:pPr>
        <w:ind w:left="928" w:hanging="424"/>
        <w:spacing w:after="0"/>
        <w:tabs>
          <w:tab w:leader="none" w:pos="928" w:val="left"/>
        </w:tabs>
        <w:numPr>
          <w:ilvl w:val="1"/>
          <w:numId w:val="57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assuming  exercise  of  all  vested  options,  where  any  employee  stock  options  are</w:t>
      </w:r>
    </w:p>
    <w:p>
      <w:pPr>
        <w:spacing w:after="0" w:line="139" w:lineRule="exact"/>
        <w:rPr>
          <w:sz w:val="20"/>
          <w:szCs w:val="20"/>
          <w:color w:val="auto"/>
        </w:rPr>
      </w:pPr>
    </w:p>
    <w:p>
      <w:pPr>
        <w:ind w:left="508"/>
        <w:spacing w:after="0"/>
        <w:rPr>
          <w:sz w:val="20"/>
          <w:szCs w:val="20"/>
          <w:color w:val="auto"/>
        </w:rPr>
      </w:pPr>
      <w:r>
        <w:rPr>
          <w:rFonts w:ascii="Times New Roman" w:cs="Times New Roman" w:eastAsia="Times New Roman" w:hAnsi="Times New Roman"/>
          <w:sz w:val="24"/>
          <w:szCs w:val="24"/>
          <w:color w:val="auto"/>
        </w:rPr>
        <w:t>outstanding at the time of initial public offer.</w:t>
      </w:r>
    </w:p>
    <w:p>
      <w:pPr>
        <w:spacing w:after="0" w:line="137" w:lineRule="exact"/>
        <w:rPr>
          <w:sz w:val="20"/>
          <w:szCs w:val="20"/>
          <w:color w:val="auto"/>
        </w:rPr>
      </w:pPr>
    </w:p>
    <w:p>
      <w:pPr>
        <w:ind w:left="508" w:hanging="508"/>
        <w:spacing w:after="0"/>
        <w:tabs>
          <w:tab w:leader="none" w:pos="508" w:val="left"/>
        </w:tabs>
        <w:numPr>
          <w:ilvl w:val="0"/>
          <w:numId w:val="58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For computation of “weighted average price”:</w:t>
      </w:r>
    </w:p>
    <w:p>
      <w:pPr>
        <w:spacing w:after="0" w:line="151" w:lineRule="exact"/>
        <w:rPr>
          <w:sz w:val="20"/>
          <w:szCs w:val="20"/>
          <w:color w:val="auto"/>
        </w:rPr>
      </w:pPr>
    </w:p>
    <w:p>
      <w:pPr>
        <w:ind w:left="508"/>
        <w:spacing w:after="0" w:line="348" w:lineRule="auto"/>
        <w:rPr>
          <w:sz w:val="20"/>
          <w:szCs w:val="20"/>
          <w:color w:val="auto"/>
        </w:rPr>
      </w:pPr>
      <w:r>
        <w:rPr>
          <w:rFonts w:ascii="Times New Roman" w:cs="Times New Roman" w:eastAsia="Times New Roman" w:hAnsi="Times New Roman"/>
          <w:sz w:val="24"/>
          <w:szCs w:val="24"/>
          <w:color w:val="auto"/>
        </w:rPr>
        <w:t>(a) “weights” means the number of equity shares arising out of conversion of such specified securities into equity shares at various stages;</w:t>
      </w:r>
    </w:p>
    <w:p>
      <w:pPr>
        <w:spacing w:after="0" w:line="28" w:lineRule="exact"/>
        <w:rPr>
          <w:sz w:val="20"/>
          <w:szCs w:val="20"/>
          <w:color w:val="auto"/>
        </w:rPr>
      </w:pPr>
    </w:p>
    <w:p>
      <w:pPr>
        <w:ind w:left="508" w:hanging="4"/>
        <w:spacing w:after="0" w:line="348" w:lineRule="auto"/>
        <w:tabs>
          <w:tab w:leader="none" w:pos="846" w:val="left"/>
        </w:tabs>
        <w:numPr>
          <w:ilvl w:val="0"/>
          <w:numId w:val="58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“price” means the price of equity shares on conversion arrived at after taking into account predetermined conversion price at various stages.</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Securities ineligible for minimum promoters’ contribution</w:t>
      </w:r>
    </w:p>
    <w:p>
      <w:pPr>
        <w:spacing w:after="0" w:line="134" w:lineRule="exact"/>
        <w:rPr>
          <w:sz w:val="20"/>
          <w:szCs w:val="20"/>
          <w:color w:val="auto"/>
        </w:rPr>
      </w:pPr>
    </w:p>
    <w:p>
      <w:pPr>
        <w:ind w:left="548" w:hanging="548"/>
        <w:spacing w:after="0"/>
        <w:tabs>
          <w:tab w:leader="none" w:pos="548" w:val="left"/>
        </w:tabs>
        <w:numPr>
          <w:ilvl w:val="0"/>
          <w:numId w:val="58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For  the  computation  of  minimum  promoters’  contribution,  the  following  specified</w:t>
      </w:r>
    </w:p>
    <w:p>
      <w:pPr>
        <w:spacing w:after="0" w:line="13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securities shall not be eligible:</w:t>
      </w:r>
    </w:p>
    <w:p>
      <w:pPr>
        <w:spacing w:after="0" w:line="132" w:lineRule="exact"/>
        <w:rPr>
          <w:sz w:val="20"/>
          <w:szCs w:val="20"/>
          <w:color w:val="auto"/>
        </w:rPr>
      </w:pPr>
    </w:p>
    <w:p>
      <w:pPr>
        <w:ind w:left="548" w:hanging="512"/>
        <w:spacing w:after="0"/>
        <w:tabs>
          <w:tab w:leader="none" w:pos="548" w:val="left"/>
        </w:tabs>
        <w:numPr>
          <w:ilvl w:val="0"/>
          <w:numId w:val="583"/>
        </w:numPr>
        <w:rPr>
          <w:rFonts w:ascii="Calibri" w:cs="Calibri" w:eastAsia="Calibri" w:hAnsi="Calibri"/>
          <w:sz w:val="22"/>
          <w:szCs w:val="22"/>
          <w:color w:val="auto"/>
        </w:rPr>
      </w:pPr>
      <w:r>
        <w:rPr>
          <w:rFonts w:ascii="Times New Roman" w:cs="Times New Roman" w:eastAsia="Times New Roman" w:hAnsi="Times New Roman"/>
          <w:sz w:val="24"/>
          <w:szCs w:val="24"/>
          <w:color w:val="auto"/>
        </w:rPr>
        <w:t>specified securities acquired during the preceding three years, if they are:</w:t>
      </w:r>
    </w:p>
    <w:p>
      <w:pPr>
        <w:spacing w:after="0" w:line="149" w:lineRule="exact"/>
        <w:rPr>
          <w:rFonts w:ascii="Calibri" w:cs="Calibri" w:eastAsia="Calibri" w:hAnsi="Calibri"/>
          <w:sz w:val="22"/>
          <w:szCs w:val="22"/>
          <w:color w:val="auto"/>
        </w:rPr>
      </w:pPr>
    </w:p>
    <w:p>
      <w:pPr>
        <w:ind w:left="1088" w:hanging="512"/>
        <w:spacing w:after="0" w:line="344" w:lineRule="auto"/>
        <w:tabs>
          <w:tab w:leader="none" w:pos="1088" w:val="left"/>
        </w:tabs>
        <w:numPr>
          <w:ilvl w:val="1"/>
          <w:numId w:val="583"/>
        </w:numPr>
        <w:rPr>
          <w:rFonts w:ascii="Calibri" w:cs="Calibri" w:eastAsia="Calibri" w:hAnsi="Calibri"/>
          <w:sz w:val="22"/>
          <w:szCs w:val="22"/>
          <w:color w:val="auto"/>
        </w:rPr>
      </w:pPr>
      <w:r>
        <w:rPr>
          <w:rFonts w:ascii="Times New Roman" w:cs="Times New Roman" w:eastAsia="Times New Roman" w:hAnsi="Times New Roman"/>
          <w:sz w:val="24"/>
          <w:szCs w:val="24"/>
          <w:color w:val="auto"/>
        </w:rPr>
        <w:t>acquired for consideration other than cash and revaluation of assets or capitalisation of intangible assets is involved in such transaction; or</w:t>
      </w:r>
    </w:p>
    <w:p>
      <w:pPr>
        <w:spacing w:after="0" w:line="26" w:lineRule="exact"/>
        <w:rPr>
          <w:rFonts w:ascii="Calibri" w:cs="Calibri" w:eastAsia="Calibri" w:hAnsi="Calibri"/>
          <w:sz w:val="22"/>
          <w:szCs w:val="22"/>
          <w:color w:val="auto"/>
        </w:rPr>
      </w:pPr>
    </w:p>
    <w:p>
      <w:pPr>
        <w:jc w:val="both"/>
        <w:ind w:left="1088" w:hanging="512"/>
        <w:spacing w:after="0" w:line="350" w:lineRule="auto"/>
        <w:tabs>
          <w:tab w:leader="none" w:pos="1088" w:val="left"/>
        </w:tabs>
        <w:numPr>
          <w:ilvl w:val="1"/>
          <w:numId w:val="583"/>
        </w:numPr>
        <w:rPr>
          <w:rFonts w:ascii="Calibri" w:cs="Calibri" w:eastAsia="Calibri" w:hAnsi="Calibri"/>
          <w:sz w:val="22"/>
          <w:szCs w:val="22"/>
          <w:color w:val="auto"/>
        </w:rPr>
      </w:pPr>
      <w:r>
        <w:rPr>
          <w:rFonts w:ascii="Times New Roman" w:cs="Times New Roman" w:eastAsia="Times New Roman" w:hAnsi="Times New Roman"/>
          <w:sz w:val="24"/>
          <w:szCs w:val="24"/>
          <w:color w:val="auto"/>
        </w:rPr>
        <w:t>resulting from a bonus issue by utilisation of revaluation reserves or unrealised profits of the issuer or from bonus issue against equity shares which are ineligible for minimum promoters’ contribution;</w:t>
      </w:r>
    </w:p>
    <w:p>
      <w:pPr>
        <w:spacing w:after="0" w:line="25" w:lineRule="exact"/>
        <w:rPr>
          <w:rFonts w:ascii="Calibri" w:cs="Calibri" w:eastAsia="Calibri" w:hAnsi="Calibri"/>
          <w:sz w:val="22"/>
          <w:szCs w:val="22"/>
          <w:color w:val="auto"/>
        </w:rPr>
      </w:pPr>
    </w:p>
    <w:p>
      <w:pPr>
        <w:jc w:val="both"/>
        <w:ind w:left="548" w:hanging="512"/>
        <w:spacing w:after="0" w:line="355" w:lineRule="auto"/>
        <w:tabs>
          <w:tab w:leader="none" w:pos="548" w:val="left"/>
        </w:tabs>
        <w:numPr>
          <w:ilvl w:val="0"/>
          <w:numId w:val="583"/>
        </w:numPr>
        <w:rPr>
          <w:rFonts w:ascii="Calibri" w:cs="Calibri" w:eastAsia="Calibri" w:hAnsi="Calibri"/>
          <w:sz w:val="22"/>
          <w:szCs w:val="22"/>
          <w:color w:val="auto"/>
        </w:rPr>
      </w:pPr>
      <w:r>
        <w:rPr>
          <w:rFonts w:ascii="Times New Roman" w:cs="Times New Roman" w:eastAsia="Times New Roman" w:hAnsi="Times New Roman"/>
          <w:sz w:val="24"/>
          <w:szCs w:val="24"/>
          <w:color w:val="auto"/>
        </w:rPr>
        <w:t>specified securities acquired by the promoters and alternative investment funds or foreign venture capital investors or scheduled commercial banks or public financial institutions or insurance companies registered with Insurance Regulatory and Development Authority of India, during the preceding one year at a price lower than the price at which specified securities are being offered to the public in the initial public offer:</w:t>
      </w:r>
    </w:p>
    <w:p>
      <w:pPr>
        <w:spacing w:after="0" w:line="5" w:lineRule="exact"/>
        <w:rPr>
          <w:rFonts w:ascii="Calibri" w:cs="Calibri" w:eastAsia="Calibri" w:hAnsi="Calibri"/>
          <w:sz w:val="22"/>
          <w:szCs w:val="22"/>
          <w:color w:val="auto"/>
        </w:rPr>
      </w:pPr>
    </w:p>
    <w:p>
      <w:pPr>
        <w:ind w:left="548"/>
        <w:spacing w:after="0"/>
        <w:rPr>
          <w:rFonts w:ascii="Calibri" w:cs="Calibri" w:eastAsia="Calibri" w:hAnsi="Calibri"/>
          <w:sz w:val="22"/>
          <w:szCs w:val="22"/>
          <w:color w:val="auto"/>
        </w:rPr>
      </w:pPr>
      <w:r>
        <w:rPr>
          <w:rFonts w:ascii="Times New Roman" w:cs="Times New Roman" w:eastAsia="Times New Roman" w:hAnsi="Times New Roman"/>
          <w:sz w:val="24"/>
          <w:szCs w:val="24"/>
          <w:color w:val="auto"/>
        </w:rPr>
        <w:t>Provided that nothing contained in this clause shall apply:</w:t>
      </w:r>
    </w:p>
    <w:p>
      <w:pPr>
        <w:spacing w:after="0" w:line="151" w:lineRule="exact"/>
        <w:rPr>
          <w:rFonts w:ascii="Calibri" w:cs="Calibri" w:eastAsia="Calibri" w:hAnsi="Calibri"/>
          <w:sz w:val="22"/>
          <w:szCs w:val="22"/>
          <w:color w:val="auto"/>
        </w:rPr>
      </w:pPr>
    </w:p>
    <w:p>
      <w:pPr>
        <w:jc w:val="both"/>
        <w:ind w:left="1088" w:hanging="512"/>
        <w:spacing w:after="0" w:line="354" w:lineRule="auto"/>
        <w:tabs>
          <w:tab w:leader="none" w:pos="1088" w:val="left"/>
        </w:tabs>
        <w:numPr>
          <w:ilvl w:val="1"/>
          <w:numId w:val="58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promoters and alternative investment funds as applicable, pay to the issuer the difference between the price at which the specified securities are offered in the initial public offer and the price at which the specified securities had been acquired;</w:t>
      </w:r>
    </w:p>
    <w:p>
      <w:pPr>
        <w:spacing w:after="0" w:line="19" w:lineRule="exact"/>
        <w:rPr>
          <w:rFonts w:ascii="Times New Roman" w:cs="Times New Roman" w:eastAsia="Times New Roman" w:hAnsi="Times New Roman"/>
          <w:sz w:val="24"/>
          <w:szCs w:val="24"/>
          <w:color w:val="auto"/>
        </w:rPr>
      </w:pPr>
    </w:p>
    <w:p>
      <w:pPr>
        <w:jc w:val="both"/>
        <w:ind w:left="1088" w:hanging="512"/>
        <w:spacing w:after="0" w:line="357" w:lineRule="auto"/>
        <w:tabs>
          <w:tab w:leader="none" w:pos="1088" w:val="left"/>
        </w:tabs>
        <w:numPr>
          <w:ilvl w:val="1"/>
          <w:numId w:val="58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such specified securities are acquired in terms of the scheme under 391 to 394 of the Companies Act, 1956 or sections 230 to 234 of the Companies Act, 2013, as approved by a High Court or a tribunal, as applicable, by the promoters in lieu of business and invested capital that had been in existence for a period of more than one year prior to such approval;</w:t>
      </w: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141</w:t>
      </w:r>
    </w:p>
    <w:p>
      <w:pPr>
        <w:sectPr>
          <w:pgSz w:w="11900" w:h="16836" w:orient="portrait"/>
          <w:cols w:equalWidth="0" w:num="1">
            <w:col w:w="9468"/>
          </w:cols>
          <w:pgMar w:left="1152" w:top="1144" w:right="1284" w:bottom="103" w:gutter="0" w:footer="0" w:header="0"/>
        </w:sectPr>
      </w:pPr>
    </w:p>
    <w:bookmarkStart w:id="141" w:name="page142"/>
    <w:bookmarkEnd w:id="141"/>
    <w:p>
      <w:pPr>
        <w:jc w:val="both"/>
        <w:ind w:left="1088" w:hanging="512"/>
        <w:spacing w:after="0" w:line="354" w:lineRule="auto"/>
        <w:tabs>
          <w:tab w:leader="none" w:pos="1088" w:val="left"/>
        </w:tabs>
        <w:numPr>
          <w:ilvl w:val="2"/>
          <w:numId w:val="58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to an initial public offer by a government company, statutory authority or corporation or any special purpose vehicle set up by any of them, which is engaged in the infrastructure sector;</w:t>
      </w:r>
    </w:p>
    <w:p>
      <w:pPr>
        <w:spacing w:after="0" w:line="20" w:lineRule="exact"/>
        <w:rPr>
          <w:rFonts w:ascii="Times New Roman" w:cs="Times New Roman" w:eastAsia="Times New Roman" w:hAnsi="Times New Roman"/>
          <w:sz w:val="24"/>
          <w:szCs w:val="24"/>
          <w:color w:val="auto"/>
        </w:rPr>
      </w:pPr>
    </w:p>
    <w:p>
      <w:pPr>
        <w:jc w:val="both"/>
        <w:ind w:left="548" w:hanging="512"/>
        <w:spacing w:after="0" w:line="356" w:lineRule="auto"/>
        <w:tabs>
          <w:tab w:leader="none" w:pos="548" w:val="left"/>
        </w:tabs>
        <w:numPr>
          <w:ilvl w:val="1"/>
          <w:numId w:val="585"/>
        </w:numPr>
        <w:rPr>
          <w:rFonts w:ascii="Calibri" w:cs="Calibri" w:eastAsia="Calibri" w:hAnsi="Calibri"/>
          <w:sz w:val="22"/>
          <w:szCs w:val="22"/>
          <w:color w:val="auto"/>
        </w:rPr>
      </w:pPr>
      <w:r>
        <w:rPr>
          <w:rFonts w:ascii="Times New Roman" w:cs="Times New Roman" w:eastAsia="Times New Roman" w:hAnsi="Times New Roman"/>
          <w:sz w:val="24"/>
          <w:szCs w:val="24"/>
          <w:color w:val="auto"/>
        </w:rPr>
        <w:t>specified securities allotted to the promoters and alternative investment funds during the preceding one year at a price less than the issue price, against funds brought in by them during that period, in case of an issuer formed by conversion of one or more partnership firms or limited liability partnerships, where the partners of the erstwhile partnership firms or limited liability partnerships are the promoters of the issuer and there is no change in the management:</w:t>
      </w:r>
    </w:p>
    <w:p>
      <w:pPr>
        <w:spacing w:after="0" w:line="17" w:lineRule="exact"/>
        <w:rPr>
          <w:rFonts w:ascii="Calibri" w:cs="Calibri" w:eastAsia="Calibri" w:hAnsi="Calibri"/>
          <w:sz w:val="22"/>
          <w:szCs w:val="22"/>
          <w:color w:val="auto"/>
        </w:rPr>
      </w:pPr>
    </w:p>
    <w:p>
      <w:pPr>
        <w:ind w:left="548"/>
        <w:spacing w:after="0" w:line="350" w:lineRule="auto"/>
        <w:rPr>
          <w:rFonts w:ascii="Calibri" w:cs="Calibri" w:eastAsia="Calibri" w:hAnsi="Calibri"/>
          <w:sz w:val="22"/>
          <w:szCs w:val="22"/>
          <w:color w:val="auto"/>
        </w:rPr>
      </w:pPr>
      <w:r>
        <w:rPr>
          <w:rFonts w:ascii="Times New Roman" w:cs="Times New Roman" w:eastAsia="Times New Roman" w:hAnsi="Times New Roman"/>
          <w:sz w:val="24"/>
          <w:szCs w:val="24"/>
          <w:color w:val="auto"/>
        </w:rPr>
        <w:t>Provided that specified securities, allotted to the promoters against the capital existing in such firms for a period of more than one year on a continuous basis, shall be eligible;</w:t>
      </w:r>
    </w:p>
    <w:p>
      <w:pPr>
        <w:spacing w:after="0" w:line="3" w:lineRule="exact"/>
        <w:rPr>
          <w:rFonts w:ascii="Calibri" w:cs="Calibri" w:eastAsia="Calibri" w:hAnsi="Calibri"/>
          <w:sz w:val="22"/>
          <w:szCs w:val="22"/>
          <w:color w:val="auto"/>
        </w:rPr>
      </w:pPr>
    </w:p>
    <w:p>
      <w:pPr>
        <w:ind w:left="548" w:hanging="512"/>
        <w:spacing w:after="0"/>
        <w:tabs>
          <w:tab w:leader="none" w:pos="548" w:val="left"/>
        </w:tabs>
        <w:numPr>
          <w:ilvl w:val="1"/>
          <w:numId w:val="585"/>
        </w:numPr>
        <w:rPr>
          <w:rFonts w:ascii="Calibri" w:cs="Calibri" w:eastAsia="Calibri" w:hAnsi="Calibri"/>
          <w:sz w:val="22"/>
          <w:szCs w:val="22"/>
          <w:color w:val="auto"/>
        </w:rPr>
      </w:pPr>
      <w:r>
        <w:rPr>
          <w:rFonts w:ascii="Times New Roman" w:cs="Times New Roman" w:eastAsia="Times New Roman" w:hAnsi="Times New Roman"/>
          <w:sz w:val="24"/>
          <w:szCs w:val="24"/>
          <w:color w:val="auto"/>
        </w:rPr>
        <w:t>specified securities pledged with any creditor.</w:t>
      </w:r>
    </w:p>
    <w:p>
      <w:pPr>
        <w:spacing w:after="0" w:line="151" w:lineRule="exact"/>
        <w:rPr>
          <w:rFonts w:ascii="Calibri" w:cs="Calibri" w:eastAsia="Calibri" w:hAnsi="Calibri"/>
          <w:sz w:val="22"/>
          <w:szCs w:val="22"/>
          <w:color w:val="auto"/>
        </w:rPr>
      </w:pPr>
    </w:p>
    <w:p>
      <w:pPr>
        <w:jc w:val="both"/>
        <w:ind w:left="8" w:hanging="8"/>
        <w:spacing w:after="0" w:line="348" w:lineRule="auto"/>
        <w:tabs>
          <w:tab w:leader="none" w:pos="368" w:val="left"/>
        </w:tabs>
        <w:numPr>
          <w:ilvl w:val="0"/>
          <w:numId w:val="58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Specified securities referred to in clauses (a) and (c) of sub-regulation (1) shall be eligible for the computation of promoters’ contribution, if such securities are acquired pursuant to a scheme</w:t>
      </w:r>
    </w:p>
    <w:p>
      <w:pPr>
        <w:spacing w:after="0" w:line="15"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which has been approved under the Companies Act, 2013 or any previous company law.</w:t>
      </w:r>
    </w:p>
    <w:p>
      <w:pPr>
        <w:spacing w:after="0" w:line="200" w:lineRule="exact"/>
        <w:rPr>
          <w:sz w:val="20"/>
          <w:szCs w:val="20"/>
          <w:color w:val="auto"/>
        </w:rPr>
      </w:pPr>
    </w:p>
    <w:p>
      <w:pPr>
        <w:spacing w:after="0" w:line="369" w:lineRule="exact"/>
        <w:rPr>
          <w:sz w:val="20"/>
          <w:szCs w:val="20"/>
          <w:color w:val="auto"/>
        </w:rPr>
      </w:pPr>
    </w:p>
    <w:p>
      <w:pPr>
        <w:ind w:left="8" w:right="1880"/>
        <w:spacing w:after="0" w:line="373" w:lineRule="auto"/>
        <w:rPr>
          <w:sz w:val="20"/>
          <w:szCs w:val="20"/>
          <w:color w:val="auto"/>
        </w:rPr>
      </w:pPr>
      <w:r>
        <w:rPr>
          <w:rFonts w:ascii="Times New Roman" w:cs="Times New Roman" w:eastAsia="Times New Roman" w:hAnsi="Times New Roman"/>
          <w:sz w:val="23"/>
          <w:szCs w:val="23"/>
          <w:b w:val="1"/>
          <w:bCs w:val="1"/>
          <w:color w:val="auto"/>
        </w:rPr>
        <w:t>PART IV: LOCK-IN AND RESTRICTIONS ON TRANSFERRABILITY Lock-in of specified securities held by the promoters</w:t>
      </w:r>
    </w:p>
    <w:p>
      <w:pPr>
        <w:ind w:left="488" w:hanging="488"/>
        <w:spacing w:after="0" w:line="230" w:lineRule="auto"/>
        <w:tabs>
          <w:tab w:leader="none" w:pos="488" w:val="left"/>
        </w:tabs>
        <w:numPr>
          <w:ilvl w:val="0"/>
          <w:numId w:val="58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specified securities held by the promoters shall not be transferable (hereinafter referred</w:t>
      </w:r>
    </w:p>
    <w:p>
      <w:pPr>
        <w:spacing w:after="0" w:line="13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to as ‘lock-in’) for the periods as stipulated hereunder:</w:t>
      </w:r>
    </w:p>
    <w:p>
      <w:pPr>
        <w:spacing w:after="0" w:line="151" w:lineRule="exact"/>
        <w:rPr>
          <w:sz w:val="20"/>
          <w:szCs w:val="20"/>
          <w:color w:val="auto"/>
        </w:rPr>
      </w:pPr>
    </w:p>
    <w:p>
      <w:pPr>
        <w:jc w:val="both"/>
        <w:ind w:left="548" w:hanging="548"/>
        <w:spacing w:after="0" w:line="355" w:lineRule="auto"/>
        <w:tabs>
          <w:tab w:leader="none" w:pos="548" w:val="left"/>
        </w:tabs>
        <w:numPr>
          <w:ilvl w:val="0"/>
          <w:numId w:val="588"/>
        </w:numPr>
        <w:rPr>
          <w:rFonts w:ascii="Calibri" w:cs="Calibri" w:eastAsia="Calibri" w:hAnsi="Calibri"/>
          <w:sz w:val="22"/>
          <w:szCs w:val="22"/>
          <w:color w:val="auto"/>
        </w:rPr>
      </w:pPr>
      <w:r>
        <w:rPr>
          <w:rFonts w:ascii="Times New Roman" w:cs="Times New Roman" w:eastAsia="Times New Roman" w:hAnsi="Times New Roman"/>
          <w:sz w:val="24"/>
          <w:szCs w:val="24"/>
          <w:color w:val="auto"/>
        </w:rPr>
        <w:t>minimum promoters’ contribution including contribution made by alternative investment funds or foreign venture capital investors or scheduled commercial banks or public financial institutions or insurance companies registered with Insurance Regulatory and Development Authority of India, as applicable, shall be locked-in for a period of three years from the date of commencement of commercial production or date of allotment in the initial public offer, whichever is later;</w:t>
      </w:r>
    </w:p>
    <w:p>
      <w:pPr>
        <w:spacing w:after="0" w:line="24" w:lineRule="exact"/>
        <w:rPr>
          <w:rFonts w:ascii="Calibri" w:cs="Calibri" w:eastAsia="Calibri" w:hAnsi="Calibri"/>
          <w:sz w:val="22"/>
          <w:szCs w:val="22"/>
          <w:color w:val="auto"/>
        </w:rPr>
      </w:pPr>
    </w:p>
    <w:p>
      <w:pPr>
        <w:ind w:left="548" w:hanging="548"/>
        <w:spacing w:after="0" w:line="348" w:lineRule="auto"/>
        <w:tabs>
          <w:tab w:leader="none" w:pos="548" w:val="left"/>
        </w:tabs>
        <w:numPr>
          <w:ilvl w:val="0"/>
          <w:numId w:val="58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promoters’ holding in excess of minimum promoters’ contribution shall be locked-in for a period of one year from the date of allotment in the initial public offer</w:t>
      </w:r>
    </w:p>
    <w:p>
      <w:pPr>
        <w:spacing w:after="0" w:line="27" w:lineRule="exact"/>
        <w:rPr>
          <w:rFonts w:ascii="Times New Roman" w:cs="Times New Roman" w:eastAsia="Times New Roman" w:hAnsi="Times New Roman"/>
          <w:sz w:val="24"/>
          <w:szCs w:val="24"/>
          <w:color w:val="auto"/>
        </w:rPr>
      </w:pPr>
    </w:p>
    <w:p>
      <w:pPr>
        <w:jc w:val="both"/>
        <w:ind w:left="548"/>
        <w:spacing w:after="0" w:line="356"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Explanation: </w:t>
      </w:r>
      <w:r>
        <w:rPr>
          <w:rFonts w:ascii="Times New Roman" w:cs="Times New Roman" w:eastAsia="Times New Roman" w:hAnsi="Times New Roman"/>
          <w:sz w:val="24"/>
          <w:szCs w:val="24"/>
          <w:color w:val="auto"/>
        </w:rPr>
        <w:t>For the purposes of this clause, the expression "date of commencement of</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commercial production" means the last date of the month in which commercial production of the project in respect of which the funds raised are proposed to be utilised as stated in the offer document, is expected to commence.</w:t>
      </w:r>
    </w:p>
    <w:p>
      <w:pPr>
        <w:spacing w:after="0" w:line="200" w:lineRule="exact"/>
        <w:rPr>
          <w:sz w:val="20"/>
          <w:szCs w:val="20"/>
          <w:color w:val="auto"/>
        </w:rPr>
      </w:pPr>
    </w:p>
    <w:p>
      <w:pPr>
        <w:spacing w:after="0" w:line="224"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Lock-in of specified securities held by persons other than the promoters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142</w:t>
      </w:r>
    </w:p>
    <w:p>
      <w:pPr>
        <w:sectPr>
          <w:pgSz w:w="11900" w:h="16836" w:orient="portrait"/>
          <w:cols w:equalWidth="0" w:num="1">
            <w:col w:w="9468"/>
          </w:cols>
          <w:pgMar w:left="1152" w:top="1156" w:right="1284" w:bottom="103" w:gutter="0" w:footer="0" w:header="0"/>
        </w:sectPr>
      </w:pPr>
    </w:p>
    <w:bookmarkStart w:id="142" w:name="page143"/>
    <w:bookmarkEnd w:id="142"/>
    <w:p>
      <w:pPr>
        <w:ind w:left="8" w:hanging="8"/>
        <w:spacing w:after="0" w:line="348" w:lineRule="auto"/>
        <w:tabs>
          <w:tab w:leader="none" w:pos="495" w:val="left"/>
        </w:tabs>
        <w:numPr>
          <w:ilvl w:val="0"/>
          <w:numId w:val="58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entire pre-issue capital held by persons other than the promoters shall be locked-in for a period of one year from the date of allotment in the initial public offer:</w:t>
      </w:r>
    </w:p>
    <w:p>
      <w:pPr>
        <w:spacing w:after="0" w:line="15" w:lineRule="exact"/>
        <w:rPr>
          <w:rFonts w:ascii="Times New Roman" w:cs="Times New Roman" w:eastAsia="Times New Roman" w:hAnsi="Times New Roman"/>
          <w:sz w:val="24"/>
          <w:szCs w:val="24"/>
          <w:b w:val="1"/>
          <w:bCs w:val="1"/>
          <w:color w:val="auto"/>
        </w:rPr>
      </w:pPr>
    </w:p>
    <w:p>
      <w:pPr>
        <w:ind w:left="8"/>
        <w:spacing w:after="0"/>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nothing contained in this regulation shall apply to:</w:t>
      </w:r>
    </w:p>
    <w:p>
      <w:pPr>
        <w:spacing w:after="0" w:line="149" w:lineRule="exact"/>
        <w:rPr>
          <w:sz w:val="20"/>
          <w:szCs w:val="20"/>
          <w:color w:val="auto"/>
        </w:rPr>
      </w:pPr>
    </w:p>
    <w:p>
      <w:pPr>
        <w:jc w:val="both"/>
        <w:ind w:left="508" w:hanging="508"/>
        <w:spacing w:after="0" w:line="356" w:lineRule="auto"/>
        <w:tabs>
          <w:tab w:leader="none" w:pos="508" w:val="left"/>
        </w:tabs>
        <w:numPr>
          <w:ilvl w:val="0"/>
          <w:numId w:val="590"/>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 xml:space="preserve">equity shares allotted to employees, whether currently an employee or not, under an employee stock option or employee stock purchase scheme of the issuer prior to the initial public offer, if the issuer has made full disclosures with respect to such options or scheme in accordance with </w:t>
      </w:r>
      <w:r>
        <w:rPr>
          <w:rFonts w:ascii="Times New Roman" w:cs="Times New Roman" w:eastAsia="Times New Roman" w:hAnsi="Times New Roman"/>
          <w:sz w:val="24"/>
          <w:szCs w:val="24"/>
          <w:b w:val="1"/>
          <w:bCs w:val="1"/>
          <w:color w:val="auto"/>
        </w:rPr>
        <w:t>Part A</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 VI</w:t>
      </w:r>
      <w:r>
        <w:rPr>
          <w:rFonts w:ascii="Times New Roman" w:cs="Times New Roman" w:eastAsia="Times New Roman" w:hAnsi="Times New Roman"/>
          <w:sz w:val="24"/>
          <w:szCs w:val="24"/>
          <w:color w:val="auto"/>
        </w:rPr>
        <w:t>;</w:t>
      </w:r>
    </w:p>
    <w:p>
      <w:pPr>
        <w:spacing w:after="0" w:line="18" w:lineRule="exact"/>
        <w:rPr>
          <w:rFonts w:ascii="Times New Roman" w:cs="Times New Roman" w:eastAsia="Times New Roman" w:hAnsi="Times New Roman"/>
          <w:sz w:val="22"/>
          <w:szCs w:val="22"/>
          <w:color w:val="auto"/>
        </w:rPr>
      </w:pPr>
    </w:p>
    <w:p>
      <w:pPr>
        <w:jc w:val="both"/>
        <w:ind w:left="508" w:hanging="508"/>
        <w:spacing w:after="0" w:line="357" w:lineRule="auto"/>
        <w:tabs>
          <w:tab w:leader="none" w:pos="508" w:val="left"/>
        </w:tabs>
        <w:numPr>
          <w:ilvl w:val="0"/>
          <w:numId w:val="590"/>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equity shares held by an employee stock option trust or transferred to the employees by an employee stock option trust pursuant to exercise of options by the employees, whether currently employees or not, in accordance with the employee stock option plan or employee stock purchase scheme.</w:t>
      </w:r>
    </w:p>
    <w:p>
      <w:pPr>
        <w:spacing w:after="0" w:line="14" w:lineRule="exact"/>
        <w:rPr>
          <w:rFonts w:ascii="Times New Roman" w:cs="Times New Roman" w:eastAsia="Times New Roman" w:hAnsi="Times New Roman"/>
          <w:sz w:val="22"/>
          <w:szCs w:val="22"/>
          <w:color w:val="auto"/>
        </w:rPr>
      </w:pPr>
    </w:p>
    <w:p>
      <w:pPr>
        <w:jc w:val="both"/>
        <w:ind w:left="508"/>
        <w:spacing w:after="0" w:line="354" w:lineRule="auto"/>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Provided that the equity shares allotted to the employees shall be subject to the provisions of lock-in as specified under the Securities and Exchange Board of India (Share Based Employee Benefits) Regulations, 2014.</w:t>
      </w:r>
    </w:p>
    <w:p>
      <w:pPr>
        <w:spacing w:after="0" w:line="22" w:lineRule="exact"/>
        <w:rPr>
          <w:rFonts w:ascii="Times New Roman" w:cs="Times New Roman" w:eastAsia="Times New Roman" w:hAnsi="Times New Roman"/>
          <w:sz w:val="22"/>
          <w:szCs w:val="22"/>
          <w:color w:val="auto"/>
        </w:rPr>
      </w:pPr>
    </w:p>
    <w:p>
      <w:pPr>
        <w:ind w:left="508" w:hanging="508"/>
        <w:spacing w:after="0" w:line="348" w:lineRule="auto"/>
        <w:tabs>
          <w:tab w:leader="none" w:pos="508" w:val="left"/>
        </w:tabs>
        <w:numPr>
          <w:ilvl w:val="0"/>
          <w:numId w:val="590"/>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equity shares held by a venture capital fund or alternative investment fund of category I or Category II or a foreign venture capital investor:</w:t>
      </w:r>
    </w:p>
    <w:p>
      <w:pPr>
        <w:spacing w:after="0" w:line="28" w:lineRule="exact"/>
        <w:rPr>
          <w:rFonts w:ascii="Times New Roman" w:cs="Times New Roman" w:eastAsia="Times New Roman" w:hAnsi="Times New Roman"/>
          <w:sz w:val="22"/>
          <w:szCs w:val="22"/>
          <w:color w:val="auto"/>
        </w:rPr>
      </w:pPr>
    </w:p>
    <w:p>
      <w:pPr>
        <w:jc w:val="both"/>
        <w:ind w:left="508"/>
        <w:spacing w:after="0" w:line="354" w:lineRule="auto"/>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Provided that such equity shares shall be locked in for a period of at least one year from the date of purchase by the venture capital fund or alternative investment fund or foreign venture capital investor.</w:t>
      </w:r>
    </w:p>
    <w:p>
      <w:pPr>
        <w:spacing w:after="0" w:line="19" w:lineRule="exact"/>
        <w:rPr>
          <w:rFonts w:ascii="Times New Roman" w:cs="Times New Roman" w:eastAsia="Times New Roman" w:hAnsi="Times New Roman"/>
          <w:sz w:val="22"/>
          <w:szCs w:val="22"/>
          <w:color w:val="auto"/>
        </w:rPr>
      </w:pPr>
    </w:p>
    <w:p>
      <w:pPr>
        <w:jc w:val="both"/>
        <w:ind w:left="508"/>
        <w:spacing w:after="0" w:line="358" w:lineRule="auto"/>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b w:val="1"/>
          <w:bCs w:val="1"/>
          <w:color w:val="auto"/>
        </w:rPr>
        <w:t>Explanation</w:t>
      </w:r>
      <w:r>
        <w:rPr>
          <w:rFonts w:ascii="Times New Roman" w:cs="Times New Roman" w:eastAsia="Times New Roman" w:hAnsi="Times New Roman"/>
          <w:sz w:val="24"/>
          <w:szCs w:val="24"/>
          <w:color w:val="auto"/>
        </w:rPr>
        <w:t>: For the purpose of clause (c), in case such equity shares have resulted pursuant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to conversion of fully paid-up compulsorily convertible securities, the holding period of such convertible securities as well as that of resultant equity shares together shall be considered for the purpose of calculation of one year period and convertible securities shall be deemed to be fully paid-up, if the entire consideration payable thereon has been paid and no further consideration is payable at the time of their conversion.</w:t>
      </w:r>
    </w:p>
    <w:p>
      <w:pPr>
        <w:spacing w:after="0" w:line="200" w:lineRule="exact"/>
        <w:rPr>
          <w:sz w:val="20"/>
          <w:szCs w:val="20"/>
          <w:color w:val="auto"/>
        </w:rPr>
      </w:pPr>
    </w:p>
    <w:p>
      <w:pPr>
        <w:spacing w:after="0" w:line="22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Lock-in of specified securities lent to stabilising agent under the green shoe option</w:t>
      </w:r>
    </w:p>
    <w:p>
      <w:pPr>
        <w:spacing w:after="0" w:line="144" w:lineRule="exact"/>
        <w:rPr>
          <w:sz w:val="20"/>
          <w:szCs w:val="20"/>
          <w:color w:val="auto"/>
        </w:rPr>
      </w:pPr>
    </w:p>
    <w:p>
      <w:pPr>
        <w:jc w:val="both"/>
        <w:ind w:left="8" w:hanging="8"/>
        <w:spacing w:after="0" w:line="356" w:lineRule="auto"/>
        <w:tabs>
          <w:tab w:leader="none" w:pos="555" w:val="left"/>
        </w:tabs>
        <w:numPr>
          <w:ilvl w:val="0"/>
          <w:numId w:val="59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lock-in provisions shall not apply with respect to the specified securities lent to stabilising agent for the purpose of green shoe option, during the period starting from the date of lending of such specified securities and ending on the date on which they are returned to the lender in terms of sub-regulation (5) or (6) of regulation 279:</w:t>
      </w:r>
    </w:p>
    <w:p>
      <w:pPr>
        <w:spacing w:after="0" w:line="18" w:lineRule="exact"/>
        <w:rPr>
          <w:rFonts w:ascii="Times New Roman" w:cs="Times New Roman" w:eastAsia="Times New Roman" w:hAnsi="Times New Roman"/>
          <w:sz w:val="24"/>
          <w:szCs w:val="24"/>
          <w:b w:val="1"/>
          <w:bCs w:val="1"/>
          <w:color w:val="auto"/>
        </w:rPr>
      </w:pPr>
    </w:p>
    <w:p>
      <w:pPr>
        <w:ind w:left="8"/>
        <w:spacing w:after="0" w:line="350"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the specified securities shall be locked-in for the remaining period from the date on which they are returned to the lender.</w:t>
      </w:r>
    </w:p>
    <w:p>
      <w:pPr>
        <w:spacing w:after="0" w:line="200" w:lineRule="exact"/>
        <w:rPr>
          <w:sz w:val="20"/>
          <w:szCs w:val="20"/>
          <w:color w:val="auto"/>
        </w:rPr>
      </w:pPr>
    </w:p>
    <w:p>
      <w:pPr>
        <w:spacing w:after="0" w:line="231"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Inscription or recording of non-transferability</w:t>
      </w:r>
    </w:p>
    <w:p>
      <w:pPr>
        <w:spacing w:after="0" w:line="38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143</w:t>
      </w:r>
    </w:p>
    <w:p>
      <w:pPr>
        <w:sectPr>
          <w:pgSz w:w="11900" w:h="16836" w:orient="portrait"/>
          <w:cols w:equalWidth="0" w:num="1">
            <w:col w:w="9468"/>
          </w:cols>
          <w:pgMar w:left="1152" w:top="1156" w:right="1284" w:bottom="103" w:gutter="0" w:footer="0" w:header="0"/>
        </w:sectPr>
      </w:pPr>
    </w:p>
    <w:bookmarkStart w:id="143" w:name="page144"/>
    <w:bookmarkEnd w:id="143"/>
    <w:p>
      <w:pPr>
        <w:ind w:left="548" w:hanging="548"/>
        <w:spacing w:after="0"/>
        <w:tabs>
          <w:tab w:leader="none" w:pos="548" w:val="left"/>
        </w:tabs>
        <w:numPr>
          <w:ilvl w:val="0"/>
          <w:numId w:val="59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certificates  of  specified  securities  which  are  subject  to  lock-in  shall  contain  the</w:t>
      </w:r>
    </w:p>
    <w:p>
      <w:pPr>
        <w:spacing w:after="0" w:line="149" w:lineRule="exact"/>
        <w:rPr>
          <w:sz w:val="20"/>
          <w:szCs w:val="20"/>
          <w:color w:val="auto"/>
        </w:rPr>
      </w:pPr>
    </w:p>
    <w:p>
      <w:pPr>
        <w:ind w:left="8"/>
        <w:spacing w:after="0" w:line="350" w:lineRule="auto"/>
        <w:rPr>
          <w:sz w:val="20"/>
          <w:szCs w:val="20"/>
          <w:color w:val="auto"/>
        </w:rPr>
      </w:pPr>
      <w:r>
        <w:rPr>
          <w:rFonts w:ascii="Times New Roman" w:cs="Times New Roman" w:eastAsia="Times New Roman" w:hAnsi="Times New Roman"/>
          <w:sz w:val="24"/>
          <w:szCs w:val="24"/>
          <w:color w:val="auto"/>
        </w:rPr>
        <w:t>inscription “non- transferable” and specify the lock-in period and in case such specified securities are dematerialised, the issuer shall ensure that the lock-in is recorded by the depository.</w:t>
      </w:r>
    </w:p>
    <w:p>
      <w:pPr>
        <w:spacing w:after="0" w:line="200" w:lineRule="exact"/>
        <w:rPr>
          <w:sz w:val="20"/>
          <w:szCs w:val="20"/>
          <w:color w:val="auto"/>
        </w:rPr>
      </w:pPr>
    </w:p>
    <w:p>
      <w:pPr>
        <w:spacing w:after="0" w:line="231"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Pledge of locked-in specified securities</w:t>
      </w:r>
    </w:p>
    <w:p>
      <w:pPr>
        <w:spacing w:after="0" w:line="144" w:lineRule="exact"/>
        <w:rPr>
          <w:sz w:val="20"/>
          <w:szCs w:val="20"/>
          <w:color w:val="auto"/>
        </w:rPr>
      </w:pPr>
    </w:p>
    <w:p>
      <w:pPr>
        <w:jc w:val="both"/>
        <w:ind w:left="8" w:hanging="8"/>
        <w:spacing w:after="0" w:line="357" w:lineRule="auto"/>
        <w:tabs>
          <w:tab w:leader="none" w:pos="533" w:val="left"/>
        </w:tabs>
        <w:numPr>
          <w:ilvl w:val="0"/>
          <w:numId w:val="59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Specified securities held by the promoters and locked-in may be pledged as a collateral security for a loan granted by a scheduled commercial bank or a public financial institution or a systemically important non-banking finance company or a housing finance company, subject to the following:</w:t>
      </w:r>
    </w:p>
    <w:p>
      <w:pPr>
        <w:spacing w:after="0" w:line="15" w:lineRule="exact"/>
        <w:rPr>
          <w:sz w:val="20"/>
          <w:szCs w:val="20"/>
          <w:color w:val="auto"/>
        </w:rPr>
      </w:pPr>
    </w:p>
    <w:p>
      <w:pPr>
        <w:jc w:val="both"/>
        <w:ind w:left="368" w:hanging="368"/>
        <w:spacing w:after="0" w:line="353" w:lineRule="auto"/>
        <w:tabs>
          <w:tab w:leader="none" w:pos="368" w:val="left"/>
        </w:tabs>
        <w:numPr>
          <w:ilvl w:val="0"/>
          <w:numId w:val="594"/>
        </w:numPr>
        <w:rPr>
          <w:rFonts w:ascii="Calibri" w:cs="Calibri" w:eastAsia="Calibri" w:hAnsi="Calibri"/>
          <w:sz w:val="22"/>
          <w:szCs w:val="22"/>
          <w:color w:val="auto"/>
        </w:rPr>
      </w:pPr>
      <w:r>
        <w:rPr>
          <w:rFonts w:ascii="Times New Roman" w:cs="Times New Roman" w:eastAsia="Times New Roman" w:hAnsi="Times New Roman"/>
          <w:sz w:val="24"/>
          <w:szCs w:val="24"/>
          <w:color w:val="auto"/>
        </w:rPr>
        <w:t>if the specified securities are locked-in in terms of clause (a) of regulation 238, the loan has been granted to the issuer company or its subsidiary(ies) for the purpose of financing one or more of the objects of the issue and pledge of specified securities is one of the terms of sanction of the loan;</w:t>
      </w:r>
    </w:p>
    <w:p>
      <w:pPr>
        <w:spacing w:after="0" w:line="21" w:lineRule="exact"/>
        <w:rPr>
          <w:rFonts w:ascii="Calibri" w:cs="Calibri" w:eastAsia="Calibri" w:hAnsi="Calibri"/>
          <w:sz w:val="22"/>
          <w:szCs w:val="22"/>
          <w:color w:val="auto"/>
        </w:rPr>
      </w:pPr>
    </w:p>
    <w:p>
      <w:pPr>
        <w:ind w:left="368" w:hanging="368"/>
        <w:spacing w:after="0" w:line="344" w:lineRule="auto"/>
        <w:tabs>
          <w:tab w:leader="none" w:pos="368" w:val="left"/>
        </w:tabs>
        <w:numPr>
          <w:ilvl w:val="0"/>
          <w:numId w:val="594"/>
        </w:numPr>
        <w:rPr>
          <w:rFonts w:ascii="Calibri" w:cs="Calibri" w:eastAsia="Calibri" w:hAnsi="Calibri"/>
          <w:sz w:val="22"/>
          <w:szCs w:val="22"/>
          <w:color w:val="auto"/>
        </w:rPr>
      </w:pPr>
      <w:r>
        <w:rPr>
          <w:rFonts w:ascii="Times New Roman" w:cs="Times New Roman" w:eastAsia="Times New Roman" w:hAnsi="Times New Roman"/>
          <w:sz w:val="24"/>
          <w:szCs w:val="24"/>
          <w:color w:val="auto"/>
        </w:rPr>
        <w:t>if the specified securities are locked-in in terms of clause (b) of regulation 238 and the pledge of specified securities is one of the terms of sanction of the loan.</w:t>
      </w:r>
    </w:p>
    <w:p>
      <w:pPr>
        <w:spacing w:after="0" w:line="26" w:lineRule="exact"/>
        <w:rPr>
          <w:rFonts w:ascii="Calibri" w:cs="Calibri" w:eastAsia="Calibri" w:hAnsi="Calibri"/>
          <w:sz w:val="22"/>
          <w:szCs w:val="22"/>
          <w:color w:val="auto"/>
        </w:rPr>
      </w:pPr>
    </w:p>
    <w:p>
      <w:pPr>
        <w:jc w:val="both"/>
        <w:ind w:left="368"/>
        <w:spacing w:after="0" w:line="354" w:lineRule="auto"/>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 xml:space="preserve">Provided that </w:t>
      </w:r>
      <w:r>
        <w:rPr>
          <w:rFonts w:ascii="Times New Roman" w:cs="Times New Roman" w:eastAsia="Times New Roman" w:hAnsi="Times New Roman"/>
          <w:sz w:val="24"/>
          <w:szCs w:val="24"/>
          <w:color w:val="auto"/>
        </w:rPr>
        <w:t>such lock-in shall continue pursuant to the invocation of the pledge and such</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transferee shall not be eligible to transfer the specified securities till the lock-in period stipulated in these regulations has expired.</w:t>
      </w:r>
    </w:p>
    <w:p>
      <w:pPr>
        <w:spacing w:after="0" w:line="200" w:lineRule="exact"/>
        <w:rPr>
          <w:sz w:val="20"/>
          <w:szCs w:val="20"/>
          <w:color w:val="auto"/>
        </w:rPr>
      </w:pPr>
    </w:p>
    <w:p>
      <w:pPr>
        <w:spacing w:after="0" w:line="22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Transferability of locked-in specified securities</w:t>
      </w:r>
    </w:p>
    <w:p>
      <w:pPr>
        <w:spacing w:after="0" w:line="147" w:lineRule="exact"/>
        <w:rPr>
          <w:sz w:val="20"/>
          <w:szCs w:val="20"/>
          <w:color w:val="auto"/>
        </w:rPr>
      </w:pPr>
    </w:p>
    <w:p>
      <w:pPr>
        <w:jc w:val="both"/>
        <w:ind w:left="8" w:hanging="8"/>
        <w:spacing w:after="0" w:line="358" w:lineRule="auto"/>
        <w:tabs>
          <w:tab w:leader="none" w:pos="495" w:val="left"/>
        </w:tabs>
        <w:numPr>
          <w:ilvl w:val="0"/>
          <w:numId w:val="59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Subject to the provisions of Securities and Exchange Board of India (Substantial Acquisition of shares and Takeovers) Regulations, 2011, the specified securities held by the promoters and locked-in as per regulation 238 may be transferred to another promoter or any person of the promoter group or a new promoter or a person in control of the issuer and the specified securities held by persons other than the promoters and locked-in as per regulation 239 may be transferred to any other person (including promoter or promoter group) holding the specified securities which are locked-in along with the securities proposed to be transferred:</w:t>
      </w:r>
    </w:p>
    <w:p>
      <w:pPr>
        <w:spacing w:after="0" w:line="15"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the lock-in on such specified securities shall continue for the remaining period with the transferee and such transferee shall not be eligible to transfer them till the lock-in period stipulated in these regulations has expired.</w:t>
      </w:r>
    </w:p>
    <w:p>
      <w:pPr>
        <w:spacing w:after="0" w:line="200" w:lineRule="exact"/>
        <w:rPr>
          <w:sz w:val="20"/>
          <w:szCs w:val="20"/>
          <w:color w:val="auto"/>
        </w:rPr>
      </w:pPr>
    </w:p>
    <w:p>
      <w:pPr>
        <w:spacing w:after="0" w:line="240" w:lineRule="exact"/>
        <w:rPr>
          <w:sz w:val="20"/>
          <w:szCs w:val="20"/>
          <w:color w:val="auto"/>
        </w:rPr>
      </w:pPr>
    </w:p>
    <w:p>
      <w:pPr>
        <w:ind w:left="8" w:right="300"/>
        <w:spacing w:after="0" w:line="350" w:lineRule="auto"/>
        <w:rPr>
          <w:sz w:val="20"/>
          <w:szCs w:val="20"/>
          <w:color w:val="auto"/>
        </w:rPr>
      </w:pPr>
      <w:r>
        <w:rPr>
          <w:rFonts w:ascii="Times New Roman" w:cs="Times New Roman" w:eastAsia="Times New Roman" w:hAnsi="Times New Roman"/>
          <w:sz w:val="24"/>
          <w:szCs w:val="24"/>
          <w:b w:val="1"/>
          <w:bCs w:val="1"/>
          <w:color w:val="auto"/>
        </w:rPr>
        <w:t>PART V: APPOINTMENT OF LEAD MANAGERS, OTHER INTERMEDIARIES AND COMPLIANCE OFFICER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144</w:t>
      </w:r>
    </w:p>
    <w:p>
      <w:pPr>
        <w:sectPr>
          <w:pgSz w:w="11900" w:h="16836" w:orient="portrait"/>
          <w:cols w:equalWidth="0" w:num="1">
            <w:col w:w="9468"/>
          </w:cols>
          <w:pgMar w:left="1152" w:top="1144" w:right="1284" w:bottom="103" w:gutter="0" w:footer="0" w:header="0"/>
        </w:sectPr>
      </w:pPr>
    </w:p>
    <w:bookmarkStart w:id="144" w:name="page145"/>
    <w:bookmarkEnd w:id="144"/>
    <w:p>
      <w:pPr>
        <w:ind w:left="8" w:hanging="8"/>
        <w:spacing w:after="0" w:line="348" w:lineRule="auto"/>
        <w:tabs>
          <w:tab w:leader="none" w:pos="519" w:val="left"/>
        </w:tabs>
        <w:numPr>
          <w:ilvl w:val="0"/>
          <w:numId w:val="59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shall appoint one or more merchant bankers, which are registered with the Board, as lead manager(s) to the issue.</w:t>
      </w:r>
    </w:p>
    <w:p>
      <w:pPr>
        <w:spacing w:after="0" w:line="28" w:lineRule="exact"/>
        <w:rPr>
          <w:rFonts w:ascii="Times New Roman" w:cs="Times New Roman" w:eastAsia="Times New Roman" w:hAnsi="Times New Roman"/>
          <w:sz w:val="24"/>
          <w:szCs w:val="24"/>
          <w:b w:val="1"/>
          <w:bCs w:val="1"/>
          <w:color w:val="auto"/>
        </w:rPr>
      </w:pPr>
    </w:p>
    <w:p>
      <w:pPr>
        <w:jc w:val="both"/>
        <w:ind w:left="8"/>
        <w:spacing w:after="0" w:line="356"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(2) Where the issue is managed by more than one lead manager, the rights, obligations and responsibilities, relating </w:t>
      </w:r>
      <w:r>
        <w:rPr>
          <w:rFonts w:ascii="Times New Roman" w:cs="Times New Roman" w:eastAsia="Times New Roman" w:hAnsi="Times New Roman"/>
          <w:sz w:val="24"/>
          <w:szCs w:val="24"/>
          <w:i w:val="1"/>
          <w:iCs w:val="1"/>
          <w:color w:val="auto"/>
        </w:rPr>
        <w:t>inter alia</w:t>
      </w:r>
      <w:r>
        <w:rPr>
          <w:rFonts w:ascii="Times New Roman" w:cs="Times New Roman" w:eastAsia="Times New Roman" w:hAnsi="Times New Roman"/>
          <w:sz w:val="24"/>
          <w:szCs w:val="24"/>
          <w:color w:val="auto"/>
        </w:rPr>
        <w:t xml:space="preserve"> to disclosures, allotment, refund and underwriting obligations, if any, of each lead manager shall be predetermined and disclosed in the draft offer document and the offer document as specified in </w:t>
      </w:r>
      <w:r>
        <w:rPr>
          <w:rFonts w:ascii="Times New Roman" w:cs="Times New Roman" w:eastAsia="Times New Roman" w:hAnsi="Times New Roman"/>
          <w:sz w:val="24"/>
          <w:szCs w:val="24"/>
          <w:b w:val="1"/>
          <w:bCs w:val="1"/>
          <w:color w:val="auto"/>
        </w:rPr>
        <w:t>Schedule I.</w:t>
      </w:r>
    </w:p>
    <w:p>
      <w:pPr>
        <w:spacing w:after="0" w:line="19" w:lineRule="exact"/>
        <w:rPr>
          <w:sz w:val="20"/>
          <w:szCs w:val="20"/>
          <w:color w:val="auto"/>
        </w:rPr>
      </w:pPr>
    </w:p>
    <w:p>
      <w:pPr>
        <w:jc w:val="both"/>
        <w:ind w:left="8" w:hanging="8"/>
        <w:spacing w:after="0" w:line="356" w:lineRule="auto"/>
        <w:tabs>
          <w:tab w:leader="none" w:pos="348" w:val="left"/>
        </w:tabs>
        <w:numPr>
          <w:ilvl w:val="0"/>
          <w:numId w:val="59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At least one lead manager to the issue shall not be an associate (as defined under the Securities and Exchange Board of India (Merchant Bankers) Regulations, 1992) of the issuer and if any of the lead manager is an associate of the issuer, it shall disclose itself as an associate of the issuer and its role shall be limited to marketing of the issue.</w:t>
      </w:r>
    </w:p>
    <w:p>
      <w:pPr>
        <w:spacing w:after="0" w:line="19"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358" w:val="left"/>
        </w:tabs>
        <w:numPr>
          <w:ilvl w:val="0"/>
          <w:numId w:val="59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in consultation with the lead manager(s), appoint other intermediaries which are registered with the Board after the lead manager(s) have independently assessed the capability of other intermediaries to carry out their obligations.</w:t>
      </w:r>
    </w:p>
    <w:p>
      <w:pPr>
        <w:spacing w:after="0" w:line="7" w:lineRule="exact"/>
        <w:rPr>
          <w:rFonts w:ascii="Times New Roman" w:cs="Times New Roman" w:eastAsia="Times New Roman" w:hAnsi="Times New Roman"/>
          <w:sz w:val="24"/>
          <w:szCs w:val="24"/>
          <w:color w:val="auto"/>
        </w:rPr>
      </w:pPr>
    </w:p>
    <w:p>
      <w:pPr>
        <w:ind w:left="368" w:hanging="368"/>
        <w:spacing w:after="0"/>
        <w:tabs>
          <w:tab w:leader="none" w:pos="368" w:val="left"/>
        </w:tabs>
        <w:numPr>
          <w:ilvl w:val="0"/>
          <w:numId w:val="59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enter into an agreement with the lead manager(s) in the format specified in</w:t>
      </w:r>
    </w:p>
    <w:p>
      <w:pPr>
        <w:spacing w:after="0" w:line="151" w:lineRule="exact"/>
        <w:rPr>
          <w:sz w:val="20"/>
          <w:szCs w:val="20"/>
          <w:color w:val="auto"/>
        </w:rPr>
      </w:pPr>
    </w:p>
    <w:p>
      <w:pPr>
        <w:jc w:val="both"/>
        <w:ind w:left="8"/>
        <w:spacing w:after="0" w:line="348" w:lineRule="auto"/>
        <w:rPr>
          <w:sz w:val="20"/>
          <w:szCs w:val="20"/>
          <w:color w:val="auto"/>
        </w:rPr>
      </w:pPr>
      <w:r>
        <w:rPr>
          <w:rFonts w:ascii="Times New Roman" w:cs="Times New Roman" w:eastAsia="Times New Roman" w:hAnsi="Times New Roman"/>
          <w:sz w:val="24"/>
          <w:szCs w:val="24"/>
          <w:b w:val="1"/>
          <w:bCs w:val="1"/>
          <w:color w:val="auto"/>
        </w:rPr>
        <w:t xml:space="preserve">Schedule II </w:t>
      </w:r>
      <w:r>
        <w:rPr>
          <w:rFonts w:ascii="Times New Roman" w:cs="Times New Roman" w:eastAsia="Times New Roman" w:hAnsi="Times New Roman"/>
          <w:sz w:val="24"/>
          <w:szCs w:val="24"/>
          <w:color w:val="auto"/>
        </w:rPr>
        <w:t>and enter into agreements with other intermediaries as required under the respective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regulations applicable to the intermediary concerned:</w:t>
      </w:r>
    </w:p>
    <w:p>
      <w:pPr>
        <w:spacing w:after="0" w:line="28" w:lineRule="exact"/>
        <w:rPr>
          <w:sz w:val="20"/>
          <w:szCs w:val="20"/>
          <w:color w:val="auto"/>
        </w:rPr>
      </w:pPr>
    </w:p>
    <w:p>
      <w:pPr>
        <w:jc w:val="both"/>
        <w:ind w:left="8"/>
        <w:spacing w:after="0" w:line="357" w:lineRule="auto"/>
        <w:rPr>
          <w:sz w:val="20"/>
          <w:szCs w:val="20"/>
          <w:color w:val="auto"/>
        </w:rPr>
      </w:pPr>
      <w:r>
        <w:rPr>
          <w:rFonts w:ascii="Times New Roman" w:cs="Times New Roman" w:eastAsia="Times New Roman" w:hAnsi="Times New Roman"/>
          <w:sz w:val="24"/>
          <w:szCs w:val="24"/>
          <w:color w:val="auto"/>
        </w:rPr>
        <w:t>Provided that such agreements may include such other clauses as the issuer and the intermediary may deem fit without diminishing or limiting in any way the liabilities and obligations of the lead manager(s), other intermediaries and the issuer under the Act, the Companies Act, 2013 or the Companies Act, 1956 (to the extent applicable), the Securities Contracts (Regulation) Act, 1956, the Depositories Act, 1996 and the rules and regulations made thereunder or any statutory modification or statutory enactment thereof:</w:t>
      </w:r>
    </w:p>
    <w:p>
      <w:pPr>
        <w:spacing w:after="0" w:line="21" w:lineRule="exact"/>
        <w:rPr>
          <w:sz w:val="20"/>
          <w:szCs w:val="20"/>
          <w:color w:val="auto"/>
        </w:rPr>
      </w:pPr>
    </w:p>
    <w:p>
      <w:pPr>
        <w:jc w:val="both"/>
        <w:ind w:left="8"/>
        <w:spacing w:after="0" w:line="348" w:lineRule="auto"/>
        <w:rPr>
          <w:sz w:val="20"/>
          <w:szCs w:val="20"/>
          <w:color w:val="auto"/>
        </w:rPr>
      </w:pPr>
      <w:r>
        <w:rPr>
          <w:rFonts w:ascii="Times New Roman" w:cs="Times New Roman" w:eastAsia="Times New Roman" w:hAnsi="Times New Roman"/>
          <w:sz w:val="24"/>
          <w:szCs w:val="24"/>
          <w:color w:val="auto"/>
        </w:rPr>
        <w:t>Provided further that in case of ASBA process, the issuer shall take cognisance of the deemed agreement of the issuer with self certified syndicate banks.</w:t>
      </w:r>
    </w:p>
    <w:p>
      <w:pPr>
        <w:spacing w:after="0" w:line="28" w:lineRule="exact"/>
        <w:rPr>
          <w:sz w:val="20"/>
          <w:szCs w:val="20"/>
          <w:color w:val="auto"/>
        </w:rPr>
      </w:pPr>
    </w:p>
    <w:p>
      <w:pPr>
        <w:jc w:val="both"/>
        <w:ind w:left="8" w:hanging="8"/>
        <w:spacing w:after="0" w:line="348" w:lineRule="auto"/>
        <w:tabs>
          <w:tab w:leader="none" w:pos="348" w:val="left"/>
        </w:tabs>
        <w:numPr>
          <w:ilvl w:val="0"/>
          <w:numId w:val="59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in case of an issue made through the book building process, appoint syndicate member(s) and in the case of any other issue, appoint bankers to issue, at centres specified in</w:t>
      </w:r>
    </w:p>
    <w:p>
      <w:pPr>
        <w:spacing w:after="0" w:line="15"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Schedule XII</w:t>
      </w:r>
      <w:r>
        <w:rPr>
          <w:rFonts w:ascii="Times New Roman" w:cs="Times New Roman" w:eastAsia="Times New Roman" w:hAnsi="Times New Roman"/>
          <w:sz w:val="24"/>
          <w:szCs w:val="24"/>
          <w:color w:val="auto"/>
        </w:rPr>
        <w:t>.</w:t>
      </w:r>
    </w:p>
    <w:p>
      <w:pPr>
        <w:spacing w:after="0" w:line="149" w:lineRule="exact"/>
        <w:rPr>
          <w:sz w:val="20"/>
          <w:szCs w:val="20"/>
          <w:color w:val="auto"/>
        </w:rPr>
      </w:pPr>
    </w:p>
    <w:p>
      <w:pPr>
        <w:ind w:left="8" w:hanging="8"/>
        <w:spacing w:after="0" w:line="350" w:lineRule="auto"/>
        <w:tabs>
          <w:tab w:leader="none" w:pos="415" w:val="left"/>
        </w:tabs>
        <w:numPr>
          <w:ilvl w:val="0"/>
          <w:numId w:val="59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appoint a registrar to the issue, registered with the Board, which has connectivity with all the depositories:</w:t>
      </w:r>
    </w:p>
    <w:p>
      <w:pPr>
        <w:spacing w:after="0" w:line="23" w:lineRule="exact"/>
        <w:rPr>
          <w:rFonts w:ascii="Times New Roman" w:cs="Times New Roman" w:eastAsia="Times New Roman" w:hAnsi="Times New Roman"/>
          <w:sz w:val="24"/>
          <w:szCs w:val="24"/>
          <w:color w:val="auto"/>
        </w:rPr>
      </w:pPr>
    </w:p>
    <w:p>
      <w:pPr>
        <w:ind w:left="8"/>
        <w:spacing w:after="0" w:line="35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if issuer itself is a registrar, it shall not appoint itself as registrar to the issue; Provided further that the lead manager shall not act as a registrar to the issue in which it is also handling the post-issue responsibilities.</w:t>
      </w:r>
    </w:p>
    <w:p>
      <w:pPr>
        <w:spacing w:after="0" w:line="10" w:lineRule="exact"/>
        <w:rPr>
          <w:rFonts w:ascii="Times New Roman" w:cs="Times New Roman" w:eastAsia="Times New Roman" w:hAnsi="Times New Roman"/>
          <w:sz w:val="24"/>
          <w:szCs w:val="24"/>
          <w:color w:val="auto"/>
        </w:rPr>
      </w:pPr>
    </w:p>
    <w:p>
      <w:pPr>
        <w:ind w:left="388" w:hanging="388"/>
        <w:spacing w:after="0"/>
        <w:tabs>
          <w:tab w:leader="none" w:pos="388" w:val="left"/>
        </w:tabs>
        <w:numPr>
          <w:ilvl w:val="0"/>
          <w:numId w:val="59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appoint a compliance officer who shall be responsible for monitoring the</w:t>
      </w:r>
    </w:p>
    <w:p>
      <w:pPr>
        <w:spacing w:after="0" w:line="13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compliance of the securities laws and for redressal of investors’ grievances.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145</w:t>
      </w:r>
    </w:p>
    <w:p>
      <w:pPr>
        <w:sectPr>
          <w:pgSz w:w="11900" w:h="16836" w:orient="portrait"/>
          <w:cols w:equalWidth="0" w:num="1">
            <w:col w:w="9468"/>
          </w:cols>
          <w:pgMar w:left="1152" w:top="1156" w:right="1284" w:bottom="103" w:gutter="0" w:footer="0" w:header="0"/>
        </w:sectPr>
      </w:pPr>
    </w:p>
    <w:bookmarkStart w:id="145" w:name="page146"/>
    <w:bookmarkEnd w:id="145"/>
    <w:p>
      <w:pPr>
        <w:ind w:left="8"/>
        <w:spacing w:after="0"/>
        <w:rPr>
          <w:sz w:val="20"/>
          <w:szCs w:val="20"/>
          <w:color w:val="auto"/>
        </w:rPr>
      </w:pPr>
      <w:r>
        <w:rPr>
          <w:rFonts w:ascii="Times New Roman" w:cs="Times New Roman" w:eastAsia="Times New Roman" w:hAnsi="Times New Roman"/>
          <w:sz w:val="24"/>
          <w:szCs w:val="24"/>
          <w:b w:val="1"/>
          <w:bCs w:val="1"/>
          <w:color w:val="auto"/>
        </w:rPr>
        <w:t>PART VI: DISCLOSURES IN AND FILING OF OFFER DOCUMENTS</w:t>
      </w:r>
    </w:p>
    <w:p>
      <w:pPr>
        <w:spacing w:after="0" w:line="200" w:lineRule="exact"/>
        <w:rPr>
          <w:sz w:val="20"/>
          <w:szCs w:val="20"/>
          <w:color w:val="auto"/>
        </w:rPr>
      </w:pPr>
    </w:p>
    <w:p>
      <w:pPr>
        <w:spacing w:after="0" w:line="35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Disclosures in the draft offer document and offer document</w:t>
      </w:r>
    </w:p>
    <w:p>
      <w:pPr>
        <w:spacing w:after="0" w:line="144" w:lineRule="exact"/>
        <w:rPr>
          <w:sz w:val="20"/>
          <w:szCs w:val="20"/>
          <w:color w:val="auto"/>
        </w:rPr>
      </w:pPr>
    </w:p>
    <w:p>
      <w:pPr>
        <w:ind w:left="8" w:hanging="8"/>
        <w:spacing w:after="0" w:line="350" w:lineRule="auto"/>
        <w:tabs>
          <w:tab w:leader="none" w:pos="488" w:val="left"/>
        </w:tabs>
        <w:numPr>
          <w:ilvl w:val="0"/>
          <w:numId w:val="60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offer document shall contain all material disclosures which are true and adequate so as to enable the applicants to take an informed investment decision.</w:t>
      </w:r>
    </w:p>
    <w:p>
      <w:pPr>
        <w:spacing w:after="0" w:line="10" w:lineRule="exact"/>
        <w:rPr>
          <w:rFonts w:ascii="Times New Roman" w:cs="Times New Roman" w:eastAsia="Times New Roman" w:hAnsi="Times New Roman"/>
          <w:sz w:val="24"/>
          <w:szCs w:val="24"/>
          <w:b w:val="1"/>
          <w:bCs w:val="1"/>
          <w:color w:val="auto"/>
        </w:rPr>
      </w:pPr>
    </w:p>
    <w:p>
      <w:pPr>
        <w:ind w:left="8"/>
        <w:spacing w:after="0"/>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Without prejudice to the generality of sub-regulation (1), the offer document shall contain:</w:t>
      </w:r>
    </w:p>
    <w:p>
      <w:pPr>
        <w:spacing w:after="0" w:line="132" w:lineRule="exact"/>
        <w:rPr>
          <w:sz w:val="20"/>
          <w:szCs w:val="20"/>
          <w:color w:val="auto"/>
        </w:rPr>
      </w:pPr>
    </w:p>
    <w:p>
      <w:pPr>
        <w:ind w:left="548" w:hanging="548"/>
        <w:spacing w:after="0"/>
        <w:tabs>
          <w:tab w:leader="none" w:pos="548" w:val="left"/>
        </w:tabs>
        <w:numPr>
          <w:ilvl w:val="0"/>
          <w:numId w:val="601"/>
        </w:numPr>
        <w:rPr>
          <w:rFonts w:ascii="Calibri" w:cs="Calibri" w:eastAsia="Calibri" w:hAnsi="Calibri"/>
          <w:sz w:val="22"/>
          <w:szCs w:val="22"/>
          <w:color w:val="auto"/>
        </w:rPr>
      </w:pPr>
      <w:r>
        <w:rPr>
          <w:rFonts w:ascii="Times New Roman" w:cs="Times New Roman" w:eastAsia="Times New Roman" w:hAnsi="Times New Roman"/>
          <w:sz w:val="24"/>
          <w:szCs w:val="24"/>
          <w:color w:val="auto"/>
        </w:rPr>
        <w:t>disclosures specified in the Companies Act, 2013; and</w:t>
      </w:r>
    </w:p>
    <w:p>
      <w:pPr>
        <w:spacing w:after="0" w:line="129" w:lineRule="exact"/>
        <w:rPr>
          <w:rFonts w:ascii="Calibri" w:cs="Calibri" w:eastAsia="Calibri" w:hAnsi="Calibri"/>
          <w:sz w:val="22"/>
          <w:szCs w:val="22"/>
          <w:color w:val="auto"/>
        </w:rPr>
      </w:pPr>
    </w:p>
    <w:p>
      <w:pPr>
        <w:ind w:left="548" w:hanging="548"/>
        <w:spacing w:after="0"/>
        <w:tabs>
          <w:tab w:leader="none" w:pos="548" w:val="left"/>
        </w:tabs>
        <w:numPr>
          <w:ilvl w:val="0"/>
          <w:numId w:val="601"/>
        </w:numPr>
        <w:rPr>
          <w:rFonts w:ascii="Calibri" w:cs="Calibri" w:eastAsia="Calibri" w:hAnsi="Calibri"/>
          <w:sz w:val="22"/>
          <w:szCs w:val="22"/>
          <w:color w:val="auto"/>
        </w:rPr>
      </w:pPr>
      <w:r>
        <w:rPr>
          <w:rFonts w:ascii="Times New Roman" w:cs="Times New Roman" w:eastAsia="Times New Roman" w:hAnsi="Times New Roman"/>
          <w:sz w:val="24"/>
          <w:szCs w:val="24"/>
          <w:color w:val="auto"/>
        </w:rPr>
        <w:t xml:space="preserve">disclosures specified in </w:t>
      </w:r>
      <w:r>
        <w:rPr>
          <w:rFonts w:ascii="Times New Roman" w:cs="Times New Roman" w:eastAsia="Times New Roman" w:hAnsi="Times New Roman"/>
          <w:sz w:val="24"/>
          <w:szCs w:val="24"/>
          <w:b w:val="1"/>
          <w:bCs w:val="1"/>
          <w:color w:val="auto"/>
        </w:rPr>
        <w:t>Part A</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 VI</w:t>
      </w:r>
      <w:r>
        <w:rPr>
          <w:rFonts w:ascii="Times New Roman" w:cs="Times New Roman" w:eastAsia="Times New Roman" w:hAnsi="Times New Roman"/>
          <w:sz w:val="24"/>
          <w:szCs w:val="24"/>
          <w:color w:val="auto"/>
        </w:rPr>
        <w:t>.</w:t>
      </w:r>
    </w:p>
    <w:p>
      <w:pPr>
        <w:spacing w:after="0" w:line="152" w:lineRule="exact"/>
        <w:rPr>
          <w:sz w:val="20"/>
          <w:szCs w:val="20"/>
          <w:color w:val="auto"/>
        </w:rPr>
      </w:pPr>
    </w:p>
    <w:p>
      <w:pPr>
        <w:jc w:val="both"/>
        <w:ind w:left="8" w:hanging="8"/>
        <w:spacing w:after="0" w:line="354" w:lineRule="auto"/>
        <w:tabs>
          <w:tab w:leader="none" w:pos="370" w:val="left"/>
        </w:tabs>
        <w:numPr>
          <w:ilvl w:val="0"/>
          <w:numId w:val="60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 shall exercise due diligence and satisfy themselves about all aspects of the issue including the veracity and adequacy of disclosure in the draft offer document and the offer document.</w:t>
      </w:r>
    </w:p>
    <w:p>
      <w:pPr>
        <w:spacing w:after="0" w:line="19" w:lineRule="exact"/>
        <w:rPr>
          <w:rFonts w:ascii="Times New Roman" w:cs="Times New Roman" w:eastAsia="Times New Roman" w:hAnsi="Times New Roman"/>
          <w:sz w:val="24"/>
          <w:szCs w:val="24"/>
          <w:color w:val="auto"/>
        </w:rPr>
      </w:pPr>
    </w:p>
    <w:p>
      <w:pPr>
        <w:jc w:val="both"/>
        <w:ind w:left="8" w:hanging="8"/>
        <w:spacing w:after="0" w:line="356" w:lineRule="auto"/>
        <w:tabs>
          <w:tab w:leader="none" w:pos="358" w:val="left"/>
        </w:tabs>
        <w:numPr>
          <w:ilvl w:val="0"/>
          <w:numId w:val="60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 shall call upon the issuer, its promoters and its directors or in case of an offer for sale, also the selling shareholders, to fulfil their obligations as disclosed by them in the draft offer document or offer document, as the case may be, and as required in terms of these regulations.</w:t>
      </w:r>
    </w:p>
    <w:p>
      <w:pPr>
        <w:spacing w:after="0" w:line="18"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368" w:val="left"/>
        </w:tabs>
        <w:numPr>
          <w:ilvl w:val="0"/>
          <w:numId w:val="60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 shall ensure that the information contained in the offer document and the particulars as per audited financial statements in the offer document are not more than six months old from the issue opening date.</w:t>
      </w:r>
    </w:p>
    <w:p>
      <w:pPr>
        <w:spacing w:after="0" w:line="200" w:lineRule="exact"/>
        <w:rPr>
          <w:sz w:val="20"/>
          <w:szCs w:val="20"/>
          <w:color w:val="auto"/>
        </w:rPr>
      </w:pPr>
    </w:p>
    <w:p>
      <w:pPr>
        <w:spacing w:after="0" w:line="22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Filing of the offer document</w:t>
      </w:r>
    </w:p>
    <w:p>
      <w:pPr>
        <w:spacing w:after="0" w:line="134" w:lineRule="exact"/>
        <w:rPr>
          <w:sz w:val="20"/>
          <w:szCs w:val="20"/>
          <w:color w:val="auto"/>
        </w:rPr>
      </w:pPr>
    </w:p>
    <w:p>
      <w:pPr>
        <w:ind w:left="528" w:hanging="528"/>
        <w:spacing w:after="0"/>
        <w:tabs>
          <w:tab w:leader="none" w:pos="528" w:val="left"/>
        </w:tabs>
        <w:numPr>
          <w:ilvl w:val="0"/>
          <w:numId w:val="60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shall file a copy of the offer document with the Board through the lead</w:t>
      </w:r>
    </w:p>
    <w:p>
      <w:pPr>
        <w:spacing w:after="0" w:line="129" w:lineRule="exact"/>
        <w:rPr>
          <w:rFonts w:ascii="Times New Roman" w:cs="Times New Roman" w:eastAsia="Times New Roman" w:hAnsi="Times New Roman"/>
          <w:sz w:val="24"/>
          <w:szCs w:val="24"/>
          <w:b w:val="1"/>
          <w:bCs w:val="1"/>
          <w:color w:val="auto"/>
        </w:rPr>
      </w:pPr>
    </w:p>
    <w:p>
      <w:pPr>
        <w:ind w:left="8"/>
        <w:spacing w:after="0"/>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manager(s), immediately upon </w:t>
      </w:r>
      <w:r>
        <w:rPr>
          <w:rFonts w:ascii="Times New Roman" w:cs="Times New Roman" w:eastAsia="Times New Roman" w:hAnsi="Times New Roman"/>
          <w:sz w:val="32"/>
          <w:szCs w:val="32"/>
          <w:color w:val="auto"/>
          <w:vertAlign w:val="superscript"/>
        </w:rPr>
        <w:t>78</w:t>
      </w:r>
      <w:r>
        <w:rPr>
          <w:rFonts w:ascii="Times New Roman" w:cs="Times New Roman" w:eastAsia="Times New Roman" w:hAnsi="Times New Roman"/>
          <w:sz w:val="24"/>
          <w:szCs w:val="24"/>
          <w:color w:val="auto"/>
        </w:rPr>
        <w:t>[filing] of the offer document  with the Registrar of Companies:</w:t>
      </w:r>
    </w:p>
    <w:p>
      <w:pPr>
        <w:spacing w:after="0" w:line="54" w:lineRule="exact"/>
        <w:rPr>
          <w:rFonts w:ascii="Times New Roman" w:cs="Times New Roman" w:eastAsia="Times New Roman" w:hAnsi="Times New Roman"/>
          <w:sz w:val="24"/>
          <w:szCs w:val="24"/>
          <w:b w:val="1"/>
          <w:bCs w:val="1"/>
          <w:color w:val="auto"/>
        </w:rPr>
      </w:pPr>
    </w:p>
    <w:p>
      <w:pPr>
        <w:ind w:left="8"/>
        <w:spacing w:after="0"/>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The Board shall not issue any observation on the offer document.</w:t>
      </w:r>
    </w:p>
    <w:p>
      <w:pPr>
        <w:spacing w:after="0" w:line="137" w:lineRule="exact"/>
        <w:rPr>
          <w:rFonts w:ascii="Times New Roman" w:cs="Times New Roman" w:eastAsia="Times New Roman" w:hAnsi="Times New Roman"/>
          <w:sz w:val="24"/>
          <w:szCs w:val="24"/>
          <w:b w:val="1"/>
          <w:bCs w:val="1"/>
          <w:color w:val="auto"/>
        </w:rPr>
      </w:pPr>
    </w:p>
    <w:p>
      <w:pPr>
        <w:ind w:left="68"/>
        <w:spacing w:after="0"/>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(3) The lead manager(s) shall submit a due-diligence certificate as per </w:t>
      </w:r>
      <w:r>
        <w:rPr>
          <w:rFonts w:ascii="Times New Roman" w:cs="Times New Roman" w:eastAsia="Times New Roman" w:hAnsi="Times New Roman"/>
          <w:sz w:val="24"/>
          <w:szCs w:val="24"/>
          <w:b w:val="1"/>
          <w:bCs w:val="1"/>
          <w:color w:val="auto"/>
        </w:rPr>
        <w:t>Form A</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 V</w:t>
      </w:r>
    </w:p>
    <w:p>
      <w:pPr>
        <w:spacing w:after="0" w:line="151" w:lineRule="exact"/>
        <w:rPr>
          <w:sz w:val="20"/>
          <w:szCs w:val="20"/>
          <w:color w:val="auto"/>
        </w:rPr>
      </w:pPr>
    </w:p>
    <w:p>
      <w:pPr>
        <w:ind w:left="8"/>
        <w:spacing w:after="0" w:line="348" w:lineRule="auto"/>
        <w:rPr>
          <w:sz w:val="20"/>
          <w:szCs w:val="20"/>
          <w:color w:val="auto"/>
        </w:rPr>
      </w:pPr>
      <w:r>
        <w:rPr>
          <w:rFonts w:ascii="Times New Roman" w:cs="Times New Roman" w:eastAsia="Times New Roman" w:hAnsi="Times New Roman"/>
          <w:sz w:val="24"/>
          <w:szCs w:val="24"/>
          <w:color w:val="auto"/>
        </w:rPr>
        <w:t xml:space="preserve">including additional confirmations as provided in </w:t>
      </w:r>
      <w:r>
        <w:rPr>
          <w:rFonts w:ascii="Times New Roman" w:cs="Times New Roman" w:eastAsia="Times New Roman" w:hAnsi="Times New Roman"/>
          <w:sz w:val="24"/>
          <w:szCs w:val="24"/>
          <w:b w:val="1"/>
          <w:bCs w:val="1"/>
          <w:color w:val="auto"/>
        </w:rPr>
        <w:t>Form G of Schedule V</w:t>
      </w:r>
      <w:r>
        <w:rPr>
          <w:rFonts w:ascii="Times New Roman" w:cs="Times New Roman" w:eastAsia="Times New Roman" w:hAnsi="Times New Roman"/>
          <w:sz w:val="24"/>
          <w:szCs w:val="24"/>
          <w:color w:val="auto"/>
        </w:rPr>
        <w:t xml:space="preserve"> along with the offer document to the Board.</w:t>
      </w:r>
    </w:p>
    <w:p>
      <w:pPr>
        <w:spacing w:after="0" w:line="28" w:lineRule="exact"/>
        <w:rPr>
          <w:sz w:val="20"/>
          <w:szCs w:val="20"/>
          <w:color w:val="auto"/>
        </w:rPr>
      </w:pPr>
    </w:p>
    <w:p>
      <w:pPr>
        <w:ind w:left="8" w:hanging="8"/>
        <w:spacing w:after="0" w:line="348" w:lineRule="auto"/>
        <w:tabs>
          <w:tab w:leader="none" w:pos="351" w:val="left"/>
        </w:tabs>
        <w:numPr>
          <w:ilvl w:val="0"/>
          <w:numId w:val="60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offer document shall be displayed from the date of filing in terms of sub-regulation (1) on the websites of the Board, the lead manager(s) and the SME exchange(s).</w:t>
      </w:r>
    </w:p>
    <w:p>
      <w:pPr>
        <w:spacing w:after="0" w:line="27" w:lineRule="exact"/>
        <w:rPr>
          <w:rFonts w:ascii="Times New Roman" w:cs="Times New Roman" w:eastAsia="Times New Roman" w:hAnsi="Times New Roman"/>
          <w:sz w:val="24"/>
          <w:szCs w:val="24"/>
          <w:color w:val="auto"/>
        </w:rPr>
      </w:pPr>
    </w:p>
    <w:p>
      <w:pPr>
        <w:ind w:left="8" w:hanging="8"/>
        <w:spacing w:after="0" w:line="348" w:lineRule="auto"/>
        <w:tabs>
          <w:tab w:leader="none" w:pos="348" w:val="left"/>
        </w:tabs>
        <w:numPr>
          <w:ilvl w:val="0"/>
          <w:numId w:val="60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draft offer document and the offer documents shall also be furnished to the Board in a soft copy.</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Offer document to be made available to public</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ind w:left="8" w:hanging="8"/>
        <w:spacing w:after="0" w:line="203" w:lineRule="auto"/>
        <w:tabs>
          <w:tab w:leader="none" w:pos="188" w:val="left"/>
        </w:tabs>
        <w:numPr>
          <w:ilvl w:val="0"/>
          <w:numId w:val="605"/>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Securities and Exchange Board of India (Issue of Capital and Disclosure Requirements) (Seventh Amendment) Regulations, 2019, w-e-f 01.01.2020 for the word “registration”.</w:t>
      </w:r>
    </w:p>
    <w:p>
      <w:pPr>
        <w:spacing w:after="0" w:line="30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146</w:t>
      </w:r>
    </w:p>
    <w:p>
      <w:pPr>
        <w:sectPr>
          <w:pgSz w:w="11900" w:h="16836" w:orient="portrait"/>
          <w:cols w:equalWidth="0" w:num="1">
            <w:col w:w="9468"/>
          </w:cols>
          <w:pgMar w:left="1152" w:top="1149" w:right="1284" w:bottom="103" w:gutter="0" w:footer="0" w:header="0"/>
        </w:sectPr>
      </w:pPr>
    </w:p>
    <w:bookmarkStart w:id="146" w:name="page147"/>
    <w:bookmarkEnd w:id="146"/>
    <w:p>
      <w:pPr>
        <w:jc w:val="both"/>
        <w:ind w:left="8" w:hanging="8"/>
        <w:spacing w:after="0" w:line="354" w:lineRule="auto"/>
        <w:tabs>
          <w:tab w:leader="none" w:pos="492" w:val="left"/>
        </w:tabs>
        <w:numPr>
          <w:ilvl w:val="0"/>
          <w:numId w:val="60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and the lead manager(s) shall ensure that the offer documents are hosted on the websites as required under these regulations and its contents are the same as the versions as filed with the Registrar of Companies, Board and the SME exchange(s).</w:t>
      </w:r>
    </w:p>
    <w:p>
      <w:pPr>
        <w:spacing w:after="0" w:line="20"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The lead manager(s) and the SME exchange(s) shall provide copies of the offer document to the public as and when requested and may charge a reasonable sum for providing a copy of the same.</w:t>
      </w:r>
    </w:p>
    <w:p>
      <w:pPr>
        <w:spacing w:after="0" w:line="200" w:lineRule="exact"/>
        <w:rPr>
          <w:sz w:val="20"/>
          <w:szCs w:val="20"/>
          <w:color w:val="auto"/>
        </w:rPr>
      </w:pPr>
    </w:p>
    <w:p>
      <w:pPr>
        <w:spacing w:after="0" w:line="22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VII - PRICING</w:t>
      </w:r>
    </w:p>
    <w:p>
      <w:pPr>
        <w:spacing w:after="0" w:line="200" w:lineRule="exact"/>
        <w:rPr>
          <w:sz w:val="20"/>
          <w:szCs w:val="20"/>
          <w:color w:val="auto"/>
        </w:rPr>
      </w:pPr>
    </w:p>
    <w:p>
      <w:pPr>
        <w:spacing w:after="0" w:line="35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Face value of equity shares</w:t>
      </w:r>
    </w:p>
    <w:p>
      <w:pPr>
        <w:spacing w:after="0" w:line="147" w:lineRule="exact"/>
        <w:rPr>
          <w:sz w:val="20"/>
          <w:szCs w:val="20"/>
          <w:color w:val="auto"/>
        </w:rPr>
      </w:pPr>
    </w:p>
    <w:p>
      <w:pPr>
        <w:jc w:val="both"/>
        <w:ind w:left="8" w:hanging="8"/>
        <w:spacing w:after="0" w:line="354" w:lineRule="auto"/>
        <w:tabs>
          <w:tab w:leader="none" w:pos="644" w:val="left"/>
        </w:tabs>
        <w:numPr>
          <w:ilvl w:val="0"/>
          <w:numId w:val="60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disclosure about the face value of equity shares shall be made in the draft offer document, offer document, advertisements and application forms, along with the price band or the issue price in identical font size.</w:t>
      </w:r>
    </w:p>
    <w:p>
      <w:pPr>
        <w:spacing w:after="0" w:line="200" w:lineRule="exact"/>
        <w:rPr>
          <w:sz w:val="20"/>
          <w:szCs w:val="20"/>
          <w:color w:val="auto"/>
        </w:rPr>
      </w:pPr>
    </w:p>
    <w:p>
      <w:pPr>
        <w:spacing w:after="0" w:line="22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Pricing</w:t>
      </w:r>
    </w:p>
    <w:p>
      <w:pPr>
        <w:spacing w:after="0" w:line="144" w:lineRule="exact"/>
        <w:rPr>
          <w:sz w:val="20"/>
          <w:szCs w:val="20"/>
          <w:color w:val="auto"/>
        </w:rPr>
      </w:pPr>
    </w:p>
    <w:p>
      <w:pPr>
        <w:jc w:val="both"/>
        <w:ind w:left="8" w:hanging="8"/>
        <w:spacing w:after="0" w:line="354" w:lineRule="auto"/>
        <w:tabs>
          <w:tab w:leader="none" w:pos="478" w:val="left"/>
        </w:tabs>
        <w:numPr>
          <w:ilvl w:val="0"/>
          <w:numId w:val="60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may determine the price of equity shares, and in case of convertible securities, the coupon rate and the conversion price, in consultation with the lead manager(s) or through the book building process, as the case may be.</w:t>
      </w:r>
    </w:p>
    <w:p>
      <w:pPr>
        <w:spacing w:after="0" w:line="22" w:lineRule="exact"/>
        <w:rPr>
          <w:rFonts w:ascii="Times New Roman" w:cs="Times New Roman" w:eastAsia="Times New Roman" w:hAnsi="Times New Roman"/>
          <w:sz w:val="24"/>
          <w:szCs w:val="24"/>
          <w:b w:val="1"/>
          <w:bCs w:val="1"/>
          <w:color w:val="auto"/>
        </w:rPr>
      </w:pPr>
    </w:p>
    <w:p>
      <w:pPr>
        <w:ind w:left="8"/>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(2) The issuer shall undertake the book building process in the manner specified in </w:t>
      </w:r>
      <w:r>
        <w:rPr>
          <w:rFonts w:ascii="Times New Roman" w:cs="Times New Roman" w:eastAsia="Times New Roman" w:hAnsi="Times New Roman"/>
          <w:sz w:val="24"/>
          <w:szCs w:val="24"/>
          <w:b w:val="1"/>
          <w:bCs w:val="1"/>
          <w:color w:val="auto"/>
        </w:rPr>
        <w:t>Schedule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XIII</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Price and price band</w:t>
      </w:r>
    </w:p>
    <w:p>
      <w:pPr>
        <w:spacing w:after="0" w:line="147" w:lineRule="exact"/>
        <w:rPr>
          <w:sz w:val="20"/>
          <w:szCs w:val="20"/>
          <w:color w:val="auto"/>
        </w:rPr>
      </w:pPr>
    </w:p>
    <w:p>
      <w:pPr>
        <w:jc w:val="both"/>
        <w:ind w:left="8" w:hanging="8"/>
        <w:spacing w:after="0" w:line="348" w:lineRule="auto"/>
        <w:tabs>
          <w:tab w:leader="none" w:pos="502" w:val="left"/>
        </w:tabs>
        <w:numPr>
          <w:ilvl w:val="0"/>
          <w:numId w:val="60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may mention a price or a price band in the offer document (in case of a fixed price issue) and a floor price or a price band in the red herring prospectus (in case of a book built</w:t>
      </w:r>
    </w:p>
    <w:p>
      <w:pPr>
        <w:spacing w:after="0" w:line="8" w:lineRule="exact"/>
        <w:rPr>
          <w:rFonts w:ascii="Times New Roman" w:cs="Times New Roman" w:eastAsia="Times New Roman" w:hAnsi="Times New Roman"/>
          <w:sz w:val="24"/>
          <w:szCs w:val="24"/>
          <w:b w:val="1"/>
          <w:bCs w:val="1"/>
          <w:color w:val="auto"/>
        </w:rPr>
      </w:pPr>
    </w:p>
    <w:p>
      <w:pPr>
        <w:ind w:left="8"/>
        <w:spacing w:after="0" w:line="285"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issue) and determine the price at a later date before </w:t>
      </w:r>
      <w:r>
        <w:rPr>
          <w:rFonts w:ascii="Times New Roman" w:cs="Times New Roman" w:eastAsia="Times New Roman" w:hAnsi="Times New Roman"/>
          <w:sz w:val="32"/>
          <w:szCs w:val="32"/>
          <w:color w:val="auto"/>
          <w:vertAlign w:val="superscript"/>
        </w:rPr>
        <w:t>79</w:t>
      </w:r>
      <w:r>
        <w:rPr>
          <w:rFonts w:ascii="Times New Roman" w:cs="Times New Roman" w:eastAsia="Times New Roman" w:hAnsi="Times New Roman"/>
          <w:sz w:val="24"/>
          <w:szCs w:val="24"/>
          <w:color w:val="auto"/>
        </w:rPr>
        <w:t>[filing] the prospectus with the Registrar of Companies:</w:t>
      </w:r>
    </w:p>
    <w:p>
      <w:pPr>
        <w:spacing w:after="0" w:line="63" w:lineRule="exact"/>
        <w:rPr>
          <w:rFonts w:ascii="Times New Roman" w:cs="Times New Roman" w:eastAsia="Times New Roman" w:hAnsi="Times New Roman"/>
          <w:sz w:val="24"/>
          <w:szCs w:val="24"/>
          <w:b w:val="1"/>
          <w:bCs w:val="1"/>
          <w:color w:val="auto"/>
        </w:rPr>
      </w:pPr>
    </w:p>
    <w:p>
      <w:pPr>
        <w:ind w:left="8"/>
        <w:spacing w:after="0" w:line="285"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Provided that the prospectus </w:t>
      </w:r>
      <w:r>
        <w:rPr>
          <w:rFonts w:ascii="Times New Roman" w:cs="Times New Roman" w:eastAsia="Times New Roman" w:hAnsi="Times New Roman"/>
          <w:sz w:val="32"/>
          <w:szCs w:val="32"/>
          <w:color w:val="auto"/>
          <w:vertAlign w:val="superscript"/>
        </w:rPr>
        <w:t>80</w:t>
      </w:r>
      <w:r>
        <w:rPr>
          <w:rFonts w:ascii="Times New Roman" w:cs="Times New Roman" w:eastAsia="Times New Roman" w:hAnsi="Times New Roman"/>
          <w:sz w:val="24"/>
          <w:szCs w:val="24"/>
          <w:color w:val="auto"/>
        </w:rPr>
        <w:t>[filed] with the Registrar of Companies shall contain only one price or the specific coupon rate, as the case may be.</w:t>
      </w:r>
    </w:p>
    <w:p>
      <w:pPr>
        <w:spacing w:after="0" w:line="83" w:lineRule="exact"/>
        <w:rPr>
          <w:rFonts w:ascii="Times New Roman" w:cs="Times New Roman" w:eastAsia="Times New Roman" w:hAnsi="Times New Roman"/>
          <w:sz w:val="24"/>
          <w:szCs w:val="24"/>
          <w:b w:val="1"/>
          <w:bCs w:val="1"/>
          <w:color w:val="auto"/>
        </w:rPr>
      </w:pPr>
    </w:p>
    <w:p>
      <w:pPr>
        <w:ind w:left="8"/>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The cap on the price band, and the coupon rate in case of convertible debt instruments shall be less than or equal to one hundred and twenty per cent. of the floor price.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ind w:left="8" w:hanging="8"/>
        <w:spacing w:after="0" w:line="203" w:lineRule="auto"/>
        <w:tabs>
          <w:tab w:leader="none" w:pos="188" w:val="left"/>
        </w:tabs>
        <w:numPr>
          <w:ilvl w:val="0"/>
          <w:numId w:val="610"/>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Securities and Exchange Board of India (Issue of Capital and Disclosure Requirements) (Seventh Amendment) Regulations, 2019, w-e-f 01.01.2020 for the word “registering”.</w:t>
      </w:r>
    </w:p>
    <w:p>
      <w:pPr>
        <w:spacing w:after="0" w:line="13" w:lineRule="exact"/>
        <w:rPr>
          <w:rFonts w:ascii="Times New Roman" w:cs="Times New Roman" w:eastAsia="Times New Roman" w:hAnsi="Times New Roman"/>
          <w:sz w:val="26"/>
          <w:szCs w:val="26"/>
          <w:color w:val="auto"/>
          <w:vertAlign w:val="superscript"/>
        </w:rPr>
      </w:pPr>
    </w:p>
    <w:p>
      <w:pPr>
        <w:ind w:left="8" w:hanging="8"/>
        <w:spacing w:after="0" w:line="203" w:lineRule="auto"/>
        <w:tabs>
          <w:tab w:leader="none" w:pos="188" w:val="left"/>
        </w:tabs>
        <w:numPr>
          <w:ilvl w:val="0"/>
          <w:numId w:val="610"/>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Securities and Exchange Board of India (Issue of Capital and Disclosure Requirements) (Seventh Amendment) Regulations, 2019, w-e-f 01.01.2020 for the word “registered”.</w:t>
      </w:r>
    </w:p>
    <w:p>
      <w:pPr>
        <w:spacing w:after="0" w:line="30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147</w:t>
      </w:r>
    </w:p>
    <w:p>
      <w:pPr>
        <w:sectPr>
          <w:pgSz w:w="11900" w:h="16836" w:orient="portrait"/>
          <w:cols w:equalWidth="0" w:num="1">
            <w:col w:w="9468"/>
          </w:cols>
          <w:pgMar w:left="1152" w:top="1156" w:right="1284" w:bottom="103" w:gutter="0" w:footer="0" w:header="0"/>
        </w:sectPr>
      </w:pPr>
    </w:p>
    <w:bookmarkStart w:id="147" w:name="page148"/>
    <w:bookmarkEnd w:id="147"/>
    <w:p>
      <w:pPr>
        <w:ind w:left="348" w:hanging="348"/>
        <w:spacing w:after="0"/>
        <w:tabs>
          <w:tab w:leader="none" w:pos="348" w:val="left"/>
        </w:tabs>
        <w:numPr>
          <w:ilvl w:val="0"/>
          <w:numId w:val="6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floor price or the final price shall not be less than the face value of the specified securities.</w:t>
      </w:r>
    </w:p>
    <w:p>
      <w:pPr>
        <w:spacing w:after="0" w:line="149" w:lineRule="exact"/>
        <w:rPr>
          <w:rFonts w:ascii="Times New Roman" w:cs="Times New Roman" w:eastAsia="Times New Roman" w:hAnsi="Times New Roman"/>
          <w:sz w:val="24"/>
          <w:szCs w:val="24"/>
          <w:color w:val="auto"/>
        </w:rPr>
      </w:pPr>
    </w:p>
    <w:p>
      <w:pPr>
        <w:jc w:val="both"/>
        <w:ind w:left="8" w:hanging="8"/>
        <w:spacing w:after="0" w:line="356" w:lineRule="auto"/>
        <w:tabs>
          <w:tab w:leader="none" w:pos="339" w:val="left"/>
        </w:tabs>
        <w:numPr>
          <w:ilvl w:val="0"/>
          <w:numId w:val="6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Where the issuer opts not to make the disclosure of the floor price or price band in the red herring prospectus, the issuer shall announce the floor price or the price band at least two working days before the opening of the issue in the newspapers in which the pre-issue advertisement was released or together with the pre-issue advertisement in the format prescribed under Part A of</w:t>
      </w:r>
    </w:p>
    <w:p>
      <w:pPr>
        <w:spacing w:after="0" w:line="200" w:lineRule="exact"/>
        <w:rPr>
          <w:sz w:val="20"/>
          <w:szCs w:val="20"/>
          <w:color w:val="auto"/>
        </w:rPr>
      </w:pPr>
    </w:p>
    <w:p>
      <w:pPr>
        <w:spacing w:after="0" w:line="234" w:lineRule="exact"/>
        <w:rPr>
          <w:sz w:val="20"/>
          <w:szCs w:val="20"/>
          <w:color w:val="auto"/>
        </w:rPr>
      </w:pPr>
    </w:p>
    <w:p>
      <w:pPr>
        <w:jc w:val="both"/>
        <w:ind w:left="8" w:hanging="8"/>
        <w:spacing w:after="0" w:line="348" w:lineRule="auto"/>
        <w:tabs>
          <w:tab w:leader="none" w:pos="396" w:val="left"/>
        </w:tabs>
        <w:numPr>
          <w:ilvl w:val="0"/>
          <w:numId w:val="6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announcement referred to in sub-regulation (4) shall contain relevant financial ratios computed for both upper and lower end of the price band and also a statement drawing attention</w:t>
      </w:r>
    </w:p>
    <w:p>
      <w:pPr>
        <w:spacing w:after="0" w:line="16"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of the investors to the section titled “basis of issue price” of the offer document.</w:t>
      </w:r>
    </w:p>
    <w:p>
      <w:pPr>
        <w:spacing w:after="0" w:line="149" w:lineRule="exact"/>
        <w:rPr>
          <w:sz w:val="20"/>
          <w:szCs w:val="20"/>
          <w:color w:val="auto"/>
        </w:rPr>
      </w:pPr>
    </w:p>
    <w:p>
      <w:pPr>
        <w:jc w:val="both"/>
        <w:ind w:left="8" w:hanging="8"/>
        <w:spacing w:after="0" w:line="354" w:lineRule="auto"/>
        <w:tabs>
          <w:tab w:leader="none" w:pos="348" w:val="left"/>
        </w:tabs>
        <w:numPr>
          <w:ilvl w:val="0"/>
          <w:numId w:val="6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announcement referred to in sub-regulation (4) and the relevant financial ratios referred to in sub-regulation (5) shall be disclosed on the websites of the SME exchange(s) and shall also be pre-filled in the application forms to be made available on the websites of the SME exchange(s).</w:t>
      </w:r>
    </w:p>
    <w:p>
      <w:pPr>
        <w:spacing w:after="0" w:line="200" w:lineRule="exact"/>
        <w:rPr>
          <w:sz w:val="20"/>
          <w:szCs w:val="20"/>
          <w:color w:val="auto"/>
        </w:rPr>
      </w:pPr>
    </w:p>
    <w:p>
      <w:pPr>
        <w:spacing w:after="0" w:line="22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Differential pricing</w:t>
      </w:r>
    </w:p>
    <w:p>
      <w:pPr>
        <w:spacing w:after="0" w:line="134" w:lineRule="exact"/>
        <w:rPr>
          <w:sz w:val="20"/>
          <w:szCs w:val="20"/>
          <w:color w:val="auto"/>
        </w:rPr>
      </w:pPr>
    </w:p>
    <w:p>
      <w:pPr>
        <w:ind w:left="468" w:hanging="468"/>
        <w:spacing w:after="0"/>
        <w:tabs>
          <w:tab w:leader="none" w:pos="468" w:val="left"/>
        </w:tabs>
        <w:numPr>
          <w:ilvl w:val="0"/>
          <w:numId w:val="61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may offer its specified securities at different prices, subject to the following:</w:t>
      </w:r>
    </w:p>
    <w:p>
      <w:pPr>
        <w:spacing w:after="0" w:line="149" w:lineRule="exact"/>
        <w:rPr>
          <w:sz w:val="20"/>
          <w:szCs w:val="20"/>
          <w:color w:val="auto"/>
        </w:rPr>
      </w:pPr>
    </w:p>
    <w:p>
      <w:pPr>
        <w:jc w:val="both"/>
        <w:ind w:left="548" w:hanging="548"/>
        <w:spacing w:after="0" w:line="353" w:lineRule="auto"/>
        <w:tabs>
          <w:tab w:leader="none" w:pos="548" w:val="left"/>
        </w:tabs>
        <w:numPr>
          <w:ilvl w:val="0"/>
          <w:numId w:val="615"/>
        </w:numPr>
        <w:rPr>
          <w:rFonts w:ascii="Calibri" w:cs="Calibri" w:eastAsia="Calibri" w:hAnsi="Calibri"/>
          <w:sz w:val="22"/>
          <w:szCs w:val="22"/>
          <w:color w:val="auto"/>
        </w:rPr>
      </w:pPr>
      <w:r>
        <w:rPr>
          <w:rFonts w:ascii="Times New Roman" w:cs="Times New Roman" w:eastAsia="Times New Roman" w:hAnsi="Times New Roman"/>
          <w:sz w:val="24"/>
          <w:szCs w:val="24"/>
          <w:color w:val="auto"/>
        </w:rPr>
        <w:t>retail individual investors or retail individual shareholders[or employees entitled for reservation made under regulation 254 may be offered specified securities at a price not lower than by more than ten per cent. of the price at which net offer is made to other categories of applicants, excluding anchor investors.</w:t>
      </w:r>
    </w:p>
    <w:p>
      <w:pPr>
        <w:spacing w:after="0" w:line="22" w:lineRule="exact"/>
        <w:rPr>
          <w:rFonts w:ascii="Calibri" w:cs="Calibri" w:eastAsia="Calibri" w:hAnsi="Calibri"/>
          <w:sz w:val="22"/>
          <w:szCs w:val="22"/>
          <w:color w:val="auto"/>
        </w:rPr>
      </w:pPr>
    </w:p>
    <w:p>
      <w:pPr>
        <w:jc w:val="both"/>
        <w:ind w:left="548" w:hanging="548"/>
        <w:spacing w:after="0" w:line="350" w:lineRule="auto"/>
        <w:tabs>
          <w:tab w:leader="none" w:pos="548" w:val="left"/>
        </w:tabs>
        <w:numPr>
          <w:ilvl w:val="0"/>
          <w:numId w:val="615"/>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differential pricing and the price at which net offer is proposed to be made to other categories of applicants shall be within the range such that the minimum application lot size shall remain uniform for all the applicants.</w:t>
      </w:r>
    </w:p>
    <w:p>
      <w:pPr>
        <w:spacing w:after="0" w:line="25" w:lineRule="exact"/>
        <w:rPr>
          <w:rFonts w:ascii="Calibri" w:cs="Calibri" w:eastAsia="Calibri" w:hAnsi="Calibri"/>
          <w:sz w:val="22"/>
          <w:szCs w:val="22"/>
          <w:color w:val="auto"/>
        </w:rPr>
      </w:pPr>
    </w:p>
    <w:p>
      <w:pPr>
        <w:ind w:left="548" w:hanging="548"/>
        <w:spacing w:after="0" w:line="342" w:lineRule="auto"/>
        <w:tabs>
          <w:tab w:leader="none" w:pos="548" w:val="left"/>
        </w:tabs>
        <w:numPr>
          <w:ilvl w:val="0"/>
          <w:numId w:val="615"/>
        </w:numPr>
        <w:rPr>
          <w:rFonts w:ascii="Calibri" w:cs="Calibri" w:eastAsia="Calibri" w:hAnsi="Calibri"/>
          <w:sz w:val="22"/>
          <w:szCs w:val="22"/>
          <w:color w:val="auto"/>
        </w:rPr>
      </w:pPr>
      <w:r>
        <w:rPr>
          <w:rFonts w:ascii="Times New Roman" w:cs="Times New Roman" w:eastAsia="Times New Roman" w:hAnsi="Times New Roman"/>
          <w:sz w:val="24"/>
          <w:szCs w:val="24"/>
          <w:color w:val="auto"/>
        </w:rPr>
        <w:t>in case of a book built issue, the price of the specified securities offered to the anchor investors shall not be lower than the price offered to other applicants.</w:t>
      </w:r>
    </w:p>
    <w:p>
      <w:pPr>
        <w:spacing w:after="0" w:line="20"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(2) Discount, if any, shall be expressed in rupee terms in the offer document.</w:t>
      </w:r>
    </w:p>
    <w:p>
      <w:pPr>
        <w:spacing w:after="0" w:line="200" w:lineRule="exact"/>
        <w:rPr>
          <w:sz w:val="20"/>
          <w:szCs w:val="20"/>
          <w:color w:val="auto"/>
        </w:rPr>
      </w:pPr>
    </w:p>
    <w:p>
      <w:pPr>
        <w:spacing w:after="0" w:line="35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VIII: ISSUANCE CONDITIONS AND PROCEDURE</w:t>
      </w:r>
    </w:p>
    <w:p>
      <w:pPr>
        <w:spacing w:after="0" w:line="200" w:lineRule="exact"/>
        <w:rPr>
          <w:sz w:val="20"/>
          <w:szCs w:val="20"/>
          <w:color w:val="auto"/>
        </w:rPr>
      </w:pPr>
    </w:p>
    <w:p>
      <w:pPr>
        <w:spacing w:after="0" w:line="35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Minimum offer to public</w:t>
      </w:r>
    </w:p>
    <w:p>
      <w:pPr>
        <w:spacing w:after="0" w:line="144" w:lineRule="exact"/>
        <w:rPr>
          <w:sz w:val="20"/>
          <w:szCs w:val="20"/>
          <w:color w:val="auto"/>
        </w:rPr>
      </w:pPr>
    </w:p>
    <w:p>
      <w:pPr>
        <w:ind w:left="8" w:hanging="8"/>
        <w:spacing w:after="0" w:line="350" w:lineRule="auto"/>
        <w:tabs>
          <w:tab w:leader="none" w:pos="490" w:val="left"/>
        </w:tabs>
        <w:numPr>
          <w:ilvl w:val="0"/>
          <w:numId w:val="61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minimum offer to the public shall be as per the provisions of clause (b) of sub-rule (2) of rule 19 of Securities Contracts (Regulations) Rules, 1957.</w:t>
      </w:r>
    </w:p>
    <w:p>
      <w:pPr>
        <w:spacing w:after="0" w:line="200" w:lineRule="exact"/>
        <w:rPr>
          <w:sz w:val="20"/>
          <w:szCs w:val="20"/>
          <w:color w:val="auto"/>
        </w:rPr>
      </w:pPr>
    </w:p>
    <w:p>
      <w:pPr>
        <w:spacing w:after="0" w:line="231"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Allocation in the net offer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148</w:t>
      </w:r>
    </w:p>
    <w:p>
      <w:pPr>
        <w:sectPr>
          <w:pgSz w:w="11900" w:h="16836" w:orient="portrait"/>
          <w:cols w:equalWidth="0" w:num="1">
            <w:col w:w="9468"/>
          </w:cols>
          <w:pgMar w:left="1152" w:top="1144" w:right="1284" w:bottom="103" w:gutter="0" w:footer="0" w:header="0"/>
        </w:sectPr>
      </w:pPr>
    </w:p>
    <w:bookmarkStart w:id="148" w:name="page149"/>
    <w:bookmarkEnd w:id="148"/>
    <w:p>
      <w:pPr>
        <w:ind w:left="8"/>
        <w:spacing w:after="0"/>
        <w:rPr>
          <w:sz w:val="20"/>
          <w:szCs w:val="20"/>
          <w:color w:val="auto"/>
        </w:rPr>
      </w:pPr>
      <w:r>
        <w:rPr>
          <w:rFonts w:ascii="Times New Roman" w:cs="Times New Roman" w:eastAsia="Times New Roman" w:hAnsi="Times New Roman"/>
          <w:sz w:val="24"/>
          <w:szCs w:val="24"/>
          <w:b w:val="1"/>
          <w:bCs w:val="1"/>
          <w:color w:val="auto"/>
        </w:rPr>
        <w:t xml:space="preserve">253. </w:t>
      </w:r>
      <w:r>
        <w:rPr>
          <w:rFonts w:ascii="Times New Roman" w:cs="Times New Roman" w:eastAsia="Times New Roman" w:hAnsi="Times New Roman"/>
          <w:sz w:val="32"/>
          <w:szCs w:val="32"/>
          <w:color w:val="auto"/>
          <w:vertAlign w:val="superscript"/>
        </w:rPr>
        <w:t>81</w:t>
      </w:r>
      <w:r>
        <w:rPr>
          <w:rFonts w:ascii="Times New Roman" w:cs="Times New Roman" w:eastAsia="Times New Roman" w:hAnsi="Times New Roman"/>
          <w:sz w:val="24"/>
          <w:szCs w:val="24"/>
          <w:color w:val="auto"/>
        </w:rPr>
        <w:t>[(1)]The allocation in the net offer category shall be as follows:</w:t>
      </w:r>
    </w:p>
    <w:p>
      <w:pPr>
        <w:spacing w:after="0" w:line="46" w:lineRule="exact"/>
        <w:rPr>
          <w:sz w:val="20"/>
          <w:szCs w:val="20"/>
          <w:color w:val="auto"/>
        </w:rPr>
      </w:pPr>
    </w:p>
    <w:p>
      <w:pPr>
        <w:ind w:left="368" w:hanging="368"/>
        <w:spacing w:after="0"/>
        <w:tabs>
          <w:tab w:leader="none" w:pos="368" w:val="left"/>
        </w:tabs>
        <w:numPr>
          <w:ilvl w:val="0"/>
          <w:numId w:val="617"/>
        </w:numPr>
        <w:rPr>
          <w:rFonts w:ascii="Calibri" w:cs="Calibri" w:eastAsia="Calibri" w:hAnsi="Calibri"/>
          <w:sz w:val="22"/>
          <w:szCs w:val="22"/>
          <w:color w:val="auto"/>
        </w:rPr>
      </w:pPr>
      <w:r>
        <w:rPr>
          <w:rFonts w:ascii="Times New Roman" w:cs="Times New Roman" w:eastAsia="Times New Roman" w:hAnsi="Times New Roman"/>
          <w:sz w:val="24"/>
          <w:szCs w:val="24"/>
          <w:color w:val="auto"/>
        </w:rPr>
        <w:t>not less than thirty five per cent. to retail individual investors;</w:t>
      </w:r>
    </w:p>
    <w:p>
      <w:pPr>
        <w:spacing w:after="0" w:line="132" w:lineRule="exact"/>
        <w:rPr>
          <w:rFonts w:ascii="Calibri" w:cs="Calibri" w:eastAsia="Calibri" w:hAnsi="Calibri"/>
          <w:sz w:val="22"/>
          <w:szCs w:val="22"/>
          <w:color w:val="auto"/>
        </w:rPr>
      </w:pPr>
    </w:p>
    <w:p>
      <w:pPr>
        <w:ind w:left="368" w:hanging="368"/>
        <w:spacing w:after="0"/>
        <w:tabs>
          <w:tab w:leader="none" w:pos="368" w:val="left"/>
        </w:tabs>
        <w:numPr>
          <w:ilvl w:val="0"/>
          <w:numId w:val="617"/>
        </w:numPr>
        <w:rPr>
          <w:rFonts w:ascii="Calibri" w:cs="Calibri" w:eastAsia="Calibri" w:hAnsi="Calibri"/>
          <w:sz w:val="22"/>
          <w:szCs w:val="22"/>
          <w:color w:val="auto"/>
        </w:rPr>
      </w:pPr>
      <w:r>
        <w:rPr>
          <w:rFonts w:ascii="Times New Roman" w:cs="Times New Roman" w:eastAsia="Times New Roman" w:hAnsi="Times New Roman"/>
          <w:sz w:val="24"/>
          <w:szCs w:val="24"/>
          <w:color w:val="auto"/>
        </w:rPr>
        <w:t>not less than fifteen per cent. to non-institutional investors;</w:t>
      </w:r>
    </w:p>
    <w:p>
      <w:pPr>
        <w:spacing w:after="0" w:line="149" w:lineRule="exact"/>
        <w:rPr>
          <w:rFonts w:ascii="Calibri" w:cs="Calibri" w:eastAsia="Calibri" w:hAnsi="Calibri"/>
          <w:sz w:val="22"/>
          <w:szCs w:val="22"/>
          <w:color w:val="auto"/>
        </w:rPr>
      </w:pPr>
    </w:p>
    <w:p>
      <w:pPr>
        <w:ind w:left="368" w:hanging="368"/>
        <w:spacing w:after="0" w:line="344" w:lineRule="auto"/>
        <w:tabs>
          <w:tab w:leader="none" w:pos="368" w:val="left"/>
        </w:tabs>
        <w:numPr>
          <w:ilvl w:val="0"/>
          <w:numId w:val="617"/>
        </w:numPr>
        <w:rPr>
          <w:rFonts w:ascii="Calibri" w:cs="Calibri" w:eastAsia="Calibri" w:hAnsi="Calibri"/>
          <w:sz w:val="22"/>
          <w:szCs w:val="22"/>
          <w:color w:val="auto"/>
        </w:rPr>
      </w:pPr>
      <w:r>
        <w:rPr>
          <w:rFonts w:ascii="Times New Roman" w:cs="Times New Roman" w:eastAsia="Times New Roman" w:hAnsi="Times New Roman"/>
          <w:sz w:val="24"/>
          <w:szCs w:val="24"/>
          <w:color w:val="auto"/>
        </w:rPr>
        <w:t>not more than fifty per cent. to qualified institutional buyers, five per cent. of which shall be allocated to mutual funds:</w:t>
      </w:r>
    </w:p>
    <w:p>
      <w:pPr>
        <w:spacing w:after="0" w:line="26" w:lineRule="exact"/>
        <w:rPr>
          <w:rFonts w:ascii="Calibri" w:cs="Calibri" w:eastAsia="Calibri" w:hAnsi="Calibri"/>
          <w:sz w:val="22"/>
          <w:szCs w:val="22"/>
          <w:color w:val="auto"/>
        </w:rPr>
      </w:pPr>
    </w:p>
    <w:p>
      <w:pPr>
        <w:ind w:left="368"/>
        <w:spacing w:after="0" w:line="350" w:lineRule="auto"/>
        <w:rPr>
          <w:rFonts w:ascii="Calibri" w:cs="Calibri" w:eastAsia="Calibri" w:hAnsi="Calibri"/>
          <w:sz w:val="22"/>
          <w:szCs w:val="22"/>
          <w:color w:val="auto"/>
        </w:rPr>
      </w:pPr>
      <w:r>
        <w:rPr>
          <w:rFonts w:ascii="Times New Roman" w:cs="Times New Roman" w:eastAsia="Times New Roman" w:hAnsi="Times New Roman"/>
          <w:sz w:val="24"/>
          <w:szCs w:val="24"/>
          <w:color w:val="auto"/>
        </w:rPr>
        <w:t>Provided that the unsubscribed portion in either of the categories specified in clauses (a) or (b) may be allocated to applicants in any other category:</w:t>
      </w:r>
    </w:p>
    <w:p>
      <w:pPr>
        <w:spacing w:after="0" w:line="23" w:lineRule="exact"/>
        <w:rPr>
          <w:rFonts w:ascii="Calibri" w:cs="Calibri" w:eastAsia="Calibri" w:hAnsi="Calibri"/>
          <w:sz w:val="22"/>
          <w:szCs w:val="22"/>
          <w:color w:val="auto"/>
        </w:rPr>
      </w:pPr>
    </w:p>
    <w:p>
      <w:pPr>
        <w:jc w:val="both"/>
        <w:ind w:left="368"/>
        <w:spacing w:after="0" w:line="354" w:lineRule="auto"/>
        <w:rPr>
          <w:rFonts w:ascii="Calibri" w:cs="Calibri" w:eastAsia="Calibri" w:hAnsi="Calibri"/>
          <w:sz w:val="22"/>
          <w:szCs w:val="22"/>
          <w:color w:val="auto"/>
        </w:rPr>
      </w:pPr>
      <w:r>
        <w:rPr>
          <w:rFonts w:ascii="Times New Roman" w:cs="Times New Roman" w:eastAsia="Times New Roman" w:hAnsi="Times New Roman"/>
          <w:sz w:val="24"/>
          <w:szCs w:val="24"/>
          <w:color w:val="auto"/>
        </w:rPr>
        <w:t>Provided further that in addition to five per cent. allocation available in terms of clause (c), mutual funds shall be eligible for allocation under the balance available for qualified institutional buyers.</w:t>
      </w:r>
    </w:p>
    <w:p>
      <w:pPr>
        <w:spacing w:after="0" w:line="19" w:lineRule="exact"/>
        <w:rPr>
          <w:sz w:val="20"/>
          <w:szCs w:val="20"/>
          <w:color w:val="auto"/>
        </w:rPr>
      </w:pPr>
    </w:p>
    <w:p>
      <w:pPr>
        <w:ind w:left="8"/>
        <w:spacing w:after="0"/>
        <w:rPr>
          <w:sz w:val="20"/>
          <w:szCs w:val="20"/>
          <w:color w:val="auto"/>
        </w:rPr>
      </w:pPr>
      <w:r>
        <w:rPr>
          <w:rFonts w:ascii="Times New Roman" w:cs="Times New Roman" w:eastAsia="Times New Roman" w:hAnsi="Times New Roman"/>
          <w:sz w:val="32"/>
          <w:szCs w:val="32"/>
          <w:b w:val="1"/>
          <w:bCs w:val="1"/>
          <w:color w:val="auto"/>
          <w:vertAlign w:val="superscript"/>
        </w:rPr>
        <w:t>82</w:t>
      </w:r>
      <w:r>
        <w:rPr>
          <w:rFonts w:ascii="Times New Roman" w:cs="Times New Roman" w:eastAsia="Times New Roman" w:hAnsi="Times New Roman"/>
          <w:sz w:val="24"/>
          <w:szCs w:val="24"/>
          <w:b w:val="1"/>
          <w:bCs w:val="1"/>
          <w:color w:val="auto"/>
        </w:rPr>
        <w:t>[***]</w:t>
      </w:r>
    </w:p>
    <w:p>
      <w:pPr>
        <w:spacing w:after="0" w:line="48" w:lineRule="exact"/>
        <w:rPr>
          <w:sz w:val="20"/>
          <w:szCs w:val="20"/>
          <w:color w:val="auto"/>
        </w:rPr>
      </w:pPr>
    </w:p>
    <w:p>
      <w:pPr>
        <w:ind w:left="8"/>
        <w:spacing w:after="0" w:line="350" w:lineRule="auto"/>
        <w:rPr>
          <w:sz w:val="20"/>
          <w:szCs w:val="20"/>
          <w:color w:val="auto"/>
        </w:rPr>
      </w:pPr>
      <w:r>
        <w:rPr>
          <w:rFonts w:ascii="Times New Roman" w:cs="Times New Roman" w:eastAsia="Times New Roman" w:hAnsi="Times New Roman"/>
          <w:sz w:val="20"/>
          <w:szCs w:val="20"/>
          <w:color w:val="auto"/>
        </w:rPr>
        <w:t>83</w:t>
      </w:r>
      <w:r>
        <w:rPr>
          <w:rFonts w:ascii="Times New Roman" w:cs="Times New Roman" w:eastAsia="Times New Roman" w:hAnsi="Times New Roman"/>
          <w:sz w:val="24"/>
          <w:szCs w:val="24"/>
          <w:color w:val="auto"/>
        </w:rPr>
        <w:t>[(2) In an issue made other than through the book building process, the allocation in the</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4"/>
          <w:szCs w:val="24"/>
          <w:color w:val="auto"/>
        </w:rPr>
        <w:t>net offer category shall be made as follows:</w:t>
      </w:r>
    </w:p>
    <w:p>
      <w:pPr>
        <w:spacing w:after="0" w:line="200" w:lineRule="exact"/>
        <w:rPr>
          <w:sz w:val="20"/>
          <w:szCs w:val="20"/>
          <w:color w:val="auto"/>
        </w:rPr>
      </w:pPr>
    </w:p>
    <w:p>
      <w:pPr>
        <w:spacing w:after="0" w:line="226" w:lineRule="exact"/>
        <w:rPr>
          <w:sz w:val="20"/>
          <w:szCs w:val="20"/>
          <w:color w:val="auto"/>
        </w:rPr>
      </w:pPr>
    </w:p>
    <w:p>
      <w:pPr>
        <w:ind w:left="868" w:hanging="364"/>
        <w:spacing w:after="0"/>
        <w:tabs>
          <w:tab w:leader="none" w:pos="868" w:val="left"/>
        </w:tabs>
        <w:numPr>
          <w:ilvl w:val="0"/>
          <w:numId w:val="6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minimum fifty per cent. to retail individual investors; and</w:t>
      </w:r>
    </w:p>
    <w:p>
      <w:pPr>
        <w:spacing w:after="0" w:line="200" w:lineRule="exact"/>
        <w:rPr>
          <w:rFonts w:ascii="Times New Roman" w:cs="Times New Roman" w:eastAsia="Times New Roman" w:hAnsi="Times New Roman"/>
          <w:sz w:val="24"/>
          <w:szCs w:val="24"/>
          <w:color w:val="auto"/>
        </w:rPr>
      </w:pPr>
    </w:p>
    <w:p>
      <w:pPr>
        <w:spacing w:after="0" w:line="352" w:lineRule="exact"/>
        <w:rPr>
          <w:rFonts w:ascii="Times New Roman" w:cs="Times New Roman" w:eastAsia="Times New Roman" w:hAnsi="Times New Roman"/>
          <w:sz w:val="24"/>
          <w:szCs w:val="24"/>
          <w:color w:val="auto"/>
        </w:rPr>
      </w:pPr>
    </w:p>
    <w:p>
      <w:pPr>
        <w:ind w:left="888" w:hanging="384"/>
        <w:spacing w:after="0"/>
        <w:tabs>
          <w:tab w:leader="none" w:pos="888" w:val="left"/>
        </w:tabs>
        <w:numPr>
          <w:ilvl w:val="0"/>
          <w:numId w:val="6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remaining to:</w:t>
      </w:r>
    </w:p>
    <w:p>
      <w:pPr>
        <w:spacing w:after="0" w:line="136" w:lineRule="exact"/>
        <w:rPr>
          <w:rFonts w:ascii="Times New Roman" w:cs="Times New Roman" w:eastAsia="Times New Roman" w:hAnsi="Times New Roman"/>
          <w:sz w:val="24"/>
          <w:szCs w:val="24"/>
          <w:color w:val="auto"/>
        </w:rPr>
      </w:pPr>
    </w:p>
    <w:p>
      <w:pPr>
        <w:ind w:left="1288" w:hanging="388"/>
        <w:spacing w:after="0"/>
        <w:tabs>
          <w:tab w:leader="none" w:pos="1288" w:val="left"/>
        </w:tabs>
        <w:numPr>
          <w:ilvl w:val="1"/>
          <w:numId w:val="6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individual applicants other than retail individual investors; and</w:t>
      </w:r>
    </w:p>
    <w:p>
      <w:pPr>
        <w:spacing w:after="0" w:line="200" w:lineRule="exact"/>
        <w:rPr>
          <w:rFonts w:ascii="Times New Roman" w:cs="Times New Roman" w:eastAsia="Times New Roman" w:hAnsi="Times New Roman"/>
          <w:sz w:val="24"/>
          <w:szCs w:val="24"/>
          <w:color w:val="auto"/>
        </w:rPr>
      </w:pPr>
    </w:p>
    <w:p>
      <w:pPr>
        <w:spacing w:after="0" w:line="364" w:lineRule="exact"/>
        <w:rPr>
          <w:rFonts w:ascii="Times New Roman" w:cs="Times New Roman" w:eastAsia="Times New Roman" w:hAnsi="Times New Roman"/>
          <w:sz w:val="24"/>
          <w:szCs w:val="24"/>
          <w:color w:val="auto"/>
        </w:rPr>
      </w:pPr>
    </w:p>
    <w:p>
      <w:pPr>
        <w:ind w:left="908" w:hanging="8"/>
        <w:spacing w:after="0" w:line="350" w:lineRule="auto"/>
        <w:tabs>
          <w:tab w:leader="none" w:pos="1279" w:val="left"/>
        </w:tabs>
        <w:numPr>
          <w:ilvl w:val="1"/>
          <w:numId w:val="6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other investors including corporate bodies or institutions, irrespective of the number of specified securities applied for;</w:t>
      </w:r>
    </w:p>
    <w:p>
      <w:pPr>
        <w:spacing w:after="0" w:line="200" w:lineRule="exact"/>
        <w:rPr>
          <w:sz w:val="20"/>
          <w:szCs w:val="20"/>
          <w:color w:val="auto"/>
        </w:rPr>
      </w:pPr>
    </w:p>
    <w:p>
      <w:pPr>
        <w:spacing w:after="0" w:line="238" w:lineRule="exact"/>
        <w:rPr>
          <w:sz w:val="20"/>
          <w:szCs w:val="20"/>
          <w:color w:val="auto"/>
        </w:rPr>
      </w:pPr>
    </w:p>
    <w:p>
      <w:pPr>
        <w:jc w:val="both"/>
        <w:ind w:left="508"/>
        <w:spacing w:after="0" w:line="348" w:lineRule="auto"/>
        <w:rPr>
          <w:sz w:val="20"/>
          <w:szCs w:val="20"/>
          <w:color w:val="auto"/>
        </w:rPr>
      </w:pPr>
      <w:r>
        <w:rPr>
          <w:rFonts w:ascii="Times New Roman" w:cs="Times New Roman" w:eastAsia="Times New Roman" w:hAnsi="Times New Roman"/>
          <w:sz w:val="24"/>
          <w:szCs w:val="24"/>
          <w:color w:val="auto"/>
        </w:rPr>
        <w:t>Provided that the unsubscribed portion in either of the categories specified in clauses (a) or (b) may be allocated to applicants in the other category.</w:t>
      </w:r>
    </w:p>
    <w:p>
      <w:pPr>
        <w:spacing w:after="0" w:line="200" w:lineRule="exact"/>
        <w:rPr>
          <w:sz w:val="20"/>
          <w:szCs w:val="20"/>
          <w:color w:val="auto"/>
        </w:rPr>
      </w:pPr>
    </w:p>
    <w:p>
      <w:pPr>
        <w:spacing w:after="0" w:line="241" w:lineRule="exact"/>
        <w:rPr>
          <w:sz w:val="20"/>
          <w:szCs w:val="20"/>
          <w:color w:val="auto"/>
        </w:rPr>
      </w:pPr>
    </w:p>
    <w:p>
      <w:pPr>
        <w:jc w:val="both"/>
        <w:ind w:left="508"/>
        <w:spacing w:after="0" w:line="354" w:lineRule="auto"/>
        <w:rPr>
          <w:sz w:val="20"/>
          <w:szCs w:val="20"/>
          <w:color w:val="auto"/>
        </w:rPr>
      </w:pPr>
      <w:r>
        <w:rPr>
          <w:rFonts w:ascii="Times New Roman" w:cs="Times New Roman" w:eastAsia="Times New Roman" w:hAnsi="Times New Roman"/>
          <w:sz w:val="24"/>
          <w:szCs w:val="24"/>
          <w:b w:val="1"/>
          <w:bCs w:val="1"/>
          <w:i w:val="1"/>
          <w:iCs w:val="1"/>
          <w:color w:val="auto"/>
        </w:rPr>
        <w:t>Explanation</w:t>
      </w:r>
      <w:r>
        <w:rPr>
          <w:rFonts w:ascii="Times New Roman" w:cs="Times New Roman" w:eastAsia="Times New Roman" w:hAnsi="Times New Roman"/>
          <w:sz w:val="24"/>
          <w:szCs w:val="24"/>
          <w:color w:val="auto"/>
        </w:rPr>
        <w:t>. - For the purpose of sub-regulation (2), if the retail individual investor category is</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entitled to more than fifty per cent. of the issue size on a proportionate basis, the retail individual investors shall be allocated that higher percentage.]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ind w:left="8" w:right="20"/>
        <w:spacing w:after="0" w:line="211" w:lineRule="auto"/>
        <w:rPr>
          <w:sz w:val="20"/>
          <w:szCs w:val="20"/>
          <w:color w:val="auto"/>
        </w:rPr>
      </w:pPr>
      <w:r>
        <w:rPr>
          <w:rFonts w:ascii="Times New Roman" w:cs="Times New Roman" w:eastAsia="Times New Roman" w:hAnsi="Times New Roman"/>
          <w:sz w:val="25"/>
          <w:szCs w:val="25"/>
          <w:color w:val="auto"/>
          <w:vertAlign w:val="superscript"/>
        </w:rPr>
        <w:t>81</w:t>
      </w:r>
      <w:r>
        <w:rPr>
          <w:rFonts w:ascii="Times New Roman" w:cs="Times New Roman" w:eastAsia="Times New Roman" w:hAnsi="Times New Roman"/>
          <w:sz w:val="20"/>
          <w:szCs w:val="20"/>
          <w:color w:val="auto"/>
        </w:rPr>
        <w:t xml:space="preserve"> Re-numbered by the Securities and Exchange Board of India (Issue of Capital and Disclosure Requirements) (Amendment) Regulations, 2018 w-e-f- 31.12.2018.</w:t>
      </w:r>
    </w:p>
    <w:p>
      <w:pPr>
        <w:spacing w:after="0" w:line="6" w:lineRule="exact"/>
        <w:rPr>
          <w:sz w:val="20"/>
          <w:szCs w:val="20"/>
          <w:color w:val="auto"/>
        </w:rPr>
      </w:pPr>
    </w:p>
    <w:p>
      <w:pPr>
        <w:ind w:left="8"/>
        <w:spacing w:after="0" w:line="210" w:lineRule="auto"/>
        <w:rPr>
          <w:sz w:val="20"/>
          <w:szCs w:val="20"/>
          <w:color w:val="auto"/>
        </w:rPr>
      </w:pPr>
      <w:r>
        <w:rPr>
          <w:rFonts w:ascii="Times New Roman" w:cs="Times New Roman" w:eastAsia="Times New Roman" w:hAnsi="Times New Roman"/>
          <w:sz w:val="25"/>
          <w:szCs w:val="25"/>
          <w:color w:val="auto"/>
          <w:vertAlign w:val="superscript"/>
        </w:rPr>
        <w:t>82</w:t>
      </w:r>
      <w:r>
        <w:rPr>
          <w:rFonts w:ascii="Times New Roman" w:cs="Times New Roman" w:eastAsia="Times New Roman" w:hAnsi="Times New Roman"/>
          <w:sz w:val="20"/>
          <w:szCs w:val="20"/>
          <w:color w:val="auto"/>
        </w:rPr>
        <w:t xml:space="preserve"> Omitted by the Securities and Exchange Board of India (Issue of Capital and Disclosure Requirements) (Amendment) Regulations, 2018 w-e-f- 31.12.2018. Prior to its omission,-</w:t>
      </w:r>
    </w:p>
    <w:p>
      <w:pPr>
        <w:spacing w:after="0" w:line="12" w:lineRule="exact"/>
        <w:rPr>
          <w:sz w:val="20"/>
          <w:szCs w:val="20"/>
          <w:color w:val="auto"/>
        </w:rPr>
      </w:pPr>
    </w:p>
    <w:p>
      <w:pPr>
        <w:ind w:left="448"/>
        <w:spacing w:after="0" w:line="234" w:lineRule="auto"/>
        <w:rPr>
          <w:sz w:val="20"/>
          <w:szCs w:val="20"/>
          <w:color w:val="auto"/>
        </w:rPr>
      </w:pP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b w:val="1"/>
          <w:bCs w:val="1"/>
          <w:color w:val="auto"/>
        </w:rPr>
        <w:t>Explanation:</w:t>
      </w:r>
      <w:r>
        <w:rPr>
          <w:rFonts w:ascii="Times New Roman" w:cs="Times New Roman" w:eastAsia="Times New Roman" w:hAnsi="Times New Roman"/>
          <w:sz w:val="20"/>
          <w:szCs w:val="20"/>
          <w:color w:val="auto"/>
        </w:rPr>
        <w:t xml:space="preserve"> If the retail individual investor category is entitled to more than the allocated portion on proportionate basis, the retail individual investors shall be allocated that higher percentage.”</w:t>
      </w:r>
    </w:p>
    <w:p>
      <w:pPr>
        <w:spacing w:after="0" w:line="6" w:lineRule="exact"/>
        <w:rPr>
          <w:sz w:val="20"/>
          <w:szCs w:val="20"/>
          <w:color w:val="auto"/>
        </w:rPr>
      </w:pPr>
    </w:p>
    <w:p>
      <w:pPr>
        <w:ind w:left="8" w:right="20"/>
        <w:spacing w:after="0" w:line="211" w:lineRule="auto"/>
        <w:rPr>
          <w:sz w:val="20"/>
          <w:szCs w:val="20"/>
          <w:color w:val="auto"/>
        </w:rPr>
      </w:pPr>
      <w:r>
        <w:rPr>
          <w:rFonts w:ascii="Times New Roman" w:cs="Times New Roman" w:eastAsia="Times New Roman" w:hAnsi="Times New Roman"/>
          <w:sz w:val="25"/>
          <w:szCs w:val="25"/>
          <w:color w:val="auto"/>
          <w:vertAlign w:val="superscript"/>
        </w:rPr>
        <w:t>83</w:t>
      </w:r>
      <w:r>
        <w:rPr>
          <w:rFonts w:ascii="Times New Roman" w:cs="Times New Roman" w:eastAsia="Times New Roman" w:hAnsi="Times New Roman"/>
          <w:sz w:val="20"/>
          <w:szCs w:val="20"/>
          <w:color w:val="auto"/>
        </w:rPr>
        <w:t xml:space="preserve"> Inserted by the Securities and Exchange Board of India (Issue of Capital and Disclosure Requirements) (Amendment) Regulations, 2018 w-e-f- 31.12.2018.</w:t>
      </w:r>
    </w:p>
    <w:p>
      <w:pPr>
        <w:spacing w:after="0" w:line="300"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149</w:t>
      </w:r>
    </w:p>
    <w:p>
      <w:pPr>
        <w:sectPr>
          <w:pgSz w:w="11900" w:h="16836" w:orient="portrait"/>
          <w:cols w:equalWidth="0" w:num="1">
            <w:col w:w="9468"/>
          </w:cols>
          <w:pgMar w:left="1152" w:top="1136" w:right="1284" w:bottom="103" w:gutter="0" w:footer="0" w:header="0"/>
        </w:sectPr>
      </w:pPr>
    </w:p>
    <w:bookmarkStart w:id="149" w:name="page150"/>
    <w:bookmarkEnd w:id="149"/>
    <w:p>
      <w:pPr>
        <w:ind w:left="8"/>
        <w:spacing w:after="0"/>
        <w:rPr>
          <w:sz w:val="20"/>
          <w:szCs w:val="20"/>
          <w:color w:val="auto"/>
        </w:rPr>
      </w:pPr>
      <w:r>
        <w:rPr>
          <w:rFonts w:ascii="Times New Roman" w:cs="Times New Roman" w:eastAsia="Times New Roman" w:hAnsi="Times New Roman"/>
          <w:sz w:val="24"/>
          <w:szCs w:val="24"/>
          <w:b w:val="1"/>
          <w:bCs w:val="1"/>
          <w:color w:val="auto"/>
        </w:rPr>
        <w:t>Reservation on a competitive basis</w:t>
      </w:r>
    </w:p>
    <w:p>
      <w:pPr>
        <w:spacing w:after="0" w:line="132" w:lineRule="exact"/>
        <w:rPr>
          <w:sz w:val="20"/>
          <w:szCs w:val="20"/>
          <w:color w:val="auto"/>
        </w:rPr>
      </w:pPr>
    </w:p>
    <w:p>
      <w:pPr>
        <w:ind w:left="508" w:hanging="508"/>
        <w:spacing w:after="0"/>
        <w:tabs>
          <w:tab w:leader="none" w:pos="508" w:val="left"/>
        </w:tabs>
        <w:numPr>
          <w:ilvl w:val="0"/>
          <w:numId w:val="61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may make reservations on a competitive basis out of the issue size excluding</w:t>
      </w:r>
    </w:p>
    <w:p>
      <w:pPr>
        <w:spacing w:after="0" w:line="139"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promoters’ contribution in favour of the following categories of persons:</w:t>
      </w:r>
    </w:p>
    <w:p>
      <w:pPr>
        <w:spacing w:after="0" w:line="130" w:lineRule="exact"/>
        <w:rPr>
          <w:sz w:val="20"/>
          <w:szCs w:val="20"/>
          <w:color w:val="auto"/>
        </w:rPr>
      </w:pPr>
    </w:p>
    <w:p>
      <w:pPr>
        <w:ind w:left="508" w:hanging="508"/>
        <w:spacing w:after="0"/>
        <w:tabs>
          <w:tab w:leader="none" w:pos="508" w:val="left"/>
        </w:tabs>
        <w:numPr>
          <w:ilvl w:val="0"/>
          <w:numId w:val="620"/>
        </w:numPr>
        <w:rPr>
          <w:rFonts w:ascii="Calibri" w:cs="Calibri" w:eastAsia="Calibri" w:hAnsi="Calibri"/>
          <w:sz w:val="22"/>
          <w:szCs w:val="22"/>
          <w:color w:val="auto"/>
        </w:rPr>
      </w:pPr>
      <w:r>
        <w:rPr>
          <w:rFonts w:ascii="Times New Roman" w:cs="Times New Roman" w:eastAsia="Times New Roman" w:hAnsi="Times New Roman"/>
          <w:sz w:val="24"/>
          <w:szCs w:val="24"/>
          <w:color w:val="auto"/>
        </w:rPr>
        <w:t>employees;</w:t>
      </w:r>
    </w:p>
    <w:p>
      <w:pPr>
        <w:spacing w:after="0" w:line="151" w:lineRule="exact"/>
        <w:rPr>
          <w:rFonts w:ascii="Calibri" w:cs="Calibri" w:eastAsia="Calibri" w:hAnsi="Calibri"/>
          <w:sz w:val="22"/>
          <w:szCs w:val="22"/>
          <w:color w:val="auto"/>
        </w:rPr>
      </w:pPr>
    </w:p>
    <w:p>
      <w:pPr>
        <w:ind w:left="508" w:hanging="508"/>
        <w:spacing w:after="0" w:line="342" w:lineRule="auto"/>
        <w:tabs>
          <w:tab w:leader="none" w:pos="508" w:val="left"/>
        </w:tabs>
        <w:numPr>
          <w:ilvl w:val="0"/>
          <w:numId w:val="620"/>
        </w:numPr>
        <w:rPr>
          <w:rFonts w:ascii="Calibri" w:cs="Calibri" w:eastAsia="Calibri" w:hAnsi="Calibri"/>
          <w:sz w:val="22"/>
          <w:szCs w:val="22"/>
          <w:color w:val="auto"/>
        </w:rPr>
      </w:pPr>
      <w:r>
        <w:rPr>
          <w:rFonts w:ascii="Times New Roman" w:cs="Times New Roman" w:eastAsia="Times New Roman" w:hAnsi="Times New Roman"/>
          <w:sz w:val="24"/>
          <w:szCs w:val="24"/>
          <w:color w:val="auto"/>
        </w:rPr>
        <w:t>shareholders (other than promoters and promoter group) of listed subsidiaries or listed promoter companies</w:t>
      </w:r>
    </w:p>
    <w:p>
      <w:pPr>
        <w:spacing w:after="0" w:line="31" w:lineRule="exact"/>
        <w:rPr>
          <w:rFonts w:ascii="Calibri" w:cs="Calibri" w:eastAsia="Calibri" w:hAnsi="Calibri"/>
          <w:sz w:val="22"/>
          <w:szCs w:val="22"/>
          <w:color w:val="auto"/>
        </w:rPr>
      </w:pPr>
    </w:p>
    <w:p>
      <w:pPr>
        <w:jc w:val="both"/>
        <w:ind w:left="508"/>
        <w:spacing w:after="0" w:line="348" w:lineRule="auto"/>
        <w:rPr>
          <w:rFonts w:ascii="Calibri" w:cs="Calibri" w:eastAsia="Calibri" w:hAnsi="Calibri"/>
          <w:sz w:val="22"/>
          <w:szCs w:val="22"/>
          <w:color w:val="auto"/>
        </w:rPr>
      </w:pPr>
      <w:r>
        <w:rPr>
          <w:rFonts w:ascii="Times New Roman" w:cs="Times New Roman" w:eastAsia="Times New Roman" w:hAnsi="Times New Roman"/>
          <w:sz w:val="24"/>
          <w:szCs w:val="24"/>
          <w:color w:val="auto"/>
        </w:rPr>
        <w:t>Provided that the issuer shall not make any reservation for the lead manager(s), registrar, syndicate member(s), their promoters, directors and employees and for the group or associate</w:t>
      </w:r>
    </w:p>
    <w:p>
      <w:pPr>
        <w:spacing w:after="0" w:line="28" w:lineRule="exact"/>
        <w:rPr>
          <w:sz w:val="20"/>
          <w:szCs w:val="20"/>
          <w:color w:val="auto"/>
        </w:rPr>
      </w:pPr>
    </w:p>
    <w:p>
      <w:pPr>
        <w:ind w:left="508"/>
        <w:spacing w:after="0" w:line="348" w:lineRule="auto"/>
        <w:rPr>
          <w:sz w:val="20"/>
          <w:szCs w:val="20"/>
          <w:color w:val="auto"/>
        </w:rPr>
      </w:pPr>
      <w:r>
        <w:rPr>
          <w:rFonts w:ascii="Times New Roman" w:cs="Times New Roman" w:eastAsia="Times New Roman" w:hAnsi="Times New Roman"/>
          <w:sz w:val="24"/>
          <w:szCs w:val="24"/>
          <w:color w:val="auto"/>
        </w:rPr>
        <w:t>companies (as defined under the Companies Act, 2013) of the lead manager(s), registrar, and syndicate member(s) and their promoters, directors and employees.</w:t>
      </w:r>
    </w:p>
    <w:p>
      <w:pPr>
        <w:spacing w:after="0" w:line="15"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(2) The reservations on a competitive basis shall be subject to following conditions:</w:t>
      </w:r>
    </w:p>
    <w:p>
      <w:pPr>
        <w:spacing w:after="0" w:line="149" w:lineRule="exact"/>
        <w:rPr>
          <w:sz w:val="20"/>
          <w:szCs w:val="20"/>
          <w:color w:val="auto"/>
        </w:rPr>
      </w:pPr>
    </w:p>
    <w:p>
      <w:pPr>
        <w:jc w:val="both"/>
        <w:ind w:left="548" w:hanging="548"/>
        <w:spacing w:after="0" w:line="354" w:lineRule="auto"/>
        <w:tabs>
          <w:tab w:leader="none" w:pos="548" w:val="left"/>
        </w:tabs>
        <w:numPr>
          <w:ilvl w:val="0"/>
          <w:numId w:val="6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aggregate of reservations for employees shall not exceed five per cent. of the post-issue capital of the issuer and the value of allotment to any employee shall not exceed two lakhs rupees:</w:t>
      </w:r>
    </w:p>
    <w:p>
      <w:pPr>
        <w:spacing w:after="0" w:line="22" w:lineRule="exact"/>
        <w:rPr>
          <w:rFonts w:ascii="Times New Roman" w:cs="Times New Roman" w:eastAsia="Times New Roman" w:hAnsi="Times New Roman"/>
          <w:sz w:val="24"/>
          <w:szCs w:val="24"/>
          <w:color w:val="auto"/>
        </w:rPr>
      </w:pPr>
    </w:p>
    <w:p>
      <w:pPr>
        <w:jc w:val="both"/>
        <w:ind w:left="548"/>
        <w:spacing w:after="0" w:line="35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in the event of under-subscription in the employee reservation portion, the unsubscribed portion may be allotted on a proportionate basis, for a value in excess of two lakhs rupees, subject to the total allotment to an employee not exceeding five lakhs rupees.</w:t>
      </w:r>
    </w:p>
    <w:p>
      <w:pPr>
        <w:spacing w:after="0" w:line="7" w:lineRule="exact"/>
        <w:rPr>
          <w:rFonts w:ascii="Times New Roman" w:cs="Times New Roman" w:eastAsia="Times New Roman" w:hAnsi="Times New Roman"/>
          <w:sz w:val="24"/>
          <w:szCs w:val="24"/>
          <w:color w:val="auto"/>
        </w:rPr>
      </w:pPr>
    </w:p>
    <w:p>
      <w:pPr>
        <w:ind w:left="548" w:hanging="548"/>
        <w:spacing w:after="0"/>
        <w:tabs>
          <w:tab w:leader="none" w:pos="548" w:val="left"/>
        </w:tabs>
        <w:numPr>
          <w:ilvl w:val="0"/>
          <w:numId w:val="6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reservation for shareholders shall not exceed ten per cent. of the issue size;</w:t>
      </w:r>
    </w:p>
    <w:p>
      <w:pPr>
        <w:spacing w:after="0" w:line="151" w:lineRule="exact"/>
        <w:rPr>
          <w:rFonts w:ascii="Times New Roman" w:cs="Times New Roman" w:eastAsia="Times New Roman" w:hAnsi="Times New Roman"/>
          <w:sz w:val="24"/>
          <w:szCs w:val="24"/>
          <w:color w:val="auto"/>
        </w:rPr>
      </w:pPr>
    </w:p>
    <w:p>
      <w:pPr>
        <w:jc w:val="both"/>
        <w:ind w:left="548" w:hanging="548"/>
        <w:spacing w:after="0" w:line="354" w:lineRule="auto"/>
        <w:tabs>
          <w:tab w:leader="none" w:pos="548" w:val="left"/>
        </w:tabs>
        <w:numPr>
          <w:ilvl w:val="0"/>
          <w:numId w:val="6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no further application for subscription in the net offer can be made by persons (except an employee and retail individual shareholder) in favour of whom reservation on a competitive basis is made;</w:t>
      </w:r>
    </w:p>
    <w:p>
      <w:pPr>
        <w:spacing w:after="0" w:line="19" w:lineRule="exact"/>
        <w:rPr>
          <w:rFonts w:ascii="Times New Roman" w:cs="Times New Roman" w:eastAsia="Times New Roman" w:hAnsi="Times New Roman"/>
          <w:sz w:val="24"/>
          <w:szCs w:val="24"/>
          <w:color w:val="auto"/>
        </w:rPr>
      </w:pPr>
    </w:p>
    <w:p>
      <w:pPr>
        <w:jc w:val="both"/>
        <w:ind w:left="548" w:hanging="548"/>
        <w:spacing w:after="0" w:line="354" w:lineRule="auto"/>
        <w:tabs>
          <w:tab w:leader="none" w:pos="548" w:val="left"/>
        </w:tabs>
        <w:numPr>
          <w:ilvl w:val="0"/>
          <w:numId w:val="6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unsubscribed portion in any reserved category may be added to any other reserved category(ies) and the unsubscribed portion, if any, after such inter-se adjustments among the reserved categories shall be added to the net offer category;</w:t>
      </w:r>
    </w:p>
    <w:p>
      <w:pPr>
        <w:spacing w:after="0" w:line="22" w:lineRule="exact"/>
        <w:rPr>
          <w:rFonts w:ascii="Times New Roman" w:cs="Times New Roman" w:eastAsia="Times New Roman" w:hAnsi="Times New Roman"/>
          <w:sz w:val="24"/>
          <w:szCs w:val="24"/>
          <w:color w:val="auto"/>
        </w:rPr>
      </w:pPr>
    </w:p>
    <w:p>
      <w:pPr>
        <w:ind w:left="548" w:hanging="548"/>
        <w:spacing w:after="0" w:line="348" w:lineRule="auto"/>
        <w:tabs>
          <w:tab w:leader="none" w:pos="548" w:val="left"/>
        </w:tabs>
        <w:numPr>
          <w:ilvl w:val="0"/>
          <w:numId w:val="6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under-subscription in the net offer category, spill-over to the extent of under-subscription shall be permitted from the reserved category to the net public offer.</w:t>
      </w:r>
    </w:p>
    <w:p>
      <w:pPr>
        <w:spacing w:after="0" w:line="28" w:lineRule="exact"/>
        <w:rPr>
          <w:sz w:val="20"/>
          <w:szCs w:val="20"/>
          <w:color w:val="auto"/>
        </w:rPr>
      </w:pPr>
    </w:p>
    <w:p>
      <w:pPr>
        <w:ind w:left="8" w:hanging="8"/>
        <w:spacing w:after="0" w:line="348" w:lineRule="auto"/>
        <w:tabs>
          <w:tab w:leader="none" w:pos="368" w:val="left"/>
        </w:tabs>
        <w:numPr>
          <w:ilvl w:val="0"/>
          <w:numId w:val="6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 applicant in any reserved category may make an application for any number of specified securities but not exceeding the reserved portion for that category.</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Abridged prospectus</w:t>
      </w:r>
    </w:p>
    <w:p>
      <w:pPr>
        <w:spacing w:after="0" w:line="147" w:lineRule="exact"/>
        <w:rPr>
          <w:sz w:val="20"/>
          <w:szCs w:val="20"/>
          <w:color w:val="auto"/>
        </w:rPr>
      </w:pPr>
    </w:p>
    <w:p>
      <w:pPr>
        <w:ind w:left="8" w:hanging="8"/>
        <w:spacing w:after="0" w:line="348" w:lineRule="auto"/>
        <w:tabs>
          <w:tab w:leader="none" w:pos="495" w:val="left"/>
        </w:tabs>
        <w:numPr>
          <w:ilvl w:val="0"/>
          <w:numId w:val="62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(1) The abridged prospectus shall contain the disclosures as specified in </w:t>
      </w:r>
      <w:r>
        <w:rPr>
          <w:rFonts w:ascii="Times New Roman" w:cs="Times New Roman" w:eastAsia="Times New Roman" w:hAnsi="Times New Roman"/>
          <w:sz w:val="24"/>
          <w:szCs w:val="24"/>
          <w:b w:val="1"/>
          <w:bCs w:val="1"/>
          <w:color w:val="auto"/>
        </w:rPr>
        <w:t>Part E</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 xml:space="preserve">VIII </w:t>
      </w:r>
      <w:r>
        <w:rPr>
          <w:rFonts w:ascii="Times New Roman" w:cs="Times New Roman" w:eastAsia="Times New Roman" w:hAnsi="Times New Roman"/>
          <w:sz w:val="24"/>
          <w:szCs w:val="24"/>
          <w:color w:val="auto"/>
        </w:rPr>
        <w:t>and shall not contain any matter extraneous to the contents of the offer document.</w:t>
      </w:r>
    </w:p>
    <w:p>
      <w:pPr>
        <w:spacing w:after="0" w:line="28" w:lineRule="exact"/>
        <w:rPr>
          <w:rFonts w:ascii="Times New Roman" w:cs="Times New Roman" w:eastAsia="Times New Roman" w:hAnsi="Times New Roman"/>
          <w:sz w:val="24"/>
          <w:szCs w:val="24"/>
          <w:b w:val="1"/>
          <w:bCs w:val="1"/>
          <w:color w:val="auto"/>
        </w:rPr>
      </w:pPr>
    </w:p>
    <w:p>
      <w:pPr>
        <w:ind w:left="8"/>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Every application form distributed by the issuer or any other person in relation to an issue shall be accompanied by a copy of the abridged prospectus.</w:t>
      </w: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150</w:t>
      </w:r>
    </w:p>
    <w:p>
      <w:pPr>
        <w:sectPr>
          <w:pgSz w:w="11900" w:h="16836" w:orient="portrait"/>
          <w:cols w:equalWidth="0" w:num="1">
            <w:col w:w="9468"/>
          </w:cols>
          <w:pgMar w:left="1152" w:top="1149" w:right="1284" w:bottom="103" w:gutter="0" w:footer="0" w:header="0"/>
        </w:sectPr>
      </w:pPr>
    </w:p>
    <w:bookmarkStart w:id="150" w:name="page151"/>
    <w:bookmarkEnd w:id="150"/>
    <w:p>
      <w:pPr>
        <w:ind w:left="8"/>
        <w:spacing w:after="0"/>
        <w:rPr>
          <w:sz w:val="20"/>
          <w:szCs w:val="20"/>
          <w:color w:val="auto"/>
        </w:rPr>
      </w:pPr>
      <w:r>
        <w:rPr>
          <w:rFonts w:ascii="Times New Roman" w:cs="Times New Roman" w:eastAsia="Times New Roman" w:hAnsi="Times New Roman"/>
          <w:sz w:val="24"/>
          <w:szCs w:val="24"/>
          <w:b w:val="1"/>
          <w:bCs w:val="1"/>
          <w:color w:val="auto"/>
        </w:rPr>
        <w:t>ASBA</w:t>
      </w:r>
    </w:p>
    <w:p>
      <w:pPr>
        <w:spacing w:after="0" w:line="145" w:lineRule="exact"/>
        <w:rPr>
          <w:sz w:val="20"/>
          <w:szCs w:val="20"/>
          <w:color w:val="auto"/>
        </w:rPr>
      </w:pPr>
    </w:p>
    <w:p>
      <w:pPr>
        <w:ind w:left="8" w:hanging="8"/>
        <w:spacing w:after="0" w:line="350" w:lineRule="auto"/>
        <w:tabs>
          <w:tab w:leader="none" w:pos="521" w:val="left"/>
        </w:tabs>
        <w:numPr>
          <w:ilvl w:val="0"/>
          <w:numId w:val="62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issuer shall accept bids using only the ASBA facility in the manner specified by the Board.</w:t>
      </w:r>
    </w:p>
    <w:p>
      <w:pPr>
        <w:spacing w:after="0" w:line="200" w:lineRule="exact"/>
        <w:rPr>
          <w:sz w:val="20"/>
          <w:szCs w:val="20"/>
          <w:color w:val="auto"/>
        </w:rPr>
      </w:pPr>
    </w:p>
    <w:p>
      <w:pPr>
        <w:spacing w:after="0" w:line="231"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Availability of issue material</w:t>
      </w:r>
    </w:p>
    <w:p>
      <w:pPr>
        <w:spacing w:after="0" w:line="144" w:lineRule="exact"/>
        <w:rPr>
          <w:sz w:val="20"/>
          <w:szCs w:val="20"/>
          <w:color w:val="auto"/>
        </w:rPr>
      </w:pPr>
    </w:p>
    <w:p>
      <w:pPr>
        <w:jc w:val="both"/>
        <w:ind w:left="8" w:hanging="8"/>
        <w:spacing w:after="0" w:line="354" w:lineRule="auto"/>
        <w:tabs>
          <w:tab w:leader="none" w:pos="500" w:val="left"/>
        </w:tabs>
        <w:numPr>
          <w:ilvl w:val="0"/>
          <w:numId w:val="62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lead manager(s) shall ensure availability of the offer document and other issue material including application forms to stock exchanges, syndicate members, registrar to issue, registrar and share transfer agents, depository participants, stock brokers, underwriters, bankers to the</w:t>
      </w:r>
    </w:p>
    <w:p>
      <w:pPr>
        <w:spacing w:after="0" w:line="10"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issue, investors’ associations and self certified syndicate banks before the opening of the issue.</w:t>
      </w:r>
    </w:p>
    <w:p>
      <w:pPr>
        <w:spacing w:after="0" w:line="200" w:lineRule="exact"/>
        <w:rPr>
          <w:sz w:val="20"/>
          <w:szCs w:val="20"/>
          <w:color w:val="auto"/>
        </w:rPr>
      </w:pPr>
    </w:p>
    <w:p>
      <w:pPr>
        <w:spacing w:after="0" w:line="35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Prohibition on payment of incentives</w:t>
      </w:r>
    </w:p>
    <w:p>
      <w:pPr>
        <w:spacing w:after="0" w:line="144" w:lineRule="exact"/>
        <w:rPr>
          <w:sz w:val="20"/>
          <w:szCs w:val="20"/>
          <w:color w:val="auto"/>
        </w:rPr>
      </w:pPr>
    </w:p>
    <w:p>
      <w:pPr>
        <w:jc w:val="both"/>
        <w:ind w:left="8" w:hanging="8"/>
        <w:spacing w:after="0" w:line="356" w:lineRule="auto"/>
        <w:tabs>
          <w:tab w:leader="none" w:pos="545" w:val="left"/>
        </w:tabs>
        <w:numPr>
          <w:ilvl w:val="0"/>
          <w:numId w:val="62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Any person connected with the distribution of the issue, shall not offer any incentive, whether direct or indirect, in any manner, whether in cash or kind or services or otherwise to any person for making an application in the initial public offer, except for fees or commission for services rendered in relation to the issue.</w:t>
      </w:r>
    </w:p>
    <w:p>
      <w:pPr>
        <w:spacing w:after="0" w:line="200" w:lineRule="exact"/>
        <w:rPr>
          <w:sz w:val="20"/>
          <w:szCs w:val="20"/>
          <w:color w:val="auto"/>
        </w:rPr>
      </w:pPr>
    </w:p>
    <w:p>
      <w:pPr>
        <w:spacing w:after="0" w:line="22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Security deposit</w:t>
      </w:r>
    </w:p>
    <w:p>
      <w:pPr>
        <w:spacing w:after="0" w:line="144" w:lineRule="exact"/>
        <w:rPr>
          <w:sz w:val="20"/>
          <w:szCs w:val="20"/>
          <w:color w:val="auto"/>
        </w:rPr>
      </w:pPr>
    </w:p>
    <w:p>
      <w:pPr>
        <w:jc w:val="both"/>
        <w:ind w:left="8" w:hanging="8"/>
        <w:spacing w:after="0" w:line="354" w:lineRule="auto"/>
        <w:tabs>
          <w:tab w:leader="none" w:pos="492" w:val="left"/>
        </w:tabs>
        <w:numPr>
          <w:ilvl w:val="0"/>
          <w:numId w:val="62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shall, before the opening of subscription list, deposit with the designated stock exchange, an amount calculated at the rate of one per cent. of the issue size available for subscription to the public in the manner specified by Board and/or stock exchange(s).</w:t>
      </w:r>
    </w:p>
    <w:p>
      <w:pPr>
        <w:spacing w:after="0" w:line="22" w:lineRule="exact"/>
        <w:rPr>
          <w:sz w:val="20"/>
          <w:szCs w:val="20"/>
          <w:color w:val="auto"/>
        </w:rPr>
      </w:pPr>
    </w:p>
    <w:p>
      <w:pPr>
        <w:ind w:left="8" w:hanging="8"/>
        <w:spacing w:after="0" w:line="348" w:lineRule="auto"/>
        <w:tabs>
          <w:tab w:leader="none" w:pos="440" w:val="left"/>
        </w:tabs>
        <w:numPr>
          <w:ilvl w:val="0"/>
          <w:numId w:val="62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amount specified in sub-regulation (1) shall be refundable or forfeitable in the manner specified by the Board.</w:t>
      </w:r>
    </w:p>
    <w:p>
      <w:pPr>
        <w:spacing w:after="0" w:line="200" w:lineRule="exact"/>
        <w:rPr>
          <w:sz w:val="20"/>
          <w:szCs w:val="20"/>
          <w:color w:val="auto"/>
        </w:rPr>
      </w:pPr>
    </w:p>
    <w:p>
      <w:pPr>
        <w:spacing w:after="0" w:line="234"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Underwriting</w:t>
      </w:r>
    </w:p>
    <w:p>
      <w:pPr>
        <w:spacing w:after="0" w:line="147" w:lineRule="exact"/>
        <w:rPr>
          <w:sz w:val="20"/>
          <w:szCs w:val="20"/>
          <w:color w:val="auto"/>
        </w:rPr>
      </w:pPr>
    </w:p>
    <w:p>
      <w:pPr>
        <w:ind w:left="8" w:hanging="8"/>
        <w:spacing w:after="0" w:line="348" w:lineRule="auto"/>
        <w:tabs>
          <w:tab w:leader="none" w:pos="507" w:val="left"/>
        </w:tabs>
        <w:numPr>
          <w:ilvl w:val="0"/>
          <w:numId w:val="62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initial public offer shall be underwritten for hundred per cent of the offer and shall not be restricted upto the minimum subscription level.</w:t>
      </w:r>
    </w:p>
    <w:p>
      <w:pPr>
        <w:spacing w:after="0" w:line="27" w:lineRule="exact"/>
        <w:rPr>
          <w:rFonts w:ascii="Times New Roman" w:cs="Times New Roman" w:eastAsia="Times New Roman" w:hAnsi="Times New Roman"/>
          <w:sz w:val="24"/>
          <w:szCs w:val="24"/>
          <w:b w:val="1"/>
          <w:bCs w:val="1"/>
          <w:color w:val="auto"/>
        </w:rPr>
      </w:pPr>
    </w:p>
    <w:p>
      <w:pPr>
        <w:ind w:left="8"/>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The lead manager(s) shall underwrite at least fifteen per cent. of the issue size on their own account(s).</w:t>
      </w:r>
    </w:p>
    <w:p>
      <w:pPr>
        <w:spacing w:after="0" w:line="27" w:lineRule="exact"/>
        <w:rPr>
          <w:rFonts w:ascii="Times New Roman" w:cs="Times New Roman" w:eastAsia="Times New Roman" w:hAnsi="Times New Roman"/>
          <w:sz w:val="24"/>
          <w:szCs w:val="24"/>
          <w:b w:val="1"/>
          <w:bCs w:val="1"/>
          <w:color w:val="auto"/>
        </w:rPr>
      </w:pPr>
    </w:p>
    <w:p>
      <w:pPr>
        <w:jc w:val="both"/>
        <w:ind w:left="8"/>
        <w:spacing w:after="0" w:line="357"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(3) The issuer, in consultation with lead manager(s), may appoint underwriters in accordance with Securities and Exchange Board of India (Underwriters) Regulations, 1993 and the lead manager(s) may enter into an agreement with the nominated investors indicating therein the number of specified securities which they agree to subscribe at the issue price in case of under-subscription.</w:t>
      </w:r>
    </w:p>
    <w:p>
      <w:pPr>
        <w:spacing w:after="0" w:line="16" w:lineRule="exact"/>
        <w:rPr>
          <w:rFonts w:ascii="Times New Roman" w:cs="Times New Roman" w:eastAsia="Times New Roman" w:hAnsi="Times New Roman"/>
          <w:sz w:val="24"/>
          <w:szCs w:val="24"/>
          <w:b w:val="1"/>
          <w:bCs w:val="1"/>
          <w:color w:val="auto"/>
        </w:rPr>
      </w:pPr>
    </w:p>
    <w:p>
      <w:pPr>
        <w:jc w:val="both"/>
        <w:ind w:left="8"/>
        <w:spacing w:after="0" w:line="350"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(4) The lead manager(s) shall file an undertaking to the Board that the issue has been hundred per cent. underwritten along with the list of underwriters, nominated investors and sub-underwriters</w:t>
      </w:r>
    </w:p>
    <w:p>
      <w:pPr>
        <w:spacing w:after="0" w:line="268"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151</w:t>
      </w:r>
    </w:p>
    <w:p>
      <w:pPr>
        <w:sectPr>
          <w:pgSz w:w="11900" w:h="16836" w:orient="portrait"/>
          <w:cols w:equalWidth="0" w:num="1">
            <w:col w:w="9468"/>
          </w:cols>
          <w:pgMar w:left="1152" w:top="1149" w:right="1284" w:bottom="103" w:gutter="0" w:footer="0" w:header="0"/>
        </w:sectPr>
      </w:pPr>
    </w:p>
    <w:bookmarkStart w:id="151" w:name="page152"/>
    <w:bookmarkEnd w:id="151"/>
    <w:p>
      <w:pPr>
        <w:ind w:left="8"/>
        <w:spacing w:after="0" w:line="348" w:lineRule="auto"/>
        <w:rPr>
          <w:sz w:val="20"/>
          <w:szCs w:val="20"/>
          <w:color w:val="auto"/>
        </w:rPr>
      </w:pPr>
      <w:r>
        <w:rPr>
          <w:rFonts w:ascii="Times New Roman" w:cs="Times New Roman" w:eastAsia="Times New Roman" w:hAnsi="Times New Roman"/>
          <w:sz w:val="24"/>
          <w:szCs w:val="24"/>
          <w:color w:val="auto"/>
        </w:rPr>
        <w:t>indicating the extent of underwriting or subscription commitment made by each of them, one day before the opening of issue.</w:t>
      </w:r>
    </w:p>
    <w:p>
      <w:pPr>
        <w:spacing w:after="0" w:line="28" w:lineRule="exact"/>
        <w:rPr>
          <w:sz w:val="20"/>
          <w:szCs w:val="20"/>
          <w:color w:val="auto"/>
        </w:rPr>
      </w:pPr>
    </w:p>
    <w:p>
      <w:pPr>
        <w:jc w:val="both"/>
        <w:ind w:left="8" w:hanging="8"/>
        <w:spacing w:after="0" w:line="354" w:lineRule="auto"/>
        <w:tabs>
          <w:tab w:leader="none" w:pos="408" w:val="left"/>
        </w:tabs>
        <w:numPr>
          <w:ilvl w:val="0"/>
          <w:numId w:val="63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any of the underwriters fail to fulfill their underwriting obligations or the nominated investors fail to subscribe to the unsubscribed portion, the lead manager(s) shall fulfill the underwriting obligations.</w:t>
      </w:r>
    </w:p>
    <w:p>
      <w:pPr>
        <w:spacing w:after="0" w:line="19" w:lineRule="exact"/>
        <w:rPr>
          <w:rFonts w:ascii="Times New Roman" w:cs="Times New Roman" w:eastAsia="Times New Roman" w:hAnsi="Times New Roman"/>
          <w:sz w:val="24"/>
          <w:szCs w:val="24"/>
          <w:color w:val="auto"/>
        </w:rPr>
      </w:pPr>
    </w:p>
    <w:p>
      <w:pPr>
        <w:jc w:val="both"/>
        <w:ind w:left="8" w:hanging="8"/>
        <w:spacing w:after="0" w:line="357" w:lineRule="auto"/>
        <w:tabs>
          <w:tab w:leader="none" w:pos="423" w:val="left"/>
        </w:tabs>
        <w:numPr>
          <w:ilvl w:val="0"/>
          <w:numId w:val="63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underwriters/ sub-underwriters, other than the lead manager(s) and the nominated investors, who have entered into an agreement for subscribing to the issue in case of under-subscription, shall not subscribe to the issue made under this Chapter in any manner except for fulfilling their obligations under their respective agreements with the lead manager(s) in this regard.</w:t>
      </w:r>
    </w:p>
    <w:p>
      <w:pPr>
        <w:spacing w:after="0" w:line="19" w:lineRule="exact"/>
        <w:rPr>
          <w:rFonts w:ascii="Times New Roman" w:cs="Times New Roman" w:eastAsia="Times New Roman" w:hAnsi="Times New Roman"/>
          <w:sz w:val="24"/>
          <w:szCs w:val="24"/>
          <w:color w:val="auto"/>
        </w:rPr>
      </w:pPr>
    </w:p>
    <w:p>
      <w:pPr>
        <w:ind w:left="8" w:hanging="8"/>
        <w:spacing w:after="0" w:line="348" w:lineRule="auto"/>
        <w:tabs>
          <w:tab w:leader="none" w:pos="420" w:val="left"/>
        </w:tabs>
        <w:numPr>
          <w:ilvl w:val="0"/>
          <w:numId w:val="63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All underwriting and subscription arrangements made by the lead manager(s) shall be disclosed in the offer document.</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Market making</w:t>
      </w:r>
    </w:p>
    <w:p>
      <w:pPr>
        <w:spacing w:after="0" w:line="147" w:lineRule="exact"/>
        <w:rPr>
          <w:sz w:val="20"/>
          <w:szCs w:val="20"/>
          <w:color w:val="auto"/>
        </w:rPr>
      </w:pPr>
    </w:p>
    <w:p>
      <w:pPr>
        <w:jc w:val="both"/>
        <w:ind w:left="8" w:hanging="8"/>
        <w:spacing w:after="0" w:line="356" w:lineRule="auto"/>
        <w:tabs>
          <w:tab w:leader="none" w:pos="488" w:val="left"/>
        </w:tabs>
        <w:numPr>
          <w:ilvl w:val="0"/>
          <w:numId w:val="63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lead manager(s) shall ensure compulsory market making through the stock brokers of the SME exchange(s) appointed by the issuer, in the manner specified by the Board for a minimum period of three years from the date of listing of the specified securities or from the date of migration from the Main Board in terms of regulation 276.</w:t>
      </w:r>
    </w:p>
    <w:p>
      <w:pPr>
        <w:spacing w:after="0" w:line="18"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The market maker or issuer, in consultation with the lead manager(s) may enter into agreements with the nominated investors for receiving or delivering the specified securities in market making, subject to the prior approval of the SME exchange.</w:t>
      </w:r>
    </w:p>
    <w:p>
      <w:pPr>
        <w:spacing w:after="0" w:line="7" w:lineRule="exact"/>
        <w:rPr>
          <w:rFonts w:ascii="Times New Roman" w:cs="Times New Roman" w:eastAsia="Times New Roman" w:hAnsi="Times New Roman"/>
          <w:sz w:val="24"/>
          <w:szCs w:val="24"/>
          <w:b w:val="1"/>
          <w:bCs w:val="1"/>
          <w:color w:val="auto"/>
        </w:rPr>
      </w:pPr>
    </w:p>
    <w:p>
      <w:pPr>
        <w:ind w:left="8"/>
        <w:spacing w:after="0"/>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(3) The issuer shall disclose the details of the market making arrangement in the offer document.</w:t>
      </w:r>
    </w:p>
    <w:p>
      <w:pPr>
        <w:spacing w:after="0" w:line="151"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(4) The specified securities being bought or sold in the process of market making may be transferred to or from the nominated investors with whom the lead manager(s) and the issuer have entered into an agreement for market making:</w:t>
      </w:r>
    </w:p>
    <w:p>
      <w:pPr>
        <w:spacing w:after="0" w:line="20"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the inventory of the market maker, as on the date of allotment of the specified securities, shall be at least five per cent. of the specified securities proposed to be listed on SME exchange.</w:t>
      </w:r>
    </w:p>
    <w:p>
      <w:pPr>
        <w:spacing w:after="0" w:line="22"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(5) The market maker shall buy the entire shareholding of a shareholder of the issuer in one lot, where the value of such shareholding is less than the minimum contract size allowed for trading on the SME exchange:</w:t>
      </w:r>
    </w:p>
    <w:p>
      <w:pPr>
        <w:spacing w:after="0" w:line="20" w:lineRule="exact"/>
        <w:rPr>
          <w:rFonts w:ascii="Times New Roman" w:cs="Times New Roman" w:eastAsia="Times New Roman" w:hAnsi="Times New Roman"/>
          <w:sz w:val="24"/>
          <w:szCs w:val="24"/>
          <w:b w:val="1"/>
          <w:bCs w:val="1"/>
          <w:color w:val="auto"/>
        </w:rPr>
      </w:pPr>
    </w:p>
    <w:p>
      <w:pPr>
        <w:ind w:left="8"/>
        <w:spacing w:after="0" w:line="350"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market maker shall not sell in lots less than the minimum contract size allowed for trading on the SME exchange.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152</w:t>
      </w:r>
    </w:p>
    <w:p>
      <w:pPr>
        <w:sectPr>
          <w:pgSz w:w="11900" w:h="16836" w:orient="portrait"/>
          <w:cols w:equalWidth="0" w:num="1">
            <w:col w:w="9468"/>
          </w:cols>
          <w:pgMar w:left="1152" w:top="1156" w:right="1284" w:bottom="103" w:gutter="0" w:footer="0" w:header="0"/>
        </w:sectPr>
      </w:pPr>
    </w:p>
    <w:bookmarkStart w:id="152" w:name="page153"/>
    <w:bookmarkEnd w:id="152"/>
    <w:p>
      <w:pPr>
        <w:jc w:val="both"/>
        <w:ind w:left="8" w:hanging="8"/>
        <w:spacing w:after="0" w:line="354" w:lineRule="auto"/>
        <w:tabs>
          <w:tab w:leader="none" w:pos="375" w:val="left"/>
        </w:tabs>
        <w:numPr>
          <w:ilvl w:val="0"/>
          <w:numId w:val="63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market maker shall not buy the shares from the promoters or persons belonging to the promoter group of the issuer or any person who has acquired shares from such promoter or person belonging to the promoter group during the compulsory market making period.</w:t>
      </w:r>
    </w:p>
    <w:p>
      <w:pPr>
        <w:spacing w:after="0" w:line="20" w:lineRule="exact"/>
        <w:rPr>
          <w:rFonts w:ascii="Times New Roman" w:cs="Times New Roman" w:eastAsia="Times New Roman" w:hAnsi="Times New Roman"/>
          <w:sz w:val="24"/>
          <w:szCs w:val="24"/>
          <w:color w:val="auto"/>
        </w:rPr>
      </w:pPr>
    </w:p>
    <w:p>
      <w:pPr>
        <w:ind w:left="8" w:hanging="8"/>
        <w:spacing w:after="0" w:line="350" w:lineRule="auto"/>
        <w:tabs>
          <w:tab w:leader="none" w:pos="394" w:val="left"/>
        </w:tabs>
        <w:numPr>
          <w:ilvl w:val="0"/>
          <w:numId w:val="63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promoters’ holding shall not be eligible for offering to the market maker during the compulsory market making period:</w:t>
      </w:r>
    </w:p>
    <w:p>
      <w:pPr>
        <w:spacing w:after="0" w:line="23" w:lineRule="exact"/>
        <w:rPr>
          <w:rFonts w:ascii="Times New Roman" w:cs="Times New Roman" w:eastAsia="Times New Roman" w:hAnsi="Times New Roman"/>
          <w:sz w:val="24"/>
          <w:szCs w:val="24"/>
          <w:color w:val="auto"/>
        </w:rPr>
      </w:pPr>
    </w:p>
    <w:p>
      <w:pPr>
        <w:ind w:left="8"/>
        <w:spacing w:after="0" w:line="350"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the promoters’ holding which is not locked-in as per these regulations can be traded with prior permission of the SME exchange, in the manner specified by the Board.</w:t>
      </w:r>
    </w:p>
    <w:p>
      <w:pPr>
        <w:spacing w:after="0" w:line="23"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360" w:val="left"/>
        </w:tabs>
        <w:numPr>
          <w:ilvl w:val="0"/>
          <w:numId w:val="63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 may be represented on the board of directors of the issuer subject to the agreement between the issuer and the lead manager(s) who have the responsibility of market making.</w:t>
      </w:r>
    </w:p>
    <w:p>
      <w:pPr>
        <w:spacing w:after="0" w:line="200" w:lineRule="exact"/>
        <w:rPr>
          <w:sz w:val="20"/>
          <w:szCs w:val="20"/>
          <w:color w:val="auto"/>
        </w:rPr>
      </w:pPr>
    </w:p>
    <w:p>
      <w:pPr>
        <w:spacing w:after="0" w:line="22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Monitoring agency</w:t>
      </w:r>
    </w:p>
    <w:p>
      <w:pPr>
        <w:spacing w:after="0" w:line="147" w:lineRule="exact"/>
        <w:rPr>
          <w:sz w:val="20"/>
          <w:szCs w:val="20"/>
          <w:color w:val="auto"/>
        </w:rPr>
      </w:pPr>
    </w:p>
    <w:p>
      <w:pPr>
        <w:jc w:val="both"/>
        <w:ind w:left="8" w:hanging="8"/>
        <w:spacing w:after="0" w:line="356" w:lineRule="auto"/>
        <w:tabs>
          <w:tab w:leader="none" w:pos="504" w:val="left"/>
        </w:tabs>
        <w:numPr>
          <w:ilvl w:val="0"/>
          <w:numId w:val="63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If the issue size, excluding the size of offer for sale by selling shareholders, exceeds one hundred crore rupees, the issuer shall make arrangements for the use of proceeds of the issue to be monitored by a public financial institution or by one of the scheduled commercial banks named in the offer document as bankers of the issuer:</w:t>
      </w:r>
    </w:p>
    <w:p>
      <w:pPr>
        <w:spacing w:after="0" w:line="18" w:lineRule="exact"/>
        <w:rPr>
          <w:rFonts w:ascii="Times New Roman" w:cs="Times New Roman" w:eastAsia="Times New Roman" w:hAnsi="Times New Roman"/>
          <w:sz w:val="24"/>
          <w:szCs w:val="24"/>
          <w:b w:val="1"/>
          <w:bCs w:val="1"/>
          <w:color w:val="auto"/>
        </w:rPr>
      </w:pPr>
    </w:p>
    <w:p>
      <w:pPr>
        <w:ind w:left="8"/>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nothing contained in this clause shall apply to an issue of specified securities made by a bank or public financial institution or an insurance company.</w:t>
      </w:r>
    </w:p>
    <w:p>
      <w:pPr>
        <w:spacing w:after="0" w:line="27"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(2) The monitoring agency shall submit its report to the issuer in the format specified in </w:t>
      </w:r>
      <w:r>
        <w:rPr>
          <w:rFonts w:ascii="Times New Roman" w:cs="Times New Roman" w:eastAsia="Times New Roman" w:hAnsi="Times New Roman"/>
          <w:sz w:val="24"/>
          <w:szCs w:val="24"/>
          <w:b w:val="1"/>
          <w:bCs w:val="1"/>
          <w:color w:val="auto"/>
        </w:rPr>
        <w:t>Schedule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 xml:space="preserve">XI </w:t>
      </w:r>
      <w:r>
        <w:rPr>
          <w:rFonts w:ascii="Times New Roman" w:cs="Times New Roman" w:eastAsia="Times New Roman" w:hAnsi="Times New Roman"/>
          <w:sz w:val="24"/>
          <w:szCs w:val="24"/>
          <w:color w:val="auto"/>
        </w:rPr>
        <w:t>on a quarterly basis, till at least ninety five per cent. of the proceeds of the issue, excluding the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proceeds raised for general corporate purposes, have been utilised.</w:t>
      </w:r>
    </w:p>
    <w:p>
      <w:pPr>
        <w:spacing w:after="0" w:line="19" w:lineRule="exact"/>
        <w:rPr>
          <w:rFonts w:ascii="Times New Roman" w:cs="Times New Roman" w:eastAsia="Times New Roman" w:hAnsi="Times New Roman"/>
          <w:sz w:val="24"/>
          <w:szCs w:val="24"/>
          <w:b w:val="1"/>
          <w:bCs w:val="1"/>
          <w:color w:val="auto"/>
        </w:rPr>
      </w:pPr>
    </w:p>
    <w:p>
      <w:pPr>
        <w:ind w:left="8"/>
        <w:spacing w:after="0" w:line="350"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(3) The board of directors and the management of the issuer shall provide their comments on the findings of the monitoring agency as specified in </w:t>
      </w:r>
      <w:r>
        <w:rPr>
          <w:rFonts w:ascii="Times New Roman" w:cs="Times New Roman" w:eastAsia="Times New Roman" w:hAnsi="Times New Roman"/>
          <w:sz w:val="24"/>
          <w:szCs w:val="24"/>
          <w:b w:val="1"/>
          <w:bCs w:val="1"/>
          <w:color w:val="auto"/>
        </w:rPr>
        <w:t>Schedule XI</w:t>
      </w:r>
      <w:r>
        <w:rPr>
          <w:rFonts w:ascii="Times New Roman" w:cs="Times New Roman" w:eastAsia="Times New Roman" w:hAnsi="Times New Roman"/>
          <w:sz w:val="24"/>
          <w:szCs w:val="24"/>
          <w:color w:val="auto"/>
        </w:rPr>
        <w:t>.</w:t>
      </w:r>
    </w:p>
    <w:p>
      <w:pPr>
        <w:spacing w:after="0" w:line="23"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(4) The issuer shall, within forty five days from the end of each quarter, publicly disseminate the report of the monitoring agency by uploading the same on its website as well as submitting the same to the stock exchange(s) on which its equity shares are listed.</w:t>
      </w:r>
    </w:p>
    <w:p>
      <w:pPr>
        <w:spacing w:after="0" w:line="200" w:lineRule="exact"/>
        <w:rPr>
          <w:sz w:val="20"/>
          <w:szCs w:val="20"/>
          <w:color w:val="auto"/>
        </w:rPr>
      </w:pPr>
    </w:p>
    <w:p>
      <w:pPr>
        <w:spacing w:after="0" w:line="22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Public communications, publicity materials, advertisements and research reports</w:t>
      </w:r>
    </w:p>
    <w:p>
      <w:pPr>
        <w:spacing w:after="0" w:line="147" w:lineRule="exact"/>
        <w:rPr>
          <w:sz w:val="20"/>
          <w:szCs w:val="20"/>
          <w:color w:val="auto"/>
        </w:rPr>
      </w:pPr>
    </w:p>
    <w:p>
      <w:pPr>
        <w:ind w:left="8" w:hanging="8"/>
        <w:spacing w:after="0" w:line="348" w:lineRule="auto"/>
        <w:tabs>
          <w:tab w:leader="none" w:pos="528" w:val="left"/>
        </w:tabs>
        <w:numPr>
          <w:ilvl w:val="0"/>
          <w:numId w:val="63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All public communications, publicity materials, advertisements and research reports shall comply with provisions of </w:t>
      </w:r>
      <w:r>
        <w:rPr>
          <w:rFonts w:ascii="Times New Roman" w:cs="Times New Roman" w:eastAsia="Times New Roman" w:hAnsi="Times New Roman"/>
          <w:sz w:val="24"/>
          <w:szCs w:val="24"/>
          <w:b w:val="1"/>
          <w:bCs w:val="1"/>
          <w:color w:val="auto"/>
        </w:rPr>
        <w:t>Schedule IX</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Issue-related advertisements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153</w:t>
      </w:r>
    </w:p>
    <w:p>
      <w:pPr>
        <w:sectPr>
          <w:pgSz w:w="11900" w:h="16836" w:orient="portrait"/>
          <w:cols w:equalWidth="0" w:num="1">
            <w:col w:w="9468"/>
          </w:cols>
          <w:pgMar w:left="1152" w:top="1156" w:right="1284" w:bottom="103" w:gutter="0" w:footer="0" w:header="0"/>
        </w:sectPr>
      </w:pPr>
    </w:p>
    <w:bookmarkStart w:id="153" w:name="page154"/>
    <w:bookmarkEnd w:id="153"/>
    <w:p>
      <w:pPr>
        <w:jc w:val="both"/>
        <w:ind w:left="8" w:hanging="8"/>
        <w:spacing w:after="0" w:line="333" w:lineRule="auto"/>
        <w:tabs>
          <w:tab w:leader="none" w:pos="483" w:val="left"/>
        </w:tabs>
        <w:numPr>
          <w:ilvl w:val="0"/>
          <w:numId w:val="63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(1) Subject to the provisions of the Companies Act, 2013, the issuer shall, after </w:t>
      </w:r>
      <w:r>
        <w:rPr>
          <w:rFonts w:ascii="Times New Roman" w:cs="Times New Roman" w:eastAsia="Times New Roman" w:hAnsi="Times New Roman"/>
          <w:sz w:val="32"/>
          <w:szCs w:val="32"/>
          <w:color w:val="auto"/>
          <w:vertAlign w:val="superscript"/>
        </w:rPr>
        <w:t>84</w:t>
      </w:r>
      <w:r>
        <w:rPr>
          <w:rFonts w:ascii="Times New Roman" w:cs="Times New Roman" w:eastAsia="Times New Roman" w:hAnsi="Times New Roman"/>
          <w:sz w:val="24"/>
          <w:szCs w:val="24"/>
          <w:color w:val="auto"/>
        </w:rPr>
        <w:t>[filing] the prospectus with the Registrar of Companies, make a pre-issue advertisement in one English national daily newspaper with wide circulation, Hindi national daily newspaper with wide circulation and one regional language newspaper with wide circulation at the place where the registered office of the issuer is situated.</w:t>
      </w:r>
    </w:p>
    <w:p>
      <w:pPr>
        <w:spacing w:after="0" w:line="46" w:lineRule="exact"/>
        <w:rPr>
          <w:rFonts w:ascii="Times New Roman" w:cs="Times New Roman" w:eastAsia="Times New Roman" w:hAnsi="Times New Roman"/>
          <w:sz w:val="24"/>
          <w:szCs w:val="24"/>
          <w:b w:val="1"/>
          <w:bCs w:val="1"/>
          <w:color w:val="auto"/>
        </w:rPr>
      </w:pPr>
    </w:p>
    <w:p>
      <w:pPr>
        <w:ind w:left="8"/>
        <w:spacing w:after="0" w:line="350"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(2) The pre-issue advertisement shall be in the format and shall contain the disclosures specified in </w:t>
      </w:r>
      <w:r>
        <w:rPr>
          <w:rFonts w:ascii="Times New Roman" w:cs="Times New Roman" w:eastAsia="Times New Roman" w:hAnsi="Times New Roman"/>
          <w:sz w:val="24"/>
          <w:szCs w:val="24"/>
          <w:b w:val="1"/>
          <w:bCs w:val="1"/>
          <w:color w:val="auto"/>
        </w:rPr>
        <w:t>Part A</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 X</w:t>
      </w:r>
      <w:r>
        <w:rPr>
          <w:rFonts w:ascii="Times New Roman" w:cs="Times New Roman" w:eastAsia="Times New Roman" w:hAnsi="Times New Roman"/>
          <w:sz w:val="24"/>
          <w:szCs w:val="24"/>
          <w:color w:val="auto"/>
        </w:rPr>
        <w:t>.</w:t>
      </w:r>
    </w:p>
    <w:p>
      <w:pPr>
        <w:spacing w:after="0" w:line="23"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the disclosures in relation to price band or floor price and financial ratios contained therein shall only be applicable where the issuer opts to announce the price band or floor price along with the pre-issue advertisement pursuant to sub-regulation (4) of regulation 250.</w:t>
      </w:r>
    </w:p>
    <w:p>
      <w:pPr>
        <w:spacing w:after="0" w:line="22" w:lineRule="exact"/>
        <w:rPr>
          <w:rFonts w:ascii="Times New Roman" w:cs="Times New Roman" w:eastAsia="Times New Roman" w:hAnsi="Times New Roman"/>
          <w:sz w:val="24"/>
          <w:szCs w:val="24"/>
          <w:b w:val="1"/>
          <w:bCs w:val="1"/>
          <w:color w:val="auto"/>
        </w:rPr>
      </w:pPr>
    </w:p>
    <w:p>
      <w:pPr>
        <w:ind w:left="8"/>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(3) The issuer may issue advertisements for issue opening and issue closing advertisements, which shall be in the formats specified in </w:t>
      </w:r>
      <w:r>
        <w:rPr>
          <w:rFonts w:ascii="Times New Roman" w:cs="Times New Roman" w:eastAsia="Times New Roman" w:hAnsi="Times New Roman"/>
          <w:sz w:val="24"/>
          <w:szCs w:val="24"/>
          <w:b w:val="1"/>
          <w:bCs w:val="1"/>
          <w:color w:val="auto"/>
        </w:rPr>
        <w:t>Parts B and C</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 X.</w:t>
      </w:r>
    </w:p>
    <w:p>
      <w:pPr>
        <w:spacing w:after="0" w:line="28" w:lineRule="exact"/>
        <w:rPr>
          <w:sz w:val="20"/>
          <w:szCs w:val="20"/>
          <w:color w:val="auto"/>
        </w:rPr>
      </w:pPr>
    </w:p>
    <w:p>
      <w:pPr>
        <w:jc w:val="both"/>
        <w:ind w:left="8" w:hanging="8"/>
        <w:spacing w:after="0" w:line="348" w:lineRule="auto"/>
        <w:tabs>
          <w:tab w:leader="none" w:pos="368" w:val="left"/>
        </w:tabs>
        <w:numPr>
          <w:ilvl w:val="0"/>
          <w:numId w:val="6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During the period the issue is open for subscription, no advertisement shall be released giving an impression that the issue has been fully subscribed or oversubscribed or indicating investors’</w:t>
      </w:r>
    </w:p>
    <w:p>
      <w:pPr>
        <w:spacing w:after="0" w:line="15"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response to the issue.</w:t>
      </w:r>
    </w:p>
    <w:p>
      <w:pPr>
        <w:spacing w:after="0" w:line="149" w:lineRule="exact"/>
        <w:rPr>
          <w:sz w:val="20"/>
          <w:szCs w:val="20"/>
          <w:color w:val="auto"/>
        </w:rPr>
      </w:pPr>
    </w:p>
    <w:p>
      <w:pPr>
        <w:jc w:val="both"/>
        <w:ind w:left="8" w:hanging="8"/>
        <w:spacing w:after="0" w:line="354" w:lineRule="auto"/>
        <w:tabs>
          <w:tab w:leader="none" w:pos="368" w:val="left"/>
        </w:tabs>
        <w:numPr>
          <w:ilvl w:val="0"/>
          <w:numId w:val="63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 announcement regarding closure of the issue shall be made only after the lead manager(s) is satisfied that at least ninety per cent. of the offer has been subscribed and a certificate has been obtained to that effect from the registrar to the issue:</w:t>
      </w:r>
    </w:p>
    <w:p>
      <w:pPr>
        <w:spacing w:after="0" w:line="22" w:lineRule="exact"/>
        <w:rPr>
          <w:rFonts w:ascii="Times New Roman" w:cs="Times New Roman" w:eastAsia="Times New Roman" w:hAnsi="Times New Roman"/>
          <w:sz w:val="24"/>
          <w:szCs w:val="24"/>
          <w:color w:val="auto"/>
        </w:rPr>
      </w:pPr>
    </w:p>
    <w:p>
      <w:pPr>
        <w:ind w:left="8"/>
        <w:spacing w:after="0" w:line="348"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such an announcement shall not be made before the date on which the issue is to be closed except for issue closing advertisement made in the format prescribed in these regulations.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Opening of the issue</w:t>
      </w:r>
    </w:p>
    <w:p>
      <w:pPr>
        <w:spacing w:after="0" w:line="124" w:lineRule="exact"/>
        <w:rPr>
          <w:sz w:val="20"/>
          <w:szCs w:val="20"/>
          <w:color w:val="auto"/>
        </w:rPr>
      </w:pPr>
    </w:p>
    <w:p>
      <w:pPr>
        <w:ind w:left="8" w:hanging="8"/>
        <w:spacing w:after="0" w:line="288" w:lineRule="auto"/>
        <w:tabs>
          <w:tab w:leader="none" w:pos="488" w:val="left"/>
        </w:tabs>
        <w:numPr>
          <w:ilvl w:val="0"/>
          <w:numId w:val="63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The issue shall be opened after at least three working days from the date of </w:t>
      </w:r>
      <w:r>
        <w:rPr>
          <w:rFonts w:ascii="Times New Roman" w:cs="Times New Roman" w:eastAsia="Times New Roman" w:hAnsi="Times New Roman"/>
          <w:sz w:val="32"/>
          <w:szCs w:val="32"/>
          <w:color w:val="auto"/>
          <w:vertAlign w:val="superscript"/>
        </w:rPr>
        <w:t>85</w:t>
      </w:r>
      <w:r>
        <w:rPr>
          <w:rFonts w:ascii="Times New Roman" w:cs="Times New Roman" w:eastAsia="Times New Roman" w:hAnsi="Times New Roman"/>
          <w:sz w:val="24"/>
          <w:szCs w:val="24"/>
          <w:color w:val="auto"/>
        </w:rPr>
        <w:t>[filing] the offer document with the Registrar of Companies.</w:t>
      </w:r>
    </w:p>
    <w:p>
      <w:pPr>
        <w:spacing w:after="0" w:line="200" w:lineRule="exact"/>
        <w:rPr>
          <w:sz w:val="20"/>
          <w:szCs w:val="20"/>
          <w:color w:val="auto"/>
        </w:rPr>
      </w:pPr>
    </w:p>
    <w:p>
      <w:pPr>
        <w:spacing w:after="0" w:line="284"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Period of subscription</w:t>
      </w:r>
    </w:p>
    <w:p>
      <w:pPr>
        <w:spacing w:after="0" w:line="144" w:lineRule="exact"/>
        <w:rPr>
          <w:sz w:val="20"/>
          <w:szCs w:val="20"/>
          <w:color w:val="auto"/>
        </w:rPr>
      </w:pPr>
    </w:p>
    <w:p>
      <w:pPr>
        <w:ind w:left="8" w:hanging="8"/>
        <w:spacing w:after="0" w:line="350" w:lineRule="auto"/>
        <w:tabs>
          <w:tab w:leader="none" w:pos="490" w:val="left"/>
        </w:tabs>
        <w:numPr>
          <w:ilvl w:val="0"/>
          <w:numId w:val="63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Except as otherwise provided in these regulations, a public issue shall be kept open for at least three working days and not more than ten working days.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ind w:left="8" w:hanging="8"/>
        <w:spacing w:after="0" w:line="203" w:lineRule="auto"/>
        <w:tabs>
          <w:tab w:leader="none" w:pos="188" w:val="left"/>
        </w:tabs>
        <w:numPr>
          <w:ilvl w:val="0"/>
          <w:numId w:val="640"/>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Securities and Exchange Board of India (Issue of Capital and Disclosure Requirements) (Seventh Amendment) Regulations, 2019, w-e-f 01.01.2020 for the word “registering”.</w:t>
      </w:r>
    </w:p>
    <w:p>
      <w:pPr>
        <w:spacing w:after="0" w:line="13" w:lineRule="exact"/>
        <w:rPr>
          <w:rFonts w:ascii="Times New Roman" w:cs="Times New Roman" w:eastAsia="Times New Roman" w:hAnsi="Times New Roman"/>
          <w:sz w:val="26"/>
          <w:szCs w:val="26"/>
          <w:color w:val="auto"/>
          <w:vertAlign w:val="superscript"/>
        </w:rPr>
      </w:pPr>
    </w:p>
    <w:p>
      <w:pPr>
        <w:ind w:left="8" w:hanging="8"/>
        <w:spacing w:after="0" w:line="203" w:lineRule="auto"/>
        <w:tabs>
          <w:tab w:leader="none" w:pos="188" w:val="left"/>
        </w:tabs>
        <w:numPr>
          <w:ilvl w:val="0"/>
          <w:numId w:val="640"/>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Securities and Exchange Board of India (Issue of Capital and Disclosure Requirements) (Seventh Amendment) Regulations, 2019, w-e-f 01.01.2020 for the word “registering”.</w:t>
      </w:r>
    </w:p>
    <w:p>
      <w:pPr>
        <w:spacing w:after="0" w:line="30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154</w:t>
      </w:r>
    </w:p>
    <w:p>
      <w:pPr>
        <w:sectPr>
          <w:pgSz w:w="11900" w:h="16836" w:orient="portrait"/>
          <w:cols w:equalWidth="0" w:num="1">
            <w:col w:w="9468"/>
          </w:cols>
          <w:pgMar w:left="1152" w:top="1136" w:right="1284" w:bottom="103" w:gutter="0" w:footer="0" w:header="0"/>
        </w:sectPr>
      </w:pPr>
    </w:p>
    <w:bookmarkStart w:id="154" w:name="page155"/>
    <w:bookmarkEnd w:id="154"/>
    <w:p>
      <w:pPr>
        <w:jc w:val="both"/>
        <w:ind w:left="8" w:hanging="8"/>
        <w:spacing w:after="0" w:line="354" w:lineRule="auto"/>
        <w:tabs>
          <w:tab w:leader="none" w:pos="346" w:val="left"/>
        </w:tabs>
        <w:numPr>
          <w:ilvl w:val="0"/>
          <w:numId w:val="64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a revision in the price band, the issuer shall extend the bidding (issue) period disclosed in the red herring prospectus, for a minimum period of three working days, subject to the provisions of sub-regulation (1).</w:t>
      </w:r>
    </w:p>
    <w:p>
      <w:pPr>
        <w:spacing w:after="0" w:line="20" w:lineRule="exact"/>
        <w:rPr>
          <w:rFonts w:ascii="Times New Roman" w:cs="Times New Roman" w:eastAsia="Times New Roman" w:hAnsi="Times New Roman"/>
          <w:sz w:val="24"/>
          <w:szCs w:val="24"/>
          <w:color w:val="auto"/>
        </w:rPr>
      </w:pPr>
    </w:p>
    <w:p>
      <w:pPr>
        <w:jc w:val="both"/>
        <w:ind w:left="8" w:hanging="8"/>
        <w:spacing w:after="0" w:line="375" w:lineRule="auto"/>
        <w:tabs>
          <w:tab w:leader="none" w:pos="351" w:val="left"/>
        </w:tabs>
        <w:numPr>
          <w:ilvl w:val="0"/>
          <w:numId w:val="641"/>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In case of force majeure, banking strike or similar circumstances, the issuer may, for reasons to be recorded in writing, extend the bidding (issue) period disclosed in the red herring prospectus (in case of a book built issue) or the issue period disclosed in the prospectus (in case of a fixed price issue), for a minimum period of three working days, subject to the provisions of sub-regulation (1).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Application and minimum application value</w:t>
      </w:r>
    </w:p>
    <w:p>
      <w:pPr>
        <w:spacing w:after="0" w:line="147" w:lineRule="exact"/>
        <w:rPr>
          <w:sz w:val="20"/>
          <w:szCs w:val="20"/>
          <w:color w:val="auto"/>
        </w:rPr>
      </w:pPr>
    </w:p>
    <w:p>
      <w:pPr>
        <w:ind w:left="8" w:hanging="8"/>
        <w:spacing w:after="0" w:line="348" w:lineRule="auto"/>
        <w:tabs>
          <w:tab w:leader="none" w:pos="497" w:val="left"/>
        </w:tabs>
        <w:numPr>
          <w:ilvl w:val="0"/>
          <w:numId w:val="64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A person shall not make an application in the net offer category for a number of specified securities that exceeds the total number of specified securities offered to the public.</w:t>
      </w:r>
    </w:p>
    <w:p>
      <w:pPr>
        <w:spacing w:after="0" w:line="27"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the maximum application by non-institutional investors shall not exceed total number of specified securities offered in the issue less total number of specified securities offered in the issue to qualified institutional buyers.</w:t>
      </w:r>
    </w:p>
    <w:p>
      <w:pPr>
        <w:spacing w:after="0" w:line="7" w:lineRule="exact"/>
        <w:rPr>
          <w:rFonts w:ascii="Times New Roman" w:cs="Times New Roman" w:eastAsia="Times New Roman" w:hAnsi="Times New Roman"/>
          <w:sz w:val="24"/>
          <w:szCs w:val="24"/>
          <w:b w:val="1"/>
          <w:bCs w:val="1"/>
          <w:color w:val="auto"/>
        </w:rPr>
      </w:pPr>
    </w:p>
    <w:p>
      <w:pPr>
        <w:ind w:left="8"/>
        <w:spacing w:after="0"/>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The minimum application size shall be one lakh rupees per application.</w:t>
      </w:r>
    </w:p>
    <w:p>
      <w:pPr>
        <w:spacing w:after="0" w:line="151" w:lineRule="exact"/>
        <w:rPr>
          <w:rFonts w:ascii="Times New Roman" w:cs="Times New Roman" w:eastAsia="Times New Roman" w:hAnsi="Times New Roman"/>
          <w:sz w:val="24"/>
          <w:szCs w:val="24"/>
          <w:b w:val="1"/>
          <w:bCs w:val="1"/>
          <w:color w:val="auto"/>
        </w:rPr>
      </w:pPr>
    </w:p>
    <w:p>
      <w:pPr>
        <w:ind w:left="8"/>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(3) The issuer shall invite applications in multiples of the minimum application amount, an illustration whereof is given in </w:t>
      </w:r>
      <w:r>
        <w:rPr>
          <w:rFonts w:ascii="Times New Roman" w:cs="Times New Roman" w:eastAsia="Times New Roman" w:hAnsi="Times New Roman"/>
          <w:sz w:val="24"/>
          <w:szCs w:val="24"/>
          <w:b w:val="1"/>
          <w:bCs w:val="1"/>
          <w:color w:val="auto"/>
        </w:rPr>
        <w:t>Part B of Schedule XIV</w:t>
      </w:r>
      <w:r>
        <w:rPr>
          <w:rFonts w:ascii="Times New Roman" w:cs="Times New Roman" w:eastAsia="Times New Roman" w:hAnsi="Times New Roman"/>
          <w:sz w:val="24"/>
          <w:szCs w:val="24"/>
          <w:color w:val="auto"/>
        </w:rPr>
        <w:t>.</w:t>
      </w:r>
    </w:p>
    <w:p>
      <w:pPr>
        <w:spacing w:after="0" w:line="27" w:lineRule="exact"/>
        <w:rPr>
          <w:rFonts w:ascii="Times New Roman" w:cs="Times New Roman" w:eastAsia="Times New Roman" w:hAnsi="Times New Roman"/>
          <w:sz w:val="24"/>
          <w:szCs w:val="24"/>
          <w:b w:val="1"/>
          <w:bCs w:val="1"/>
          <w:color w:val="auto"/>
        </w:rPr>
      </w:pPr>
    </w:p>
    <w:p>
      <w:pPr>
        <w:ind w:left="8"/>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(4) The minimum sum payable on application per specified security shall at least be twenty five per cent. of the issue price:</w:t>
      </w:r>
    </w:p>
    <w:p>
      <w:pPr>
        <w:spacing w:after="0" w:line="27" w:lineRule="exact"/>
        <w:rPr>
          <w:rFonts w:ascii="Times New Roman" w:cs="Times New Roman" w:eastAsia="Times New Roman" w:hAnsi="Times New Roman"/>
          <w:sz w:val="24"/>
          <w:szCs w:val="24"/>
          <w:b w:val="1"/>
          <w:bCs w:val="1"/>
          <w:color w:val="auto"/>
        </w:rPr>
      </w:pPr>
    </w:p>
    <w:p>
      <w:pPr>
        <w:ind w:left="8"/>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in case of an offer for sale, the full issue price for each specified security shall be payable on application.</w:t>
      </w:r>
    </w:p>
    <w:p>
      <w:pPr>
        <w:spacing w:after="0" w:line="28" w:lineRule="exact"/>
        <w:rPr>
          <w:sz w:val="20"/>
          <w:szCs w:val="20"/>
          <w:color w:val="auto"/>
        </w:rPr>
      </w:pPr>
    </w:p>
    <w:p>
      <w:pPr>
        <w:jc w:val="both"/>
        <w:ind w:left="8"/>
        <w:spacing w:after="0" w:line="354" w:lineRule="auto"/>
        <w:rPr>
          <w:sz w:val="20"/>
          <w:szCs w:val="20"/>
          <w:color w:val="auto"/>
        </w:rPr>
      </w:pPr>
      <w:r>
        <w:rPr>
          <w:rFonts w:ascii="Times New Roman" w:cs="Times New Roman" w:eastAsia="Times New Roman" w:hAnsi="Times New Roman"/>
          <w:sz w:val="24"/>
          <w:szCs w:val="24"/>
          <w:b w:val="1"/>
          <w:bCs w:val="1"/>
          <w:color w:val="auto"/>
        </w:rPr>
        <w:t>Explanation</w:t>
      </w:r>
      <w:r>
        <w:rPr>
          <w:rFonts w:ascii="Times New Roman" w:cs="Times New Roman" w:eastAsia="Times New Roman" w:hAnsi="Times New Roman"/>
          <w:sz w:val="24"/>
          <w:szCs w:val="24"/>
          <w:color w:val="auto"/>
        </w:rPr>
        <w:t>: For the purpose of this regulation, “minimum application value” shall be with</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reference to the issue price of the specified securities and not with reference to the amount payable on application.</w:t>
      </w:r>
    </w:p>
    <w:p>
      <w:pPr>
        <w:spacing w:after="0" w:line="200" w:lineRule="exact"/>
        <w:rPr>
          <w:sz w:val="20"/>
          <w:szCs w:val="20"/>
          <w:color w:val="auto"/>
        </w:rPr>
      </w:pPr>
    </w:p>
    <w:p>
      <w:pPr>
        <w:spacing w:after="0" w:line="22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Allotment procedure and basis of allotment</w:t>
      </w:r>
    </w:p>
    <w:p>
      <w:pPr>
        <w:spacing w:after="0" w:line="144" w:lineRule="exact"/>
        <w:rPr>
          <w:sz w:val="20"/>
          <w:szCs w:val="20"/>
          <w:color w:val="auto"/>
        </w:rPr>
      </w:pPr>
    </w:p>
    <w:p>
      <w:pPr>
        <w:ind w:left="8" w:hanging="8"/>
        <w:spacing w:after="0" w:line="350" w:lineRule="auto"/>
        <w:tabs>
          <w:tab w:leader="none" w:pos="478" w:val="left"/>
        </w:tabs>
        <w:numPr>
          <w:ilvl w:val="0"/>
          <w:numId w:val="64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shall not make an allotment pursuant to a public issue if the number of allottees in an initial public offer is less than fifty.</w:t>
      </w:r>
    </w:p>
    <w:p>
      <w:pPr>
        <w:spacing w:after="0" w:line="23"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The issuer shall not make any allotment in excess of the specified securities offered through the offer document except in case of oversubscription for the purpose of rounding off to make allotment, in consultation with the designated stock exchange.</w:t>
      </w:r>
    </w:p>
    <w:p>
      <w:pPr>
        <w:spacing w:after="0" w:line="22" w:lineRule="exact"/>
        <w:rPr>
          <w:rFonts w:ascii="Times New Roman" w:cs="Times New Roman" w:eastAsia="Times New Roman" w:hAnsi="Times New Roman"/>
          <w:sz w:val="24"/>
          <w:szCs w:val="24"/>
          <w:b w:val="1"/>
          <w:bCs w:val="1"/>
          <w:color w:val="auto"/>
        </w:rPr>
      </w:pPr>
    </w:p>
    <w:p>
      <w:pPr>
        <w:ind w:left="8"/>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in case of oversubscription, an allotment of not more than ten per cent. of the net offer to public may be made for the purpose of making allotment in minimum lots.</w:t>
      </w: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155</w:t>
      </w:r>
    </w:p>
    <w:p>
      <w:pPr>
        <w:sectPr>
          <w:pgSz w:w="11900" w:h="16836" w:orient="portrait"/>
          <w:cols w:equalWidth="0" w:num="1">
            <w:col w:w="9468"/>
          </w:cols>
          <w:pgMar w:left="1152" w:top="1156" w:right="1284" w:bottom="103" w:gutter="0" w:footer="0" w:header="0"/>
        </w:sectPr>
      </w:pPr>
    </w:p>
    <w:bookmarkStart w:id="155" w:name="page156"/>
    <w:bookmarkEnd w:id="155"/>
    <w:p>
      <w:pPr>
        <w:jc w:val="both"/>
        <w:ind w:left="8" w:hanging="8"/>
        <w:spacing w:after="0" w:line="357" w:lineRule="auto"/>
        <w:tabs>
          <w:tab w:leader="none" w:pos="377" w:val="left"/>
        </w:tabs>
        <w:numPr>
          <w:ilvl w:val="0"/>
          <w:numId w:val="64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allotment of specified securities to applicants other than retail individual investors and anchor investors shall be on proportionate basis within the specified investor categories and the number of securities allotted shall be rounded off to the nearest integer, subject to minimum allotment being equal to the minimum application size as determined and disclosed in the offer document:</w:t>
      </w:r>
    </w:p>
    <w:p>
      <w:pPr>
        <w:spacing w:after="0" w:line="16" w:lineRule="exact"/>
        <w:rPr>
          <w:rFonts w:ascii="Times New Roman" w:cs="Times New Roman" w:eastAsia="Times New Roman" w:hAnsi="Times New Roman"/>
          <w:sz w:val="24"/>
          <w:szCs w:val="24"/>
          <w:color w:val="auto"/>
        </w:rPr>
      </w:pPr>
    </w:p>
    <w:p>
      <w:pPr>
        <w:jc w:val="both"/>
        <w:ind w:left="8"/>
        <w:spacing w:after="0" w:line="35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the value of specified securities allotted to any person, except in case of employees, in pursuance of reservation made under clause (a) of sub-regulation (1) or clause (a) of sub-regulation (2) of regulation 254, shall not exceed two lakhs rupees.</w:t>
      </w:r>
    </w:p>
    <w:p>
      <w:pPr>
        <w:spacing w:after="0" w:line="200" w:lineRule="exact"/>
        <w:rPr>
          <w:rFonts w:ascii="Times New Roman" w:cs="Times New Roman" w:eastAsia="Times New Roman" w:hAnsi="Times New Roman"/>
          <w:sz w:val="24"/>
          <w:szCs w:val="24"/>
          <w:color w:val="auto"/>
        </w:rPr>
      </w:pPr>
    </w:p>
    <w:p>
      <w:pPr>
        <w:spacing w:after="0" w:line="235" w:lineRule="exact"/>
        <w:rPr>
          <w:rFonts w:ascii="Times New Roman" w:cs="Times New Roman" w:eastAsia="Times New Roman" w:hAnsi="Times New Roman"/>
          <w:sz w:val="24"/>
          <w:szCs w:val="24"/>
          <w:color w:val="auto"/>
        </w:rPr>
      </w:pPr>
    </w:p>
    <w:p>
      <w:pPr>
        <w:jc w:val="both"/>
        <w:ind w:left="8" w:firstLine="52"/>
        <w:spacing w:after="0" w:line="354" w:lineRule="auto"/>
        <w:tabs>
          <w:tab w:leader="none" w:pos="475" w:val="left"/>
        </w:tabs>
        <w:numPr>
          <w:ilvl w:val="1"/>
          <w:numId w:val="64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The authorised employees of the stock exchange, along with the lead manager(s) and registrars to the issue, shall ensure that the basis of allotment is finalised in a fair and proper manner in accordance with the allotment procedure as specified in </w:t>
      </w:r>
      <w:r>
        <w:rPr>
          <w:rFonts w:ascii="Times New Roman" w:cs="Times New Roman" w:eastAsia="Times New Roman" w:hAnsi="Times New Roman"/>
          <w:sz w:val="24"/>
          <w:szCs w:val="24"/>
          <w:b w:val="1"/>
          <w:bCs w:val="1"/>
          <w:color w:val="auto"/>
        </w:rPr>
        <w:t>Part A of Schedule XIV</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22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Allotment, refund and payment of interest</w:t>
      </w:r>
    </w:p>
    <w:p>
      <w:pPr>
        <w:spacing w:after="0" w:line="147" w:lineRule="exact"/>
        <w:rPr>
          <w:sz w:val="20"/>
          <w:szCs w:val="20"/>
          <w:color w:val="auto"/>
        </w:rPr>
      </w:pPr>
    </w:p>
    <w:p>
      <w:pPr>
        <w:jc w:val="both"/>
        <w:ind w:left="8" w:hanging="8"/>
        <w:spacing w:after="0" w:line="354" w:lineRule="auto"/>
        <w:tabs>
          <w:tab w:leader="none" w:pos="480" w:val="left"/>
        </w:tabs>
        <w:numPr>
          <w:ilvl w:val="0"/>
          <w:numId w:val="64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registrars to the issue, in consultation with the issuer and lead manager(s) shall ensure that the specified securities are allotted and/or application monies are refunded or unblocked within such time as may be specified by the Board.</w:t>
      </w:r>
    </w:p>
    <w:p>
      <w:pPr>
        <w:spacing w:after="0" w:line="20" w:lineRule="exact"/>
        <w:rPr>
          <w:rFonts w:ascii="Times New Roman" w:cs="Times New Roman" w:eastAsia="Times New Roman" w:hAnsi="Times New Roman"/>
          <w:sz w:val="24"/>
          <w:szCs w:val="24"/>
          <w:b w:val="1"/>
          <w:bCs w:val="1"/>
          <w:color w:val="auto"/>
        </w:rPr>
      </w:pPr>
    </w:p>
    <w:p>
      <w:pPr>
        <w:ind w:left="8"/>
        <w:spacing w:after="0" w:line="350"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The lead manager(s) shall ensure that the allotment, credit of dematerialised securities, refunding or unlocking of application monies, as may be applicable, are done electronically.</w:t>
      </w:r>
    </w:p>
    <w:p>
      <w:pPr>
        <w:spacing w:after="0" w:line="23" w:lineRule="exact"/>
        <w:rPr>
          <w:rFonts w:ascii="Times New Roman" w:cs="Times New Roman" w:eastAsia="Times New Roman" w:hAnsi="Times New Roman"/>
          <w:sz w:val="24"/>
          <w:szCs w:val="24"/>
          <w:b w:val="1"/>
          <w:bCs w:val="1"/>
          <w:color w:val="auto"/>
        </w:rPr>
      </w:pPr>
    </w:p>
    <w:p>
      <w:pPr>
        <w:jc w:val="both"/>
        <w:ind w:left="8"/>
        <w:spacing w:after="0" w:line="356"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(3) Where the specified securities are not allotted and/or application monies are not refunded or unblocked within the period stipulated in sub-regulation (1) above, the issuer shall undertake to pay interest at the rate of fifteen per cent. per annum and within such time as disclosed in the offer document and the lead manager(s) shall ensure the same.</w:t>
      </w:r>
    </w:p>
    <w:p>
      <w:pPr>
        <w:spacing w:after="0" w:line="200" w:lineRule="exact"/>
        <w:rPr>
          <w:sz w:val="20"/>
          <w:szCs w:val="20"/>
          <w:color w:val="auto"/>
        </w:rPr>
      </w:pPr>
    </w:p>
    <w:p>
      <w:pPr>
        <w:spacing w:after="0" w:line="22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Post-issue advertisements</w:t>
      </w:r>
    </w:p>
    <w:p>
      <w:pPr>
        <w:spacing w:after="0" w:line="144" w:lineRule="exact"/>
        <w:rPr>
          <w:sz w:val="20"/>
          <w:szCs w:val="20"/>
          <w:color w:val="auto"/>
        </w:rPr>
      </w:pPr>
    </w:p>
    <w:p>
      <w:pPr>
        <w:jc w:val="both"/>
        <w:ind w:left="8" w:hanging="8"/>
        <w:spacing w:after="0" w:line="358" w:lineRule="auto"/>
        <w:tabs>
          <w:tab w:leader="none" w:pos="591" w:val="left"/>
        </w:tabs>
        <w:numPr>
          <w:ilvl w:val="0"/>
          <w:numId w:val="64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lead manager(s) shall ensure that advertisement giving details relating to subscription, basis of allotment, number, value and percentage of all applications including ASBA, number, value and percentage of successful allottees for all applications including ASBA, date of completion of dispatch of refund orders, as applicable, or instructions to self certified syndicate banks by the Registrar, date of credit of specified securities and date of filing of listing application, etc. is released within ten days from the date of completion of the various activities in at least one English national daily newspaper with wide circulation, one Hindi national daily newspaper with wide circulation and one regional language daily newspaper with wide circulation at the place where registered office of the issuer is situated.</w:t>
      </w: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156</w:t>
      </w:r>
    </w:p>
    <w:p>
      <w:pPr>
        <w:sectPr>
          <w:pgSz w:w="11900" w:h="16836" w:orient="portrait"/>
          <w:cols w:equalWidth="0" w:num="1">
            <w:col w:w="9468"/>
          </w:cols>
          <w:pgMar w:left="1152" w:top="1156" w:right="1284" w:bottom="103" w:gutter="0" w:footer="0" w:header="0"/>
        </w:sectPr>
      </w:pPr>
    </w:p>
    <w:bookmarkStart w:id="156" w:name="page157"/>
    <w:bookmarkEnd w:id="156"/>
    <w:p>
      <w:pPr>
        <w:ind w:left="8" w:hanging="8"/>
        <w:spacing w:after="0" w:line="348" w:lineRule="auto"/>
        <w:tabs>
          <w:tab w:leader="none" w:pos="406" w:val="left"/>
        </w:tabs>
        <w:numPr>
          <w:ilvl w:val="0"/>
          <w:numId w:val="6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specified in sub regulation (1) shall also be placed on the website of the stock exchanges.</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Post-issue responsibilities of the lead manager(s)</w:t>
      </w:r>
    </w:p>
    <w:p>
      <w:pPr>
        <w:spacing w:after="0" w:line="147" w:lineRule="exact"/>
        <w:rPr>
          <w:sz w:val="20"/>
          <w:szCs w:val="20"/>
          <w:color w:val="auto"/>
        </w:rPr>
      </w:pPr>
    </w:p>
    <w:p>
      <w:pPr>
        <w:ind w:left="8" w:hanging="8"/>
        <w:spacing w:after="0" w:line="348" w:lineRule="auto"/>
        <w:tabs>
          <w:tab w:leader="none" w:pos="524" w:val="left"/>
        </w:tabs>
        <w:numPr>
          <w:ilvl w:val="0"/>
          <w:numId w:val="64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responsibility of the lead manager(s) shall continue until completion of the issue process and for any issue related matter thereafter.</w:t>
      </w:r>
    </w:p>
    <w:p>
      <w:pPr>
        <w:spacing w:after="0" w:line="27" w:lineRule="exact"/>
        <w:rPr>
          <w:rFonts w:ascii="Times New Roman" w:cs="Times New Roman" w:eastAsia="Times New Roman" w:hAnsi="Times New Roman"/>
          <w:sz w:val="24"/>
          <w:szCs w:val="24"/>
          <w:b w:val="1"/>
          <w:bCs w:val="1"/>
          <w:color w:val="auto"/>
        </w:rPr>
      </w:pPr>
    </w:p>
    <w:p>
      <w:pPr>
        <w:ind w:left="8"/>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The lead manager(s) shall regularly monitor redressal of investor grievances arising from any issue related activities.</w:t>
      </w:r>
    </w:p>
    <w:p>
      <w:pPr>
        <w:spacing w:after="0" w:line="28" w:lineRule="exact"/>
        <w:rPr>
          <w:rFonts w:ascii="Times New Roman" w:cs="Times New Roman" w:eastAsia="Times New Roman" w:hAnsi="Times New Roman"/>
          <w:sz w:val="24"/>
          <w:szCs w:val="24"/>
          <w:b w:val="1"/>
          <w:bCs w:val="1"/>
          <w:color w:val="auto"/>
        </w:rPr>
      </w:pPr>
    </w:p>
    <w:p>
      <w:pPr>
        <w:jc w:val="both"/>
        <w:ind w:left="8"/>
        <w:spacing w:after="0" w:line="35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(3) The lead manager(s) shall be responsible for and co-ordinate with the registrars to the issue and with various intermediaries at regular intervals after the closure of the issue to monitor the flow of applications from syndicate member(s) or collecting bank branches and or self-certified syndicate banks, processing of the applications including application form for ASBA and other matters till the basis of allotment is finalised, credit of the specified securities to the demat accounts of the allottees and unblocking of ASBA accounts/ despatch of refund orders are completed and securities are listed, as applicable.</w:t>
      </w:r>
    </w:p>
    <w:p>
      <w:pPr>
        <w:spacing w:after="0" w:line="15" w:lineRule="exact"/>
        <w:rPr>
          <w:rFonts w:ascii="Times New Roman" w:cs="Times New Roman" w:eastAsia="Times New Roman" w:hAnsi="Times New Roman"/>
          <w:sz w:val="24"/>
          <w:szCs w:val="24"/>
          <w:b w:val="1"/>
          <w:bCs w:val="1"/>
          <w:color w:val="auto"/>
        </w:rPr>
      </w:pPr>
    </w:p>
    <w:p>
      <w:pPr>
        <w:ind w:left="8"/>
        <w:spacing w:after="0" w:line="350"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(4) Any act of omission or commission on the part of any of the intermediaries noticed by the lead manager(s) shall be duly reported by them to the Board.</w:t>
      </w:r>
    </w:p>
    <w:p>
      <w:pPr>
        <w:spacing w:after="0" w:line="23"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(5)In case there is a devolvement on underwriters, the lead manager(s) shall ensure that the notice for devolvement containing the obligation of the underwriters is issued within a period of ten days from the date of closure of the issue.</w:t>
      </w:r>
    </w:p>
    <w:p>
      <w:pPr>
        <w:spacing w:after="0" w:line="22"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(6) In the case of undersubscribed issues that are underwritten, the lead manager(s) shall furnish information in respect of underwriters who have failed to meet their underwriting devolvement to the Board in the format specified in </w:t>
      </w:r>
      <w:r>
        <w:rPr>
          <w:rFonts w:ascii="Times New Roman" w:cs="Times New Roman" w:eastAsia="Times New Roman" w:hAnsi="Times New Roman"/>
          <w:sz w:val="24"/>
          <w:szCs w:val="24"/>
          <w:b w:val="1"/>
          <w:bCs w:val="1"/>
          <w:color w:val="auto"/>
        </w:rPr>
        <w:t>Schedule XVIII</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Release of subscription money</w:t>
      </w:r>
    </w:p>
    <w:p>
      <w:pPr>
        <w:spacing w:after="0" w:line="144" w:lineRule="exact"/>
        <w:rPr>
          <w:sz w:val="20"/>
          <w:szCs w:val="20"/>
          <w:color w:val="auto"/>
        </w:rPr>
      </w:pPr>
    </w:p>
    <w:p>
      <w:pPr>
        <w:jc w:val="both"/>
        <w:ind w:left="8" w:hanging="8"/>
        <w:spacing w:after="0" w:line="356" w:lineRule="auto"/>
        <w:tabs>
          <w:tab w:leader="none" w:pos="497" w:val="left"/>
        </w:tabs>
        <w:numPr>
          <w:ilvl w:val="0"/>
          <w:numId w:val="64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lead manager(s) shall confirm to the bankers to the issue by way of copies of listing and trading approvals that all formalities in connection with the issue have been completed and that the banker is free to release the money to the issuer or release the money for refund in case of failure of the issue</w:t>
      </w:r>
      <w:r>
        <w:rPr>
          <w:rFonts w:ascii="Times New Roman" w:cs="Times New Roman" w:eastAsia="Times New Roman" w:hAnsi="Times New Roman"/>
          <w:sz w:val="24"/>
          <w:szCs w:val="24"/>
          <w:b w:val="1"/>
          <w:bCs w:val="1"/>
          <w:color w:val="auto"/>
        </w:rPr>
        <w:t>.</w:t>
      </w:r>
    </w:p>
    <w:p>
      <w:pPr>
        <w:spacing w:after="0" w:line="19" w:lineRule="exact"/>
        <w:rPr>
          <w:sz w:val="20"/>
          <w:szCs w:val="20"/>
          <w:color w:val="auto"/>
        </w:rPr>
      </w:pPr>
    </w:p>
    <w:p>
      <w:pPr>
        <w:jc w:val="both"/>
        <w:ind w:left="8" w:hanging="8"/>
        <w:spacing w:after="0" w:line="356" w:lineRule="auto"/>
        <w:tabs>
          <w:tab w:leader="none" w:pos="351" w:val="left"/>
        </w:tabs>
        <w:numPr>
          <w:ilvl w:val="0"/>
          <w:numId w:val="65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the issuer fails to obtain listing or trading permission from the stock exchanges where the specified securities were to be listed, it shall refund through verifiable means the entire monies received within seven days of receipt of intimation from stock exchanges rejecting the application for listing of specified securities, and if any such money is not repaid within eight days after the</w:t>
      </w:r>
    </w:p>
    <w:p>
      <w:pPr>
        <w:spacing w:after="0" w:line="263"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157</w:t>
      </w:r>
    </w:p>
    <w:p>
      <w:pPr>
        <w:sectPr>
          <w:pgSz w:w="11900" w:h="16836" w:orient="portrait"/>
          <w:cols w:equalWidth="0" w:num="1">
            <w:col w:w="9468"/>
          </w:cols>
          <w:pgMar w:left="1152" w:top="1156" w:right="1284" w:bottom="103" w:gutter="0" w:footer="0" w:header="0"/>
        </w:sectPr>
      </w:pPr>
    </w:p>
    <w:bookmarkStart w:id="157" w:name="page158"/>
    <w:bookmarkEnd w:id="157"/>
    <w:p>
      <w:pPr>
        <w:jc w:val="both"/>
        <w:ind w:left="8"/>
        <w:spacing w:after="0" w:line="354" w:lineRule="auto"/>
        <w:rPr>
          <w:sz w:val="20"/>
          <w:szCs w:val="20"/>
          <w:color w:val="auto"/>
        </w:rPr>
      </w:pPr>
      <w:r>
        <w:rPr>
          <w:rFonts w:ascii="Times New Roman" w:cs="Times New Roman" w:eastAsia="Times New Roman" w:hAnsi="Times New Roman"/>
          <w:sz w:val="24"/>
          <w:szCs w:val="24"/>
          <w:color w:val="auto"/>
        </w:rPr>
        <w:t>issuer becomes liable to repay it the issuer and every director of the company who is an officer in default shall, on and from the expiry of the eighth day, be jointly and severally liable to repay that money with interest at the rate of fifteen per cent. per annum.</w:t>
      </w:r>
    </w:p>
    <w:p>
      <w:pPr>
        <w:spacing w:after="0" w:line="20" w:lineRule="exact"/>
        <w:rPr>
          <w:sz w:val="20"/>
          <w:szCs w:val="20"/>
          <w:color w:val="auto"/>
        </w:rPr>
      </w:pPr>
    </w:p>
    <w:p>
      <w:pPr>
        <w:jc w:val="both"/>
        <w:ind w:left="8" w:hanging="8"/>
        <w:spacing w:after="0" w:line="354" w:lineRule="auto"/>
        <w:tabs>
          <w:tab w:leader="none" w:pos="440" w:val="left"/>
        </w:tabs>
        <w:numPr>
          <w:ilvl w:val="0"/>
          <w:numId w:val="65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 shall ensure that the monies received in respect of the issue are released to the issuer in compliance with the provisions of the Section 40 (3) of the Companies Act, 2013, as applicable.</w:t>
      </w:r>
    </w:p>
    <w:p>
      <w:pPr>
        <w:spacing w:after="0" w:line="200" w:lineRule="exact"/>
        <w:rPr>
          <w:sz w:val="20"/>
          <w:szCs w:val="20"/>
          <w:color w:val="auto"/>
        </w:rPr>
      </w:pPr>
    </w:p>
    <w:p>
      <w:pPr>
        <w:spacing w:after="0" w:line="22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Post-issue reports</w:t>
      </w:r>
    </w:p>
    <w:p>
      <w:pPr>
        <w:spacing w:after="0" w:line="147" w:lineRule="exact"/>
        <w:rPr>
          <w:sz w:val="20"/>
          <w:szCs w:val="20"/>
          <w:color w:val="auto"/>
        </w:rPr>
      </w:pPr>
    </w:p>
    <w:p>
      <w:pPr>
        <w:jc w:val="both"/>
        <w:ind w:left="8" w:hanging="8"/>
        <w:spacing w:after="0" w:line="348" w:lineRule="auto"/>
        <w:tabs>
          <w:tab w:leader="none" w:pos="490" w:val="left"/>
        </w:tabs>
        <w:numPr>
          <w:ilvl w:val="0"/>
          <w:numId w:val="65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The lead manager(s) shall submit a final post-issue report as specified in </w:t>
      </w:r>
      <w:r>
        <w:rPr>
          <w:rFonts w:ascii="Times New Roman" w:cs="Times New Roman" w:eastAsia="Times New Roman" w:hAnsi="Times New Roman"/>
          <w:sz w:val="24"/>
          <w:szCs w:val="24"/>
          <w:b w:val="1"/>
          <w:bCs w:val="1"/>
          <w:color w:val="auto"/>
        </w:rPr>
        <w:t>Part A</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XVII</w:t>
      </w:r>
      <w:r>
        <w:rPr>
          <w:rFonts w:ascii="Times New Roman" w:cs="Times New Roman" w:eastAsia="Times New Roman" w:hAnsi="Times New Roman"/>
          <w:sz w:val="24"/>
          <w:szCs w:val="24"/>
          <w:color w:val="auto"/>
        </w:rPr>
        <w:t>, along with a due diligence certificate as per the format specified in</w:t>
      </w:r>
      <w:r>
        <w:rPr>
          <w:rFonts w:ascii="Times New Roman" w:cs="Times New Roman" w:eastAsia="Times New Roman" w:hAnsi="Times New Roman"/>
          <w:sz w:val="24"/>
          <w:szCs w:val="24"/>
          <w:b w:val="1"/>
          <w:bCs w:val="1"/>
          <w:color w:val="auto"/>
        </w:rPr>
        <w:t xml:space="preserve"> Form F </w:t>
      </w:r>
      <w:r>
        <w:rPr>
          <w:rFonts w:ascii="Times New Roman" w:cs="Times New Roman" w:eastAsia="Times New Roman" w:hAnsi="Times New Roman"/>
          <w:sz w:val="24"/>
          <w:szCs w:val="24"/>
          <w:color w:val="auto"/>
        </w:rPr>
        <w:t>of</w:t>
      </w:r>
      <w:r>
        <w:rPr>
          <w:rFonts w:ascii="Times New Roman" w:cs="Times New Roman" w:eastAsia="Times New Roman" w:hAnsi="Times New Roman"/>
          <w:sz w:val="24"/>
          <w:szCs w:val="24"/>
          <w:b w:val="1"/>
          <w:bCs w:val="1"/>
          <w:color w:val="auto"/>
        </w:rPr>
        <w:t xml:space="preserve"> Schedule V,</w:t>
      </w:r>
    </w:p>
    <w:p>
      <w:pPr>
        <w:spacing w:after="0" w:line="28" w:lineRule="exact"/>
        <w:rPr>
          <w:sz w:val="20"/>
          <w:szCs w:val="20"/>
          <w:color w:val="auto"/>
        </w:rPr>
      </w:pPr>
    </w:p>
    <w:p>
      <w:pPr>
        <w:ind w:left="8"/>
        <w:spacing w:after="0" w:line="348" w:lineRule="auto"/>
        <w:rPr>
          <w:sz w:val="20"/>
          <w:szCs w:val="20"/>
          <w:color w:val="auto"/>
        </w:rPr>
      </w:pPr>
      <w:r>
        <w:rPr>
          <w:rFonts w:ascii="Times New Roman" w:cs="Times New Roman" w:eastAsia="Times New Roman" w:hAnsi="Times New Roman"/>
          <w:sz w:val="24"/>
          <w:szCs w:val="24"/>
          <w:color w:val="auto"/>
        </w:rPr>
        <w:t>within seven days of the date of finalization of basis of allotment or within seven days of refund of money in case of failure of issue.</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Reporting of transactions of the promoters and promoter group</w:t>
      </w:r>
    </w:p>
    <w:p>
      <w:pPr>
        <w:spacing w:after="0" w:line="147" w:lineRule="exact"/>
        <w:rPr>
          <w:sz w:val="20"/>
          <w:szCs w:val="20"/>
          <w:color w:val="auto"/>
        </w:rPr>
      </w:pPr>
    </w:p>
    <w:p>
      <w:pPr>
        <w:jc w:val="both"/>
        <w:ind w:left="8" w:hanging="8"/>
        <w:spacing w:after="0" w:line="356" w:lineRule="auto"/>
        <w:tabs>
          <w:tab w:leader="none" w:pos="495" w:val="left"/>
        </w:tabs>
        <w:numPr>
          <w:ilvl w:val="0"/>
          <w:numId w:val="65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issuer shall ensure that all transactions in securities by the promoters and promoter group between the date of filing of the draft offer document or offer document, as the case may be, and the date of closure of the issue shall be reported to the stock exchanges, within twenty four hours of such transactions.</w:t>
      </w:r>
    </w:p>
    <w:p>
      <w:pPr>
        <w:spacing w:after="0" w:line="200" w:lineRule="exact"/>
        <w:rPr>
          <w:sz w:val="20"/>
          <w:szCs w:val="20"/>
          <w:color w:val="auto"/>
        </w:rPr>
      </w:pPr>
    </w:p>
    <w:p>
      <w:pPr>
        <w:spacing w:after="0" w:line="224"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Listing</w:t>
      </w:r>
    </w:p>
    <w:p>
      <w:pPr>
        <w:spacing w:after="0" w:line="147" w:lineRule="exact"/>
        <w:rPr>
          <w:sz w:val="20"/>
          <w:szCs w:val="20"/>
          <w:color w:val="auto"/>
        </w:rPr>
      </w:pPr>
    </w:p>
    <w:p>
      <w:pPr>
        <w:jc w:val="both"/>
        <w:ind w:left="8" w:hanging="8"/>
        <w:spacing w:after="0" w:line="354" w:lineRule="auto"/>
        <w:tabs>
          <w:tab w:leader="none" w:pos="536" w:val="left"/>
        </w:tabs>
        <w:numPr>
          <w:ilvl w:val="0"/>
          <w:numId w:val="65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Where any listed issuer issues specified securities in accordance with provisions of this Chapter, it shall migrate the specified securities already listed on any recognised stock exchange(s) to the SME exchange.</w:t>
      </w:r>
    </w:p>
    <w:p>
      <w:pPr>
        <w:spacing w:after="0" w:line="200" w:lineRule="exact"/>
        <w:rPr>
          <w:sz w:val="20"/>
          <w:szCs w:val="20"/>
          <w:color w:val="auto"/>
        </w:rPr>
      </w:pPr>
    </w:p>
    <w:p>
      <w:pPr>
        <w:spacing w:after="0" w:line="22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Migration to the SME exchange</w:t>
      </w:r>
    </w:p>
    <w:p>
      <w:pPr>
        <w:spacing w:after="0" w:line="144" w:lineRule="exact"/>
        <w:rPr>
          <w:sz w:val="20"/>
          <w:szCs w:val="20"/>
          <w:color w:val="auto"/>
        </w:rPr>
      </w:pPr>
    </w:p>
    <w:p>
      <w:pPr>
        <w:jc w:val="both"/>
        <w:ind w:left="8" w:hanging="8"/>
        <w:spacing w:after="0" w:line="356" w:lineRule="auto"/>
        <w:tabs>
          <w:tab w:leader="none" w:pos="500" w:val="left"/>
        </w:tabs>
        <w:numPr>
          <w:ilvl w:val="0"/>
          <w:numId w:val="65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 listed issuer whose post-issue face value capital is less than twenty five crore rupees may migrate its specified securities to SME exchange if its shareholders approve such migration by passing a special resolution through postal ballot to this effect and if such issuer fulfils the eligibility criteria for listing laid down by the SME exchange:</w:t>
      </w:r>
    </w:p>
    <w:p>
      <w:pPr>
        <w:spacing w:after="0" w:line="18"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the special resolution shall be acted upon if and only if the votes cast by shareholders other than promoters in favour of the proposal amount to at least two times the number of votes cast by shareholders other than promoter shareholders against the proposal.</w:t>
      </w:r>
    </w:p>
    <w:p>
      <w:pPr>
        <w:spacing w:after="0" w:line="200" w:lineRule="exact"/>
        <w:rPr>
          <w:sz w:val="20"/>
          <w:szCs w:val="20"/>
          <w:color w:val="auto"/>
        </w:rPr>
      </w:pPr>
    </w:p>
    <w:p>
      <w:pPr>
        <w:spacing w:after="0" w:line="22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Migration to the main board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158</w:t>
      </w:r>
    </w:p>
    <w:p>
      <w:pPr>
        <w:sectPr>
          <w:pgSz w:w="11900" w:h="16836" w:orient="portrait"/>
          <w:cols w:equalWidth="0" w:num="1">
            <w:col w:w="9468"/>
          </w:cols>
          <w:pgMar w:left="1152" w:top="1156" w:right="1284" w:bottom="103" w:gutter="0" w:footer="0" w:header="0"/>
        </w:sectPr>
      </w:pPr>
    </w:p>
    <w:bookmarkStart w:id="158" w:name="page159"/>
    <w:bookmarkEnd w:id="158"/>
    <w:p>
      <w:pPr>
        <w:jc w:val="both"/>
        <w:ind w:left="8" w:hanging="8"/>
        <w:spacing w:after="0" w:line="357" w:lineRule="auto"/>
        <w:tabs>
          <w:tab w:leader="none" w:pos="591" w:val="left"/>
        </w:tabs>
        <w:numPr>
          <w:ilvl w:val="0"/>
          <w:numId w:val="65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An issuer, whose specified securities are listed on a SME Exchange and whose post-issue face value capital is more than ten crore rupees and up to twenty five crore rupees, may migrate its specified securities to the main board of the stock exchanges if its shareholders approve such a migration by passing a special resolution through postal ballot to this effect and if such issuer fulfils the eligibility criteria for listing laid down by the Main Board:</w:t>
      </w:r>
    </w:p>
    <w:p>
      <w:pPr>
        <w:spacing w:after="0" w:line="16"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the special resolution shall be acted upon if and only if the votes cast by shareholders other than promoters in favour of the proposal amount to at least two times the number of votes cast by shareholders other than promoter shareholders against the proposal.</w:t>
      </w:r>
    </w:p>
    <w:p>
      <w:pPr>
        <w:spacing w:after="0" w:line="200" w:lineRule="exact"/>
        <w:rPr>
          <w:sz w:val="20"/>
          <w:szCs w:val="20"/>
          <w:color w:val="auto"/>
        </w:rPr>
      </w:pPr>
    </w:p>
    <w:p>
      <w:pPr>
        <w:spacing w:after="0" w:line="22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PART IX: MISCELLANEOUS</w:t>
      </w:r>
    </w:p>
    <w:p>
      <w:pPr>
        <w:spacing w:after="0" w:line="139"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Restriction on further capital issues</w:t>
      </w:r>
    </w:p>
    <w:p>
      <w:pPr>
        <w:spacing w:after="0" w:line="144" w:lineRule="exact"/>
        <w:rPr>
          <w:sz w:val="20"/>
          <w:szCs w:val="20"/>
          <w:color w:val="auto"/>
        </w:rPr>
      </w:pPr>
    </w:p>
    <w:p>
      <w:pPr>
        <w:jc w:val="both"/>
        <w:ind w:left="8" w:hanging="8"/>
        <w:spacing w:after="0" w:line="358" w:lineRule="auto"/>
        <w:tabs>
          <w:tab w:leader="none" w:pos="490" w:val="left"/>
        </w:tabs>
        <w:numPr>
          <w:ilvl w:val="0"/>
          <w:numId w:val="65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An issuer shall not make any further issue of specified securities in any manner whether by way of public issue, rights issue, preferential issue, qualified institutions placement, issue of bonus shares or otherwise, except pursuant to an employee stock option scheme, during the period between the date of filing the draft offer document and the listing of the specified securities offered through the offer document or refund of application monies unless full disclosures regarding the total number of specified securities or amount proposed to be raised from such further issue are made in such draft offer document or offer document, as the case may be.</w:t>
      </w:r>
    </w:p>
    <w:p>
      <w:pPr>
        <w:spacing w:after="0" w:line="200" w:lineRule="exact"/>
        <w:rPr>
          <w:sz w:val="20"/>
          <w:szCs w:val="20"/>
          <w:color w:val="auto"/>
        </w:rPr>
      </w:pPr>
    </w:p>
    <w:p>
      <w:pPr>
        <w:spacing w:after="0" w:line="22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Price stabilisation through green shoe option</w:t>
      </w:r>
    </w:p>
    <w:p>
      <w:pPr>
        <w:spacing w:after="0" w:line="147" w:lineRule="exact"/>
        <w:rPr>
          <w:sz w:val="20"/>
          <w:szCs w:val="20"/>
          <w:color w:val="auto"/>
        </w:rPr>
      </w:pPr>
    </w:p>
    <w:p>
      <w:pPr>
        <w:ind w:left="8" w:hanging="8"/>
        <w:spacing w:after="0" w:line="348" w:lineRule="auto"/>
        <w:tabs>
          <w:tab w:leader="none" w:pos="478" w:val="left"/>
        </w:tabs>
        <w:numPr>
          <w:ilvl w:val="0"/>
          <w:numId w:val="65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may provide green shoe option for stabilising the post listing price of its specified securities, subject to the following:</w:t>
      </w:r>
    </w:p>
    <w:p>
      <w:pPr>
        <w:spacing w:after="0" w:line="28" w:lineRule="exact"/>
        <w:rPr>
          <w:sz w:val="20"/>
          <w:szCs w:val="20"/>
          <w:color w:val="auto"/>
        </w:rPr>
      </w:pPr>
    </w:p>
    <w:p>
      <w:pPr>
        <w:jc w:val="both"/>
        <w:ind w:left="548" w:hanging="548"/>
        <w:spacing w:after="0" w:line="350" w:lineRule="auto"/>
        <w:tabs>
          <w:tab w:leader="none" w:pos="548" w:val="left"/>
        </w:tabs>
        <w:numPr>
          <w:ilvl w:val="0"/>
          <w:numId w:val="659"/>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issuer has been authorized, by a resolution passed in the general meeting of shareholders approving the public issue, to allot specified securities to the stabilising agent, if required, on the expiry of the stabilisation period;</w:t>
      </w:r>
    </w:p>
    <w:p>
      <w:pPr>
        <w:spacing w:after="0" w:line="23" w:lineRule="exact"/>
        <w:rPr>
          <w:rFonts w:ascii="Calibri" w:cs="Calibri" w:eastAsia="Calibri" w:hAnsi="Calibri"/>
          <w:sz w:val="22"/>
          <w:szCs w:val="22"/>
          <w:color w:val="auto"/>
        </w:rPr>
      </w:pPr>
    </w:p>
    <w:p>
      <w:pPr>
        <w:ind w:left="548" w:hanging="548"/>
        <w:spacing w:after="0" w:line="344" w:lineRule="auto"/>
        <w:tabs>
          <w:tab w:leader="none" w:pos="548" w:val="left"/>
        </w:tabs>
        <w:numPr>
          <w:ilvl w:val="0"/>
          <w:numId w:val="659"/>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issuer has appointed a lead manager(s) appointed by the issuer as a stabilising agent, who shall be responsible for the price stabilisation process;</w:t>
      </w:r>
    </w:p>
    <w:p>
      <w:pPr>
        <w:spacing w:after="0" w:line="26" w:lineRule="exact"/>
        <w:rPr>
          <w:rFonts w:ascii="Calibri" w:cs="Calibri" w:eastAsia="Calibri" w:hAnsi="Calibri"/>
          <w:sz w:val="22"/>
          <w:szCs w:val="22"/>
          <w:color w:val="auto"/>
        </w:rPr>
      </w:pPr>
    </w:p>
    <w:p>
      <w:pPr>
        <w:jc w:val="both"/>
        <w:ind w:left="548" w:hanging="548"/>
        <w:spacing w:after="0" w:line="370" w:lineRule="auto"/>
        <w:tabs>
          <w:tab w:leader="none" w:pos="548" w:val="left"/>
        </w:tabs>
        <w:numPr>
          <w:ilvl w:val="0"/>
          <w:numId w:val="659"/>
        </w:numPr>
        <w:rPr>
          <w:rFonts w:ascii="Calibri" w:cs="Calibri" w:eastAsia="Calibri" w:hAnsi="Calibri"/>
          <w:sz w:val="21"/>
          <w:szCs w:val="21"/>
          <w:color w:val="auto"/>
        </w:rPr>
      </w:pPr>
      <w:r>
        <w:rPr>
          <w:rFonts w:ascii="Times New Roman" w:cs="Times New Roman" w:eastAsia="Times New Roman" w:hAnsi="Times New Roman"/>
          <w:sz w:val="23"/>
          <w:szCs w:val="23"/>
          <w:color w:val="auto"/>
        </w:rPr>
        <w:t>prior to filing the draft offer document, the issuer and the stabilising agent have entered into an agreement, stating all the terms and conditions relating to the green shoe option including fees charged and expenses to be incurred by the stabilising agent for discharging its responsibilities;</w:t>
      </w:r>
    </w:p>
    <w:p>
      <w:pPr>
        <w:spacing w:after="0" w:line="9" w:lineRule="exact"/>
        <w:rPr>
          <w:rFonts w:ascii="Calibri" w:cs="Calibri" w:eastAsia="Calibri" w:hAnsi="Calibri"/>
          <w:sz w:val="21"/>
          <w:szCs w:val="21"/>
          <w:color w:val="auto"/>
        </w:rPr>
      </w:pPr>
    </w:p>
    <w:p>
      <w:pPr>
        <w:jc w:val="both"/>
        <w:ind w:left="548" w:hanging="548"/>
        <w:spacing w:after="0" w:line="372" w:lineRule="auto"/>
        <w:tabs>
          <w:tab w:leader="none" w:pos="548" w:val="left"/>
        </w:tabs>
        <w:numPr>
          <w:ilvl w:val="0"/>
          <w:numId w:val="659"/>
        </w:numPr>
        <w:rPr>
          <w:rFonts w:ascii="Calibri" w:cs="Calibri" w:eastAsia="Calibri" w:hAnsi="Calibri"/>
          <w:sz w:val="21"/>
          <w:szCs w:val="21"/>
          <w:color w:val="auto"/>
        </w:rPr>
      </w:pPr>
      <w:r>
        <w:rPr>
          <w:rFonts w:ascii="Times New Roman" w:cs="Times New Roman" w:eastAsia="Times New Roman" w:hAnsi="Times New Roman"/>
          <w:sz w:val="23"/>
          <w:szCs w:val="23"/>
          <w:color w:val="auto"/>
        </w:rPr>
        <w:t>prior to filing the offer document, the stabilising agent has entered into an agreement with the promoters or pre-issue shareholders or both for borrowing specified securities from them in accordance with clause (g) of this sub-regulation, specifying therein the maximum number of specified securities that may be borrowed for the purpose of allotment or allocation of specified</w:t>
      </w: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159</w:t>
      </w:r>
    </w:p>
    <w:p>
      <w:pPr>
        <w:sectPr>
          <w:pgSz w:w="11900" w:h="16836" w:orient="portrait"/>
          <w:cols w:equalWidth="0" w:num="1">
            <w:col w:w="9468"/>
          </w:cols>
          <w:pgMar w:left="1152" w:top="1156" w:right="1284" w:bottom="103" w:gutter="0" w:footer="0" w:header="0"/>
        </w:sectPr>
      </w:pPr>
    </w:p>
    <w:bookmarkStart w:id="159" w:name="page160"/>
    <w:bookmarkEnd w:id="159"/>
    <w:p>
      <w:pPr>
        <w:ind w:left="548"/>
        <w:spacing w:after="0" w:line="348" w:lineRule="auto"/>
        <w:rPr>
          <w:sz w:val="20"/>
          <w:szCs w:val="20"/>
          <w:color w:val="auto"/>
        </w:rPr>
      </w:pPr>
      <w:r>
        <w:rPr>
          <w:rFonts w:ascii="Times New Roman" w:cs="Times New Roman" w:eastAsia="Times New Roman" w:hAnsi="Times New Roman"/>
          <w:sz w:val="24"/>
          <w:szCs w:val="24"/>
          <w:color w:val="auto"/>
        </w:rPr>
        <w:t>securities in excess of the issue size (hereinafter referred to as the “over- allotment”), which shall not be in excess of fifteen per cent. of the issue size;</w:t>
      </w:r>
    </w:p>
    <w:p>
      <w:pPr>
        <w:spacing w:after="0" w:line="28" w:lineRule="exact"/>
        <w:rPr>
          <w:sz w:val="20"/>
          <w:szCs w:val="20"/>
          <w:color w:val="auto"/>
        </w:rPr>
      </w:pPr>
    </w:p>
    <w:p>
      <w:pPr>
        <w:ind w:left="548" w:hanging="548"/>
        <w:spacing w:after="0" w:line="342" w:lineRule="auto"/>
        <w:tabs>
          <w:tab w:leader="none" w:pos="548" w:val="left"/>
        </w:tabs>
        <w:numPr>
          <w:ilvl w:val="0"/>
          <w:numId w:val="660"/>
        </w:numPr>
        <w:rPr>
          <w:rFonts w:ascii="Calibri" w:cs="Calibri" w:eastAsia="Calibri" w:hAnsi="Calibri"/>
          <w:sz w:val="22"/>
          <w:szCs w:val="22"/>
          <w:color w:val="auto"/>
        </w:rPr>
      </w:pPr>
      <w:r>
        <w:rPr>
          <w:rFonts w:ascii="Times New Roman" w:cs="Times New Roman" w:eastAsia="Times New Roman" w:hAnsi="Times New Roman"/>
          <w:sz w:val="24"/>
          <w:szCs w:val="24"/>
          <w:color w:val="auto"/>
        </w:rPr>
        <w:t>subject to clause (d), the lead manager(s), in consultation with the stabilising agent, shall determine the amount of specified securities to be over-allotted in the public issue;</w:t>
      </w:r>
    </w:p>
    <w:p>
      <w:pPr>
        <w:spacing w:after="0" w:line="31" w:lineRule="exact"/>
        <w:rPr>
          <w:rFonts w:ascii="Calibri" w:cs="Calibri" w:eastAsia="Calibri" w:hAnsi="Calibri"/>
          <w:sz w:val="22"/>
          <w:szCs w:val="22"/>
          <w:color w:val="auto"/>
        </w:rPr>
      </w:pPr>
    </w:p>
    <w:p>
      <w:pPr>
        <w:ind w:left="548" w:hanging="548"/>
        <w:spacing w:after="0" w:line="342" w:lineRule="auto"/>
        <w:tabs>
          <w:tab w:leader="none" w:pos="548" w:val="left"/>
        </w:tabs>
        <w:numPr>
          <w:ilvl w:val="0"/>
          <w:numId w:val="660"/>
        </w:numPr>
        <w:rPr>
          <w:rFonts w:ascii="Calibri" w:cs="Calibri" w:eastAsia="Calibri" w:hAnsi="Calibri"/>
          <w:sz w:val="22"/>
          <w:szCs w:val="22"/>
          <w:color w:val="auto"/>
        </w:rPr>
      </w:pPr>
      <w:r>
        <w:rPr>
          <w:rFonts w:ascii="Times New Roman" w:cs="Times New Roman" w:eastAsia="Times New Roman" w:hAnsi="Times New Roman"/>
          <w:sz w:val="24"/>
          <w:szCs w:val="24"/>
          <w:color w:val="auto"/>
        </w:rPr>
        <w:t xml:space="preserve">the draft offer document and offer document shall contain all material disclosures about the green shoe option specified in this regard in </w:t>
      </w:r>
      <w:r>
        <w:rPr>
          <w:rFonts w:ascii="Times New Roman" w:cs="Times New Roman" w:eastAsia="Times New Roman" w:hAnsi="Times New Roman"/>
          <w:sz w:val="24"/>
          <w:szCs w:val="24"/>
          <w:b w:val="1"/>
          <w:bCs w:val="1"/>
          <w:color w:val="auto"/>
        </w:rPr>
        <w:t>Part A</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 VI</w:t>
      </w:r>
      <w:r>
        <w:rPr>
          <w:rFonts w:ascii="Times New Roman" w:cs="Times New Roman" w:eastAsia="Times New Roman" w:hAnsi="Times New Roman"/>
          <w:sz w:val="24"/>
          <w:szCs w:val="24"/>
          <w:color w:val="auto"/>
        </w:rPr>
        <w:t>;</w:t>
      </w:r>
    </w:p>
    <w:p>
      <w:pPr>
        <w:spacing w:after="0" w:line="31" w:lineRule="exact"/>
        <w:rPr>
          <w:rFonts w:ascii="Calibri" w:cs="Calibri" w:eastAsia="Calibri" w:hAnsi="Calibri"/>
          <w:sz w:val="22"/>
          <w:szCs w:val="22"/>
          <w:color w:val="auto"/>
        </w:rPr>
      </w:pPr>
    </w:p>
    <w:p>
      <w:pPr>
        <w:jc w:val="both"/>
        <w:ind w:left="548" w:hanging="548"/>
        <w:spacing w:after="0" w:line="350" w:lineRule="auto"/>
        <w:tabs>
          <w:tab w:leader="none" w:pos="548" w:val="left"/>
        </w:tabs>
        <w:numPr>
          <w:ilvl w:val="0"/>
          <w:numId w:val="660"/>
        </w:numPr>
        <w:rPr>
          <w:rFonts w:ascii="Calibri" w:cs="Calibri" w:eastAsia="Calibri" w:hAnsi="Calibri"/>
          <w:sz w:val="22"/>
          <w:szCs w:val="22"/>
          <w:color w:val="auto"/>
        </w:rPr>
      </w:pPr>
      <w:r>
        <w:rPr>
          <w:rFonts w:ascii="Times New Roman" w:cs="Times New Roman" w:eastAsia="Times New Roman" w:hAnsi="Times New Roman"/>
          <w:sz w:val="24"/>
          <w:szCs w:val="24"/>
          <w:color w:val="auto"/>
        </w:rPr>
        <w:t>in case of an initial public offer pre-issue shareholders and promoters and in case of a further public offer pre-issue shareholders holding more than five per cent. specified securities and promoters, may lend specified securities to the extent of the proposed over-allotment;</w:t>
      </w:r>
    </w:p>
    <w:p>
      <w:pPr>
        <w:spacing w:after="0" w:line="4" w:lineRule="exact"/>
        <w:rPr>
          <w:rFonts w:ascii="Calibri" w:cs="Calibri" w:eastAsia="Calibri" w:hAnsi="Calibri"/>
          <w:sz w:val="22"/>
          <w:szCs w:val="22"/>
          <w:color w:val="auto"/>
        </w:rPr>
      </w:pPr>
    </w:p>
    <w:p>
      <w:pPr>
        <w:ind w:left="548" w:hanging="548"/>
        <w:spacing w:after="0"/>
        <w:tabs>
          <w:tab w:leader="none" w:pos="548" w:val="left"/>
        </w:tabs>
        <w:numPr>
          <w:ilvl w:val="0"/>
          <w:numId w:val="660"/>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specified securities borrowed shall be in dematerialised form and allocation of these</w:t>
      </w:r>
    </w:p>
    <w:p>
      <w:pPr>
        <w:spacing w:after="0" w:line="139" w:lineRule="exact"/>
        <w:rPr>
          <w:sz w:val="20"/>
          <w:szCs w:val="20"/>
          <w:color w:val="auto"/>
        </w:rPr>
      </w:pPr>
    </w:p>
    <w:p>
      <w:pPr>
        <w:ind w:left="548"/>
        <w:spacing w:after="0"/>
        <w:rPr>
          <w:sz w:val="20"/>
          <w:szCs w:val="20"/>
          <w:color w:val="auto"/>
        </w:rPr>
      </w:pPr>
      <w:r>
        <w:rPr>
          <w:rFonts w:ascii="Times New Roman" w:cs="Times New Roman" w:eastAsia="Times New Roman" w:hAnsi="Times New Roman"/>
          <w:sz w:val="24"/>
          <w:szCs w:val="24"/>
          <w:color w:val="auto"/>
        </w:rPr>
        <w:t>securities shall be made pro-rata to all successful applicants.</w:t>
      </w:r>
    </w:p>
    <w:p>
      <w:pPr>
        <w:spacing w:after="0" w:line="149" w:lineRule="exact"/>
        <w:rPr>
          <w:sz w:val="20"/>
          <w:szCs w:val="20"/>
          <w:color w:val="auto"/>
        </w:rPr>
      </w:pPr>
    </w:p>
    <w:p>
      <w:pPr>
        <w:jc w:val="both"/>
        <w:ind w:left="8" w:hanging="8"/>
        <w:spacing w:after="0" w:line="354" w:lineRule="auto"/>
        <w:tabs>
          <w:tab w:leader="none" w:pos="368" w:val="left"/>
        </w:tabs>
        <w:numPr>
          <w:ilvl w:val="0"/>
          <w:numId w:val="66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For the purpose of stabilisation of post-listing price of the specified securities, the stabilising agent shall determine the relevant aspects including the timing of buying such securities, quantity to be bought and the price at which such securities are to be bought from the market.</w:t>
      </w:r>
    </w:p>
    <w:p>
      <w:pPr>
        <w:spacing w:after="0" w:line="22"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368" w:val="left"/>
        </w:tabs>
        <w:numPr>
          <w:ilvl w:val="0"/>
          <w:numId w:val="66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stabilisation process shall be available for a period not exceeding thirty days from the date on which trading permission is given by the stock exchanges in respect of the specified securities allotted in the public issue.</w:t>
      </w:r>
    </w:p>
    <w:p>
      <w:pPr>
        <w:spacing w:after="0" w:line="20" w:lineRule="exact"/>
        <w:rPr>
          <w:rFonts w:ascii="Times New Roman" w:cs="Times New Roman" w:eastAsia="Times New Roman" w:hAnsi="Times New Roman"/>
          <w:sz w:val="24"/>
          <w:szCs w:val="24"/>
          <w:color w:val="auto"/>
        </w:rPr>
      </w:pPr>
    </w:p>
    <w:p>
      <w:pPr>
        <w:jc w:val="both"/>
        <w:ind w:left="8" w:hanging="8"/>
        <w:spacing w:after="0" w:line="356" w:lineRule="auto"/>
        <w:tabs>
          <w:tab w:leader="none" w:pos="368" w:val="left"/>
        </w:tabs>
        <w:numPr>
          <w:ilvl w:val="0"/>
          <w:numId w:val="66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stabilising agent shall open a special account, distinct from the issue account, with a bank for crediting the monies received from the applicants against the over-allotment and a special account with a depository participant for crediting specified securities to be bought from the market during the stabilisation period out of the monies credited in the special bank account.</w:t>
      </w:r>
    </w:p>
    <w:p>
      <w:pPr>
        <w:spacing w:after="0" w:line="200" w:lineRule="exact"/>
        <w:rPr>
          <w:rFonts w:ascii="Times New Roman" w:cs="Times New Roman" w:eastAsia="Times New Roman" w:hAnsi="Times New Roman"/>
          <w:sz w:val="24"/>
          <w:szCs w:val="24"/>
          <w:color w:val="auto"/>
        </w:rPr>
      </w:pPr>
    </w:p>
    <w:p>
      <w:pPr>
        <w:spacing w:after="0" w:line="233"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368" w:val="left"/>
        </w:tabs>
        <w:numPr>
          <w:ilvl w:val="0"/>
          <w:numId w:val="66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specified securities bought from the market and credited in the special account with the depository participant shall be returned to the promoters or pre-issue shareholders immediately, in any case not later than two working days after the end of the stabilization period.</w:t>
      </w:r>
    </w:p>
    <w:p>
      <w:pPr>
        <w:spacing w:after="0" w:line="20" w:lineRule="exact"/>
        <w:rPr>
          <w:rFonts w:ascii="Times New Roman" w:cs="Times New Roman" w:eastAsia="Times New Roman" w:hAnsi="Times New Roman"/>
          <w:sz w:val="24"/>
          <w:szCs w:val="24"/>
          <w:color w:val="auto"/>
        </w:rPr>
      </w:pPr>
    </w:p>
    <w:p>
      <w:pPr>
        <w:jc w:val="both"/>
        <w:ind w:left="8" w:hanging="8"/>
        <w:spacing w:after="0" w:line="358" w:lineRule="auto"/>
        <w:tabs>
          <w:tab w:leader="none" w:pos="368" w:val="left"/>
        </w:tabs>
        <w:numPr>
          <w:ilvl w:val="0"/>
          <w:numId w:val="66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On expiry of the stabilisation period, if the stabilising agent has not been able to buy specified securities from the market to the extent of such securities over-allotted, the issuer shall allot specified securities at issue price in dematerialised form to the extent of the shortfall to the special account with the depository participant, within five days of the closure of the stabilisation period and such specified securities shall be returned to the promoters or pre-issue shareholders by the stabilising agent in lieu of the specified securities borrowed from them and the account with the depository participant shall be closed thereafter.</w:t>
      </w:r>
    </w:p>
    <w:p>
      <w:pPr>
        <w:spacing w:after="0" w:line="17"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368" w:val="left"/>
        </w:tabs>
        <w:numPr>
          <w:ilvl w:val="0"/>
          <w:numId w:val="66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make a listing application in respect of the further specified securities allotted under sub-regulation (6), to all the stock exchanges where the specified securities allotted in the public issue are listed and the provisions of Chapter VII shall not be applicable to such allotment.</w:t>
      </w:r>
    </w:p>
    <w:p>
      <w:pPr>
        <w:spacing w:after="0" w:line="264"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160</w:t>
      </w:r>
    </w:p>
    <w:p>
      <w:pPr>
        <w:sectPr>
          <w:pgSz w:w="11900" w:h="16836" w:orient="portrait"/>
          <w:cols w:equalWidth="0" w:num="1">
            <w:col w:w="9468"/>
          </w:cols>
          <w:pgMar w:left="1152" w:top="1156" w:right="1284" w:bottom="103" w:gutter="0" w:footer="0" w:header="0"/>
        </w:sectPr>
      </w:pPr>
    </w:p>
    <w:bookmarkStart w:id="160" w:name="page161"/>
    <w:bookmarkEnd w:id="160"/>
    <w:p>
      <w:pPr>
        <w:ind w:left="8" w:hanging="8"/>
        <w:spacing w:after="0" w:line="348" w:lineRule="auto"/>
        <w:tabs>
          <w:tab w:leader="none" w:pos="368" w:val="left"/>
        </w:tabs>
        <w:numPr>
          <w:ilvl w:val="0"/>
          <w:numId w:val="66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stabilising agent shall remit the monies with respect to the specified securities allotted under sub-regulation (6) to the issuer from the special bank account.</w:t>
      </w:r>
    </w:p>
    <w:p>
      <w:pPr>
        <w:spacing w:after="0" w:line="28" w:lineRule="exact"/>
        <w:rPr>
          <w:rFonts w:ascii="Times New Roman" w:cs="Times New Roman" w:eastAsia="Times New Roman" w:hAnsi="Times New Roman"/>
          <w:sz w:val="24"/>
          <w:szCs w:val="24"/>
          <w:color w:val="auto"/>
        </w:rPr>
      </w:pPr>
    </w:p>
    <w:p>
      <w:pPr>
        <w:jc w:val="both"/>
        <w:ind w:left="8" w:hanging="8"/>
        <w:spacing w:after="0" w:line="356" w:lineRule="auto"/>
        <w:tabs>
          <w:tab w:leader="none" w:pos="368" w:val="left"/>
        </w:tabs>
        <w:numPr>
          <w:ilvl w:val="0"/>
          <w:numId w:val="66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monies left in the special bank account after remittance of monies to the issuer under sub-regulation (8) and deduction of expenses incurred by the stabilising agent for the stabilisation process shall be transferred to the Investor Protection and Education Fund established by the Board and the special bank account shall be closed soon thereafter.</w:t>
      </w:r>
    </w:p>
    <w:p>
      <w:pPr>
        <w:spacing w:after="0" w:line="18" w:lineRule="exact"/>
        <w:rPr>
          <w:rFonts w:ascii="Times New Roman" w:cs="Times New Roman" w:eastAsia="Times New Roman" w:hAnsi="Times New Roman"/>
          <w:sz w:val="24"/>
          <w:szCs w:val="24"/>
          <w:color w:val="auto"/>
        </w:rPr>
      </w:pPr>
    </w:p>
    <w:p>
      <w:pPr>
        <w:ind w:left="8" w:hanging="8"/>
        <w:spacing w:after="0" w:line="348" w:lineRule="auto"/>
        <w:tabs>
          <w:tab w:leader="none" w:pos="785" w:val="left"/>
        </w:tabs>
        <w:numPr>
          <w:ilvl w:val="0"/>
          <w:numId w:val="66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The stabilising agent shall submit a report to the stock exchange on a daily basis during the stabilisation period and a final report to the Board in the format specified in </w:t>
      </w:r>
      <w:r>
        <w:rPr>
          <w:rFonts w:ascii="Times New Roman" w:cs="Times New Roman" w:eastAsia="Times New Roman" w:hAnsi="Times New Roman"/>
          <w:sz w:val="24"/>
          <w:szCs w:val="24"/>
          <w:b w:val="1"/>
          <w:bCs w:val="1"/>
          <w:color w:val="auto"/>
        </w:rPr>
        <w:t>Schedule XV</w:t>
      </w:r>
      <w:r>
        <w:rPr>
          <w:rFonts w:ascii="Times New Roman" w:cs="Times New Roman" w:eastAsia="Times New Roman" w:hAnsi="Times New Roman"/>
          <w:sz w:val="24"/>
          <w:szCs w:val="24"/>
          <w:color w:val="auto"/>
        </w:rPr>
        <w:t>.</w:t>
      </w:r>
    </w:p>
    <w:p>
      <w:pPr>
        <w:spacing w:after="0" w:line="28" w:lineRule="exact"/>
        <w:rPr>
          <w:rFonts w:ascii="Times New Roman" w:cs="Times New Roman" w:eastAsia="Times New Roman" w:hAnsi="Times New Roman"/>
          <w:sz w:val="24"/>
          <w:szCs w:val="24"/>
          <w:color w:val="auto"/>
        </w:rPr>
      </w:pPr>
    </w:p>
    <w:p>
      <w:pPr>
        <w:ind w:left="8" w:hanging="8"/>
        <w:spacing w:after="0" w:line="348" w:lineRule="auto"/>
        <w:tabs>
          <w:tab w:leader="none" w:pos="785" w:val="left"/>
        </w:tabs>
        <w:numPr>
          <w:ilvl w:val="0"/>
          <w:numId w:val="66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stabilising agent shall maintain a register for a period of at least three years from the date of the end of the stabilisation period and such register shall contain the following particulars:</w:t>
      </w:r>
    </w:p>
    <w:p>
      <w:pPr>
        <w:spacing w:after="0" w:line="28" w:lineRule="exact"/>
        <w:rPr>
          <w:sz w:val="20"/>
          <w:szCs w:val="20"/>
          <w:color w:val="auto"/>
        </w:rPr>
      </w:pPr>
    </w:p>
    <w:p>
      <w:pPr>
        <w:ind w:left="368" w:hanging="368"/>
        <w:spacing w:after="0" w:line="348" w:lineRule="auto"/>
        <w:tabs>
          <w:tab w:leader="none" w:pos="368" w:val="left"/>
        </w:tabs>
        <w:numPr>
          <w:ilvl w:val="0"/>
          <w:numId w:val="6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names of the promoters or pre-issue shareholders from whom the specified securities were borrowed and the number of specified securities borrowed from each of them;</w:t>
      </w:r>
    </w:p>
    <w:p>
      <w:pPr>
        <w:spacing w:after="0" w:line="27" w:lineRule="exact"/>
        <w:rPr>
          <w:rFonts w:ascii="Times New Roman" w:cs="Times New Roman" w:eastAsia="Times New Roman" w:hAnsi="Times New Roman"/>
          <w:sz w:val="24"/>
          <w:szCs w:val="24"/>
          <w:color w:val="auto"/>
        </w:rPr>
      </w:pPr>
    </w:p>
    <w:p>
      <w:pPr>
        <w:ind w:left="368" w:hanging="368"/>
        <w:spacing w:after="0" w:line="348" w:lineRule="auto"/>
        <w:tabs>
          <w:tab w:leader="none" w:pos="368" w:val="left"/>
        </w:tabs>
        <w:numPr>
          <w:ilvl w:val="0"/>
          <w:numId w:val="6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price, date and time in respect of each transaction effected in the course of the stabilisation process; and</w:t>
      </w:r>
    </w:p>
    <w:p>
      <w:pPr>
        <w:spacing w:after="0" w:line="15" w:lineRule="exact"/>
        <w:rPr>
          <w:rFonts w:ascii="Times New Roman" w:cs="Times New Roman" w:eastAsia="Times New Roman" w:hAnsi="Times New Roman"/>
          <w:sz w:val="24"/>
          <w:szCs w:val="24"/>
          <w:color w:val="auto"/>
        </w:rPr>
      </w:pPr>
    </w:p>
    <w:p>
      <w:pPr>
        <w:ind w:left="368" w:hanging="368"/>
        <w:spacing w:after="0"/>
        <w:tabs>
          <w:tab w:leader="none" w:pos="368" w:val="left"/>
        </w:tabs>
        <w:numPr>
          <w:ilvl w:val="0"/>
          <w:numId w:val="6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details of allotment made by the issuer on expiry of the stabilisation process.</w:t>
      </w:r>
    </w:p>
    <w:p>
      <w:pPr>
        <w:spacing w:after="0" w:line="200" w:lineRule="exact"/>
        <w:rPr>
          <w:sz w:val="20"/>
          <w:szCs w:val="20"/>
          <w:color w:val="auto"/>
        </w:rPr>
      </w:pPr>
    </w:p>
    <w:p>
      <w:pPr>
        <w:spacing w:after="0" w:line="35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Alteration of rights of holders of specified securities</w:t>
      </w:r>
    </w:p>
    <w:p>
      <w:pPr>
        <w:spacing w:after="0" w:line="144" w:lineRule="exact"/>
        <w:rPr>
          <w:sz w:val="20"/>
          <w:szCs w:val="20"/>
          <w:color w:val="auto"/>
        </w:rPr>
      </w:pPr>
    </w:p>
    <w:p>
      <w:pPr>
        <w:jc w:val="both"/>
        <w:ind w:left="8" w:hanging="8"/>
        <w:spacing w:after="0" w:line="357" w:lineRule="auto"/>
        <w:tabs>
          <w:tab w:leader="none" w:pos="507" w:val="left"/>
        </w:tabs>
        <w:numPr>
          <w:ilvl w:val="0"/>
          <w:numId w:val="66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issuer shall not alter the terms (including the terms of issue) of specified securities which may adversely affect the interests of the holders of that specified securities, except with the consent in writing of the holders of not less than three-fourths of the specified securities of that class or with the sanction of a special resolution passed at a meeting of the holders of the specified securities of that class.</w:t>
      </w:r>
    </w:p>
    <w:p>
      <w:pPr>
        <w:spacing w:after="0" w:line="18" w:lineRule="exact"/>
        <w:rPr>
          <w:rFonts w:ascii="Times New Roman" w:cs="Times New Roman" w:eastAsia="Times New Roman" w:hAnsi="Times New Roman"/>
          <w:sz w:val="24"/>
          <w:szCs w:val="24"/>
          <w:b w:val="1"/>
          <w:bCs w:val="1"/>
          <w:color w:val="auto"/>
        </w:rPr>
      </w:pPr>
    </w:p>
    <w:p>
      <w:pPr>
        <w:jc w:val="both"/>
        <w:ind w:left="8"/>
        <w:spacing w:after="0" w:line="357"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Where the post-issue face value capital of an issuer listed on a SME exchange is likely to increase beyond twenty five crore rupees by virtue of any further issue of capital by the issuer by way of rights issue, preferential issue, bonus issue, etc. the issuer shall migrate its specified securities listed on a SME exchange to the Main Board and seek listing of the specified securities proposed to be issued on the Main Board subject to the fulfilment of the eligibility criteria for listing of specified securities laid down by the Main Board:</w:t>
      </w:r>
    </w:p>
    <w:p>
      <w:pPr>
        <w:spacing w:after="0" w:line="9" w:lineRule="exact"/>
        <w:rPr>
          <w:rFonts w:ascii="Times New Roman" w:cs="Times New Roman" w:eastAsia="Times New Roman" w:hAnsi="Times New Roman"/>
          <w:sz w:val="24"/>
          <w:szCs w:val="24"/>
          <w:b w:val="1"/>
          <w:bCs w:val="1"/>
          <w:color w:val="auto"/>
        </w:rPr>
      </w:pPr>
    </w:p>
    <w:p>
      <w:pPr>
        <w:ind w:left="8"/>
        <w:spacing w:after="0"/>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no further issue of capital by the issuer shall be made unless –</w:t>
      </w:r>
    </w:p>
    <w:p>
      <w:pPr>
        <w:spacing w:after="0" w:line="149" w:lineRule="exact"/>
        <w:rPr>
          <w:sz w:val="20"/>
          <w:szCs w:val="20"/>
          <w:color w:val="auto"/>
        </w:rPr>
      </w:pPr>
    </w:p>
    <w:p>
      <w:pPr>
        <w:jc w:val="both"/>
        <w:ind w:left="368" w:hanging="368"/>
        <w:spacing w:after="0" w:line="353" w:lineRule="auto"/>
        <w:tabs>
          <w:tab w:leader="none" w:pos="368" w:val="left"/>
        </w:tabs>
        <w:numPr>
          <w:ilvl w:val="0"/>
          <w:numId w:val="665"/>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shareholders of the issuer have approved the migration by passing a special resolution through postal ballot wherein the votes cast by shareholders other than promoters in favour of the proposal amount to at least two times the number of votes cast by shareholders other than promoter shareholders against the proposal;</w:t>
      </w:r>
    </w:p>
    <w:p>
      <w:pPr>
        <w:spacing w:after="0" w:line="22" w:lineRule="exact"/>
        <w:rPr>
          <w:rFonts w:ascii="Calibri" w:cs="Calibri" w:eastAsia="Calibri" w:hAnsi="Calibri"/>
          <w:sz w:val="22"/>
          <w:szCs w:val="22"/>
          <w:color w:val="auto"/>
        </w:rPr>
      </w:pPr>
    </w:p>
    <w:p>
      <w:pPr>
        <w:ind w:left="368" w:hanging="368"/>
        <w:spacing w:after="0" w:line="344" w:lineRule="auto"/>
        <w:tabs>
          <w:tab w:leader="none" w:pos="368" w:val="left"/>
        </w:tabs>
        <w:numPr>
          <w:ilvl w:val="0"/>
          <w:numId w:val="665"/>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issuer has obtained an in-principle approval from the Main Board for listing of its entire specified securities on it.</w:t>
      </w:r>
    </w:p>
    <w:p>
      <w:pPr>
        <w:spacing w:after="0" w:line="27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161</w:t>
      </w:r>
    </w:p>
    <w:p>
      <w:pPr>
        <w:sectPr>
          <w:pgSz w:w="11900" w:h="16836" w:orient="portrait"/>
          <w:cols w:equalWidth="0" w:num="1">
            <w:col w:w="9468"/>
          </w:cols>
          <w:pgMar w:left="1152" w:top="1156" w:right="1284" w:bottom="103" w:gutter="0" w:footer="0" w:header="0"/>
        </w:sectPr>
      </w:pPr>
    </w:p>
    <w:bookmarkStart w:id="161" w:name="page162"/>
    <w:bookmarkEnd w:id="16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Further Issues</w:t>
      </w:r>
    </w:p>
    <w:p>
      <w:pPr>
        <w:spacing w:after="0" w:line="147" w:lineRule="exact"/>
        <w:rPr>
          <w:sz w:val="20"/>
          <w:szCs w:val="20"/>
          <w:color w:val="auto"/>
        </w:rPr>
      </w:pPr>
    </w:p>
    <w:p>
      <w:pPr>
        <w:jc w:val="both"/>
        <w:ind w:left="8" w:hanging="8"/>
        <w:spacing w:after="0" w:line="354" w:lineRule="auto"/>
        <w:tabs>
          <w:tab w:leader="none" w:pos="519" w:val="left"/>
        </w:tabs>
        <w:numPr>
          <w:ilvl w:val="0"/>
          <w:numId w:val="66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An issuer listed on a SME exchange making a further issue of capital by way of a rights issue, or further public offer or preferential issue or bonus issue etc. may do so by adhering to applicable requirements mentioned in these regulations.</w:t>
      </w:r>
    </w:p>
    <w:p>
      <w:pPr>
        <w:spacing w:after="0" w:line="200" w:lineRule="exact"/>
        <w:rPr>
          <w:sz w:val="20"/>
          <w:szCs w:val="20"/>
          <w:color w:val="auto"/>
        </w:rPr>
      </w:pPr>
    </w:p>
    <w:p>
      <w:pPr>
        <w:spacing w:after="0" w:line="232" w:lineRule="exact"/>
        <w:rPr>
          <w:sz w:val="20"/>
          <w:szCs w:val="20"/>
          <w:color w:val="auto"/>
        </w:rPr>
      </w:pPr>
    </w:p>
    <w:p>
      <w:pPr>
        <w:ind w:left="8" w:right="1620" w:firstLine="1622"/>
        <w:spacing w:after="0" w:line="275" w:lineRule="auto"/>
        <w:rPr>
          <w:sz w:val="20"/>
          <w:szCs w:val="20"/>
          <w:color w:val="auto"/>
        </w:rPr>
      </w:pPr>
      <w:r>
        <w:rPr>
          <w:rFonts w:ascii="Times New Roman" w:cs="Times New Roman" w:eastAsia="Times New Roman" w:hAnsi="Times New Roman"/>
          <w:sz w:val="24"/>
          <w:szCs w:val="24"/>
          <w:b w:val="1"/>
          <w:bCs w:val="1"/>
          <w:color w:val="auto"/>
        </w:rPr>
        <w:t xml:space="preserve">CHAPTER X – </w:t>
      </w:r>
      <w:r>
        <w:rPr>
          <w:rFonts w:ascii="Times New Roman" w:cs="Times New Roman" w:eastAsia="Times New Roman" w:hAnsi="Times New Roman"/>
          <w:sz w:val="32"/>
          <w:szCs w:val="32"/>
          <w:b w:val="1"/>
          <w:bCs w:val="1"/>
          <w:color w:val="auto"/>
          <w:vertAlign w:val="superscript"/>
        </w:rPr>
        <w:t>86</w:t>
      </w:r>
      <w:r>
        <w:rPr>
          <w:rFonts w:ascii="Times New Roman" w:cs="Times New Roman" w:eastAsia="Times New Roman" w:hAnsi="Times New Roman"/>
          <w:sz w:val="24"/>
          <w:szCs w:val="24"/>
          <w:b w:val="1"/>
          <w:bCs w:val="1"/>
          <w:color w:val="auto"/>
        </w:rPr>
        <w:t>[INNOVATORS GROWTH PLATFORM] PART I: APPLICABILITY</w:t>
      </w:r>
    </w:p>
    <w:p>
      <w:pPr>
        <w:spacing w:after="0" w:line="200" w:lineRule="exact"/>
        <w:rPr>
          <w:sz w:val="20"/>
          <w:szCs w:val="20"/>
          <w:color w:val="auto"/>
        </w:rPr>
      </w:pPr>
    </w:p>
    <w:p>
      <w:pPr>
        <w:spacing w:after="0" w:line="306" w:lineRule="exact"/>
        <w:rPr>
          <w:sz w:val="20"/>
          <w:szCs w:val="20"/>
          <w:color w:val="auto"/>
        </w:rPr>
      </w:pPr>
    </w:p>
    <w:p>
      <w:pPr>
        <w:jc w:val="both"/>
        <w:ind w:left="8" w:hanging="8"/>
        <w:spacing w:after="0" w:line="354" w:lineRule="auto"/>
        <w:tabs>
          <w:tab w:leader="none" w:pos="524" w:val="left"/>
        </w:tabs>
        <w:numPr>
          <w:ilvl w:val="0"/>
          <w:numId w:val="66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provisions of this Chapter shall apply to issuers seeking listing of their specified securities pursuant to an initial public offer or for only trading on a stock exchange of their specified securities without making a public offer.</w:t>
      </w:r>
    </w:p>
    <w:p>
      <w:pPr>
        <w:spacing w:after="0" w:line="22"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(2) The provisions of these regulations, in respect of the matters not specifically dealt or excluded under this Chapter, shall apply </w:t>
      </w:r>
      <w:r>
        <w:rPr>
          <w:rFonts w:ascii="Times New Roman" w:cs="Times New Roman" w:eastAsia="Times New Roman" w:hAnsi="Times New Roman"/>
          <w:sz w:val="24"/>
          <w:szCs w:val="24"/>
          <w:i w:val="1"/>
          <w:iCs w:val="1"/>
          <w:color w:val="auto"/>
        </w:rPr>
        <w:t>mutatis mutandis</w:t>
      </w:r>
      <w:r>
        <w:rPr>
          <w:rFonts w:ascii="Times New Roman" w:cs="Times New Roman" w:eastAsia="Times New Roman" w:hAnsi="Times New Roman"/>
          <w:sz w:val="24"/>
          <w:szCs w:val="24"/>
          <w:color w:val="auto"/>
        </w:rPr>
        <w:t xml:space="preserve"> to any listing or trading of specified securities under this Chapter.</w:t>
      </w:r>
    </w:p>
    <w:p>
      <w:pPr>
        <w:spacing w:after="0" w:line="7" w:lineRule="exact"/>
        <w:rPr>
          <w:rFonts w:ascii="Times New Roman" w:cs="Times New Roman" w:eastAsia="Times New Roman" w:hAnsi="Times New Roman"/>
          <w:sz w:val="24"/>
          <w:szCs w:val="24"/>
          <w:b w:val="1"/>
          <w:bCs w:val="1"/>
          <w:color w:val="auto"/>
        </w:rPr>
      </w:pPr>
    </w:p>
    <w:p>
      <w:pPr>
        <w:ind w:left="8"/>
        <w:spacing w:after="0"/>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the following shall not apply:</w:t>
      </w:r>
    </w:p>
    <w:p>
      <w:pPr>
        <w:spacing w:after="0" w:line="151" w:lineRule="exact"/>
        <w:rPr>
          <w:rFonts w:ascii="Times New Roman" w:cs="Times New Roman" w:eastAsia="Times New Roman" w:hAnsi="Times New Roman"/>
          <w:sz w:val="24"/>
          <w:szCs w:val="24"/>
          <w:b w:val="1"/>
          <w:bCs w:val="1"/>
          <w:color w:val="auto"/>
        </w:rPr>
      </w:pPr>
    </w:p>
    <w:p>
      <w:pPr>
        <w:ind w:left="1228" w:right="200" w:hanging="508"/>
        <w:spacing w:after="0" w:line="348" w:lineRule="auto"/>
        <w:tabs>
          <w:tab w:leader="none" w:pos="1228" w:val="left"/>
        </w:tabs>
        <w:numPr>
          <w:ilvl w:val="1"/>
          <w:numId w:val="66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sub-regulation (2) of regulation 7 on restrictions on the amount of general corporate purposes; and</w:t>
      </w:r>
    </w:p>
    <w:p>
      <w:pPr>
        <w:spacing w:after="0" w:line="15" w:lineRule="exact"/>
        <w:rPr>
          <w:rFonts w:ascii="Times New Roman" w:cs="Times New Roman" w:eastAsia="Times New Roman" w:hAnsi="Times New Roman"/>
          <w:sz w:val="24"/>
          <w:szCs w:val="24"/>
          <w:color w:val="auto"/>
        </w:rPr>
      </w:pPr>
    </w:p>
    <w:p>
      <w:pPr>
        <w:ind w:left="1228" w:hanging="508"/>
        <w:spacing w:after="0"/>
        <w:tabs>
          <w:tab w:leader="none" w:pos="1228" w:val="left"/>
        </w:tabs>
        <w:numPr>
          <w:ilvl w:val="1"/>
          <w:numId w:val="66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sub-regulation (1) and (2) of regulation 6 on eligibility requirements</w:t>
      </w:r>
    </w:p>
    <w:p>
      <w:pPr>
        <w:spacing w:after="0" w:line="149" w:lineRule="exact"/>
        <w:rPr>
          <w:sz w:val="20"/>
          <w:szCs w:val="20"/>
          <w:color w:val="auto"/>
        </w:rPr>
      </w:pPr>
    </w:p>
    <w:p>
      <w:pPr>
        <w:ind w:left="8" w:hanging="8"/>
        <w:spacing w:after="0" w:line="326" w:lineRule="auto"/>
        <w:tabs>
          <w:tab w:leader="none" w:pos="370" w:val="left"/>
        </w:tabs>
        <w:numPr>
          <w:ilvl w:val="0"/>
          <w:numId w:val="66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The institutional trading platform shall be accessible only to institutional investors and non-institutional investors </w:t>
      </w:r>
      <w:r>
        <w:rPr>
          <w:rFonts w:ascii="Times New Roman" w:cs="Times New Roman" w:eastAsia="Times New Roman" w:hAnsi="Times New Roman"/>
          <w:sz w:val="32"/>
          <w:szCs w:val="32"/>
          <w:color w:val="auto"/>
          <w:vertAlign w:val="superscript"/>
        </w:rPr>
        <w:t>87</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Eligibility</w:t>
      </w:r>
    </w:p>
    <w:p>
      <w:pPr>
        <w:spacing w:after="0" w:line="139" w:lineRule="exact"/>
        <w:rPr>
          <w:sz w:val="20"/>
          <w:szCs w:val="20"/>
          <w:color w:val="auto"/>
        </w:rPr>
      </w:pPr>
    </w:p>
    <w:p>
      <w:pPr>
        <w:jc w:val="both"/>
        <w:ind w:left="8"/>
        <w:spacing w:after="0" w:line="275" w:lineRule="auto"/>
        <w:rPr>
          <w:sz w:val="20"/>
          <w:szCs w:val="20"/>
          <w:color w:val="auto"/>
        </w:rPr>
      </w:pPr>
      <w:r>
        <w:rPr>
          <w:rFonts w:ascii="Times New Roman" w:cs="Times New Roman" w:eastAsia="Times New Roman" w:hAnsi="Times New Roman"/>
          <w:sz w:val="24"/>
          <w:szCs w:val="24"/>
          <w:b w:val="1"/>
          <w:bCs w:val="1"/>
          <w:color w:val="auto"/>
        </w:rPr>
        <w:t xml:space="preserve">283. </w:t>
      </w:r>
      <w:r>
        <w:rPr>
          <w:rFonts w:ascii="Times New Roman" w:cs="Times New Roman" w:eastAsia="Times New Roman" w:hAnsi="Times New Roman"/>
          <w:sz w:val="32"/>
          <w:szCs w:val="32"/>
          <w:b w:val="1"/>
          <w:bCs w:val="1"/>
          <w:color w:val="auto"/>
          <w:vertAlign w:val="superscript"/>
        </w:rPr>
        <w:t>88</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color w:val="auto"/>
        </w:rPr>
        <w:t>(1) An issuer which is intensive in the use of technology, information technology,</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intellectual property, data analytics, bio-technology or nano-technology to provide products,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p>
      <w:pPr>
        <w:jc w:val="both"/>
        <w:ind w:left="8" w:hanging="8"/>
        <w:spacing w:after="0" w:line="203" w:lineRule="auto"/>
        <w:tabs>
          <w:tab w:leader="none" w:pos="192" w:val="left"/>
        </w:tabs>
        <w:numPr>
          <w:ilvl w:val="0"/>
          <w:numId w:val="669"/>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Securities and Exchange Board of India (Issue of Capital and Disclosure Requirements) (Second Amendment) Regulations, 2019, w-e-f 05.04.2019. Prior to its substitution, it read as “INSTITUTIONAL TRADING</w:t>
      </w:r>
    </w:p>
    <w:p>
      <w:pPr>
        <w:spacing w:after="0" w:line="2" w:lineRule="exact"/>
        <w:rPr>
          <w:rFonts w:ascii="Times New Roman" w:cs="Times New Roman" w:eastAsia="Times New Roman" w:hAnsi="Times New Roman"/>
          <w:sz w:val="26"/>
          <w:szCs w:val="26"/>
          <w:color w:val="auto"/>
          <w:vertAlign w:val="superscript"/>
        </w:rPr>
      </w:pPr>
    </w:p>
    <w:p>
      <w:pPr>
        <w:ind w:left="8"/>
        <w:spacing w:after="0"/>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PLATFORM”.</w:t>
      </w:r>
    </w:p>
    <w:p>
      <w:pPr>
        <w:spacing w:after="0" w:line="11" w:lineRule="exact"/>
        <w:rPr>
          <w:rFonts w:ascii="Times New Roman" w:cs="Times New Roman" w:eastAsia="Times New Roman" w:hAnsi="Times New Roman"/>
          <w:sz w:val="26"/>
          <w:szCs w:val="26"/>
          <w:color w:val="auto"/>
          <w:vertAlign w:val="superscript"/>
        </w:rPr>
      </w:pPr>
    </w:p>
    <w:p>
      <w:pPr>
        <w:jc w:val="both"/>
        <w:ind w:left="8" w:hanging="8"/>
        <w:spacing w:after="0" w:line="214" w:lineRule="auto"/>
        <w:tabs>
          <w:tab w:leader="none" w:pos="207" w:val="left"/>
        </w:tabs>
        <w:numPr>
          <w:ilvl w:val="0"/>
          <w:numId w:val="669"/>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Omitted by the Securities and Exchange Board of India (Issue of Capital and Disclosure Requirements) (Second Amendment) Regulations, 2019, w-e-f 05.04.2019. Prior to its omission, it read as “and not to retail individual investors”.</w:t>
      </w:r>
    </w:p>
    <w:p>
      <w:pPr>
        <w:spacing w:after="0" w:line="12" w:lineRule="exact"/>
        <w:rPr>
          <w:rFonts w:ascii="Times New Roman" w:cs="Times New Roman" w:eastAsia="Times New Roman" w:hAnsi="Times New Roman"/>
          <w:sz w:val="26"/>
          <w:szCs w:val="26"/>
          <w:color w:val="auto"/>
          <w:vertAlign w:val="superscript"/>
        </w:rPr>
      </w:pPr>
    </w:p>
    <w:p>
      <w:pPr>
        <w:ind w:left="8" w:hanging="8"/>
        <w:spacing w:after="0" w:line="203" w:lineRule="auto"/>
        <w:tabs>
          <w:tab w:leader="none" w:pos="192" w:val="left"/>
        </w:tabs>
        <w:numPr>
          <w:ilvl w:val="0"/>
          <w:numId w:val="669"/>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Securities and Exchange Board of India (Issue of Capital and Disclosure Requirements) (Second Amendment) Regulations, 2019, w-e-f 05.04.2019. Prior to its substitution, it read as:</w:t>
      </w:r>
    </w:p>
    <w:p>
      <w:pPr>
        <w:spacing w:after="0" w:line="2" w:lineRule="exact"/>
        <w:rPr>
          <w:rFonts w:ascii="Times New Roman" w:cs="Times New Roman" w:eastAsia="Times New Roman" w:hAnsi="Times New Roman"/>
          <w:sz w:val="26"/>
          <w:szCs w:val="26"/>
          <w:color w:val="auto"/>
          <w:vertAlign w:val="superscript"/>
        </w:rPr>
      </w:pPr>
    </w:p>
    <w:p>
      <w:pPr>
        <w:ind w:left="8"/>
        <w:spacing w:after="0"/>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“(1) The following issuers shall be eligible for listing on the institutional trading platform:</w:t>
      </w:r>
    </w:p>
    <w:p>
      <w:pPr>
        <w:spacing w:after="0" w:line="298"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162</w:t>
      </w:r>
    </w:p>
    <w:p>
      <w:pPr>
        <w:sectPr>
          <w:pgSz w:w="11900" w:h="16836" w:orient="portrait"/>
          <w:cols w:equalWidth="0" w:num="1">
            <w:col w:w="9468"/>
          </w:cols>
          <w:pgMar w:left="1152" w:top="1440" w:right="1284" w:bottom="103" w:gutter="0" w:footer="0" w:header="0"/>
        </w:sectPr>
      </w:pPr>
    </w:p>
    <w:bookmarkStart w:id="162" w:name="page163"/>
    <w:bookmarkEnd w:id="162"/>
    <w:p>
      <w:pPr>
        <w:jc w:val="both"/>
        <w:ind w:left="8"/>
        <w:spacing w:after="0" w:line="356" w:lineRule="auto"/>
        <w:rPr>
          <w:sz w:val="20"/>
          <w:szCs w:val="20"/>
          <w:color w:val="auto"/>
        </w:rPr>
      </w:pPr>
      <w:r>
        <w:rPr>
          <w:rFonts w:ascii="Times New Roman" w:cs="Times New Roman" w:eastAsia="Times New Roman" w:hAnsi="Times New Roman"/>
          <w:sz w:val="24"/>
          <w:szCs w:val="24"/>
          <w:color w:val="auto"/>
        </w:rPr>
        <w:t>services or business platforms with substantial value addition shall be eligible for listing on the innovators growth platform, provided that as on the date of filing of draft information document or draft offer document with the Board, as the case may be, twenty five per cent of the pre-issue capital of the Issuer Company for at least a period of two years, should have been held by:</w:t>
      </w:r>
    </w:p>
    <w:p>
      <w:pPr>
        <w:spacing w:after="0" w:line="7" w:lineRule="exact"/>
        <w:rPr>
          <w:sz w:val="20"/>
          <w:szCs w:val="20"/>
          <w:color w:val="auto"/>
        </w:rPr>
      </w:pPr>
    </w:p>
    <w:p>
      <w:pPr>
        <w:ind w:left="728" w:hanging="507"/>
        <w:spacing w:after="0"/>
        <w:tabs>
          <w:tab w:leader="none" w:pos="728" w:val="left"/>
        </w:tabs>
        <w:numPr>
          <w:ilvl w:val="0"/>
          <w:numId w:val="67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Qualified Institutional Buyers;</w:t>
      </w:r>
    </w:p>
    <w:p>
      <w:pPr>
        <w:spacing w:after="0" w:line="149" w:lineRule="exact"/>
        <w:rPr>
          <w:rFonts w:ascii="Times New Roman" w:cs="Times New Roman" w:eastAsia="Times New Roman" w:hAnsi="Times New Roman"/>
          <w:sz w:val="24"/>
          <w:szCs w:val="24"/>
          <w:color w:val="auto"/>
        </w:rPr>
      </w:pPr>
    </w:p>
    <w:p>
      <w:pPr>
        <w:ind w:left="728" w:hanging="588"/>
        <w:spacing w:after="0" w:line="350" w:lineRule="auto"/>
        <w:tabs>
          <w:tab w:leader="none" w:pos="728" w:val="left"/>
        </w:tabs>
        <w:numPr>
          <w:ilvl w:val="0"/>
          <w:numId w:val="6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Family trust with net-worth of more than five hundred crore rupees, as per the last audited financial statements;</w:t>
      </w:r>
    </w:p>
    <w:p>
      <w:pPr>
        <w:spacing w:after="0" w:line="10" w:lineRule="exact"/>
        <w:rPr>
          <w:rFonts w:ascii="Times New Roman" w:cs="Times New Roman" w:eastAsia="Times New Roman" w:hAnsi="Times New Roman"/>
          <w:sz w:val="24"/>
          <w:szCs w:val="24"/>
          <w:color w:val="auto"/>
        </w:rPr>
      </w:pPr>
    </w:p>
    <w:p>
      <w:pPr>
        <w:ind w:left="728" w:hanging="668"/>
        <w:spacing w:after="0"/>
        <w:tabs>
          <w:tab w:leader="none" w:pos="728" w:val="left"/>
        </w:tabs>
        <w:numPr>
          <w:ilvl w:val="0"/>
          <w:numId w:val="67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Accredited Investors for the purpose of Innovators Growth Platform;</w:t>
      </w:r>
    </w:p>
    <w:p>
      <w:pPr>
        <w:spacing w:after="0" w:line="200" w:lineRule="exact"/>
        <w:rPr>
          <w:sz w:val="20"/>
          <w:szCs w:val="20"/>
          <w:color w:val="auto"/>
        </w:rPr>
      </w:pPr>
    </w:p>
    <w:p>
      <w:pPr>
        <w:spacing w:after="0" w:line="345" w:lineRule="exact"/>
        <w:rPr>
          <w:sz w:val="20"/>
          <w:szCs w:val="20"/>
          <w:color w:val="auto"/>
        </w:rPr>
      </w:pPr>
    </w:p>
    <w:p>
      <w:pPr>
        <w:ind w:left="1048" w:hanging="414"/>
        <w:spacing w:after="0"/>
        <w:tabs>
          <w:tab w:leader="none" w:pos="1048" w:val="left"/>
        </w:tabs>
        <w:numPr>
          <w:ilvl w:val="0"/>
          <w:numId w:val="67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[Foreign Portfolio Investor]</w:t>
      </w:r>
      <w:r>
        <w:rPr>
          <w:rFonts w:ascii="Times New Roman" w:cs="Times New Roman" w:eastAsia="Times New Roman" w:hAnsi="Times New Roman"/>
          <w:sz w:val="32"/>
          <w:szCs w:val="32"/>
          <w:color w:val="auto"/>
          <w:vertAlign w:val="superscript"/>
        </w:rPr>
        <w:t>89</w:t>
      </w:r>
      <w:r>
        <w:rPr>
          <w:rFonts w:ascii="Times New Roman" w:cs="Times New Roman" w:eastAsia="Times New Roman" w:hAnsi="Times New Roman"/>
          <w:sz w:val="24"/>
          <w:szCs w:val="24"/>
          <w:color w:val="auto"/>
        </w:rPr>
        <w:t>;</w:t>
      </w:r>
    </w:p>
    <w:p>
      <w:pPr>
        <w:spacing w:after="0" w:line="54" w:lineRule="exact"/>
        <w:rPr>
          <w:rFonts w:ascii="Times New Roman" w:cs="Times New Roman" w:eastAsia="Times New Roman" w:hAnsi="Times New Roman"/>
          <w:sz w:val="24"/>
          <w:szCs w:val="24"/>
          <w:color w:val="auto"/>
        </w:rPr>
      </w:pPr>
    </w:p>
    <w:p>
      <w:pPr>
        <w:ind w:left="988" w:hanging="354"/>
        <w:spacing w:after="0"/>
        <w:tabs>
          <w:tab w:leader="none" w:pos="988" w:val="left"/>
        </w:tabs>
        <w:numPr>
          <w:ilvl w:val="0"/>
          <w:numId w:val="67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 entity meeting all the following criteria:</w:t>
      </w:r>
    </w:p>
    <w:p>
      <w:pPr>
        <w:spacing w:after="0" w:line="149" w:lineRule="exact"/>
        <w:rPr>
          <w:rFonts w:ascii="Times New Roman" w:cs="Times New Roman" w:eastAsia="Times New Roman" w:hAnsi="Times New Roman"/>
          <w:sz w:val="24"/>
          <w:szCs w:val="24"/>
          <w:color w:val="auto"/>
        </w:rPr>
      </w:pPr>
    </w:p>
    <w:p>
      <w:pPr>
        <w:ind w:left="1428" w:hanging="496"/>
        <w:spacing w:after="0" w:line="350" w:lineRule="auto"/>
        <w:tabs>
          <w:tab w:leader="none" w:pos="1428" w:val="left"/>
        </w:tabs>
        <w:numPr>
          <w:ilvl w:val="1"/>
          <w:numId w:val="67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 is a pooled investment fund with minimum assets under management of one hundred and fifty million USD;</w:t>
      </w:r>
    </w:p>
    <w:p>
      <w:pPr>
        <w:spacing w:after="0" w:line="23" w:lineRule="exact"/>
        <w:rPr>
          <w:rFonts w:ascii="Times New Roman" w:cs="Times New Roman" w:eastAsia="Times New Roman" w:hAnsi="Times New Roman"/>
          <w:sz w:val="24"/>
          <w:szCs w:val="24"/>
          <w:color w:val="auto"/>
        </w:rPr>
      </w:pPr>
    </w:p>
    <w:p>
      <w:pPr>
        <w:ind w:left="1428" w:hanging="564"/>
        <w:spacing w:after="0" w:line="350" w:lineRule="auto"/>
        <w:tabs>
          <w:tab w:leader="none" w:pos="1428" w:val="left"/>
        </w:tabs>
        <w:numPr>
          <w:ilvl w:val="1"/>
          <w:numId w:val="67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 is registered with a financial sector regulator in the jurisdiction of which it is a resident;</w:t>
      </w:r>
    </w:p>
    <w:p>
      <w:pPr>
        <w:spacing w:after="0" w:line="10" w:lineRule="exact"/>
        <w:rPr>
          <w:rFonts w:ascii="Times New Roman" w:cs="Times New Roman" w:eastAsia="Times New Roman" w:hAnsi="Times New Roman"/>
          <w:sz w:val="24"/>
          <w:szCs w:val="24"/>
          <w:color w:val="auto"/>
        </w:rPr>
      </w:pPr>
    </w:p>
    <w:p>
      <w:pPr>
        <w:ind w:left="1428" w:hanging="631"/>
        <w:spacing w:after="0"/>
        <w:tabs>
          <w:tab w:leader="none" w:pos="1428" w:val="left"/>
        </w:tabs>
        <w:numPr>
          <w:ilvl w:val="1"/>
          <w:numId w:val="67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 is resident of a country whose securities market regulator is a signatory to the</w:t>
      </w:r>
    </w:p>
    <w:p>
      <w:pPr>
        <w:spacing w:after="0" w:line="151" w:lineRule="exact"/>
        <w:rPr>
          <w:rFonts w:ascii="Times New Roman" w:cs="Times New Roman" w:eastAsia="Times New Roman" w:hAnsi="Times New Roman"/>
          <w:sz w:val="24"/>
          <w:szCs w:val="24"/>
          <w:color w:val="auto"/>
        </w:rPr>
      </w:pPr>
    </w:p>
    <w:p>
      <w:pPr>
        <w:jc w:val="both"/>
        <w:ind w:left="1428"/>
        <w:spacing w:after="0" w:line="35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International Organization of Securities Commission’s Multilateral Memorandum of Understanding (Appendix A Signatories) or a signatory to Bilateral Memorandum of Understanding with the Board;</w:t>
      </w:r>
    </w:p>
    <w:p>
      <w:pPr>
        <w:spacing w:after="0" w:line="19" w:lineRule="exact"/>
        <w:rPr>
          <w:rFonts w:ascii="Times New Roman" w:cs="Times New Roman" w:eastAsia="Times New Roman" w:hAnsi="Times New Roman"/>
          <w:sz w:val="24"/>
          <w:szCs w:val="24"/>
          <w:color w:val="auto"/>
        </w:rPr>
      </w:pPr>
    </w:p>
    <w:p>
      <w:pPr>
        <w:ind w:left="1428" w:hanging="616"/>
        <w:spacing w:after="0" w:line="350" w:lineRule="auto"/>
        <w:tabs>
          <w:tab w:leader="none" w:pos="1428" w:val="left"/>
        </w:tabs>
        <w:numPr>
          <w:ilvl w:val="1"/>
          <w:numId w:val="67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 is not resident in a country identified in the public statement of Financial Action Task Force as:</w:t>
      </w:r>
    </w:p>
    <w:p>
      <w:pPr>
        <w:spacing w:after="0" w:line="23" w:lineRule="exact"/>
        <w:rPr>
          <w:rFonts w:ascii="Times New Roman" w:cs="Times New Roman" w:eastAsia="Times New Roman" w:hAnsi="Times New Roman"/>
          <w:sz w:val="24"/>
          <w:szCs w:val="24"/>
          <w:color w:val="auto"/>
        </w:rPr>
      </w:pPr>
    </w:p>
    <w:p>
      <w:pPr>
        <w:ind w:left="1848" w:hanging="364"/>
        <w:spacing w:after="0" w:line="350" w:lineRule="auto"/>
        <w:tabs>
          <w:tab w:leader="none" w:pos="1848" w:val="left"/>
        </w:tabs>
        <w:numPr>
          <w:ilvl w:val="2"/>
          <w:numId w:val="67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jurisdiction having a strategic Anti-Money Laundering or Combating the Financing of Terrorism deficiencies to which counter measures apply; or</w:t>
      </w:r>
    </w:p>
    <w:p>
      <w:pPr>
        <w:spacing w:after="0" w:line="11" w:lineRule="exact"/>
        <w:rPr>
          <w:rFonts w:ascii="Times New Roman" w:cs="Times New Roman" w:eastAsia="Times New Roman" w:hAnsi="Times New Roman"/>
          <w:sz w:val="24"/>
          <w:szCs w:val="24"/>
          <w:color w:val="auto"/>
        </w:rPr>
      </w:pPr>
    </w:p>
    <w:p>
      <w:pPr>
        <w:ind w:left="1848" w:hanging="364"/>
        <w:spacing w:after="0"/>
        <w:tabs>
          <w:tab w:leader="none" w:pos="1848" w:val="left"/>
        </w:tabs>
        <w:numPr>
          <w:ilvl w:val="2"/>
          <w:numId w:val="67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jurisdiction  that  has  not  made  sufficient  progress  in  addressing  the</w:t>
      </w:r>
    </w:p>
    <w:p>
      <w:pPr>
        <w:spacing w:after="0" w:line="151" w:lineRule="exact"/>
        <w:rPr>
          <w:sz w:val="20"/>
          <w:szCs w:val="20"/>
          <w:color w:val="auto"/>
        </w:rPr>
      </w:pPr>
    </w:p>
    <w:p>
      <w:pPr>
        <w:ind w:left="1848"/>
        <w:spacing w:after="0" w:line="348" w:lineRule="auto"/>
        <w:rPr>
          <w:sz w:val="20"/>
          <w:szCs w:val="20"/>
          <w:color w:val="auto"/>
        </w:rPr>
      </w:pPr>
      <w:r>
        <w:rPr>
          <w:rFonts w:ascii="Times New Roman" w:cs="Times New Roman" w:eastAsia="Times New Roman" w:hAnsi="Times New Roman"/>
          <w:sz w:val="24"/>
          <w:szCs w:val="24"/>
          <w:color w:val="auto"/>
        </w:rPr>
        <w:t>deficiencies or has not committed to an action plan developed with the Financial Action Task Force to address the deficiencies.</w:t>
      </w:r>
    </w:p>
    <w:p>
      <w:pPr>
        <w:spacing w:after="0" w:line="15" w:lineRule="exact"/>
        <w:rPr>
          <w:sz w:val="20"/>
          <w:szCs w:val="20"/>
          <w:color w:val="auto"/>
        </w:rPr>
      </w:pPr>
    </w:p>
    <w:p>
      <w:pPr>
        <w:ind w:left="68"/>
        <w:spacing w:after="0"/>
        <w:rPr>
          <w:sz w:val="20"/>
          <w:szCs w:val="20"/>
          <w:color w:val="auto"/>
        </w:rPr>
      </w:pPr>
      <w:r>
        <w:rPr>
          <w:rFonts w:ascii="Times New Roman" w:cs="Times New Roman" w:eastAsia="Times New Roman" w:hAnsi="Times New Roman"/>
          <w:sz w:val="24"/>
          <w:szCs w:val="24"/>
          <w:i w:val="1"/>
          <w:iCs w:val="1"/>
          <w:color w:val="auto"/>
        </w:rPr>
        <w:t>Explanation</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398" w:lineRule="exact"/>
        <w:rPr>
          <w:sz w:val="20"/>
          <w:szCs w:val="20"/>
          <w:color w:val="auto"/>
        </w:rPr>
      </w:pPr>
    </w:p>
    <w:p>
      <w:pPr>
        <w:jc w:val="both"/>
        <w:ind w:left="448" w:hanging="356"/>
        <w:spacing w:after="0" w:line="229" w:lineRule="auto"/>
        <w:tabs>
          <w:tab w:leader="none" w:pos="448" w:val="left"/>
        </w:tabs>
        <w:numPr>
          <w:ilvl w:val="0"/>
          <w:numId w:val="674"/>
        </w:numPr>
        <w:rPr>
          <w:rFonts w:ascii="Calibri" w:cs="Calibri" w:eastAsia="Calibri" w:hAnsi="Calibri"/>
          <w:sz w:val="22"/>
          <w:szCs w:val="22"/>
          <w:color w:val="auto"/>
        </w:rPr>
      </w:pPr>
      <w:r>
        <w:rPr>
          <w:rFonts w:ascii="Times New Roman" w:cs="Times New Roman" w:eastAsia="Times New Roman" w:hAnsi="Times New Roman"/>
          <w:sz w:val="20"/>
          <w:szCs w:val="20"/>
          <w:color w:val="auto"/>
        </w:rPr>
        <w:t>an issuer which is intensive in the use of technology, information technology, intellectual property, data analytics, bio-technology or nano-technology to provide products, services or business platforms with substantial value addition and at least twenty five per cent of its pre-issue capital is held by qualified institutional buyer(s) as on the date of filing of draft information document or draft offer document with the Board, as the case may be; or</w:t>
      </w:r>
    </w:p>
    <w:p>
      <w:pPr>
        <w:spacing w:after="0" w:line="40" w:lineRule="exact"/>
        <w:rPr>
          <w:rFonts w:ascii="Calibri" w:cs="Calibri" w:eastAsia="Calibri" w:hAnsi="Calibri"/>
          <w:sz w:val="22"/>
          <w:szCs w:val="22"/>
          <w:color w:val="auto"/>
        </w:rPr>
      </w:pPr>
    </w:p>
    <w:p>
      <w:pPr>
        <w:ind w:left="448" w:hanging="356"/>
        <w:spacing w:after="0" w:line="215" w:lineRule="auto"/>
        <w:tabs>
          <w:tab w:leader="none" w:pos="448" w:val="left"/>
        </w:tabs>
        <w:numPr>
          <w:ilvl w:val="0"/>
          <w:numId w:val="674"/>
        </w:numPr>
        <w:rPr>
          <w:rFonts w:ascii="Calibri" w:cs="Calibri" w:eastAsia="Calibri" w:hAnsi="Calibri"/>
          <w:sz w:val="22"/>
          <w:szCs w:val="22"/>
          <w:color w:val="auto"/>
        </w:rPr>
      </w:pPr>
      <w:r>
        <w:rPr>
          <w:rFonts w:ascii="Times New Roman" w:cs="Times New Roman" w:eastAsia="Times New Roman" w:hAnsi="Times New Roman"/>
          <w:sz w:val="20"/>
          <w:szCs w:val="20"/>
          <w:color w:val="auto"/>
        </w:rPr>
        <w:t>any other issuer in which at least fifty per cent of the pre-issue capital is held by qualified institutional buyers as on the date of filing of draft information document or draft offer document with the Board, as the case may be.</w:t>
      </w:r>
    </w:p>
    <w:p>
      <w:pPr>
        <w:spacing w:after="0" w:line="50" w:lineRule="exact"/>
        <w:rPr>
          <w:sz w:val="20"/>
          <w:szCs w:val="20"/>
          <w:color w:val="auto"/>
        </w:rPr>
      </w:pPr>
    </w:p>
    <w:p>
      <w:pPr>
        <w:ind w:left="8" w:hanging="8"/>
        <w:spacing w:after="0" w:line="212" w:lineRule="auto"/>
        <w:tabs>
          <w:tab w:leader="none" w:pos="440" w:val="left"/>
        </w:tabs>
        <w:numPr>
          <w:ilvl w:val="0"/>
          <w:numId w:val="675"/>
        </w:numPr>
        <w:rPr>
          <w:rFonts w:ascii="Times New Roman" w:cs="Times New Roman" w:eastAsia="Times New Roman" w:hAnsi="Times New Roman"/>
          <w:sz w:val="24"/>
          <w:szCs w:val="24"/>
          <w:color w:val="auto"/>
        </w:rPr>
      </w:pPr>
      <w:r>
        <w:rPr>
          <w:rFonts w:ascii="Times New Roman" w:cs="Times New Roman" w:eastAsia="Times New Roman" w:hAnsi="Times New Roman"/>
          <w:sz w:val="20"/>
          <w:szCs w:val="20"/>
          <w:color w:val="auto"/>
        </w:rPr>
        <w:t>No person, individually or collectively with persons acting in concert, shall hold twenty five per cent or more of the post-issue share capital in an entity specified in sub-regulation (1).”</w:t>
      </w:r>
    </w:p>
    <w:p>
      <w:pPr>
        <w:ind w:left="8"/>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0"/>
          <w:szCs w:val="20"/>
          <w:color w:val="auto"/>
        </w:rPr>
        <w:t>.</w:t>
      </w:r>
    </w:p>
    <w:p>
      <w:pPr>
        <w:spacing w:after="0" w:line="4" w:lineRule="exact"/>
        <w:rPr>
          <w:rFonts w:ascii="Times New Roman" w:cs="Times New Roman" w:eastAsia="Times New Roman" w:hAnsi="Times New Roman"/>
          <w:sz w:val="24"/>
          <w:szCs w:val="24"/>
          <w:color w:val="auto"/>
        </w:rPr>
      </w:pPr>
    </w:p>
    <w:p>
      <w:pPr>
        <w:ind w:left="8"/>
        <w:spacing w:after="0" w:line="211" w:lineRule="auto"/>
        <w:rPr>
          <w:rFonts w:ascii="Times New Roman" w:cs="Times New Roman" w:eastAsia="Times New Roman" w:hAnsi="Times New Roman"/>
          <w:sz w:val="24"/>
          <w:szCs w:val="24"/>
          <w:color w:val="auto"/>
        </w:rPr>
      </w:pPr>
      <w:r>
        <w:rPr>
          <w:rFonts w:ascii="Times New Roman" w:cs="Times New Roman" w:eastAsia="Times New Roman" w:hAnsi="Times New Roman"/>
          <w:sz w:val="25"/>
          <w:szCs w:val="25"/>
          <w:color w:val="auto"/>
          <w:vertAlign w:val="superscript"/>
        </w:rPr>
        <w:t>89</w:t>
      </w:r>
      <w:r>
        <w:rPr>
          <w:rFonts w:ascii="Times New Roman" w:cs="Times New Roman" w:eastAsia="Times New Roman" w:hAnsi="Times New Roman"/>
          <w:sz w:val="20"/>
          <w:szCs w:val="20"/>
          <w:color w:val="auto"/>
        </w:rPr>
        <w:t xml:space="preserve"> Substituted by the SEBI (Issue of Capital and Disclosure Requirements) (Fourth Amendment) Regulations, 2019 w.e.f.23.09.2019. Prior to its substitution it read as, “Category III Foreign Portfolio Investor”.</w:t>
      </w:r>
    </w:p>
    <w:p>
      <w:pPr>
        <w:spacing w:after="0" w:line="300"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163</w:t>
      </w:r>
    </w:p>
    <w:p>
      <w:pPr>
        <w:sectPr>
          <w:pgSz w:w="11900" w:h="16836" w:orient="portrait"/>
          <w:cols w:equalWidth="0" w:num="1">
            <w:col w:w="9468"/>
          </w:cols>
          <w:pgMar w:left="1152" w:top="1156" w:right="1284" w:bottom="103" w:gutter="0" w:footer="0" w:header="0"/>
        </w:sectPr>
      </w:pPr>
    </w:p>
    <w:bookmarkStart w:id="163" w:name="page164"/>
    <w:bookmarkEnd w:id="163"/>
    <w:p>
      <w:pPr>
        <w:ind w:left="700" w:right="500" w:hanging="360"/>
        <w:spacing w:after="0" w:line="348" w:lineRule="auto"/>
        <w:tabs>
          <w:tab w:leader="none" w:pos="700" w:val="left"/>
        </w:tabs>
        <w:numPr>
          <w:ilvl w:val="0"/>
          <w:numId w:val="67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following entities shall be eligible to be considered as accredited investors for the purpose of innovators growth platform:</w:t>
      </w:r>
    </w:p>
    <w:p>
      <w:pPr>
        <w:spacing w:after="0" w:line="28" w:lineRule="exact"/>
        <w:rPr>
          <w:rFonts w:ascii="Times New Roman" w:cs="Times New Roman" w:eastAsia="Times New Roman" w:hAnsi="Times New Roman"/>
          <w:sz w:val="24"/>
          <w:szCs w:val="24"/>
          <w:color w:val="auto"/>
        </w:rPr>
      </w:pPr>
    </w:p>
    <w:p>
      <w:pPr>
        <w:ind w:left="1120" w:right="520" w:hanging="420"/>
        <w:spacing w:after="0" w:line="348" w:lineRule="auto"/>
        <w:tabs>
          <w:tab w:leader="none" w:pos="1120" w:val="left"/>
        </w:tabs>
        <w:numPr>
          <w:ilvl w:val="1"/>
          <w:numId w:val="67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individual with total gross income of fifty lakhs rupees annually and who has minimum liquid net worth of five crore rupees; or</w:t>
      </w:r>
    </w:p>
    <w:p>
      <w:pPr>
        <w:spacing w:after="0" w:line="15" w:lineRule="exact"/>
        <w:rPr>
          <w:rFonts w:ascii="Times New Roman" w:cs="Times New Roman" w:eastAsia="Times New Roman" w:hAnsi="Times New Roman"/>
          <w:sz w:val="24"/>
          <w:szCs w:val="24"/>
          <w:color w:val="auto"/>
        </w:rPr>
      </w:pPr>
    </w:p>
    <w:p>
      <w:pPr>
        <w:ind w:left="1120" w:hanging="420"/>
        <w:spacing w:after="0"/>
        <w:tabs>
          <w:tab w:leader="none" w:pos="1120" w:val="left"/>
        </w:tabs>
        <w:numPr>
          <w:ilvl w:val="1"/>
          <w:numId w:val="67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body corporate with net worth of twenty five crore rupees.</w:t>
      </w:r>
    </w:p>
    <w:p>
      <w:pPr>
        <w:spacing w:after="0" w:line="200" w:lineRule="exact"/>
        <w:rPr>
          <w:rFonts w:ascii="Times New Roman" w:cs="Times New Roman" w:eastAsia="Times New Roman" w:hAnsi="Times New Roman"/>
          <w:sz w:val="24"/>
          <w:szCs w:val="24"/>
          <w:color w:val="auto"/>
        </w:rPr>
      </w:pPr>
    </w:p>
    <w:p>
      <w:pPr>
        <w:spacing w:after="0" w:line="352" w:lineRule="exact"/>
        <w:rPr>
          <w:rFonts w:ascii="Times New Roman" w:cs="Times New Roman" w:eastAsia="Times New Roman" w:hAnsi="Times New Roman"/>
          <w:sz w:val="24"/>
          <w:szCs w:val="24"/>
          <w:color w:val="auto"/>
        </w:rPr>
      </w:pPr>
    </w:p>
    <w:p>
      <w:pPr>
        <w:ind w:left="700" w:hanging="360"/>
        <w:spacing w:after="0"/>
        <w:tabs>
          <w:tab w:leader="none" w:pos="700" w:val="left"/>
        </w:tabs>
        <w:numPr>
          <w:ilvl w:val="0"/>
          <w:numId w:val="67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Not more than ten per cent of the pre-issue capital may be held by Accredited Investors.</w:t>
      </w:r>
    </w:p>
    <w:p>
      <w:pPr>
        <w:spacing w:after="0" w:line="149" w:lineRule="exact"/>
        <w:rPr>
          <w:rFonts w:ascii="Times New Roman" w:cs="Times New Roman" w:eastAsia="Times New Roman" w:hAnsi="Times New Roman"/>
          <w:sz w:val="24"/>
          <w:szCs w:val="24"/>
          <w:color w:val="auto"/>
        </w:rPr>
      </w:pPr>
    </w:p>
    <w:p>
      <w:pPr>
        <w:ind w:left="700" w:right="80" w:hanging="360"/>
        <w:spacing w:after="0" w:line="375" w:lineRule="auto"/>
        <w:tabs>
          <w:tab w:leader="none" w:pos="700" w:val="left"/>
        </w:tabs>
        <w:numPr>
          <w:ilvl w:val="0"/>
          <w:numId w:val="676"/>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For the purpose of accreditation: The persons /corporate bodies who wish to get accreditation for the purpose of innovators growth platform, shall approach the stock exchanges or depositories and follow the procedures prescribed by the Board and / or such</w:t>
      </w:r>
    </w:p>
    <w:p>
      <w:pPr>
        <w:spacing w:after="0" w:line="4" w:lineRule="exact"/>
        <w:rPr>
          <w:sz w:val="20"/>
          <w:szCs w:val="20"/>
          <w:color w:val="auto"/>
        </w:rPr>
      </w:pPr>
    </w:p>
    <w:p>
      <w:pPr>
        <w:ind w:left="700" w:right="320"/>
        <w:spacing w:after="0" w:line="348" w:lineRule="auto"/>
        <w:rPr>
          <w:sz w:val="20"/>
          <w:szCs w:val="20"/>
          <w:color w:val="auto"/>
        </w:rPr>
      </w:pPr>
      <w:r>
        <w:rPr>
          <w:rFonts w:ascii="Times New Roman" w:cs="Times New Roman" w:eastAsia="Times New Roman" w:hAnsi="Times New Roman"/>
          <w:sz w:val="24"/>
          <w:szCs w:val="24"/>
          <w:color w:val="auto"/>
        </w:rPr>
        <w:t>stock exchange or depository for the purpose of accreditation as an Accredited Investor, from time to time.]</w:t>
      </w:r>
    </w:p>
    <w:p>
      <w:pPr>
        <w:spacing w:after="0" w:line="8" w:lineRule="exact"/>
        <w:rPr>
          <w:sz w:val="20"/>
          <w:szCs w:val="20"/>
          <w:color w:val="auto"/>
        </w:rPr>
      </w:pPr>
    </w:p>
    <w:p>
      <w:pPr>
        <w:spacing w:after="0" w:line="285" w:lineRule="auto"/>
        <w:rPr>
          <w:sz w:val="20"/>
          <w:szCs w:val="20"/>
          <w:color w:val="auto"/>
        </w:rPr>
      </w:pPr>
      <w:r>
        <w:rPr>
          <w:rFonts w:ascii="Times New Roman" w:cs="Times New Roman" w:eastAsia="Times New Roman" w:hAnsi="Times New Roman"/>
          <w:sz w:val="32"/>
          <w:szCs w:val="32"/>
          <w:color w:val="auto"/>
          <w:vertAlign w:val="superscript"/>
        </w:rPr>
        <w:t>90</w:t>
      </w:r>
      <w:r>
        <w:rPr>
          <w:rFonts w:ascii="Times New Roman" w:cs="Times New Roman" w:eastAsia="Times New Roman" w:hAnsi="Times New Roman"/>
          <w:sz w:val="24"/>
          <w:szCs w:val="24"/>
          <w:color w:val="auto"/>
        </w:rPr>
        <w:t>[(2)] An issuer shall be eligible for listing on the institutional trading platform if none of the promoters or directors of the issuer company is a fugitive economic offender.</w:t>
      </w:r>
    </w:p>
    <w:p>
      <w:pPr>
        <w:spacing w:after="0" w:line="200" w:lineRule="exact"/>
        <w:rPr>
          <w:sz w:val="20"/>
          <w:szCs w:val="20"/>
          <w:color w:val="auto"/>
        </w:rPr>
      </w:pPr>
    </w:p>
    <w:p>
      <w:pPr>
        <w:spacing w:after="0" w:line="289" w:lineRule="exact"/>
        <w:rPr>
          <w:sz w:val="20"/>
          <w:szCs w:val="20"/>
          <w:color w:val="auto"/>
        </w:rPr>
      </w:pPr>
    </w:p>
    <w:p>
      <w:pPr>
        <w:ind w:left="80"/>
        <w:spacing w:after="0"/>
        <w:rPr>
          <w:sz w:val="20"/>
          <w:szCs w:val="20"/>
          <w:color w:val="auto"/>
        </w:rPr>
      </w:pPr>
      <w:r>
        <w:rPr>
          <w:rFonts w:ascii="Times New Roman" w:cs="Times New Roman" w:eastAsia="Times New Roman" w:hAnsi="Times New Roman"/>
          <w:sz w:val="24"/>
          <w:szCs w:val="24"/>
          <w:b w:val="1"/>
          <w:bCs w:val="1"/>
          <w:color w:val="auto"/>
        </w:rPr>
        <w:t>PART II: LISTING WITHOUT A PUBLIC ISSUE</w:t>
      </w:r>
    </w:p>
    <w:p>
      <w:pPr>
        <w:spacing w:after="0" w:line="200" w:lineRule="exact"/>
        <w:rPr>
          <w:sz w:val="20"/>
          <w:szCs w:val="20"/>
          <w:color w:val="auto"/>
        </w:rPr>
      </w:pPr>
    </w:p>
    <w:p>
      <w:pPr>
        <w:spacing w:after="0" w:line="352" w:lineRule="exact"/>
        <w:rPr>
          <w:sz w:val="20"/>
          <w:szCs w:val="20"/>
          <w:color w:val="auto"/>
        </w:rPr>
      </w:pPr>
    </w:p>
    <w:p>
      <w:pPr>
        <w:ind w:left="80"/>
        <w:spacing w:after="0"/>
        <w:rPr>
          <w:sz w:val="20"/>
          <w:szCs w:val="20"/>
          <w:color w:val="auto"/>
        </w:rPr>
      </w:pPr>
      <w:r>
        <w:rPr>
          <w:rFonts w:ascii="Times New Roman" w:cs="Times New Roman" w:eastAsia="Times New Roman" w:hAnsi="Times New Roman"/>
          <w:sz w:val="24"/>
          <w:szCs w:val="24"/>
          <w:b w:val="1"/>
          <w:bCs w:val="1"/>
          <w:color w:val="auto"/>
        </w:rPr>
        <w:t>Listing without a public issue</w:t>
      </w:r>
    </w:p>
    <w:p>
      <w:pPr>
        <w:spacing w:after="0" w:line="147" w:lineRule="exact"/>
        <w:rPr>
          <w:sz w:val="20"/>
          <w:szCs w:val="20"/>
          <w:color w:val="auto"/>
        </w:rPr>
      </w:pPr>
    </w:p>
    <w:p>
      <w:pPr>
        <w:jc w:val="both"/>
        <w:ind w:left="80" w:firstLine="4"/>
        <w:spacing w:after="0" w:line="356" w:lineRule="auto"/>
        <w:tabs>
          <w:tab w:leader="none" w:pos="577" w:val="left"/>
        </w:tabs>
        <w:numPr>
          <w:ilvl w:val="0"/>
          <w:numId w:val="67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(1) An issuer seeking listing of its specified securities without making a public offer, shall file a draft information document along with the necessary documents with the Board in accordance with these regulations along with the fee as specified in </w:t>
      </w:r>
      <w:r>
        <w:rPr>
          <w:rFonts w:ascii="Times New Roman" w:cs="Times New Roman" w:eastAsia="Times New Roman" w:hAnsi="Times New Roman"/>
          <w:sz w:val="24"/>
          <w:szCs w:val="24"/>
          <w:b w:val="1"/>
          <w:bCs w:val="1"/>
          <w:color w:val="auto"/>
        </w:rPr>
        <w:t>Schedule III</w:t>
      </w:r>
      <w:r>
        <w:rPr>
          <w:rFonts w:ascii="Times New Roman" w:cs="Times New Roman" w:eastAsia="Times New Roman" w:hAnsi="Times New Roman"/>
          <w:sz w:val="24"/>
          <w:szCs w:val="24"/>
          <w:color w:val="auto"/>
        </w:rPr>
        <w:t xml:space="preserve"> of these regulations.</w:t>
      </w:r>
    </w:p>
    <w:p>
      <w:pPr>
        <w:spacing w:after="0" w:line="18" w:lineRule="exact"/>
        <w:rPr>
          <w:rFonts w:ascii="Times New Roman" w:cs="Times New Roman" w:eastAsia="Times New Roman" w:hAnsi="Times New Roman"/>
          <w:sz w:val="24"/>
          <w:szCs w:val="24"/>
          <w:b w:val="1"/>
          <w:bCs w:val="1"/>
          <w:color w:val="auto"/>
        </w:rPr>
      </w:pPr>
    </w:p>
    <w:p>
      <w:pPr>
        <w:ind w:left="80"/>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(2) The draft information document shall contain disclosures as specified for the draft offer documents in these regulations as specified in </w:t>
      </w:r>
      <w:r>
        <w:rPr>
          <w:rFonts w:ascii="Times New Roman" w:cs="Times New Roman" w:eastAsia="Times New Roman" w:hAnsi="Times New Roman"/>
          <w:sz w:val="24"/>
          <w:szCs w:val="24"/>
          <w:b w:val="1"/>
          <w:bCs w:val="1"/>
          <w:color w:val="auto"/>
        </w:rPr>
        <w:t>Part A</w:t>
      </w:r>
      <w:r>
        <w:rPr>
          <w:rFonts w:ascii="Times New Roman" w:cs="Times New Roman" w:eastAsia="Times New Roman" w:hAnsi="Times New Roman"/>
          <w:sz w:val="24"/>
          <w:szCs w:val="24"/>
          <w:color w:val="auto"/>
        </w:rPr>
        <w:t xml:space="preserve"> of </w:t>
      </w:r>
      <w:r>
        <w:rPr>
          <w:rFonts w:ascii="Times New Roman" w:cs="Times New Roman" w:eastAsia="Times New Roman" w:hAnsi="Times New Roman"/>
          <w:sz w:val="24"/>
          <w:szCs w:val="24"/>
          <w:b w:val="1"/>
          <w:bCs w:val="1"/>
          <w:color w:val="auto"/>
        </w:rPr>
        <w:t>Schedule VI</w:t>
      </w:r>
      <w:r>
        <w:rPr>
          <w:rFonts w:ascii="Times New Roman" w:cs="Times New Roman" w:eastAsia="Times New Roman" w:hAnsi="Times New Roman"/>
          <w:sz w:val="24"/>
          <w:szCs w:val="24"/>
          <w:color w:val="auto"/>
        </w:rPr>
        <w:t>.</w:t>
      </w:r>
    </w:p>
    <w:p>
      <w:pPr>
        <w:spacing w:after="0" w:line="28" w:lineRule="exact"/>
        <w:rPr>
          <w:rFonts w:ascii="Times New Roman" w:cs="Times New Roman" w:eastAsia="Times New Roman" w:hAnsi="Times New Roman"/>
          <w:sz w:val="24"/>
          <w:szCs w:val="24"/>
          <w:b w:val="1"/>
          <w:bCs w:val="1"/>
          <w:color w:val="auto"/>
        </w:rPr>
      </w:pPr>
    </w:p>
    <w:p>
      <w:pPr>
        <w:ind w:left="80"/>
        <w:spacing w:after="0" w:line="34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(3) The regulations relating to the following as stated under the Chapter of Initial Public Offer on Main Board shall not be applicable:</w:t>
      </w:r>
    </w:p>
    <w:p>
      <w:pPr>
        <w:spacing w:after="0" w:line="8" w:lineRule="exact"/>
        <w:rPr>
          <w:sz w:val="20"/>
          <w:szCs w:val="20"/>
          <w:color w:val="auto"/>
        </w:rPr>
      </w:pPr>
    </w:p>
    <w:p>
      <w:pPr>
        <w:ind w:left="440" w:hanging="356"/>
        <w:spacing w:after="0"/>
        <w:tabs>
          <w:tab w:leader="none" w:pos="440" w:val="left"/>
        </w:tabs>
        <w:numPr>
          <w:ilvl w:val="0"/>
          <w:numId w:val="678"/>
        </w:numPr>
        <w:rPr>
          <w:rFonts w:ascii="Calibri" w:cs="Calibri" w:eastAsia="Calibri" w:hAnsi="Calibri"/>
          <w:sz w:val="22"/>
          <w:szCs w:val="22"/>
          <w:color w:val="auto"/>
        </w:rPr>
      </w:pPr>
      <w:r>
        <w:rPr>
          <w:rFonts w:ascii="Times New Roman" w:cs="Times New Roman" w:eastAsia="Times New Roman" w:hAnsi="Times New Roman"/>
          <w:sz w:val="24"/>
          <w:szCs w:val="24"/>
          <w:color w:val="auto"/>
        </w:rPr>
        <w:t>allotment;</w:t>
      </w:r>
    </w:p>
    <w:p>
      <w:pPr>
        <w:spacing w:after="0" w:line="129" w:lineRule="exact"/>
        <w:rPr>
          <w:rFonts w:ascii="Calibri" w:cs="Calibri" w:eastAsia="Calibri" w:hAnsi="Calibri"/>
          <w:sz w:val="22"/>
          <w:szCs w:val="22"/>
          <w:color w:val="auto"/>
        </w:rPr>
      </w:pPr>
    </w:p>
    <w:p>
      <w:pPr>
        <w:ind w:left="440" w:hanging="356"/>
        <w:spacing w:after="0"/>
        <w:tabs>
          <w:tab w:leader="none" w:pos="440" w:val="left"/>
        </w:tabs>
        <w:numPr>
          <w:ilvl w:val="0"/>
          <w:numId w:val="678"/>
        </w:numPr>
        <w:rPr>
          <w:rFonts w:ascii="Calibri" w:cs="Calibri" w:eastAsia="Calibri" w:hAnsi="Calibri"/>
          <w:sz w:val="22"/>
          <w:szCs w:val="22"/>
          <w:color w:val="auto"/>
        </w:rPr>
      </w:pPr>
      <w:r>
        <w:rPr>
          <w:rFonts w:ascii="Times New Roman" w:cs="Times New Roman" w:eastAsia="Times New Roman" w:hAnsi="Times New Roman"/>
          <w:sz w:val="24"/>
          <w:szCs w:val="24"/>
          <w:color w:val="auto"/>
        </w:rPr>
        <w:t>issue opening or closing;</w:t>
      </w:r>
    </w:p>
    <w:p>
      <w:pPr>
        <w:spacing w:after="0" w:line="132" w:lineRule="exact"/>
        <w:rPr>
          <w:rFonts w:ascii="Calibri" w:cs="Calibri" w:eastAsia="Calibri" w:hAnsi="Calibri"/>
          <w:sz w:val="22"/>
          <w:szCs w:val="22"/>
          <w:color w:val="auto"/>
        </w:rPr>
      </w:pPr>
    </w:p>
    <w:p>
      <w:pPr>
        <w:ind w:left="440" w:hanging="356"/>
        <w:spacing w:after="0"/>
        <w:tabs>
          <w:tab w:leader="none" w:pos="440" w:val="left"/>
        </w:tabs>
        <w:numPr>
          <w:ilvl w:val="0"/>
          <w:numId w:val="678"/>
        </w:numPr>
        <w:rPr>
          <w:rFonts w:ascii="Calibri" w:cs="Calibri" w:eastAsia="Calibri" w:hAnsi="Calibri"/>
          <w:sz w:val="22"/>
          <w:szCs w:val="22"/>
          <w:color w:val="auto"/>
        </w:rPr>
      </w:pPr>
      <w:r>
        <w:rPr>
          <w:rFonts w:ascii="Times New Roman" w:cs="Times New Roman" w:eastAsia="Times New Roman" w:hAnsi="Times New Roman"/>
          <w:sz w:val="24"/>
          <w:szCs w:val="24"/>
          <w:color w:val="auto"/>
        </w:rPr>
        <w:t>advertisements;</w:t>
      </w:r>
    </w:p>
    <w:p>
      <w:pPr>
        <w:spacing w:after="0" w:line="129" w:lineRule="exact"/>
        <w:rPr>
          <w:rFonts w:ascii="Calibri" w:cs="Calibri" w:eastAsia="Calibri" w:hAnsi="Calibri"/>
          <w:sz w:val="22"/>
          <w:szCs w:val="22"/>
          <w:color w:val="auto"/>
        </w:rPr>
      </w:pPr>
    </w:p>
    <w:p>
      <w:pPr>
        <w:ind w:left="440" w:hanging="356"/>
        <w:spacing w:after="0"/>
        <w:tabs>
          <w:tab w:leader="none" w:pos="440" w:val="left"/>
        </w:tabs>
        <w:numPr>
          <w:ilvl w:val="0"/>
          <w:numId w:val="678"/>
        </w:numPr>
        <w:rPr>
          <w:rFonts w:ascii="Calibri" w:cs="Calibri" w:eastAsia="Calibri" w:hAnsi="Calibri"/>
          <w:sz w:val="22"/>
          <w:szCs w:val="22"/>
          <w:color w:val="auto"/>
        </w:rPr>
      </w:pPr>
      <w:r>
        <w:rPr>
          <w:rFonts w:ascii="Times New Roman" w:cs="Times New Roman" w:eastAsia="Times New Roman" w:hAnsi="Times New Roman"/>
          <w:sz w:val="24"/>
          <w:szCs w:val="24"/>
          <w:color w:val="auto"/>
        </w:rPr>
        <w:t>underwriting;</w:t>
      </w:r>
    </w:p>
    <w:p>
      <w:pPr>
        <w:spacing w:after="0" w:line="132" w:lineRule="exact"/>
        <w:rPr>
          <w:rFonts w:ascii="Calibri" w:cs="Calibri" w:eastAsia="Calibri" w:hAnsi="Calibri"/>
          <w:sz w:val="22"/>
          <w:szCs w:val="22"/>
          <w:color w:val="auto"/>
        </w:rPr>
      </w:pPr>
    </w:p>
    <w:p>
      <w:pPr>
        <w:ind w:left="440" w:hanging="356"/>
        <w:spacing w:after="0"/>
        <w:tabs>
          <w:tab w:leader="none" w:pos="440" w:val="left"/>
        </w:tabs>
        <w:numPr>
          <w:ilvl w:val="0"/>
          <w:numId w:val="678"/>
        </w:numPr>
        <w:rPr>
          <w:rFonts w:ascii="Calibri" w:cs="Calibri" w:eastAsia="Calibri" w:hAnsi="Calibri"/>
          <w:sz w:val="22"/>
          <w:szCs w:val="22"/>
          <w:color w:val="auto"/>
        </w:rPr>
      </w:pPr>
      <w:r>
        <w:rPr>
          <w:rFonts w:ascii="Times New Roman" w:cs="Times New Roman" w:eastAsia="Times New Roman" w:hAnsi="Times New Roman"/>
          <w:sz w:val="24"/>
          <w:szCs w:val="24"/>
          <w:color w:val="auto"/>
        </w:rPr>
        <w:t>sub-regulation (2) of regulation 5;</w:t>
      </w:r>
    </w:p>
    <w:p>
      <w:pPr>
        <w:spacing w:after="0" w:line="130" w:lineRule="exact"/>
        <w:rPr>
          <w:rFonts w:ascii="Calibri" w:cs="Calibri" w:eastAsia="Calibri" w:hAnsi="Calibri"/>
          <w:sz w:val="22"/>
          <w:szCs w:val="22"/>
          <w:color w:val="auto"/>
        </w:rPr>
      </w:pPr>
    </w:p>
    <w:p>
      <w:pPr>
        <w:ind w:left="440" w:hanging="356"/>
        <w:spacing w:after="0"/>
        <w:tabs>
          <w:tab w:leader="none" w:pos="440" w:val="left"/>
        </w:tabs>
        <w:numPr>
          <w:ilvl w:val="0"/>
          <w:numId w:val="678"/>
        </w:numPr>
        <w:rPr>
          <w:rFonts w:ascii="Calibri" w:cs="Calibri" w:eastAsia="Calibri" w:hAnsi="Calibri"/>
          <w:sz w:val="22"/>
          <w:szCs w:val="22"/>
          <w:color w:val="auto"/>
        </w:rPr>
      </w:pPr>
      <w:r>
        <w:rPr>
          <w:rFonts w:ascii="Times New Roman" w:cs="Times New Roman" w:eastAsia="Times New Roman" w:hAnsi="Times New Roman"/>
          <w:sz w:val="24"/>
          <w:szCs w:val="24"/>
          <w:color w:val="auto"/>
        </w:rPr>
        <w:t>pricing;</w:t>
      </w:r>
    </w:p>
    <w:p>
      <w:pPr>
        <w:spacing w:after="0" w:line="132" w:lineRule="exact"/>
        <w:rPr>
          <w:rFonts w:ascii="Calibri" w:cs="Calibri" w:eastAsia="Calibri" w:hAnsi="Calibri"/>
          <w:sz w:val="22"/>
          <w:szCs w:val="22"/>
          <w:color w:val="auto"/>
        </w:rPr>
      </w:pPr>
    </w:p>
    <w:p>
      <w:pPr>
        <w:ind w:left="440" w:hanging="356"/>
        <w:spacing w:after="0"/>
        <w:tabs>
          <w:tab w:leader="none" w:pos="440" w:val="left"/>
        </w:tabs>
        <w:numPr>
          <w:ilvl w:val="0"/>
          <w:numId w:val="678"/>
        </w:numPr>
        <w:rPr>
          <w:rFonts w:ascii="Calibri" w:cs="Calibri" w:eastAsia="Calibri" w:hAnsi="Calibri"/>
          <w:sz w:val="22"/>
          <w:szCs w:val="22"/>
          <w:color w:val="auto"/>
        </w:rPr>
      </w:pPr>
      <w:r>
        <w:rPr>
          <w:rFonts w:ascii="Times New Roman" w:cs="Times New Roman" w:eastAsia="Times New Roman" w:hAnsi="Times New Roman"/>
          <w:sz w:val="24"/>
          <w:szCs w:val="24"/>
          <w:color w:val="auto"/>
        </w:rPr>
        <w:t>dispatch of issue material; and</w:t>
      </w:r>
    </w:p>
    <w:p>
      <w:pPr>
        <w:spacing w:after="0" w:line="200" w:lineRule="exact"/>
        <w:rPr>
          <w:sz w:val="20"/>
          <w:szCs w:val="20"/>
          <w:color w:val="auto"/>
        </w:rPr>
      </w:pPr>
    </w:p>
    <w:p>
      <w:pPr>
        <w:spacing w:after="0" w:line="267" w:lineRule="exact"/>
        <w:rPr>
          <w:sz w:val="20"/>
          <w:szCs w:val="20"/>
          <w:color w:val="auto"/>
        </w:rPr>
      </w:pPr>
    </w:p>
    <w:p>
      <w:pPr>
        <w:spacing w:after="0" w:line="211" w:lineRule="auto"/>
        <w:rPr>
          <w:sz w:val="20"/>
          <w:szCs w:val="20"/>
          <w:color w:val="auto"/>
        </w:rPr>
      </w:pPr>
      <w:r>
        <w:rPr>
          <w:rFonts w:ascii="Times New Roman" w:cs="Times New Roman" w:eastAsia="Times New Roman" w:hAnsi="Times New Roman"/>
          <w:sz w:val="25"/>
          <w:szCs w:val="25"/>
          <w:color w:val="auto"/>
          <w:vertAlign w:val="superscript"/>
        </w:rPr>
        <w:t>90</w:t>
      </w:r>
      <w:r>
        <w:rPr>
          <w:rFonts w:ascii="Times New Roman" w:cs="Times New Roman" w:eastAsia="Times New Roman" w:hAnsi="Times New Roman"/>
          <w:sz w:val="20"/>
          <w:szCs w:val="20"/>
          <w:color w:val="auto"/>
        </w:rPr>
        <w:t xml:space="preserve"> Renumbered by the Securities and Exchange Board of India (Issue of Capital and Disclosure Requirements) (Second Amendment) Regulations, 2019, w-e-f 05.04.2019. Prior to its renumbering, it read as sub-regulation (3).</w:t>
      </w:r>
    </w:p>
    <w:p>
      <w:pPr>
        <w:spacing w:after="0" w:line="30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164</w:t>
      </w:r>
    </w:p>
    <w:p>
      <w:pPr>
        <w:sectPr>
          <w:pgSz w:w="11900" w:h="16836" w:orient="portrait"/>
          <w:cols w:equalWidth="0" w:num="1">
            <w:col w:w="9460"/>
          </w:cols>
          <w:pgMar w:left="1160" w:top="1156" w:right="1284" w:bottom="103" w:gutter="0" w:footer="0" w:header="0"/>
        </w:sectPr>
      </w:pPr>
    </w:p>
    <w:bookmarkStart w:id="164" w:name="page165"/>
    <w:bookmarkEnd w:id="164"/>
    <w:p>
      <w:pPr>
        <w:ind w:left="448" w:hanging="356"/>
        <w:spacing w:after="0"/>
        <w:tabs>
          <w:tab w:leader="none" w:pos="448" w:val="left"/>
        </w:tabs>
        <w:numPr>
          <w:ilvl w:val="0"/>
          <w:numId w:val="679"/>
        </w:numPr>
        <w:rPr>
          <w:rFonts w:ascii="Calibri" w:cs="Calibri" w:eastAsia="Calibri" w:hAnsi="Calibri"/>
          <w:sz w:val="22"/>
          <w:szCs w:val="22"/>
          <w:color w:val="auto"/>
        </w:rPr>
      </w:pPr>
      <w:r>
        <w:rPr>
          <w:rFonts w:ascii="Times New Roman" w:cs="Times New Roman" w:eastAsia="Times New Roman" w:hAnsi="Times New Roman"/>
          <w:sz w:val="24"/>
          <w:szCs w:val="24"/>
          <w:color w:val="auto"/>
        </w:rPr>
        <w:t>other such provisions related to offer of specified securities to the public.</w:t>
      </w:r>
    </w:p>
    <w:p>
      <w:pPr>
        <w:spacing w:after="0" w:line="149" w:lineRule="exact"/>
        <w:rPr>
          <w:sz w:val="20"/>
          <w:szCs w:val="20"/>
          <w:color w:val="auto"/>
        </w:rPr>
      </w:pPr>
    </w:p>
    <w:p>
      <w:pPr>
        <w:ind w:left="88" w:firstLine="4"/>
        <w:spacing w:after="0" w:line="350" w:lineRule="auto"/>
        <w:tabs>
          <w:tab w:leader="none" w:pos="488" w:val="left"/>
        </w:tabs>
        <w:numPr>
          <w:ilvl w:val="0"/>
          <w:numId w:val="68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obtain an in-principle approval from the stock exchanges on which it proposes to get its specified securities listed.</w:t>
      </w:r>
    </w:p>
    <w:p>
      <w:pPr>
        <w:spacing w:after="0" w:line="23" w:lineRule="exact"/>
        <w:rPr>
          <w:rFonts w:ascii="Times New Roman" w:cs="Times New Roman" w:eastAsia="Times New Roman" w:hAnsi="Times New Roman"/>
          <w:sz w:val="24"/>
          <w:szCs w:val="24"/>
          <w:color w:val="auto"/>
        </w:rPr>
      </w:pPr>
    </w:p>
    <w:p>
      <w:pPr>
        <w:ind w:left="88" w:firstLine="4"/>
        <w:spacing w:after="0" w:line="350" w:lineRule="auto"/>
        <w:tabs>
          <w:tab w:leader="none" w:pos="447" w:val="left"/>
        </w:tabs>
        <w:numPr>
          <w:ilvl w:val="0"/>
          <w:numId w:val="68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list its specified securities on the recognised stock exchange(s within thirty days:</w:t>
      </w:r>
    </w:p>
    <w:p>
      <w:pPr>
        <w:spacing w:after="0" w:line="4" w:lineRule="exact"/>
        <w:rPr>
          <w:sz w:val="20"/>
          <w:szCs w:val="20"/>
          <w:color w:val="auto"/>
        </w:rPr>
      </w:pPr>
    </w:p>
    <w:p>
      <w:pPr>
        <w:ind w:left="448" w:hanging="356"/>
        <w:spacing w:after="0"/>
        <w:tabs>
          <w:tab w:leader="none" w:pos="448" w:val="left"/>
        </w:tabs>
        <w:numPr>
          <w:ilvl w:val="0"/>
          <w:numId w:val="681"/>
        </w:numPr>
        <w:rPr>
          <w:rFonts w:ascii="Calibri" w:cs="Calibri" w:eastAsia="Calibri" w:hAnsi="Calibri"/>
          <w:sz w:val="22"/>
          <w:szCs w:val="22"/>
          <w:color w:val="auto"/>
        </w:rPr>
      </w:pPr>
      <w:r>
        <w:rPr>
          <w:rFonts w:ascii="Times New Roman" w:cs="Times New Roman" w:eastAsia="Times New Roman" w:hAnsi="Times New Roman"/>
          <w:sz w:val="24"/>
          <w:szCs w:val="24"/>
          <w:color w:val="auto"/>
        </w:rPr>
        <w:t>from the date of issuance of observations by the Board; or</w:t>
      </w:r>
    </w:p>
    <w:p>
      <w:pPr>
        <w:spacing w:after="0" w:line="151" w:lineRule="exact"/>
        <w:rPr>
          <w:rFonts w:ascii="Calibri" w:cs="Calibri" w:eastAsia="Calibri" w:hAnsi="Calibri"/>
          <w:sz w:val="22"/>
          <w:szCs w:val="22"/>
          <w:color w:val="auto"/>
        </w:rPr>
      </w:pPr>
    </w:p>
    <w:p>
      <w:pPr>
        <w:ind w:left="448" w:hanging="356"/>
        <w:spacing w:after="0" w:line="342" w:lineRule="auto"/>
        <w:tabs>
          <w:tab w:leader="none" w:pos="448" w:val="left"/>
        </w:tabs>
        <w:numPr>
          <w:ilvl w:val="0"/>
          <w:numId w:val="681"/>
        </w:numPr>
        <w:rPr>
          <w:rFonts w:ascii="Calibri" w:cs="Calibri" w:eastAsia="Calibri" w:hAnsi="Calibri"/>
          <w:sz w:val="22"/>
          <w:szCs w:val="22"/>
          <w:color w:val="auto"/>
        </w:rPr>
      </w:pPr>
      <w:r>
        <w:rPr>
          <w:rFonts w:ascii="Times New Roman" w:cs="Times New Roman" w:eastAsia="Times New Roman" w:hAnsi="Times New Roman"/>
          <w:sz w:val="24"/>
          <w:szCs w:val="24"/>
          <w:color w:val="auto"/>
        </w:rPr>
        <w:t>from the expiry of the period stipulated in sub-regulation (4) of regulation 25, if the Board has not issued any such observations.</w:t>
      </w:r>
    </w:p>
    <w:p>
      <w:pPr>
        <w:spacing w:after="0" w:line="32" w:lineRule="exact"/>
        <w:rPr>
          <w:sz w:val="20"/>
          <w:szCs w:val="20"/>
          <w:color w:val="auto"/>
        </w:rPr>
      </w:pPr>
    </w:p>
    <w:p>
      <w:pPr>
        <w:jc w:val="both"/>
        <w:ind w:left="88" w:firstLine="4"/>
        <w:spacing w:after="0" w:line="337" w:lineRule="auto"/>
        <w:tabs>
          <w:tab w:leader="none" w:pos="433" w:val="left"/>
        </w:tabs>
        <w:numPr>
          <w:ilvl w:val="0"/>
          <w:numId w:val="68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The issuer which has received an in-principle approval from the stock exchange for listing of its specified securities, shall be deemed to have been waived by the Board under sub-rule (7) of rule 19 from the requirement of minimum offer to the public as per the provisions of clause (b) of sub-rule (2) of rule 19 of Securities Contracts (Regulation) Rules, 1957 for the limited purpose of listing on the </w:t>
      </w:r>
      <w:r>
        <w:rPr>
          <w:rFonts w:ascii="Times New Roman" w:cs="Times New Roman" w:eastAsia="Times New Roman" w:hAnsi="Times New Roman"/>
          <w:sz w:val="32"/>
          <w:szCs w:val="32"/>
          <w:color w:val="auto"/>
          <w:vertAlign w:val="superscript"/>
        </w:rPr>
        <w:t>91</w:t>
      </w:r>
      <w:r>
        <w:rPr>
          <w:rFonts w:ascii="Times New Roman" w:cs="Times New Roman" w:eastAsia="Times New Roman" w:hAnsi="Times New Roman"/>
          <w:sz w:val="24"/>
          <w:szCs w:val="24"/>
          <w:color w:val="auto"/>
        </w:rPr>
        <w:t>[innovators growth platform].</w:t>
      </w:r>
    </w:p>
    <w:p>
      <w:pPr>
        <w:ind w:left="428" w:hanging="336"/>
        <w:spacing w:after="0"/>
        <w:tabs>
          <w:tab w:leader="none" w:pos="428" w:val="left"/>
        </w:tabs>
        <w:numPr>
          <w:ilvl w:val="0"/>
          <w:numId w:val="68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Provisions relating to minimum public shareholding shall not be applicable.</w:t>
      </w:r>
    </w:p>
    <w:p>
      <w:pPr>
        <w:spacing w:after="0" w:line="151" w:lineRule="exact"/>
        <w:rPr>
          <w:rFonts w:ascii="Times New Roman" w:cs="Times New Roman" w:eastAsia="Times New Roman" w:hAnsi="Times New Roman"/>
          <w:sz w:val="24"/>
          <w:szCs w:val="24"/>
          <w:color w:val="auto"/>
        </w:rPr>
      </w:pPr>
    </w:p>
    <w:p>
      <w:pPr>
        <w:jc w:val="both"/>
        <w:ind w:left="88" w:firstLine="4"/>
        <w:spacing w:after="0" w:line="357" w:lineRule="auto"/>
        <w:tabs>
          <w:tab w:leader="none" w:pos="443" w:val="left"/>
        </w:tabs>
        <w:numPr>
          <w:ilvl w:val="0"/>
          <w:numId w:val="68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draft and final information document shall be approved by the board of directors of the issuer and shall be signed by all directors, the Chief Executive Officer, i.e., the Managing Director or Manager within the meaning of the Companies Act, 2013 and the Chief Financial Officer, i.e., the Whole-time Finance Director or any other person heading the finance function and discharging that function.</w:t>
      </w:r>
    </w:p>
    <w:p>
      <w:pPr>
        <w:spacing w:after="0" w:line="16" w:lineRule="exact"/>
        <w:rPr>
          <w:rFonts w:ascii="Times New Roman" w:cs="Times New Roman" w:eastAsia="Times New Roman" w:hAnsi="Times New Roman"/>
          <w:sz w:val="24"/>
          <w:szCs w:val="24"/>
          <w:color w:val="auto"/>
        </w:rPr>
      </w:pPr>
    </w:p>
    <w:p>
      <w:pPr>
        <w:ind w:left="88" w:firstLine="4"/>
        <w:spacing w:after="0" w:line="350" w:lineRule="auto"/>
        <w:tabs>
          <w:tab w:leader="none" w:pos="450" w:val="left"/>
        </w:tabs>
        <w:numPr>
          <w:ilvl w:val="0"/>
          <w:numId w:val="68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signatories shall also certify that all disclosures made in the information document are true and correct.</w:t>
      </w:r>
    </w:p>
    <w:p>
      <w:pPr>
        <w:spacing w:after="0" w:line="10" w:lineRule="exact"/>
        <w:rPr>
          <w:rFonts w:ascii="Times New Roman" w:cs="Times New Roman" w:eastAsia="Times New Roman" w:hAnsi="Times New Roman"/>
          <w:sz w:val="24"/>
          <w:szCs w:val="24"/>
          <w:color w:val="auto"/>
        </w:rPr>
      </w:pPr>
    </w:p>
    <w:p>
      <w:pPr>
        <w:ind w:left="568" w:hanging="476"/>
        <w:spacing w:after="0"/>
        <w:tabs>
          <w:tab w:leader="none" w:pos="568" w:val="left"/>
        </w:tabs>
        <w:numPr>
          <w:ilvl w:val="0"/>
          <w:numId w:val="68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mis-statement in the information document or any omission therein, any person</w:t>
      </w:r>
    </w:p>
    <w:p>
      <w:pPr>
        <w:spacing w:after="0" w:line="151" w:lineRule="exact"/>
        <w:rPr>
          <w:sz w:val="20"/>
          <w:szCs w:val="20"/>
          <w:color w:val="auto"/>
        </w:rPr>
      </w:pPr>
    </w:p>
    <w:p>
      <w:pPr>
        <w:ind w:left="88"/>
        <w:spacing w:after="0" w:line="348" w:lineRule="auto"/>
        <w:rPr>
          <w:sz w:val="20"/>
          <w:szCs w:val="20"/>
          <w:color w:val="auto"/>
        </w:rPr>
      </w:pPr>
      <w:r>
        <w:rPr>
          <w:rFonts w:ascii="Times New Roman" w:cs="Times New Roman" w:eastAsia="Times New Roman" w:hAnsi="Times New Roman"/>
          <w:sz w:val="24"/>
          <w:szCs w:val="24"/>
          <w:color w:val="auto"/>
        </w:rPr>
        <w:t>who has authorized the issue of information document shall be liable in accordance with the provisions of the Act and regulations made thereunder.</w:t>
      </w:r>
    </w:p>
    <w:p>
      <w:pPr>
        <w:spacing w:after="0" w:line="28" w:lineRule="exact"/>
        <w:rPr>
          <w:sz w:val="20"/>
          <w:szCs w:val="20"/>
          <w:color w:val="auto"/>
        </w:rPr>
      </w:pPr>
    </w:p>
    <w:p>
      <w:pPr>
        <w:ind w:left="88"/>
        <w:spacing w:after="0" w:line="348" w:lineRule="auto"/>
        <w:rPr>
          <w:sz w:val="20"/>
          <w:szCs w:val="20"/>
          <w:color w:val="auto"/>
        </w:rPr>
      </w:pPr>
      <w:r>
        <w:rPr>
          <w:rFonts w:ascii="Times New Roman" w:cs="Times New Roman" w:eastAsia="Times New Roman" w:hAnsi="Times New Roman"/>
          <w:sz w:val="24"/>
          <w:szCs w:val="24"/>
          <w:b w:val="1"/>
          <w:bCs w:val="1"/>
          <w:color w:val="auto"/>
        </w:rPr>
        <w:t xml:space="preserve">Explanation: </w:t>
      </w:r>
      <w:r>
        <w:rPr>
          <w:rFonts w:ascii="Times New Roman" w:cs="Times New Roman" w:eastAsia="Times New Roman" w:hAnsi="Times New Roman"/>
          <w:sz w:val="24"/>
          <w:szCs w:val="24"/>
          <w:color w:val="auto"/>
        </w:rPr>
        <w:t>Under this Part, the phrases ‘pre-issue’ and ‘post-issue’, wherever they occur shall</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be construed as ‘pre-listing’ and ‘post-listing’, respectively.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ind w:left="88"/>
        <w:spacing w:after="0"/>
        <w:rPr>
          <w:sz w:val="20"/>
          <w:szCs w:val="20"/>
          <w:color w:val="auto"/>
        </w:rPr>
      </w:pPr>
      <w:r>
        <w:rPr>
          <w:rFonts w:ascii="Times New Roman" w:cs="Times New Roman" w:eastAsia="Times New Roman" w:hAnsi="Times New Roman"/>
          <w:sz w:val="24"/>
          <w:szCs w:val="24"/>
          <w:b w:val="1"/>
          <w:bCs w:val="1"/>
          <w:color w:val="auto"/>
        </w:rPr>
        <w:t>PART III: LISTING PURSUANT TO AN INITIAL PUBLIC OFFER</w:t>
      </w:r>
    </w:p>
    <w:p>
      <w:pPr>
        <w:spacing w:after="0" w:line="200" w:lineRule="exact"/>
        <w:rPr>
          <w:sz w:val="20"/>
          <w:szCs w:val="20"/>
          <w:color w:val="auto"/>
        </w:rPr>
      </w:pPr>
    </w:p>
    <w:p>
      <w:pPr>
        <w:spacing w:after="0" w:line="352" w:lineRule="exact"/>
        <w:rPr>
          <w:sz w:val="20"/>
          <w:szCs w:val="20"/>
          <w:color w:val="auto"/>
        </w:rPr>
      </w:pPr>
    </w:p>
    <w:p>
      <w:pPr>
        <w:ind w:left="88"/>
        <w:spacing w:after="0"/>
        <w:rPr>
          <w:sz w:val="20"/>
          <w:szCs w:val="20"/>
          <w:color w:val="auto"/>
        </w:rPr>
      </w:pPr>
      <w:r>
        <w:rPr>
          <w:rFonts w:ascii="Times New Roman" w:cs="Times New Roman" w:eastAsia="Times New Roman" w:hAnsi="Times New Roman"/>
          <w:sz w:val="24"/>
          <w:szCs w:val="24"/>
          <w:b w:val="1"/>
          <w:bCs w:val="1"/>
          <w:color w:val="auto"/>
        </w:rPr>
        <w:t>Disclosures in draft offer document and offer document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ind w:left="8" w:hanging="8"/>
        <w:spacing w:after="0" w:line="203" w:lineRule="auto"/>
        <w:tabs>
          <w:tab w:leader="none" w:pos="192" w:val="left"/>
        </w:tabs>
        <w:numPr>
          <w:ilvl w:val="0"/>
          <w:numId w:val="683"/>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Securities and Exchange Board of India (Issue of Capital and Disclosure Requirements) (Second Amendment) Regulations, 2019, w-e-f 05.04.2019. Prior to its substitution, it read as “institutional trading platform”.</w:t>
      </w:r>
    </w:p>
    <w:p>
      <w:pPr>
        <w:spacing w:after="0" w:line="30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165</w:t>
      </w:r>
    </w:p>
    <w:p>
      <w:pPr>
        <w:sectPr>
          <w:pgSz w:w="11900" w:h="16836" w:orient="portrait"/>
          <w:cols w:equalWidth="0" w:num="1">
            <w:col w:w="9468"/>
          </w:cols>
          <w:pgMar w:left="1152" w:top="1137" w:right="1284" w:bottom="103" w:gutter="0" w:footer="0" w:header="0"/>
        </w:sectPr>
      </w:pPr>
    </w:p>
    <w:bookmarkStart w:id="165" w:name="page166"/>
    <w:bookmarkEnd w:id="165"/>
    <w:p>
      <w:pPr>
        <w:jc w:val="both"/>
        <w:ind w:left="88" w:firstLine="4"/>
        <w:spacing w:after="0" w:line="354" w:lineRule="auto"/>
        <w:tabs>
          <w:tab w:leader="none" w:pos="570" w:val="left"/>
        </w:tabs>
        <w:numPr>
          <w:ilvl w:val="0"/>
          <w:numId w:val="68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(1) An issuer seeking to issue and list its specified securities shall file a draft offer document along with necessary documents with the Board in accordance with these regulations along with the fees as specified in </w:t>
      </w:r>
      <w:r>
        <w:rPr>
          <w:rFonts w:ascii="Times New Roman" w:cs="Times New Roman" w:eastAsia="Times New Roman" w:hAnsi="Times New Roman"/>
          <w:sz w:val="24"/>
          <w:szCs w:val="24"/>
          <w:b w:val="1"/>
          <w:bCs w:val="1"/>
          <w:color w:val="auto"/>
        </w:rPr>
        <w:t>Schedule III</w:t>
      </w:r>
      <w:r>
        <w:rPr>
          <w:rFonts w:ascii="Times New Roman" w:cs="Times New Roman" w:eastAsia="Times New Roman" w:hAnsi="Times New Roman"/>
          <w:sz w:val="24"/>
          <w:szCs w:val="24"/>
          <w:color w:val="auto"/>
        </w:rPr>
        <w:t xml:space="preserve"> of these regulations.</w:t>
      </w:r>
    </w:p>
    <w:p>
      <w:pPr>
        <w:spacing w:after="0" w:line="7" w:lineRule="exact"/>
        <w:rPr>
          <w:rFonts w:ascii="Times New Roman" w:cs="Times New Roman" w:eastAsia="Times New Roman" w:hAnsi="Times New Roman"/>
          <w:sz w:val="24"/>
          <w:szCs w:val="24"/>
          <w:b w:val="1"/>
          <w:bCs w:val="1"/>
          <w:color w:val="auto"/>
        </w:rPr>
      </w:pPr>
    </w:p>
    <w:p>
      <w:pPr>
        <w:ind w:left="88"/>
        <w:spacing w:after="0"/>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 The draft offer document shall disclose the broad objects of the issue.</w:t>
      </w:r>
    </w:p>
    <w:p>
      <w:pPr>
        <w:spacing w:after="0" w:line="151" w:lineRule="exact"/>
        <w:rPr>
          <w:rFonts w:ascii="Times New Roman" w:cs="Times New Roman" w:eastAsia="Times New Roman" w:hAnsi="Times New Roman"/>
          <w:sz w:val="24"/>
          <w:szCs w:val="24"/>
          <w:b w:val="1"/>
          <w:bCs w:val="1"/>
          <w:color w:val="auto"/>
        </w:rPr>
      </w:pPr>
    </w:p>
    <w:p>
      <w:pPr>
        <w:jc w:val="both"/>
        <w:ind w:left="8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(3) The basis of issue price shall include disclosures, except projections, as deemed fit by the issuer in order to enable the investors to take informed decisions and the disclosures shall suitably contain the basis of valuation.</w:t>
      </w:r>
    </w:p>
    <w:p>
      <w:pPr>
        <w:spacing w:after="0" w:line="200" w:lineRule="exact"/>
        <w:rPr>
          <w:sz w:val="20"/>
          <w:szCs w:val="20"/>
          <w:color w:val="auto"/>
        </w:rPr>
      </w:pPr>
    </w:p>
    <w:p>
      <w:pPr>
        <w:spacing w:after="0" w:line="232" w:lineRule="exact"/>
        <w:rPr>
          <w:sz w:val="20"/>
          <w:szCs w:val="20"/>
          <w:color w:val="auto"/>
        </w:rPr>
      </w:pPr>
    </w:p>
    <w:p>
      <w:pPr>
        <w:ind w:left="88"/>
        <w:spacing w:after="0"/>
        <w:rPr>
          <w:sz w:val="20"/>
          <w:szCs w:val="20"/>
          <w:color w:val="auto"/>
        </w:rPr>
      </w:pPr>
      <w:r>
        <w:rPr>
          <w:rFonts w:ascii="Times New Roman" w:cs="Times New Roman" w:eastAsia="Times New Roman" w:hAnsi="Times New Roman"/>
          <w:sz w:val="32"/>
          <w:szCs w:val="32"/>
          <w:b w:val="1"/>
          <w:bCs w:val="1"/>
          <w:color w:val="auto"/>
          <w:vertAlign w:val="superscript"/>
        </w:rPr>
        <w:t>92</w:t>
      </w:r>
      <w:r>
        <w:rPr>
          <w:rFonts w:ascii="Times New Roman" w:cs="Times New Roman" w:eastAsia="Times New Roman" w:hAnsi="Times New Roman"/>
          <w:sz w:val="24"/>
          <w:szCs w:val="24"/>
          <w:b w:val="1"/>
          <w:bCs w:val="1"/>
          <w:color w:val="auto"/>
        </w:rPr>
        <w:t>[Minimum public shareholding norms and minimum offer size</w:t>
      </w:r>
    </w:p>
    <w:p>
      <w:pPr>
        <w:spacing w:after="0" w:line="48" w:lineRule="exact"/>
        <w:rPr>
          <w:sz w:val="20"/>
          <w:szCs w:val="20"/>
          <w:color w:val="auto"/>
        </w:rPr>
      </w:pPr>
    </w:p>
    <w:p>
      <w:pPr>
        <w:ind w:left="88"/>
        <w:spacing w:after="0" w:line="350" w:lineRule="auto"/>
        <w:rPr>
          <w:sz w:val="20"/>
          <w:szCs w:val="20"/>
          <w:color w:val="auto"/>
        </w:rPr>
      </w:pPr>
      <w:r>
        <w:rPr>
          <w:rFonts w:ascii="Times New Roman" w:cs="Times New Roman" w:eastAsia="Times New Roman" w:hAnsi="Times New Roman"/>
          <w:sz w:val="24"/>
          <w:szCs w:val="24"/>
          <w:b w:val="1"/>
          <w:bCs w:val="1"/>
          <w:color w:val="auto"/>
        </w:rPr>
        <w:t>285A.</w:t>
      </w:r>
      <w:r>
        <w:rPr>
          <w:rFonts w:ascii="Times New Roman" w:cs="Times New Roman" w:eastAsia="Times New Roman" w:hAnsi="Times New Roman"/>
          <w:sz w:val="24"/>
          <w:szCs w:val="24"/>
          <w:color w:val="auto"/>
        </w:rPr>
        <w:t>(1) The issuer shall be in compliance with minimum public shareholding requirements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specified in the Securities Contracts (Regulation) Rules, 1957.</w:t>
      </w:r>
    </w:p>
    <w:p>
      <w:pPr>
        <w:spacing w:after="0" w:line="11" w:lineRule="exact"/>
        <w:rPr>
          <w:sz w:val="20"/>
          <w:szCs w:val="20"/>
          <w:color w:val="auto"/>
        </w:rPr>
      </w:pPr>
    </w:p>
    <w:p>
      <w:pPr>
        <w:ind w:left="88"/>
        <w:spacing w:after="0"/>
        <w:rPr>
          <w:sz w:val="20"/>
          <w:szCs w:val="20"/>
          <w:color w:val="auto"/>
        </w:rPr>
      </w:pPr>
      <w:r>
        <w:rPr>
          <w:rFonts w:ascii="Times New Roman" w:cs="Times New Roman" w:eastAsia="Times New Roman" w:hAnsi="Times New Roman"/>
          <w:sz w:val="24"/>
          <w:szCs w:val="24"/>
          <w:color w:val="auto"/>
        </w:rPr>
        <w:t>(2) The minimum offer size shall be ten crore rupees.”]</w:t>
      </w:r>
    </w:p>
    <w:p>
      <w:pPr>
        <w:spacing w:after="0" w:line="200" w:lineRule="exact"/>
        <w:rPr>
          <w:sz w:val="20"/>
          <w:szCs w:val="20"/>
          <w:color w:val="auto"/>
        </w:rPr>
      </w:pPr>
    </w:p>
    <w:p>
      <w:pPr>
        <w:spacing w:after="0" w:line="357" w:lineRule="exact"/>
        <w:rPr>
          <w:sz w:val="20"/>
          <w:szCs w:val="20"/>
          <w:color w:val="auto"/>
        </w:rPr>
      </w:pPr>
    </w:p>
    <w:p>
      <w:pPr>
        <w:ind w:left="88"/>
        <w:spacing w:after="0"/>
        <w:rPr>
          <w:sz w:val="20"/>
          <w:szCs w:val="20"/>
          <w:color w:val="auto"/>
        </w:rPr>
      </w:pPr>
      <w:r>
        <w:rPr>
          <w:rFonts w:ascii="Times New Roman" w:cs="Times New Roman" w:eastAsia="Times New Roman" w:hAnsi="Times New Roman"/>
          <w:sz w:val="24"/>
          <w:szCs w:val="24"/>
          <w:b w:val="1"/>
          <w:bCs w:val="1"/>
          <w:color w:val="auto"/>
        </w:rPr>
        <w:t>Minimum application size</w:t>
      </w:r>
    </w:p>
    <w:p>
      <w:pPr>
        <w:spacing w:after="0" w:line="127" w:lineRule="exact"/>
        <w:rPr>
          <w:sz w:val="20"/>
          <w:szCs w:val="20"/>
          <w:color w:val="auto"/>
        </w:rPr>
      </w:pPr>
    </w:p>
    <w:p>
      <w:pPr>
        <w:ind w:left="568" w:hanging="476"/>
        <w:spacing w:after="0"/>
        <w:tabs>
          <w:tab w:leader="none" w:pos="568" w:val="left"/>
        </w:tabs>
        <w:numPr>
          <w:ilvl w:val="0"/>
          <w:numId w:val="68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The minimum application size shall be </w:t>
      </w:r>
      <w:r>
        <w:rPr>
          <w:rFonts w:ascii="Times New Roman" w:cs="Times New Roman" w:eastAsia="Times New Roman" w:hAnsi="Times New Roman"/>
          <w:sz w:val="32"/>
          <w:szCs w:val="32"/>
          <w:color w:val="auto"/>
          <w:vertAlign w:val="superscript"/>
        </w:rPr>
        <w:t>93</w:t>
      </w:r>
      <w:r>
        <w:rPr>
          <w:rFonts w:ascii="Times New Roman" w:cs="Times New Roman" w:eastAsia="Times New Roman" w:hAnsi="Times New Roman"/>
          <w:sz w:val="24"/>
          <w:szCs w:val="24"/>
          <w:color w:val="auto"/>
        </w:rPr>
        <w:t>[two lakh rupees and in multiples thereof].</w:t>
      </w:r>
    </w:p>
    <w:p>
      <w:pPr>
        <w:spacing w:after="0" w:line="200" w:lineRule="exact"/>
        <w:rPr>
          <w:sz w:val="20"/>
          <w:szCs w:val="20"/>
          <w:color w:val="auto"/>
        </w:rPr>
      </w:pPr>
    </w:p>
    <w:p>
      <w:pPr>
        <w:spacing w:after="0" w:line="273" w:lineRule="exact"/>
        <w:rPr>
          <w:sz w:val="20"/>
          <w:szCs w:val="20"/>
          <w:color w:val="auto"/>
        </w:rPr>
      </w:pPr>
    </w:p>
    <w:p>
      <w:pPr>
        <w:ind w:left="88"/>
        <w:spacing w:after="0"/>
        <w:rPr>
          <w:sz w:val="20"/>
          <w:szCs w:val="20"/>
          <w:color w:val="auto"/>
        </w:rPr>
      </w:pPr>
      <w:r>
        <w:rPr>
          <w:rFonts w:ascii="Times New Roman" w:cs="Times New Roman" w:eastAsia="Times New Roman" w:hAnsi="Times New Roman"/>
          <w:sz w:val="24"/>
          <w:szCs w:val="24"/>
          <w:b w:val="1"/>
          <w:bCs w:val="1"/>
          <w:color w:val="auto"/>
        </w:rPr>
        <w:t>Allocation and allotment</w:t>
      </w:r>
    </w:p>
    <w:p>
      <w:pPr>
        <w:spacing w:after="0" w:line="124" w:lineRule="exact"/>
        <w:rPr>
          <w:sz w:val="20"/>
          <w:szCs w:val="20"/>
          <w:color w:val="auto"/>
        </w:rPr>
      </w:pPr>
    </w:p>
    <w:p>
      <w:pPr>
        <w:ind w:left="568" w:hanging="476"/>
        <w:spacing w:after="0"/>
        <w:tabs>
          <w:tab w:leader="none" w:pos="568" w:val="left"/>
        </w:tabs>
        <w:numPr>
          <w:ilvl w:val="0"/>
          <w:numId w:val="68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(1) The number of allottees in the initial public offer shall at least be </w:t>
      </w:r>
      <w:r>
        <w:rPr>
          <w:rFonts w:ascii="Times New Roman" w:cs="Times New Roman" w:eastAsia="Times New Roman" w:hAnsi="Times New Roman"/>
          <w:sz w:val="32"/>
          <w:szCs w:val="32"/>
          <w:color w:val="auto"/>
          <w:vertAlign w:val="superscript"/>
        </w:rPr>
        <w:t>94</w:t>
      </w:r>
      <w:r>
        <w:rPr>
          <w:rFonts w:ascii="Times New Roman" w:cs="Times New Roman" w:eastAsia="Times New Roman" w:hAnsi="Times New Roman"/>
          <w:sz w:val="24"/>
          <w:szCs w:val="24"/>
          <w:color w:val="auto"/>
        </w:rPr>
        <w:t>[fifty].</w:t>
      </w:r>
    </w:p>
    <w:p>
      <w:pPr>
        <w:spacing w:after="0" w:line="47" w:lineRule="exact"/>
        <w:rPr>
          <w:sz w:val="20"/>
          <w:szCs w:val="20"/>
          <w:color w:val="auto"/>
        </w:rPr>
      </w:pPr>
    </w:p>
    <w:p>
      <w:pPr>
        <w:ind w:left="88" w:right="240"/>
        <w:spacing w:after="0" w:line="285" w:lineRule="auto"/>
        <w:rPr>
          <w:sz w:val="20"/>
          <w:szCs w:val="20"/>
          <w:color w:val="auto"/>
        </w:rPr>
      </w:pPr>
      <w:r>
        <w:rPr>
          <w:rFonts w:ascii="Times New Roman" w:cs="Times New Roman" w:eastAsia="Times New Roman" w:hAnsi="Times New Roman"/>
          <w:sz w:val="32"/>
          <w:szCs w:val="32"/>
          <w:color w:val="auto"/>
          <w:vertAlign w:val="superscript"/>
        </w:rPr>
        <w:t>95</w:t>
      </w:r>
      <w:r>
        <w:rPr>
          <w:rFonts w:ascii="Times New Roman" w:cs="Times New Roman" w:eastAsia="Times New Roman" w:hAnsi="Times New Roman"/>
          <w:sz w:val="24"/>
          <w:szCs w:val="24"/>
          <w:color w:val="auto"/>
        </w:rPr>
        <w:t>[(2) The allotment to institutional investors as well as non-institutional investors shall be on a proportionate basis.]</w:t>
      </w:r>
    </w:p>
    <w:p>
      <w:pPr>
        <w:spacing w:after="0" w:line="63" w:lineRule="exact"/>
        <w:rPr>
          <w:sz w:val="20"/>
          <w:szCs w:val="20"/>
          <w:color w:val="auto"/>
        </w:rPr>
      </w:pPr>
    </w:p>
    <w:p>
      <w:pPr>
        <w:ind w:left="148"/>
        <w:spacing w:after="0"/>
        <w:rPr>
          <w:sz w:val="20"/>
          <w:szCs w:val="20"/>
          <w:color w:val="auto"/>
        </w:rPr>
      </w:pPr>
      <w:r>
        <w:rPr>
          <w:rFonts w:ascii="Times New Roman" w:cs="Times New Roman" w:eastAsia="Times New Roman" w:hAnsi="Times New Roman"/>
          <w:sz w:val="32"/>
          <w:szCs w:val="32"/>
          <w:color w:val="auto"/>
          <w:vertAlign w:val="superscript"/>
        </w:rPr>
        <w:t>96</w:t>
      </w:r>
      <w:r>
        <w:rPr>
          <w:rFonts w:ascii="Times New Roman" w:cs="Times New Roman" w:eastAsia="Times New Roman" w:hAnsi="Times New Roman"/>
          <w:sz w:val="24"/>
          <w:szCs w:val="24"/>
          <w:color w:val="auto"/>
        </w:rPr>
        <w:t>[*]</w:t>
      </w:r>
    </w:p>
    <w:p>
      <w:pPr>
        <w:spacing w:after="0" w:line="45" w:lineRule="exact"/>
        <w:rPr>
          <w:sz w:val="20"/>
          <w:szCs w:val="20"/>
          <w:color w:val="auto"/>
        </w:rPr>
      </w:pPr>
    </w:p>
    <w:p>
      <w:pPr>
        <w:ind w:left="88"/>
        <w:spacing w:after="0" w:line="287" w:lineRule="auto"/>
        <w:rPr>
          <w:sz w:val="20"/>
          <w:szCs w:val="20"/>
          <w:color w:val="auto"/>
        </w:rPr>
      </w:pPr>
      <w:r>
        <w:rPr>
          <w:rFonts w:ascii="Times New Roman" w:cs="Times New Roman" w:eastAsia="Times New Roman" w:hAnsi="Times New Roman"/>
          <w:sz w:val="32"/>
          <w:szCs w:val="32"/>
          <w:color w:val="auto"/>
          <w:vertAlign w:val="superscript"/>
        </w:rPr>
        <w:t>97</w:t>
      </w:r>
      <w:r>
        <w:rPr>
          <w:rFonts w:ascii="Times New Roman" w:cs="Times New Roman" w:eastAsia="Times New Roman" w:hAnsi="Times New Roman"/>
          <w:sz w:val="24"/>
          <w:szCs w:val="24"/>
          <w:color w:val="auto"/>
        </w:rPr>
        <w:t>[(3)] Any under-subscription in the non-institutional investor category shall be available for subscription under the institutional investors’ category.</w:t>
      </w:r>
    </w:p>
    <w:p>
      <w:pPr>
        <w:spacing w:after="0" w:line="200" w:lineRule="exact"/>
        <w:rPr>
          <w:sz w:val="20"/>
          <w:szCs w:val="20"/>
          <w:color w:val="auto"/>
        </w:rPr>
      </w:pPr>
    </w:p>
    <w:p>
      <w:pPr>
        <w:spacing w:after="0" w:line="203" w:lineRule="exact"/>
        <w:rPr>
          <w:sz w:val="20"/>
          <w:szCs w:val="20"/>
          <w:color w:val="auto"/>
        </w:rPr>
      </w:pPr>
    </w:p>
    <w:p>
      <w:pPr>
        <w:ind w:left="8" w:hanging="8"/>
        <w:spacing w:after="0" w:line="203" w:lineRule="auto"/>
        <w:tabs>
          <w:tab w:leader="none" w:pos="207" w:val="left"/>
        </w:tabs>
        <w:numPr>
          <w:ilvl w:val="0"/>
          <w:numId w:val="687"/>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Inserted by the Securities and Exchange Board of India (Issue of Capital and Disclosure Requirements) (Second Amendment) Regulations, 2019, w-e-f 05.04.2019.</w:t>
      </w:r>
    </w:p>
    <w:p>
      <w:pPr>
        <w:spacing w:after="0" w:line="13" w:lineRule="exact"/>
        <w:rPr>
          <w:rFonts w:ascii="Times New Roman" w:cs="Times New Roman" w:eastAsia="Times New Roman" w:hAnsi="Times New Roman"/>
          <w:sz w:val="26"/>
          <w:szCs w:val="26"/>
          <w:color w:val="auto"/>
          <w:vertAlign w:val="superscript"/>
        </w:rPr>
      </w:pPr>
    </w:p>
    <w:p>
      <w:pPr>
        <w:ind w:left="8" w:hanging="8"/>
        <w:spacing w:after="0" w:line="203" w:lineRule="auto"/>
        <w:tabs>
          <w:tab w:leader="none" w:pos="192" w:val="left"/>
        </w:tabs>
        <w:numPr>
          <w:ilvl w:val="0"/>
          <w:numId w:val="687"/>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Securities and Exchange Board of India (Issue of Capital and Disclosure Requirements) (Second Amendment) Regulations, 2019, w-e-f 05.04.2019. Prior to its substitution, it read as “ten lakh rupees”.</w:t>
      </w:r>
    </w:p>
    <w:p>
      <w:pPr>
        <w:spacing w:after="0" w:line="10" w:lineRule="exact"/>
        <w:rPr>
          <w:rFonts w:ascii="Times New Roman" w:cs="Times New Roman" w:eastAsia="Times New Roman" w:hAnsi="Times New Roman"/>
          <w:sz w:val="26"/>
          <w:szCs w:val="26"/>
          <w:color w:val="auto"/>
          <w:vertAlign w:val="superscript"/>
        </w:rPr>
      </w:pPr>
    </w:p>
    <w:p>
      <w:pPr>
        <w:ind w:left="8" w:hanging="8"/>
        <w:spacing w:after="0" w:line="203" w:lineRule="auto"/>
        <w:tabs>
          <w:tab w:leader="none" w:pos="192" w:val="left"/>
        </w:tabs>
        <w:numPr>
          <w:ilvl w:val="0"/>
          <w:numId w:val="687"/>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Securities and Exchange Board of India (Issue of Capital and Disclosure Requirements) (Second Amendment) Regulations, 2019, w-e-f 05.04.2019. Prior to its substitution, it read as “two hundred”.</w:t>
      </w:r>
    </w:p>
    <w:p>
      <w:pPr>
        <w:spacing w:after="0" w:line="13" w:lineRule="exact"/>
        <w:rPr>
          <w:rFonts w:ascii="Times New Roman" w:cs="Times New Roman" w:eastAsia="Times New Roman" w:hAnsi="Times New Roman"/>
          <w:sz w:val="26"/>
          <w:szCs w:val="26"/>
          <w:color w:val="auto"/>
          <w:vertAlign w:val="superscript"/>
        </w:rPr>
      </w:pPr>
    </w:p>
    <w:p>
      <w:pPr>
        <w:ind w:left="8" w:hanging="8"/>
        <w:spacing w:after="0" w:line="203" w:lineRule="auto"/>
        <w:tabs>
          <w:tab w:leader="none" w:pos="192" w:val="left"/>
        </w:tabs>
        <w:numPr>
          <w:ilvl w:val="0"/>
          <w:numId w:val="687"/>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Securities and Exchange Board of India (Issue of Capital and Disclosure Requirements) (Second Amendment) Regulations, 2019, w-e-f 05.04.2019. Prior to its substitution, it read as:</w:t>
      </w:r>
    </w:p>
    <w:p>
      <w:pPr>
        <w:spacing w:after="0" w:line="2" w:lineRule="exact"/>
        <w:rPr>
          <w:rFonts w:ascii="Times New Roman" w:cs="Times New Roman" w:eastAsia="Times New Roman" w:hAnsi="Times New Roman"/>
          <w:sz w:val="26"/>
          <w:szCs w:val="26"/>
          <w:color w:val="auto"/>
          <w:vertAlign w:val="superscript"/>
        </w:rPr>
      </w:pPr>
    </w:p>
    <w:p>
      <w:pPr>
        <w:ind w:left="8"/>
        <w:spacing w:after="0"/>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“(2)The allocation in the net offer to public category shall be as follows:</w:t>
      </w:r>
    </w:p>
    <w:p>
      <w:pPr>
        <w:ind w:left="1088" w:hanging="368"/>
        <w:spacing w:after="0"/>
        <w:tabs>
          <w:tab w:leader="none" w:pos="1088" w:val="left"/>
        </w:tabs>
        <w:numPr>
          <w:ilvl w:val="1"/>
          <w:numId w:val="68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seventy-five per cent to institutional investors:</w:t>
      </w:r>
    </w:p>
    <w:p>
      <w:pPr>
        <w:ind w:left="1088"/>
        <w:spacing w:after="0" w:line="237"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b w:val="1"/>
          <w:bCs w:val="1"/>
          <w:color w:val="auto"/>
        </w:rPr>
        <w:t xml:space="preserve">Provided that </w:t>
      </w:r>
      <w:r>
        <w:rPr>
          <w:rFonts w:ascii="Times New Roman" w:cs="Times New Roman" w:eastAsia="Times New Roman" w:hAnsi="Times New Roman"/>
          <w:sz w:val="20"/>
          <w:szCs w:val="20"/>
          <w:color w:val="auto"/>
        </w:rPr>
        <w:t>there shall be no separate allocation for anchor investors;</w:t>
      </w:r>
    </w:p>
    <w:p>
      <w:pPr>
        <w:spacing w:after="0" w:line="1" w:lineRule="exact"/>
        <w:rPr>
          <w:rFonts w:ascii="Times New Roman" w:cs="Times New Roman" w:eastAsia="Times New Roman" w:hAnsi="Times New Roman"/>
          <w:sz w:val="20"/>
          <w:szCs w:val="20"/>
          <w:color w:val="auto"/>
        </w:rPr>
      </w:pPr>
    </w:p>
    <w:p>
      <w:pPr>
        <w:ind w:left="1088" w:hanging="368"/>
        <w:spacing w:after="0"/>
        <w:tabs>
          <w:tab w:leader="none" w:pos="1088" w:val="left"/>
        </w:tabs>
        <w:numPr>
          <w:ilvl w:val="1"/>
          <w:numId w:val="68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twenty-five per cent to non-institutional investors”</w:t>
      </w:r>
    </w:p>
    <w:p>
      <w:pPr>
        <w:spacing w:after="0" w:line="11" w:lineRule="exact"/>
        <w:rPr>
          <w:rFonts w:ascii="Times New Roman" w:cs="Times New Roman" w:eastAsia="Times New Roman" w:hAnsi="Times New Roman"/>
          <w:sz w:val="20"/>
          <w:szCs w:val="20"/>
          <w:color w:val="auto"/>
        </w:rPr>
      </w:pPr>
    </w:p>
    <w:p>
      <w:pPr>
        <w:ind w:left="8" w:hanging="8"/>
        <w:spacing w:after="0" w:line="204" w:lineRule="auto"/>
        <w:tabs>
          <w:tab w:leader="none" w:pos="207" w:val="left"/>
        </w:tabs>
        <w:numPr>
          <w:ilvl w:val="0"/>
          <w:numId w:val="687"/>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Omitted by the Securities and Exchange Board of India (Issue of Capital and Disclosure Requirements) (Second Amendment) Regulations, 2019, w-e-f 05.04.2019. Prior to its omission, it read as:</w:t>
      </w:r>
    </w:p>
    <w:p>
      <w:pPr>
        <w:spacing w:after="0" w:line="11" w:lineRule="exact"/>
        <w:rPr>
          <w:rFonts w:ascii="Times New Roman" w:cs="Times New Roman" w:eastAsia="Times New Roman" w:hAnsi="Times New Roman"/>
          <w:sz w:val="26"/>
          <w:szCs w:val="26"/>
          <w:color w:val="auto"/>
          <w:vertAlign w:val="superscript"/>
        </w:rPr>
      </w:pPr>
    </w:p>
    <w:p>
      <w:pPr>
        <w:ind w:left="8"/>
        <w:spacing w:after="0" w:line="233" w:lineRule="auto"/>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“(3) The allotment to institutional investors may be on a discretionary or a proportionate basis whereas the allotment to non-institutional investors shall be on a proportionate basis.</w:t>
      </w:r>
    </w:p>
    <w:p>
      <w:pPr>
        <w:spacing w:after="0" w:line="11" w:lineRule="exact"/>
        <w:rPr>
          <w:rFonts w:ascii="Times New Roman" w:cs="Times New Roman" w:eastAsia="Times New Roman" w:hAnsi="Times New Roman"/>
          <w:sz w:val="26"/>
          <w:szCs w:val="26"/>
          <w:color w:val="auto"/>
          <w:vertAlign w:val="superscript"/>
        </w:rPr>
      </w:pPr>
    </w:p>
    <w:p>
      <w:pPr>
        <w:ind w:left="8" w:right="20"/>
        <w:spacing w:after="0" w:line="234" w:lineRule="auto"/>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(4) The mode of allotment to institutional investors, i.e., whether discretionary or proportionate, shall be disclosed prior to or at the time of filing of the offer document.</w:t>
      </w:r>
    </w:p>
    <w:p>
      <w:pPr>
        <w:spacing w:after="0" w:line="12" w:lineRule="exact"/>
        <w:rPr>
          <w:rFonts w:ascii="Times New Roman" w:cs="Times New Roman" w:eastAsia="Times New Roman" w:hAnsi="Times New Roman"/>
          <w:sz w:val="26"/>
          <w:szCs w:val="26"/>
          <w:color w:val="auto"/>
          <w:vertAlign w:val="superscript"/>
        </w:rPr>
      </w:pPr>
    </w:p>
    <w:p>
      <w:pPr>
        <w:ind w:left="8" w:right="20"/>
        <w:spacing w:after="0" w:line="234" w:lineRule="auto"/>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(5) In case of discretionary allotment to institutional investors, no institutional investor shall be allotted more than ten per cent. of the issue size.”</w:t>
      </w:r>
    </w:p>
    <w:p>
      <w:pPr>
        <w:spacing w:after="0" w:line="29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166</w:t>
      </w:r>
    </w:p>
    <w:p>
      <w:pPr>
        <w:sectPr>
          <w:pgSz w:w="11900" w:h="16836" w:orient="portrait"/>
          <w:cols w:equalWidth="0" w:num="1">
            <w:col w:w="9468"/>
          </w:cols>
          <w:pgMar w:left="1152" w:top="1156" w:right="1284" w:bottom="103" w:gutter="0" w:footer="0" w:header="0"/>
        </w:sectPr>
      </w:pPr>
    </w:p>
    <w:bookmarkStart w:id="166" w:name="page167"/>
    <w:bookmarkEnd w:id="166"/>
    <w:p>
      <w:pPr>
        <w:spacing w:after="0" w:line="122" w:lineRule="exact"/>
        <w:rPr>
          <w:sz w:val="20"/>
          <w:szCs w:val="20"/>
          <w:color w:val="auto"/>
        </w:rPr>
      </w:pPr>
    </w:p>
    <w:p>
      <w:pPr>
        <w:ind w:left="80"/>
        <w:spacing w:after="0"/>
        <w:rPr>
          <w:sz w:val="20"/>
          <w:szCs w:val="20"/>
          <w:color w:val="auto"/>
        </w:rPr>
      </w:pPr>
      <w:r>
        <w:rPr>
          <w:rFonts w:ascii="Times New Roman" w:cs="Times New Roman" w:eastAsia="Times New Roman" w:hAnsi="Times New Roman"/>
          <w:sz w:val="24"/>
          <w:szCs w:val="24"/>
          <w:b w:val="1"/>
          <w:bCs w:val="1"/>
          <w:color w:val="auto"/>
        </w:rPr>
        <w:t>PART IV: GENERAL CONDITIONS</w:t>
      </w:r>
    </w:p>
    <w:p>
      <w:pPr>
        <w:spacing w:after="0" w:line="200" w:lineRule="exact"/>
        <w:rPr>
          <w:sz w:val="20"/>
          <w:szCs w:val="20"/>
          <w:color w:val="auto"/>
        </w:rPr>
      </w:pPr>
    </w:p>
    <w:p>
      <w:pPr>
        <w:spacing w:after="0" w:line="352" w:lineRule="exact"/>
        <w:rPr>
          <w:sz w:val="20"/>
          <w:szCs w:val="20"/>
          <w:color w:val="auto"/>
        </w:rPr>
      </w:pPr>
    </w:p>
    <w:p>
      <w:pPr>
        <w:ind w:left="80"/>
        <w:spacing w:after="0"/>
        <w:rPr>
          <w:sz w:val="20"/>
          <w:szCs w:val="20"/>
          <w:color w:val="auto"/>
        </w:rPr>
      </w:pPr>
      <w:r>
        <w:rPr>
          <w:rFonts w:ascii="Times New Roman" w:cs="Times New Roman" w:eastAsia="Times New Roman" w:hAnsi="Times New Roman"/>
          <w:sz w:val="24"/>
          <w:szCs w:val="24"/>
          <w:b w:val="1"/>
          <w:bCs w:val="1"/>
          <w:color w:val="auto"/>
        </w:rPr>
        <w:t>Lock-in</w:t>
      </w:r>
    </w:p>
    <w:p>
      <w:pPr>
        <w:spacing w:after="0" w:line="147" w:lineRule="exact"/>
        <w:rPr>
          <w:sz w:val="20"/>
          <w:szCs w:val="20"/>
          <w:color w:val="auto"/>
        </w:rPr>
      </w:pPr>
    </w:p>
    <w:p>
      <w:pPr>
        <w:jc w:val="both"/>
        <w:ind w:left="80" w:firstLine="4"/>
        <w:spacing w:after="0" w:line="354" w:lineRule="auto"/>
        <w:tabs>
          <w:tab w:leader="none" w:pos="594" w:val="left"/>
        </w:tabs>
        <w:numPr>
          <w:ilvl w:val="0"/>
          <w:numId w:val="68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The entire pre-issue capital of the shareholders shall be locked-in for a period of six months from the date of allotment in case of listing pursuant to a public issue or date of listing in case of listing without a public issue:</w:t>
      </w:r>
    </w:p>
    <w:p>
      <w:pPr>
        <w:spacing w:after="0" w:line="7" w:lineRule="exact"/>
        <w:rPr>
          <w:rFonts w:ascii="Times New Roman" w:cs="Times New Roman" w:eastAsia="Times New Roman" w:hAnsi="Times New Roman"/>
          <w:sz w:val="24"/>
          <w:szCs w:val="24"/>
          <w:b w:val="1"/>
          <w:bCs w:val="1"/>
          <w:color w:val="auto"/>
        </w:rPr>
      </w:pPr>
    </w:p>
    <w:p>
      <w:pPr>
        <w:ind w:left="80"/>
        <w:spacing w:after="0"/>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Provided that nothing contained in this regulation shall apply to:</w:t>
      </w:r>
    </w:p>
    <w:p>
      <w:pPr>
        <w:spacing w:after="0" w:line="152" w:lineRule="exact"/>
        <w:rPr>
          <w:rFonts w:ascii="Times New Roman" w:cs="Times New Roman" w:eastAsia="Times New Roman" w:hAnsi="Times New Roman"/>
          <w:sz w:val="24"/>
          <w:szCs w:val="24"/>
          <w:b w:val="1"/>
          <w:bCs w:val="1"/>
          <w:color w:val="auto"/>
        </w:rPr>
      </w:pPr>
    </w:p>
    <w:p>
      <w:pPr>
        <w:jc w:val="both"/>
        <w:ind w:left="720" w:hanging="368"/>
        <w:spacing w:after="0" w:line="353" w:lineRule="auto"/>
        <w:tabs>
          <w:tab w:leader="none" w:pos="720" w:val="left"/>
        </w:tabs>
        <w:numPr>
          <w:ilvl w:val="1"/>
          <w:numId w:val="688"/>
        </w:numPr>
        <w:rPr>
          <w:rFonts w:ascii="Calibri" w:cs="Calibri" w:eastAsia="Calibri" w:hAnsi="Calibri"/>
          <w:sz w:val="22"/>
          <w:szCs w:val="22"/>
          <w:color w:val="auto"/>
        </w:rPr>
      </w:pPr>
      <w:r>
        <w:rPr>
          <w:rFonts w:ascii="Times New Roman" w:cs="Times New Roman" w:eastAsia="Times New Roman" w:hAnsi="Times New Roman"/>
          <w:sz w:val="24"/>
          <w:szCs w:val="24"/>
          <w:color w:val="auto"/>
        </w:rPr>
        <w:t xml:space="preserve">equity shares allotted to employees, whether currently an employee or not, under an employee stock option or employee stock purchase scheme of the issuer prior to the initial public offer, if the issuer has made full disclosures with respect to such options or scheme in accordance with Part A of </w:t>
      </w:r>
      <w:r>
        <w:rPr>
          <w:rFonts w:ascii="Times New Roman" w:cs="Times New Roman" w:eastAsia="Times New Roman" w:hAnsi="Times New Roman"/>
          <w:sz w:val="24"/>
          <w:szCs w:val="24"/>
          <w:b w:val="1"/>
          <w:bCs w:val="1"/>
          <w:color w:val="auto"/>
        </w:rPr>
        <w:t>Schedule VI</w:t>
      </w:r>
      <w:r>
        <w:rPr>
          <w:rFonts w:ascii="Times New Roman" w:cs="Times New Roman" w:eastAsia="Times New Roman" w:hAnsi="Times New Roman"/>
          <w:sz w:val="24"/>
          <w:szCs w:val="24"/>
          <w:color w:val="auto"/>
        </w:rPr>
        <w:t>;</w:t>
      </w:r>
    </w:p>
    <w:p>
      <w:pPr>
        <w:spacing w:after="0" w:line="21" w:lineRule="exact"/>
        <w:rPr>
          <w:rFonts w:ascii="Calibri" w:cs="Calibri" w:eastAsia="Calibri" w:hAnsi="Calibri"/>
          <w:sz w:val="22"/>
          <w:szCs w:val="22"/>
          <w:color w:val="auto"/>
        </w:rPr>
      </w:pPr>
    </w:p>
    <w:p>
      <w:pPr>
        <w:jc w:val="both"/>
        <w:ind w:left="720" w:hanging="368"/>
        <w:spacing w:after="0" w:line="353" w:lineRule="auto"/>
        <w:tabs>
          <w:tab w:leader="none" w:pos="720" w:val="left"/>
        </w:tabs>
        <w:numPr>
          <w:ilvl w:val="1"/>
          <w:numId w:val="688"/>
        </w:numPr>
        <w:rPr>
          <w:rFonts w:ascii="Calibri" w:cs="Calibri" w:eastAsia="Calibri" w:hAnsi="Calibri"/>
          <w:sz w:val="22"/>
          <w:szCs w:val="22"/>
          <w:color w:val="auto"/>
        </w:rPr>
      </w:pPr>
      <w:r>
        <w:rPr>
          <w:rFonts w:ascii="Times New Roman" w:cs="Times New Roman" w:eastAsia="Times New Roman" w:hAnsi="Times New Roman"/>
          <w:sz w:val="24"/>
          <w:szCs w:val="24"/>
          <w:color w:val="auto"/>
        </w:rPr>
        <w:t>equity shares held by an employee stock option trust or transferred to the employees by an employee stock option trust pursuant to exercise of options by the employees, whether currently employees or not, in accordance with the employee stock option plan or employee stock purchase scheme.</w:t>
      </w:r>
    </w:p>
    <w:p>
      <w:pPr>
        <w:spacing w:after="0" w:line="22" w:lineRule="exact"/>
        <w:rPr>
          <w:rFonts w:ascii="Calibri" w:cs="Calibri" w:eastAsia="Calibri" w:hAnsi="Calibri"/>
          <w:sz w:val="22"/>
          <w:szCs w:val="22"/>
          <w:color w:val="auto"/>
        </w:rPr>
      </w:pPr>
    </w:p>
    <w:p>
      <w:pPr>
        <w:jc w:val="both"/>
        <w:ind w:left="720"/>
        <w:spacing w:after="0" w:line="354" w:lineRule="auto"/>
        <w:rPr>
          <w:rFonts w:ascii="Calibri" w:cs="Calibri" w:eastAsia="Calibri" w:hAnsi="Calibri"/>
          <w:sz w:val="22"/>
          <w:szCs w:val="22"/>
          <w:color w:val="auto"/>
        </w:rPr>
      </w:pPr>
      <w:r>
        <w:rPr>
          <w:rFonts w:ascii="Times New Roman" w:cs="Times New Roman" w:eastAsia="Times New Roman" w:hAnsi="Times New Roman"/>
          <w:sz w:val="24"/>
          <w:szCs w:val="24"/>
          <w:color w:val="auto"/>
        </w:rPr>
        <w:t>Provided that the equity shares allotted to the employees shall be subject to the provisions of lock-in as specified under the Securities and Exchange Board of India (Share Based Employee Benefits) Regulations, 2014.</w:t>
      </w:r>
    </w:p>
    <w:p>
      <w:pPr>
        <w:spacing w:after="0" w:line="19" w:lineRule="exact"/>
        <w:rPr>
          <w:rFonts w:ascii="Calibri" w:cs="Calibri" w:eastAsia="Calibri" w:hAnsi="Calibri"/>
          <w:sz w:val="22"/>
          <w:szCs w:val="22"/>
          <w:color w:val="auto"/>
        </w:rPr>
      </w:pPr>
    </w:p>
    <w:p>
      <w:pPr>
        <w:ind w:left="720" w:hanging="368"/>
        <w:spacing w:after="0" w:line="344" w:lineRule="auto"/>
        <w:tabs>
          <w:tab w:leader="none" w:pos="720" w:val="left"/>
        </w:tabs>
        <w:numPr>
          <w:ilvl w:val="1"/>
          <w:numId w:val="688"/>
        </w:numPr>
        <w:rPr>
          <w:rFonts w:ascii="Calibri" w:cs="Calibri" w:eastAsia="Calibri" w:hAnsi="Calibri"/>
          <w:sz w:val="22"/>
          <w:szCs w:val="22"/>
          <w:color w:val="auto"/>
        </w:rPr>
      </w:pPr>
      <w:r>
        <w:rPr>
          <w:rFonts w:ascii="Times New Roman" w:cs="Times New Roman" w:eastAsia="Times New Roman" w:hAnsi="Times New Roman"/>
          <w:sz w:val="24"/>
          <w:szCs w:val="24"/>
          <w:color w:val="auto"/>
        </w:rPr>
        <w:t>equity shares held by a venture capital fund or alternative investment fund of Category I or a foreign venture capital investor:</w:t>
      </w:r>
    </w:p>
    <w:p>
      <w:pPr>
        <w:spacing w:after="0" w:line="26" w:lineRule="exact"/>
        <w:rPr>
          <w:rFonts w:ascii="Calibri" w:cs="Calibri" w:eastAsia="Calibri" w:hAnsi="Calibri"/>
          <w:sz w:val="22"/>
          <w:szCs w:val="22"/>
          <w:color w:val="auto"/>
        </w:rPr>
      </w:pPr>
    </w:p>
    <w:p>
      <w:pPr>
        <w:jc w:val="both"/>
        <w:ind w:left="720"/>
        <w:spacing w:after="0" w:line="354" w:lineRule="auto"/>
        <w:rPr>
          <w:rFonts w:ascii="Calibri" w:cs="Calibri" w:eastAsia="Calibri" w:hAnsi="Calibri"/>
          <w:sz w:val="22"/>
          <w:szCs w:val="22"/>
          <w:color w:val="auto"/>
        </w:rPr>
      </w:pPr>
      <w:r>
        <w:rPr>
          <w:rFonts w:ascii="Times New Roman" w:cs="Times New Roman" w:eastAsia="Times New Roman" w:hAnsi="Times New Roman"/>
          <w:sz w:val="24"/>
          <w:szCs w:val="24"/>
          <w:color w:val="auto"/>
        </w:rPr>
        <w:t>Provided that such equity shares shall be locked-in for a period of at least one year from the date of purchase by the venture capital fund or alternative investment fund or foreign venture capital investor.</w:t>
      </w:r>
    </w:p>
    <w:p>
      <w:pPr>
        <w:spacing w:after="0" w:line="22" w:lineRule="exact"/>
        <w:rPr>
          <w:rFonts w:ascii="Calibri" w:cs="Calibri" w:eastAsia="Calibri" w:hAnsi="Calibri"/>
          <w:sz w:val="22"/>
          <w:szCs w:val="22"/>
          <w:color w:val="auto"/>
        </w:rPr>
      </w:pPr>
    </w:p>
    <w:p>
      <w:pPr>
        <w:ind w:left="720" w:hanging="368"/>
        <w:spacing w:after="0" w:line="342" w:lineRule="auto"/>
        <w:tabs>
          <w:tab w:leader="none" w:pos="780" w:val="left"/>
        </w:tabs>
        <w:numPr>
          <w:ilvl w:val="1"/>
          <w:numId w:val="688"/>
        </w:numPr>
        <w:rPr>
          <w:rFonts w:ascii="Calibri" w:cs="Calibri" w:eastAsia="Calibri" w:hAnsi="Calibri"/>
          <w:sz w:val="22"/>
          <w:szCs w:val="22"/>
          <w:color w:val="auto"/>
        </w:rPr>
      </w:pPr>
      <w:r>
        <w:rPr>
          <w:rFonts w:ascii="Times New Roman" w:cs="Times New Roman" w:eastAsia="Times New Roman" w:hAnsi="Times New Roman"/>
          <w:sz w:val="24"/>
          <w:szCs w:val="24"/>
          <w:color w:val="auto"/>
        </w:rPr>
        <w:t>equity shares held by persons other than the promoters, continuously for a period of at least one year prior to the date of listing in case of listing without a public issue:</w:t>
      </w:r>
    </w:p>
    <w:p>
      <w:pPr>
        <w:spacing w:after="0" w:line="31" w:lineRule="exact"/>
        <w:rPr>
          <w:sz w:val="20"/>
          <w:szCs w:val="20"/>
          <w:color w:val="auto"/>
        </w:rPr>
      </w:pPr>
    </w:p>
    <w:p>
      <w:pPr>
        <w:jc w:val="both"/>
        <w:ind w:left="720"/>
        <w:spacing w:after="0" w:line="357" w:lineRule="auto"/>
        <w:rPr>
          <w:sz w:val="20"/>
          <w:szCs w:val="20"/>
          <w:color w:val="auto"/>
        </w:rPr>
      </w:pPr>
      <w:r>
        <w:rPr>
          <w:rFonts w:ascii="Times New Roman" w:cs="Times New Roman" w:eastAsia="Times New Roman" w:hAnsi="Times New Roman"/>
          <w:sz w:val="24"/>
          <w:szCs w:val="24"/>
          <w:b w:val="1"/>
          <w:bCs w:val="1"/>
          <w:color w:val="auto"/>
        </w:rPr>
        <w:t xml:space="preserve">Explanation: </w:t>
      </w:r>
      <w:r>
        <w:rPr>
          <w:rFonts w:ascii="Times New Roman" w:cs="Times New Roman" w:eastAsia="Times New Roman" w:hAnsi="Times New Roman"/>
          <w:sz w:val="24"/>
          <w:szCs w:val="24"/>
          <w:color w:val="auto"/>
        </w:rPr>
        <w:t>For the purpose of clause (c) and (d), in case such equity shares have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resulted pursuant to conversion of fully paid-up compulsorily convertible securities, the holding period of such convertible securities as well as that of resultant equity shares together shall be considered for the purpose of calculation of one year period and the convertible securities shall be deemed to be fully paid-up, if the entire consideration payable thereon has been paid at the time of their conversion.</w:t>
      </w: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spacing w:after="0" w:line="211" w:lineRule="auto"/>
        <w:rPr>
          <w:sz w:val="20"/>
          <w:szCs w:val="20"/>
          <w:color w:val="auto"/>
        </w:rPr>
      </w:pPr>
      <w:r>
        <w:rPr>
          <w:rFonts w:ascii="Times New Roman" w:cs="Times New Roman" w:eastAsia="Times New Roman" w:hAnsi="Times New Roman"/>
          <w:sz w:val="25"/>
          <w:szCs w:val="25"/>
          <w:color w:val="auto"/>
          <w:vertAlign w:val="superscript"/>
        </w:rPr>
        <w:t>97</w:t>
      </w:r>
      <w:r>
        <w:rPr>
          <w:rFonts w:ascii="Times New Roman" w:cs="Times New Roman" w:eastAsia="Times New Roman" w:hAnsi="Times New Roman"/>
          <w:sz w:val="20"/>
          <w:szCs w:val="20"/>
          <w:color w:val="auto"/>
        </w:rPr>
        <w:t xml:space="preserve"> Renumbered by the Securities and Exchange Board of India (Issue of Capital and Disclosure Requirements) (Second Amendment) Regulations, 2019, w-e-f 05.04.2019. Prior to its renumbering, it read as sub-regulation “(6)”.</w:t>
      </w:r>
    </w:p>
    <w:p>
      <w:pPr>
        <w:spacing w:after="0" w:line="30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167</w:t>
      </w:r>
    </w:p>
    <w:p>
      <w:pPr>
        <w:sectPr>
          <w:pgSz w:w="11900" w:h="16836" w:orient="portrait"/>
          <w:cols w:equalWidth="0" w:num="1">
            <w:col w:w="9460"/>
          </w:cols>
          <w:pgMar w:left="1160" w:top="1440" w:right="1284" w:bottom="103" w:gutter="0" w:footer="0" w:header="0"/>
        </w:sectPr>
      </w:pPr>
    </w:p>
    <w:bookmarkStart w:id="167" w:name="page168"/>
    <w:bookmarkEnd w:id="167"/>
    <w:p>
      <w:pPr>
        <w:jc w:val="both"/>
        <w:ind w:left="88" w:firstLine="4"/>
        <w:spacing w:after="0" w:line="357" w:lineRule="auto"/>
        <w:tabs>
          <w:tab w:leader="none" w:pos="481" w:val="left"/>
        </w:tabs>
        <w:numPr>
          <w:ilvl w:val="0"/>
          <w:numId w:val="6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specified securities held by the promoters and locked-in may be pledged with any scheduled commercial bank or public financial institution or systemically important non-banking finance company as a collateral security for a loan granted by such bank or institution or systemically important non-banking finance company if the pledge of specified securities is one of the terms of sanction of the loan.</w:t>
      </w:r>
    </w:p>
    <w:p>
      <w:pPr>
        <w:spacing w:after="0" w:line="16" w:lineRule="exact"/>
        <w:rPr>
          <w:rFonts w:ascii="Times New Roman" w:cs="Times New Roman" w:eastAsia="Times New Roman" w:hAnsi="Times New Roman"/>
          <w:sz w:val="24"/>
          <w:szCs w:val="24"/>
          <w:color w:val="auto"/>
        </w:rPr>
      </w:pPr>
    </w:p>
    <w:p>
      <w:pPr>
        <w:ind w:left="88" w:firstLine="4"/>
        <w:spacing w:after="0" w:line="350" w:lineRule="auto"/>
        <w:tabs>
          <w:tab w:leader="none" w:pos="440" w:val="left"/>
        </w:tabs>
        <w:numPr>
          <w:ilvl w:val="0"/>
          <w:numId w:val="6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specified securities that are locked-in may be transferable in accordance with regulation 288 of these regulations.</w:t>
      </w:r>
    </w:p>
    <w:p>
      <w:pPr>
        <w:spacing w:after="0" w:line="23" w:lineRule="exact"/>
        <w:rPr>
          <w:rFonts w:ascii="Times New Roman" w:cs="Times New Roman" w:eastAsia="Times New Roman" w:hAnsi="Times New Roman"/>
          <w:sz w:val="24"/>
          <w:szCs w:val="24"/>
          <w:color w:val="auto"/>
        </w:rPr>
      </w:pPr>
    </w:p>
    <w:p>
      <w:pPr>
        <w:jc w:val="both"/>
        <w:ind w:left="88" w:firstLine="4"/>
        <w:spacing w:after="0" w:line="354" w:lineRule="auto"/>
        <w:tabs>
          <w:tab w:leader="none" w:pos="433" w:val="left"/>
        </w:tabs>
        <w:numPr>
          <w:ilvl w:val="0"/>
          <w:numId w:val="6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All specified securities allotted on a discretionary basis shall be locked-in in accordance with the requirements for lock-in for the anchor investors on the main board of the stock exchange, as specified under Part A of </w:t>
      </w:r>
      <w:r>
        <w:rPr>
          <w:rFonts w:ascii="Times New Roman" w:cs="Times New Roman" w:eastAsia="Times New Roman" w:hAnsi="Times New Roman"/>
          <w:sz w:val="24"/>
          <w:szCs w:val="24"/>
          <w:b w:val="1"/>
          <w:bCs w:val="1"/>
          <w:color w:val="auto"/>
        </w:rPr>
        <w:t>Schedule XIII</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228" w:lineRule="exact"/>
        <w:rPr>
          <w:sz w:val="20"/>
          <w:szCs w:val="20"/>
          <w:color w:val="auto"/>
        </w:rPr>
      </w:pPr>
    </w:p>
    <w:p>
      <w:pPr>
        <w:ind w:left="88"/>
        <w:spacing w:after="0"/>
        <w:rPr>
          <w:sz w:val="20"/>
          <w:szCs w:val="20"/>
          <w:color w:val="auto"/>
        </w:rPr>
      </w:pPr>
      <w:r>
        <w:rPr>
          <w:rFonts w:ascii="Times New Roman" w:cs="Times New Roman" w:eastAsia="Times New Roman" w:hAnsi="Times New Roman"/>
          <w:sz w:val="24"/>
          <w:szCs w:val="24"/>
          <w:b w:val="1"/>
          <w:bCs w:val="1"/>
          <w:color w:val="auto"/>
        </w:rPr>
        <w:t>Trading lot</w:t>
      </w:r>
    </w:p>
    <w:p>
      <w:pPr>
        <w:spacing w:after="0" w:line="127" w:lineRule="exact"/>
        <w:rPr>
          <w:sz w:val="20"/>
          <w:szCs w:val="20"/>
          <w:color w:val="auto"/>
        </w:rPr>
      </w:pPr>
    </w:p>
    <w:p>
      <w:pPr>
        <w:ind w:left="88" w:firstLine="4"/>
        <w:spacing w:after="0" w:line="285" w:lineRule="auto"/>
        <w:tabs>
          <w:tab w:leader="none" w:pos="572" w:val="left"/>
        </w:tabs>
        <w:numPr>
          <w:ilvl w:val="0"/>
          <w:numId w:val="69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The minimum trading lot on the stock exchange shall be </w:t>
      </w:r>
      <w:r>
        <w:rPr>
          <w:rFonts w:ascii="Times New Roman" w:cs="Times New Roman" w:eastAsia="Times New Roman" w:hAnsi="Times New Roman"/>
          <w:sz w:val="32"/>
          <w:szCs w:val="32"/>
          <w:color w:val="auto"/>
          <w:vertAlign w:val="superscript"/>
        </w:rPr>
        <w:t>98</w:t>
      </w:r>
      <w:r>
        <w:rPr>
          <w:rFonts w:ascii="Times New Roman" w:cs="Times New Roman" w:eastAsia="Times New Roman" w:hAnsi="Times New Roman"/>
          <w:sz w:val="24"/>
          <w:szCs w:val="24"/>
          <w:color w:val="auto"/>
        </w:rPr>
        <w:t>[two lakh rupees and in multiples thereof].</w:t>
      </w:r>
    </w:p>
    <w:p>
      <w:pPr>
        <w:spacing w:after="0" w:line="200" w:lineRule="exact"/>
        <w:rPr>
          <w:sz w:val="20"/>
          <w:szCs w:val="20"/>
          <w:color w:val="auto"/>
        </w:rPr>
      </w:pPr>
    </w:p>
    <w:p>
      <w:pPr>
        <w:spacing w:after="0" w:line="289" w:lineRule="exact"/>
        <w:rPr>
          <w:sz w:val="20"/>
          <w:szCs w:val="20"/>
          <w:color w:val="auto"/>
        </w:rPr>
      </w:pPr>
    </w:p>
    <w:p>
      <w:pPr>
        <w:ind w:left="88"/>
        <w:spacing w:after="0"/>
        <w:rPr>
          <w:sz w:val="20"/>
          <w:szCs w:val="20"/>
          <w:color w:val="auto"/>
        </w:rPr>
      </w:pPr>
      <w:r>
        <w:rPr>
          <w:rFonts w:ascii="Times New Roman" w:cs="Times New Roman" w:eastAsia="Times New Roman" w:hAnsi="Times New Roman"/>
          <w:sz w:val="24"/>
          <w:szCs w:val="24"/>
          <w:b w:val="1"/>
          <w:bCs w:val="1"/>
          <w:color w:val="auto"/>
        </w:rPr>
        <w:t>Exit of issuers whose securities are trading without making a public offer</w:t>
      </w:r>
    </w:p>
    <w:p>
      <w:pPr>
        <w:spacing w:after="0" w:line="127" w:lineRule="exact"/>
        <w:rPr>
          <w:sz w:val="20"/>
          <w:szCs w:val="20"/>
          <w:color w:val="auto"/>
        </w:rPr>
      </w:pPr>
    </w:p>
    <w:p>
      <w:pPr>
        <w:ind w:left="88" w:firstLine="4"/>
        <w:spacing w:after="0" w:line="285" w:lineRule="auto"/>
        <w:tabs>
          <w:tab w:leader="none" w:pos="628" w:val="left"/>
        </w:tabs>
        <w:numPr>
          <w:ilvl w:val="0"/>
          <w:numId w:val="69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An issuer whose specified securities are traded on the </w:t>
      </w:r>
      <w:r>
        <w:rPr>
          <w:rFonts w:ascii="Times New Roman" w:cs="Times New Roman" w:eastAsia="Times New Roman" w:hAnsi="Times New Roman"/>
          <w:sz w:val="32"/>
          <w:szCs w:val="32"/>
          <w:color w:val="auto"/>
          <w:vertAlign w:val="superscript"/>
        </w:rPr>
        <w:t>99</w:t>
      </w:r>
      <w:r>
        <w:rPr>
          <w:rFonts w:ascii="Times New Roman" w:cs="Times New Roman" w:eastAsia="Times New Roman" w:hAnsi="Times New Roman"/>
          <w:sz w:val="24"/>
          <w:szCs w:val="24"/>
          <w:color w:val="auto"/>
        </w:rPr>
        <w:t>[innovators growth platform] without making a public issue may exit from that platform, if</w:t>
      </w:r>
    </w:p>
    <w:p>
      <w:pPr>
        <w:spacing w:after="0" w:line="83" w:lineRule="exact"/>
        <w:rPr>
          <w:sz w:val="20"/>
          <w:szCs w:val="20"/>
          <w:color w:val="auto"/>
        </w:rPr>
      </w:pPr>
    </w:p>
    <w:p>
      <w:pPr>
        <w:jc w:val="both"/>
        <w:ind w:left="548" w:hanging="456"/>
        <w:spacing w:after="0" w:line="350" w:lineRule="auto"/>
        <w:tabs>
          <w:tab w:leader="none" w:pos="548" w:val="left"/>
        </w:tabs>
        <w:numPr>
          <w:ilvl w:val="0"/>
          <w:numId w:val="692"/>
        </w:numPr>
        <w:rPr>
          <w:rFonts w:ascii="Calibri" w:cs="Calibri" w:eastAsia="Calibri" w:hAnsi="Calibri"/>
          <w:sz w:val="22"/>
          <w:szCs w:val="22"/>
          <w:color w:val="auto"/>
        </w:rPr>
      </w:pPr>
      <w:r>
        <w:rPr>
          <w:rFonts w:ascii="Times New Roman" w:cs="Times New Roman" w:eastAsia="Times New Roman" w:hAnsi="Times New Roman"/>
          <w:sz w:val="24"/>
          <w:szCs w:val="24"/>
          <w:color w:val="auto"/>
        </w:rPr>
        <w:t>its shareholders approve such an exit by passing a special resolution through postal ballot where ninety per cent of the total votes and the majority of non-promoter votes have been cast in favor of such proposal; and</w:t>
      </w:r>
    </w:p>
    <w:p>
      <w:pPr>
        <w:spacing w:after="0" w:line="3" w:lineRule="exact"/>
        <w:rPr>
          <w:rFonts w:ascii="Calibri" w:cs="Calibri" w:eastAsia="Calibri" w:hAnsi="Calibri"/>
          <w:sz w:val="22"/>
          <w:szCs w:val="22"/>
          <w:color w:val="auto"/>
        </w:rPr>
      </w:pPr>
    </w:p>
    <w:p>
      <w:pPr>
        <w:ind w:left="548" w:hanging="456"/>
        <w:spacing w:after="0"/>
        <w:tabs>
          <w:tab w:leader="none" w:pos="548" w:val="left"/>
        </w:tabs>
        <w:numPr>
          <w:ilvl w:val="0"/>
          <w:numId w:val="692"/>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recognised stock exchange where its shares are listed approves of such an exit.</w:t>
      </w:r>
    </w:p>
    <w:p>
      <w:pPr>
        <w:spacing w:after="0" w:line="200" w:lineRule="exact"/>
        <w:rPr>
          <w:sz w:val="20"/>
          <w:szCs w:val="20"/>
          <w:color w:val="auto"/>
        </w:rPr>
      </w:pPr>
    </w:p>
    <w:p>
      <w:pPr>
        <w:spacing w:after="0" w:line="357" w:lineRule="exact"/>
        <w:rPr>
          <w:sz w:val="20"/>
          <w:szCs w:val="20"/>
          <w:color w:val="auto"/>
        </w:rPr>
      </w:pPr>
    </w:p>
    <w:p>
      <w:pPr>
        <w:ind w:left="88"/>
        <w:spacing w:after="0"/>
        <w:rPr>
          <w:sz w:val="20"/>
          <w:szCs w:val="20"/>
          <w:color w:val="auto"/>
        </w:rPr>
      </w:pPr>
      <w:r>
        <w:rPr>
          <w:rFonts w:ascii="Times New Roman" w:cs="Times New Roman" w:eastAsia="Times New Roman" w:hAnsi="Times New Roman"/>
          <w:sz w:val="24"/>
          <w:szCs w:val="24"/>
          <w:b w:val="1"/>
          <w:bCs w:val="1"/>
          <w:color w:val="auto"/>
        </w:rPr>
        <w:t>Withdrawal of approval by the stock exchange</w:t>
      </w:r>
    </w:p>
    <w:p>
      <w:pPr>
        <w:spacing w:after="0" w:line="147" w:lineRule="exact"/>
        <w:rPr>
          <w:sz w:val="20"/>
          <w:szCs w:val="20"/>
          <w:color w:val="auto"/>
        </w:rPr>
      </w:pPr>
    </w:p>
    <w:p>
      <w:pPr>
        <w:jc w:val="both"/>
        <w:ind w:left="88"/>
        <w:spacing w:after="0" w:line="354" w:lineRule="auto"/>
        <w:rPr>
          <w:sz w:val="20"/>
          <w:szCs w:val="20"/>
          <w:color w:val="auto"/>
        </w:rPr>
      </w:pPr>
      <w:r>
        <w:rPr>
          <w:rFonts w:ascii="Times New Roman" w:cs="Times New Roman" w:eastAsia="Times New Roman" w:hAnsi="Times New Roman"/>
          <w:sz w:val="24"/>
          <w:szCs w:val="24"/>
          <w:b w:val="1"/>
          <w:bCs w:val="1"/>
          <w:color w:val="auto"/>
        </w:rPr>
        <w:t>291</w:t>
      </w:r>
      <w:r>
        <w:rPr>
          <w:rFonts w:ascii="Times New Roman" w:cs="Times New Roman" w:eastAsia="Times New Roman" w:hAnsi="Times New Roman"/>
          <w:sz w:val="24"/>
          <w:szCs w:val="24"/>
          <w:color w:val="auto"/>
        </w:rPr>
        <w:t>. (1) The recognised stock exchange may delist the specified securities of an issuer listed</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without making a public issue upon non-compliance of the conditions of listing and in the manner as specified by the stock exchange.</w:t>
      </w:r>
    </w:p>
    <w:p>
      <w:pPr>
        <w:spacing w:after="0" w:line="7" w:lineRule="exact"/>
        <w:rPr>
          <w:sz w:val="20"/>
          <w:szCs w:val="20"/>
          <w:color w:val="auto"/>
        </w:rPr>
      </w:pPr>
    </w:p>
    <w:p>
      <w:pPr>
        <w:ind w:left="448" w:hanging="356"/>
        <w:spacing w:after="0"/>
        <w:tabs>
          <w:tab w:leader="none" w:pos="448" w:val="left"/>
        </w:tabs>
        <w:numPr>
          <w:ilvl w:val="0"/>
          <w:numId w:val="69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No issuer promoted by the promoters and directors of an entity delisted under sub-regulation</w:t>
      </w:r>
    </w:p>
    <w:p>
      <w:pPr>
        <w:spacing w:after="0" w:line="131" w:lineRule="exact"/>
        <w:rPr>
          <w:rFonts w:ascii="Times New Roman" w:cs="Times New Roman" w:eastAsia="Times New Roman" w:hAnsi="Times New Roman"/>
          <w:sz w:val="24"/>
          <w:szCs w:val="24"/>
          <w:color w:val="auto"/>
        </w:rPr>
      </w:pPr>
    </w:p>
    <w:p>
      <w:pPr>
        <w:ind w:left="88"/>
        <w:spacing w:after="0" w:line="285"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 shall be permitted to list on the </w:t>
      </w:r>
      <w:r>
        <w:rPr>
          <w:rFonts w:ascii="Times New Roman" w:cs="Times New Roman" w:eastAsia="Times New Roman" w:hAnsi="Times New Roman"/>
          <w:sz w:val="32"/>
          <w:szCs w:val="32"/>
          <w:color w:val="auto"/>
          <w:vertAlign w:val="superscript"/>
        </w:rPr>
        <w:t>100</w:t>
      </w:r>
      <w:r>
        <w:rPr>
          <w:rFonts w:ascii="Times New Roman" w:cs="Times New Roman" w:eastAsia="Times New Roman" w:hAnsi="Times New Roman"/>
          <w:sz w:val="24"/>
          <w:szCs w:val="24"/>
          <w:color w:val="auto"/>
        </w:rPr>
        <w:t>[innovators growth platform] for a period of five years from the date of such delisting: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8" w:lineRule="exact"/>
        <w:rPr>
          <w:sz w:val="20"/>
          <w:szCs w:val="20"/>
          <w:color w:val="auto"/>
        </w:rPr>
      </w:pPr>
    </w:p>
    <w:p>
      <w:pPr>
        <w:ind w:left="8" w:hanging="8"/>
        <w:spacing w:after="0" w:line="203" w:lineRule="auto"/>
        <w:tabs>
          <w:tab w:leader="none" w:pos="192" w:val="left"/>
        </w:tabs>
        <w:numPr>
          <w:ilvl w:val="0"/>
          <w:numId w:val="694"/>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Securities and Exchange Board of India (Issue of Capital and Disclosure Requirements) (Second Amendment) Regulations, 2019, w-e-f 05.04.2019. Prior to its substitution, it read as “ten lakh rupees”.</w:t>
      </w:r>
    </w:p>
    <w:p>
      <w:pPr>
        <w:spacing w:after="0" w:line="13" w:lineRule="exact"/>
        <w:rPr>
          <w:rFonts w:ascii="Times New Roman" w:cs="Times New Roman" w:eastAsia="Times New Roman" w:hAnsi="Times New Roman"/>
          <w:sz w:val="26"/>
          <w:szCs w:val="26"/>
          <w:color w:val="auto"/>
          <w:vertAlign w:val="superscript"/>
        </w:rPr>
      </w:pPr>
    </w:p>
    <w:p>
      <w:pPr>
        <w:ind w:left="8" w:hanging="8"/>
        <w:spacing w:after="0" w:line="203" w:lineRule="auto"/>
        <w:tabs>
          <w:tab w:leader="none" w:pos="192" w:val="left"/>
        </w:tabs>
        <w:numPr>
          <w:ilvl w:val="0"/>
          <w:numId w:val="694"/>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Securities and Exchange Board of India (Issue of Capital and Disclosure Requirements) (Second Amendment) Regulations, 2019, w-e-f 05.04.2019. Prior to its substitution, it read as “institutional trading platform”.</w:t>
      </w:r>
    </w:p>
    <w:p>
      <w:pPr>
        <w:spacing w:after="0" w:line="30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168</w:t>
      </w:r>
    </w:p>
    <w:p>
      <w:pPr>
        <w:sectPr>
          <w:pgSz w:w="11900" w:h="16836" w:orient="portrait"/>
          <w:cols w:equalWidth="0" w:num="1">
            <w:col w:w="9468"/>
          </w:cols>
          <w:pgMar w:left="1152" w:top="1156" w:right="1284" w:bottom="103" w:gutter="0" w:footer="0" w:header="0"/>
        </w:sectPr>
      </w:pPr>
    </w:p>
    <w:bookmarkStart w:id="168" w:name="page169"/>
    <w:bookmarkEnd w:id="168"/>
    <w:p>
      <w:pPr>
        <w:ind w:left="88"/>
        <w:spacing w:after="0" w:line="348" w:lineRule="auto"/>
        <w:rPr>
          <w:sz w:val="20"/>
          <w:szCs w:val="20"/>
          <w:color w:val="auto"/>
        </w:rPr>
      </w:pPr>
      <w:r>
        <w:rPr>
          <w:rFonts w:ascii="Times New Roman" w:cs="Times New Roman" w:eastAsia="Times New Roman" w:hAnsi="Times New Roman"/>
          <w:sz w:val="24"/>
          <w:szCs w:val="24"/>
          <w:color w:val="auto"/>
        </w:rPr>
        <w:t>Provided that the provisions of this regulation shall not apply to another issuer promoted by any of the independent directors of such a delisted issuer.</w:t>
      </w:r>
    </w:p>
    <w:p>
      <w:pPr>
        <w:spacing w:after="0" w:line="200" w:lineRule="exact"/>
        <w:rPr>
          <w:sz w:val="20"/>
          <w:szCs w:val="20"/>
          <w:color w:val="auto"/>
        </w:rPr>
      </w:pPr>
    </w:p>
    <w:p>
      <w:pPr>
        <w:spacing w:after="0" w:line="238" w:lineRule="exact"/>
        <w:rPr>
          <w:sz w:val="20"/>
          <w:szCs w:val="20"/>
          <w:color w:val="auto"/>
        </w:rPr>
      </w:pPr>
    </w:p>
    <w:p>
      <w:pPr>
        <w:ind w:left="8"/>
        <w:spacing w:after="0"/>
        <w:rPr>
          <w:sz w:val="20"/>
          <w:szCs w:val="20"/>
          <w:color w:val="auto"/>
        </w:rPr>
      </w:pPr>
      <w:r>
        <w:rPr>
          <w:rFonts w:ascii="Times New Roman" w:cs="Times New Roman" w:eastAsia="Times New Roman" w:hAnsi="Times New Roman"/>
          <w:sz w:val="32"/>
          <w:szCs w:val="32"/>
          <w:b w:val="1"/>
          <w:bCs w:val="1"/>
          <w:color w:val="auto"/>
          <w:vertAlign w:val="superscript"/>
        </w:rPr>
        <w:t>101</w:t>
      </w:r>
      <w:r>
        <w:rPr>
          <w:rFonts w:ascii="Times New Roman" w:cs="Times New Roman" w:eastAsia="Times New Roman" w:hAnsi="Times New Roman"/>
          <w:sz w:val="24"/>
          <w:szCs w:val="24"/>
          <w:b w:val="1"/>
          <w:bCs w:val="1"/>
          <w:color w:val="auto"/>
        </w:rPr>
        <w:t>[PART V: MIGRATION TO THE MAIN BOARD</w:t>
      </w:r>
    </w:p>
    <w:p>
      <w:pPr>
        <w:spacing w:after="0" w:line="200" w:lineRule="exact"/>
        <w:rPr>
          <w:sz w:val="20"/>
          <w:szCs w:val="20"/>
          <w:color w:val="auto"/>
        </w:rPr>
      </w:pPr>
    </w:p>
    <w:p>
      <w:pPr>
        <w:spacing w:after="0" w:line="268" w:lineRule="exact"/>
        <w:rPr>
          <w:sz w:val="20"/>
          <w:szCs w:val="20"/>
          <w:color w:val="auto"/>
        </w:rPr>
      </w:pPr>
    </w:p>
    <w:p>
      <w:pPr>
        <w:jc w:val="both"/>
        <w:ind w:left="8" w:right="140"/>
        <w:spacing w:after="0" w:line="354" w:lineRule="auto"/>
        <w:rPr>
          <w:sz w:val="20"/>
          <w:szCs w:val="20"/>
          <w:color w:val="auto"/>
        </w:rPr>
      </w:pPr>
      <w:r>
        <w:rPr>
          <w:rFonts w:ascii="Times New Roman" w:cs="Times New Roman" w:eastAsia="Times New Roman" w:hAnsi="Times New Roman"/>
          <w:sz w:val="24"/>
          <w:szCs w:val="24"/>
          <w:b w:val="1"/>
          <w:bCs w:val="1"/>
          <w:color w:val="auto"/>
        </w:rPr>
        <w:t>Granting companies listed on the Innovators Growth Platform pursuant to an initial public offer, an option to trade under the regular category of the main board of the stock exchange</w:t>
      </w:r>
    </w:p>
    <w:p>
      <w:pPr>
        <w:spacing w:after="0" w:line="18" w:lineRule="exact"/>
        <w:rPr>
          <w:sz w:val="20"/>
          <w:szCs w:val="20"/>
          <w:color w:val="auto"/>
        </w:rPr>
      </w:pPr>
    </w:p>
    <w:p>
      <w:pPr>
        <w:jc w:val="both"/>
        <w:ind w:left="8" w:right="140" w:hanging="8"/>
        <w:spacing w:after="0" w:line="354" w:lineRule="auto"/>
        <w:tabs>
          <w:tab w:leader="none" w:pos="492" w:val="left"/>
        </w:tabs>
        <w:numPr>
          <w:ilvl w:val="0"/>
          <w:numId w:val="6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(1) A company shall be eligible to trade under the regular category of the main board of the stock exchanges, subject to fulfillment of the conditions of the stock exchanges, if any, and the fulfillment of the following conditions:</w:t>
      </w:r>
    </w:p>
    <w:p>
      <w:pPr>
        <w:spacing w:after="0" w:line="19" w:lineRule="exact"/>
        <w:rPr>
          <w:rFonts w:ascii="Times New Roman" w:cs="Times New Roman" w:eastAsia="Times New Roman" w:hAnsi="Times New Roman"/>
          <w:sz w:val="24"/>
          <w:szCs w:val="24"/>
          <w:color w:val="auto"/>
        </w:rPr>
      </w:pPr>
    </w:p>
    <w:p>
      <w:pPr>
        <w:ind w:left="708" w:right="160" w:hanging="523"/>
        <w:spacing w:after="0" w:line="350" w:lineRule="auto"/>
        <w:tabs>
          <w:tab w:leader="none" w:pos="708" w:val="left"/>
        </w:tabs>
        <w:numPr>
          <w:ilvl w:val="1"/>
          <w:numId w:val="6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 has listed its specified securities for a minimum period of one year on the Innovators Growth Platform of a recognised stock exchange;</w:t>
      </w:r>
    </w:p>
    <w:p>
      <w:pPr>
        <w:spacing w:after="0" w:line="23" w:lineRule="exact"/>
        <w:rPr>
          <w:rFonts w:ascii="Times New Roman" w:cs="Times New Roman" w:eastAsia="Times New Roman" w:hAnsi="Times New Roman"/>
          <w:sz w:val="24"/>
          <w:szCs w:val="24"/>
          <w:color w:val="auto"/>
        </w:rPr>
      </w:pPr>
    </w:p>
    <w:p>
      <w:pPr>
        <w:ind w:left="708" w:right="140" w:hanging="523"/>
        <w:spacing w:after="0" w:line="350" w:lineRule="auto"/>
        <w:tabs>
          <w:tab w:leader="none" w:pos="708" w:val="left"/>
        </w:tabs>
        <w:numPr>
          <w:ilvl w:val="1"/>
          <w:numId w:val="6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 has minimum of two hundred shareholders, at the time of making the application for trading under the regular category;</w:t>
      </w:r>
    </w:p>
    <w:p>
      <w:pPr>
        <w:spacing w:after="0" w:line="23" w:lineRule="exact"/>
        <w:rPr>
          <w:rFonts w:ascii="Times New Roman" w:cs="Times New Roman" w:eastAsia="Times New Roman" w:hAnsi="Times New Roman"/>
          <w:sz w:val="24"/>
          <w:szCs w:val="24"/>
          <w:color w:val="auto"/>
        </w:rPr>
      </w:pPr>
    </w:p>
    <w:p>
      <w:pPr>
        <w:ind w:left="708" w:right="140" w:hanging="523"/>
        <w:spacing w:after="0" w:line="350" w:lineRule="auto"/>
        <w:tabs>
          <w:tab w:leader="none" w:pos="708" w:val="left"/>
        </w:tabs>
        <w:numPr>
          <w:ilvl w:val="1"/>
          <w:numId w:val="6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company, any of its promoters, promoter group or directors are not debarred from accessing the capital market by the Board;</w:t>
      </w:r>
    </w:p>
    <w:p>
      <w:pPr>
        <w:spacing w:after="0" w:line="23" w:lineRule="exact"/>
        <w:rPr>
          <w:rFonts w:ascii="Times New Roman" w:cs="Times New Roman" w:eastAsia="Times New Roman" w:hAnsi="Times New Roman"/>
          <w:sz w:val="24"/>
          <w:szCs w:val="24"/>
          <w:color w:val="auto"/>
        </w:rPr>
      </w:pPr>
    </w:p>
    <w:p>
      <w:pPr>
        <w:ind w:left="708" w:right="160" w:hanging="523"/>
        <w:spacing w:after="0" w:line="350" w:lineRule="auto"/>
        <w:tabs>
          <w:tab w:leader="none" w:pos="708" w:val="left"/>
        </w:tabs>
        <w:numPr>
          <w:ilvl w:val="1"/>
          <w:numId w:val="6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None of the promoters or directors of the company is a promoter or director of any other company which is debarred from accessing the capital market by the Board;</w:t>
      </w:r>
    </w:p>
    <w:p>
      <w:pPr>
        <w:spacing w:after="0" w:line="10" w:lineRule="exact"/>
        <w:rPr>
          <w:rFonts w:ascii="Times New Roman" w:cs="Times New Roman" w:eastAsia="Times New Roman" w:hAnsi="Times New Roman"/>
          <w:sz w:val="24"/>
          <w:szCs w:val="24"/>
          <w:color w:val="auto"/>
        </w:rPr>
      </w:pPr>
    </w:p>
    <w:p>
      <w:pPr>
        <w:ind w:left="708" w:hanging="523"/>
        <w:spacing w:after="0"/>
        <w:tabs>
          <w:tab w:leader="none" w:pos="708" w:val="left"/>
        </w:tabs>
        <w:numPr>
          <w:ilvl w:val="1"/>
          <w:numId w:val="6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company or any of its promoters or directors is not a wilful defaulter; and</w:t>
      </w:r>
    </w:p>
    <w:p>
      <w:pPr>
        <w:spacing w:after="0" w:line="139" w:lineRule="exact"/>
        <w:rPr>
          <w:rFonts w:ascii="Times New Roman" w:cs="Times New Roman" w:eastAsia="Times New Roman" w:hAnsi="Times New Roman"/>
          <w:sz w:val="24"/>
          <w:szCs w:val="24"/>
          <w:color w:val="auto"/>
        </w:rPr>
      </w:pPr>
    </w:p>
    <w:p>
      <w:pPr>
        <w:ind w:left="708" w:hanging="523"/>
        <w:spacing w:after="0"/>
        <w:tabs>
          <w:tab w:leader="none" w:pos="708" w:val="left"/>
        </w:tabs>
        <w:numPr>
          <w:ilvl w:val="1"/>
          <w:numId w:val="6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None of the promoters or directors of the Company is a fugitive economic offender.</w:t>
      </w:r>
    </w:p>
    <w:p>
      <w:pPr>
        <w:spacing w:after="0" w:line="252" w:lineRule="exact"/>
        <w:rPr>
          <w:sz w:val="20"/>
          <w:szCs w:val="20"/>
          <w:color w:val="auto"/>
        </w:rPr>
      </w:pPr>
    </w:p>
    <w:p>
      <w:pPr>
        <w:jc w:val="both"/>
        <w:ind w:left="8" w:right="160"/>
        <w:spacing w:after="0" w:line="357" w:lineRule="auto"/>
        <w:rPr>
          <w:sz w:val="20"/>
          <w:szCs w:val="20"/>
          <w:color w:val="auto"/>
        </w:rPr>
      </w:pPr>
      <w:r>
        <w:rPr>
          <w:rFonts w:ascii="Times New Roman" w:cs="Times New Roman" w:eastAsia="Times New Roman" w:hAnsi="Times New Roman"/>
          <w:sz w:val="24"/>
          <w:szCs w:val="24"/>
          <w:b w:val="1"/>
          <w:bCs w:val="1"/>
          <w:color w:val="auto"/>
        </w:rPr>
        <w:t xml:space="preserve">Explanation: </w:t>
      </w:r>
      <w:r>
        <w:rPr>
          <w:rFonts w:ascii="Times New Roman" w:cs="Times New Roman" w:eastAsia="Times New Roman" w:hAnsi="Times New Roman"/>
          <w:sz w:val="24"/>
          <w:szCs w:val="24"/>
          <w:color w:val="auto"/>
        </w:rPr>
        <w:t>The restrictions under (c) and (d) above shall not apply to persons or</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entities mentioned therein, who were debarred in the past by the Board and the period of debarment is over as on the date of application for migration of trading to the regular category of the main board of the stock exchange.</w:t>
      </w:r>
    </w:p>
    <w:p>
      <w:pPr>
        <w:spacing w:after="0" w:line="200" w:lineRule="exact"/>
        <w:rPr>
          <w:sz w:val="20"/>
          <w:szCs w:val="20"/>
          <w:color w:val="auto"/>
        </w:rPr>
      </w:pPr>
    </w:p>
    <w:p>
      <w:pPr>
        <w:spacing w:after="0" w:line="22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Eligibility requirements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jc w:val="both"/>
        <w:ind w:left="8"/>
        <w:spacing w:after="0" w:line="220" w:lineRule="auto"/>
        <w:rPr>
          <w:sz w:val="20"/>
          <w:szCs w:val="20"/>
          <w:color w:val="auto"/>
        </w:rPr>
      </w:pPr>
      <w:r>
        <w:rPr>
          <w:rFonts w:ascii="Times New Roman" w:cs="Times New Roman" w:eastAsia="Times New Roman" w:hAnsi="Times New Roman"/>
          <w:sz w:val="25"/>
          <w:szCs w:val="25"/>
          <w:color w:val="auto"/>
          <w:vertAlign w:val="superscript"/>
        </w:rPr>
        <w:t>100</w:t>
      </w:r>
      <w:r>
        <w:rPr>
          <w:rFonts w:ascii="Times New Roman" w:cs="Times New Roman" w:eastAsia="Times New Roman" w:hAnsi="Times New Roman"/>
          <w:sz w:val="20"/>
          <w:szCs w:val="20"/>
          <w:color w:val="auto"/>
        </w:rPr>
        <w:t xml:space="preserve"> Substituted by the Securities and Exchange Board of India (Issue of Capital and Disclosure Requirements) (Second Amendment) Regulations, 2019, w-e-f 05.04.2019. Prior to its substitution, it read as “institutional trading platform”.</w:t>
      </w:r>
    </w:p>
    <w:p>
      <w:pPr>
        <w:spacing w:after="0" w:line="13" w:lineRule="exact"/>
        <w:rPr>
          <w:sz w:val="20"/>
          <w:szCs w:val="20"/>
          <w:color w:val="auto"/>
        </w:rPr>
      </w:pPr>
    </w:p>
    <w:p>
      <w:pPr>
        <w:ind w:left="88" w:firstLine="4"/>
        <w:spacing w:after="0" w:line="223" w:lineRule="auto"/>
        <w:tabs>
          <w:tab w:leader="none" w:pos="340" w:val="left"/>
        </w:tabs>
        <w:numPr>
          <w:ilvl w:val="0"/>
          <w:numId w:val="696"/>
        </w:numPr>
        <w:rPr>
          <w:rFonts w:ascii="Times New Roman" w:cs="Times New Roman" w:eastAsia="Times New Roman" w:hAnsi="Times New Roman"/>
          <w:sz w:val="24"/>
          <w:szCs w:val="24"/>
          <w:color w:val="auto"/>
          <w:vertAlign w:val="superscript"/>
        </w:rPr>
      </w:pPr>
      <w:r>
        <w:rPr>
          <w:rFonts w:ascii="Times New Roman" w:cs="Times New Roman" w:eastAsia="Times New Roman" w:hAnsi="Times New Roman"/>
          <w:sz w:val="18"/>
          <w:szCs w:val="18"/>
          <w:color w:val="auto"/>
        </w:rPr>
        <w:t>Substituted by the SEBI (Issue of Capital and Disclosure Requirements) (Fourth Amendment) Regulations, 2019 w.e.f.23.09.2019. Prior to its substitution, it read as;</w:t>
      </w:r>
    </w:p>
    <w:p>
      <w:pPr>
        <w:ind w:left="88"/>
        <w:spacing w:after="0" w:line="237" w:lineRule="auto"/>
        <w:rPr>
          <w:rFonts w:ascii="Times New Roman" w:cs="Times New Roman" w:eastAsia="Times New Roman" w:hAnsi="Times New Roman"/>
          <w:sz w:val="24"/>
          <w:szCs w:val="24"/>
          <w:color w:val="auto"/>
          <w:vertAlign w:val="superscript"/>
        </w:rPr>
      </w:pPr>
      <w:r>
        <w:rPr>
          <w:rFonts w:ascii="Times New Roman" w:cs="Times New Roman" w:eastAsia="Times New Roman" w:hAnsi="Times New Roman"/>
          <w:sz w:val="20"/>
          <w:szCs w:val="20"/>
          <w:color w:val="auto"/>
        </w:rPr>
        <w:t>“Migration to the main board</w:t>
      </w:r>
    </w:p>
    <w:p>
      <w:pPr>
        <w:spacing w:after="0" w:line="12" w:lineRule="exact"/>
        <w:rPr>
          <w:rFonts w:ascii="Times New Roman" w:cs="Times New Roman" w:eastAsia="Times New Roman" w:hAnsi="Times New Roman"/>
          <w:sz w:val="24"/>
          <w:szCs w:val="24"/>
          <w:color w:val="auto"/>
          <w:vertAlign w:val="superscript"/>
        </w:rPr>
      </w:pPr>
    </w:p>
    <w:p>
      <w:pPr>
        <w:jc w:val="both"/>
        <w:ind w:left="88" w:firstLine="4"/>
        <w:spacing w:after="0" w:line="253" w:lineRule="auto"/>
        <w:tabs>
          <w:tab w:leader="none" w:pos="440" w:val="left"/>
        </w:tabs>
        <w:numPr>
          <w:ilvl w:val="0"/>
          <w:numId w:val="697"/>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An issuer that has listed its specified securities on a recognised stock exchange may at its option migrate to the main board of that recognised stock exchange after expiry of three years from the date of listing subject to compliance with the eligibility requirements of the stock exchange.”</w:t>
      </w:r>
    </w:p>
    <w:p>
      <w:pPr>
        <w:spacing w:after="0" w:line="200" w:lineRule="exact"/>
        <w:rPr>
          <w:sz w:val="20"/>
          <w:szCs w:val="20"/>
          <w:color w:val="auto"/>
        </w:rPr>
      </w:pPr>
    </w:p>
    <w:p>
      <w:pPr>
        <w:spacing w:after="0" w:line="318"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169</w:t>
      </w:r>
    </w:p>
    <w:p>
      <w:pPr>
        <w:sectPr>
          <w:pgSz w:w="11900" w:h="16836" w:orient="portrait"/>
          <w:cols w:equalWidth="0" w:num="1">
            <w:col w:w="9468"/>
          </w:cols>
          <w:pgMar w:left="1152" w:top="1156" w:right="1284" w:bottom="103" w:gutter="0" w:footer="0" w:header="0"/>
        </w:sectPr>
      </w:pPr>
    </w:p>
    <w:bookmarkStart w:id="169" w:name="page170"/>
    <w:bookmarkEnd w:id="169"/>
    <w:p>
      <w:pPr>
        <w:ind w:left="8" w:right="20" w:hanging="8"/>
        <w:spacing w:after="0" w:line="348" w:lineRule="auto"/>
        <w:tabs>
          <w:tab w:leader="none" w:pos="458" w:val="left"/>
        </w:tabs>
        <w:numPr>
          <w:ilvl w:val="0"/>
          <w:numId w:val="69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company shall be eligible to trade under the regular category of the main board of the stock exchanges, only if:</w:t>
      </w:r>
    </w:p>
    <w:p>
      <w:pPr>
        <w:spacing w:after="0" w:line="15" w:lineRule="exact"/>
        <w:rPr>
          <w:rFonts w:ascii="Times New Roman" w:cs="Times New Roman" w:eastAsia="Times New Roman" w:hAnsi="Times New Roman"/>
          <w:sz w:val="24"/>
          <w:szCs w:val="24"/>
          <w:color w:val="auto"/>
        </w:rPr>
      </w:pPr>
    </w:p>
    <w:p>
      <w:pPr>
        <w:ind w:left="428" w:hanging="360"/>
        <w:spacing w:after="0"/>
        <w:tabs>
          <w:tab w:leader="none" w:pos="428" w:val="left"/>
        </w:tabs>
        <w:numPr>
          <w:ilvl w:val="1"/>
          <w:numId w:val="69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  has  net  tangible  assets  of  at  least  three  crore  rupees,  calculated  on  a  consolidated</w:t>
      </w:r>
    </w:p>
    <w:p>
      <w:pPr>
        <w:spacing w:after="0" w:line="149" w:lineRule="exact"/>
        <w:rPr>
          <w:sz w:val="20"/>
          <w:szCs w:val="20"/>
          <w:color w:val="auto"/>
        </w:rPr>
      </w:pPr>
    </w:p>
    <w:p>
      <w:pPr>
        <w:ind w:left="428" w:right="20"/>
        <w:spacing w:after="0" w:line="350" w:lineRule="auto"/>
        <w:rPr>
          <w:sz w:val="20"/>
          <w:szCs w:val="20"/>
          <w:color w:val="auto"/>
        </w:rPr>
      </w:pPr>
      <w:r>
        <w:rPr>
          <w:rFonts w:ascii="Times New Roman" w:cs="Times New Roman" w:eastAsia="Times New Roman" w:hAnsi="Times New Roman"/>
          <w:sz w:val="24"/>
          <w:szCs w:val="24"/>
          <w:color w:val="auto"/>
        </w:rPr>
        <w:t>basis, in each of the preceding three full years (of twelve months each), of which not more than fifty per cent. are held in monetary assets;</w:t>
      </w:r>
    </w:p>
    <w:p>
      <w:pPr>
        <w:spacing w:after="0" w:line="23" w:lineRule="exact"/>
        <w:rPr>
          <w:sz w:val="20"/>
          <w:szCs w:val="20"/>
          <w:color w:val="auto"/>
        </w:rPr>
      </w:pPr>
    </w:p>
    <w:p>
      <w:pPr>
        <w:jc w:val="both"/>
        <w:ind w:left="428" w:right="20" w:hanging="360"/>
        <w:spacing w:after="0" w:line="354" w:lineRule="auto"/>
        <w:tabs>
          <w:tab w:leader="none" w:pos="428" w:val="left"/>
        </w:tabs>
        <w:numPr>
          <w:ilvl w:val="0"/>
          <w:numId w:val="69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 has an average operating profit of at least fifteen crore rupees, calculated on a consolidated basis, during the preceding three years (of twelve months each), with operating profit in each of these preceding three years;</w:t>
      </w:r>
    </w:p>
    <w:p>
      <w:pPr>
        <w:spacing w:after="0" w:line="22" w:lineRule="exact"/>
        <w:rPr>
          <w:rFonts w:ascii="Times New Roman" w:cs="Times New Roman" w:eastAsia="Times New Roman" w:hAnsi="Times New Roman"/>
          <w:sz w:val="24"/>
          <w:szCs w:val="24"/>
          <w:color w:val="auto"/>
        </w:rPr>
      </w:pPr>
    </w:p>
    <w:p>
      <w:pPr>
        <w:ind w:left="428" w:right="20" w:hanging="360"/>
        <w:spacing w:after="0" w:line="348" w:lineRule="auto"/>
        <w:tabs>
          <w:tab w:leader="none" w:pos="428" w:val="left"/>
        </w:tabs>
        <w:numPr>
          <w:ilvl w:val="0"/>
          <w:numId w:val="69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 has a net worth of at least one crore rupees in each of the preceding three full years (of twelve months each), calculated on a consolidated basis; and</w:t>
      </w:r>
    </w:p>
    <w:p>
      <w:pPr>
        <w:spacing w:after="0" w:line="15" w:lineRule="exact"/>
        <w:rPr>
          <w:sz w:val="20"/>
          <w:szCs w:val="20"/>
          <w:color w:val="auto"/>
        </w:rPr>
      </w:pPr>
    </w:p>
    <w:p>
      <w:pPr>
        <w:ind w:left="68"/>
        <w:spacing w:after="0"/>
        <w:tabs>
          <w:tab w:leader="none" w:pos="1427" w:val="left"/>
          <w:tab w:leader="none" w:pos="2827" w:val="left"/>
          <w:tab w:leader="none" w:pos="6027" w:val="left"/>
          <w:tab w:leader="none" w:pos="6647" w:val="left"/>
          <w:tab w:leader="none" w:pos="7547" w:val="left"/>
        </w:tabs>
        <w:rPr>
          <w:sz w:val="20"/>
          <w:szCs w:val="20"/>
          <w:color w:val="auto"/>
        </w:rPr>
      </w:pPr>
      <w:r>
        <w:rPr>
          <w:rFonts w:ascii="Times New Roman" w:cs="Times New Roman" w:eastAsia="Times New Roman" w:hAnsi="Times New Roman"/>
          <w:sz w:val="24"/>
          <w:szCs w:val="24"/>
          <w:color w:val="auto"/>
        </w:rPr>
        <w:t>(d) in case it</w:t>
        <w:tab/>
        <w:t>has  changed</w:t>
        <w:tab/>
        <w:t>its  name  within  the  last  one</w:t>
        <w:tab/>
        <w:t>year,</w:t>
        <w:tab/>
        <w:t>at  least</w:t>
        <w:tab/>
        <w:t>fifty  per  cent  of</w:t>
      </w:r>
    </w:p>
    <w:p>
      <w:pPr>
        <w:spacing w:after="0" w:line="137" w:lineRule="exact"/>
        <w:rPr>
          <w:sz w:val="20"/>
          <w:szCs w:val="20"/>
          <w:color w:val="auto"/>
        </w:rPr>
      </w:pPr>
    </w:p>
    <w:p>
      <w:pPr>
        <w:ind w:left="428"/>
        <w:spacing w:after="0"/>
        <w:tabs>
          <w:tab w:leader="none" w:pos="8427" w:val="left"/>
        </w:tabs>
        <w:rPr>
          <w:sz w:val="20"/>
          <w:szCs w:val="20"/>
          <w:color w:val="auto"/>
        </w:rPr>
      </w:pPr>
      <w:r>
        <w:rPr>
          <w:rFonts w:ascii="Times New Roman" w:cs="Times New Roman" w:eastAsia="Times New Roman" w:hAnsi="Times New Roman"/>
          <w:sz w:val="24"/>
          <w:szCs w:val="24"/>
          <w:color w:val="auto"/>
        </w:rPr>
        <w:t>the  revenue, calculated  on  a  consolidated  basis,  for  the  preceding  one  full</w:t>
        <w:tab/>
        <w:t>year  has</w:t>
      </w:r>
    </w:p>
    <w:p>
      <w:pPr>
        <w:spacing w:after="0" w:line="139" w:lineRule="exact"/>
        <w:rPr>
          <w:sz w:val="20"/>
          <w:szCs w:val="20"/>
          <w:color w:val="auto"/>
        </w:rPr>
      </w:pPr>
    </w:p>
    <w:p>
      <w:pPr>
        <w:ind w:left="428"/>
        <w:spacing w:after="0"/>
        <w:rPr>
          <w:sz w:val="20"/>
          <w:szCs w:val="20"/>
          <w:color w:val="auto"/>
        </w:rPr>
      </w:pPr>
      <w:r>
        <w:rPr>
          <w:rFonts w:ascii="Times New Roman" w:cs="Times New Roman" w:eastAsia="Times New Roman" w:hAnsi="Times New Roman"/>
          <w:sz w:val="24"/>
          <w:szCs w:val="24"/>
          <w:color w:val="auto"/>
        </w:rPr>
        <w:t>been earned by it from the activity indicated by its new name.</w:t>
      </w:r>
    </w:p>
    <w:p>
      <w:pPr>
        <w:spacing w:after="0" w:line="149" w:lineRule="exact"/>
        <w:rPr>
          <w:sz w:val="20"/>
          <w:szCs w:val="20"/>
          <w:color w:val="auto"/>
        </w:rPr>
      </w:pPr>
    </w:p>
    <w:p>
      <w:pPr>
        <w:jc w:val="both"/>
        <w:ind w:left="8" w:hanging="8"/>
        <w:spacing w:after="0" w:line="354" w:lineRule="auto"/>
        <w:tabs>
          <w:tab w:leader="none" w:pos="377" w:val="left"/>
        </w:tabs>
        <w:numPr>
          <w:ilvl w:val="0"/>
          <w:numId w:val="70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company not satisfying the conditions laid down under sub-regulation (2) of regulation 292, shall, at the time of applying to trade under the regular category, have seventy five per cent. of its capital, as on date of application for migration, held by Qualified Institutional Buyers.</w:t>
      </w:r>
    </w:p>
    <w:p>
      <w:pPr>
        <w:spacing w:after="0" w:line="214"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Minimum promoters’ contribution</w:t>
      </w:r>
    </w:p>
    <w:p>
      <w:pPr>
        <w:spacing w:after="0" w:line="147" w:lineRule="exact"/>
        <w:rPr>
          <w:sz w:val="20"/>
          <w:szCs w:val="20"/>
          <w:color w:val="auto"/>
        </w:rPr>
      </w:pPr>
    </w:p>
    <w:p>
      <w:pPr>
        <w:ind w:left="8" w:hanging="8"/>
        <w:spacing w:after="0" w:line="357" w:lineRule="auto"/>
        <w:tabs>
          <w:tab w:leader="none" w:pos="346" w:val="left"/>
        </w:tabs>
        <w:numPr>
          <w:ilvl w:val="0"/>
          <w:numId w:val="70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promoters of the company shall hold at least twenty per cent of the total capital: Provided that in case the total capital held by the promoters is less than twenty per cent, alternative investment funds or foreign venture capital investors or scheduled commercial banks or public financial institutions or insurance companies registered with Insurance Regulatory and Development Authority of India may contribute to meet the shortfall in minimum contribution as specified, subject to a maximum of ten per cent of the total capital without being identified as promoter(s):</w:t>
      </w:r>
    </w:p>
    <w:p>
      <w:pPr>
        <w:spacing w:after="0" w:line="24" w:lineRule="exact"/>
        <w:rPr>
          <w:sz w:val="20"/>
          <w:szCs w:val="20"/>
          <w:color w:val="auto"/>
        </w:rPr>
      </w:pPr>
    </w:p>
    <w:p>
      <w:pPr>
        <w:ind w:left="8" w:right="20"/>
        <w:spacing w:after="0" w:line="348" w:lineRule="auto"/>
        <w:rPr>
          <w:sz w:val="20"/>
          <w:szCs w:val="20"/>
          <w:color w:val="auto"/>
        </w:rPr>
      </w:pPr>
      <w:r>
        <w:rPr>
          <w:rFonts w:ascii="Times New Roman" w:cs="Times New Roman" w:eastAsia="Times New Roman" w:hAnsi="Times New Roman"/>
          <w:sz w:val="24"/>
          <w:szCs w:val="24"/>
          <w:color w:val="auto"/>
        </w:rPr>
        <w:t>Provided further that the requirement of minimum promoters ’contribution shall not apply in case a company does not have any identifiable promoter.</w:t>
      </w:r>
    </w:p>
    <w:p>
      <w:pPr>
        <w:spacing w:after="0" w:line="219"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Lock-in period</w:t>
      </w:r>
    </w:p>
    <w:p>
      <w:pPr>
        <w:spacing w:after="0" w:line="134" w:lineRule="exact"/>
        <w:rPr>
          <w:sz w:val="20"/>
          <w:szCs w:val="20"/>
          <w:color w:val="auto"/>
        </w:rPr>
      </w:pPr>
    </w:p>
    <w:p>
      <w:pPr>
        <w:ind w:left="428" w:hanging="428"/>
        <w:spacing w:after="0"/>
        <w:tabs>
          <w:tab w:leader="none" w:pos="428" w:val="left"/>
        </w:tabs>
        <w:numPr>
          <w:ilvl w:val="0"/>
          <w:numId w:val="70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The  minimum  promoters’  contribution  including  contribution  made  by  alternative</w:t>
      </w:r>
    </w:p>
    <w:p>
      <w:pPr>
        <w:spacing w:after="0" w:line="149" w:lineRule="exact"/>
        <w:rPr>
          <w:sz w:val="20"/>
          <w:szCs w:val="20"/>
          <w:color w:val="auto"/>
        </w:rPr>
      </w:pPr>
    </w:p>
    <w:p>
      <w:pPr>
        <w:jc w:val="both"/>
        <w:ind w:left="8"/>
        <w:spacing w:after="0" w:line="357" w:lineRule="auto"/>
        <w:rPr>
          <w:sz w:val="20"/>
          <w:szCs w:val="20"/>
          <w:color w:val="auto"/>
        </w:rPr>
      </w:pPr>
      <w:r>
        <w:rPr>
          <w:rFonts w:ascii="Times New Roman" w:cs="Times New Roman" w:eastAsia="Times New Roman" w:hAnsi="Times New Roman"/>
          <w:sz w:val="24"/>
          <w:szCs w:val="24"/>
          <w:color w:val="auto"/>
        </w:rPr>
        <w:t>investment funds or foreign venture capital investors or scheduled commercial banks or public financial institutions or insurance companies registered with the Insurance Regulatory and Development Authority of India, shall be locked in for a period of three years from the date on which trading approval in regular category of main board is granted, and any excess over and above the 20% of promoter’s holding shall be locked-in for a period of one year.</w:t>
      </w: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jc w:val="center"/>
        <w:ind w:right="-147"/>
        <w:spacing w:after="0"/>
        <w:rPr>
          <w:sz w:val="20"/>
          <w:szCs w:val="20"/>
          <w:color w:val="auto"/>
        </w:rPr>
      </w:pPr>
      <w:r>
        <w:rPr>
          <w:rFonts w:ascii="Times New Roman" w:cs="Times New Roman" w:eastAsia="Times New Roman" w:hAnsi="Times New Roman"/>
          <w:sz w:val="24"/>
          <w:szCs w:val="24"/>
          <w:color w:val="auto"/>
        </w:rPr>
        <w:t>170</w:t>
      </w:r>
    </w:p>
    <w:p>
      <w:pPr>
        <w:sectPr>
          <w:pgSz w:w="11900" w:h="16836" w:orient="portrait"/>
          <w:cols w:equalWidth="0" w:num="1">
            <w:col w:w="9328"/>
          </w:cols>
          <w:pgMar w:left="1152" w:top="1156" w:right="1424" w:bottom="103" w:gutter="0" w:footer="0" w:header="0"/>
        </w:sectPr>
      </w:pPr>
    </w:p>
    <w:bookmarkStart w:id="170" w:name="page171"/>
    <w:bookmarkEnd w:id="170"/>
    <w:p>
      <w:pPr>
        <w:jc w:val="both"/>
        <w:ind w:left="8" w:right="140" w:hanging="8"/>
        <w:spacing w:after="0" w:line="357" w:lineRule="auto"/>
        <w:tabs>
          <w:tab w:leader="none" w:pos="384" w:val="left"/>
        </w:tabs>
        <w:numPr>
          <w:ilvl w:val="0"/>
          <w:numId w:val="70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Wherever the contributions made by such entities had been locked-in for a period of six months at the time of listing of shares of the Company on the Innovators Growth Platform, and the company is desirous of migrating to the regular trade category of the main board after completion of listing on the Innovators Growth Platform for one year, such period shall be deducted from the stipulated lock-in requirement of three years and one year, as may be applicable.</w:t>
      </w:r>
    </w:p>
    <w:p>
      <w:pPr>
        <w:spacing w:after="0" w:line="21" w:lineRule="exact"/>
        <w:rPr>
          <w:rFonts w:ascii="Times New Roman" w:cs="Times New Roman" w:eastAsia="Times New Roman" w:hAnsi="Times New Roman"/>
          <w:sz w:val="24"/>
          <w:szCs w:val="24"/>
          <w:color w:val="auto"/>
        </w:rPr>
      </w:pPr>
    </w:p>
    <w:p>
      <w:pPr>
        <w:ind w:left="8" w:right="160" w:hanging="8"/>
        <w:spacing w:after="0" w:line="348" w:lineRule="auto"/>
        <w:tabs>
          <w:tab w:leader="none" w:pos="384" w:val="left"/>
        </w:tabs>
        <w:numPr>
          <w:ilvl w:val="0"/>
          <w:numId w:val="70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condition of lock in would not apply to a Company which has been listed on the Innovators Growth Platform for a minimum period of three years or more.]</w:t>
      </w:r>
    </w:p>
    <w:p>
      <w:pPr>
        <w:spacing w:after="0" w:line="200" w:lineRule="exact"/>
        <w:rPr>
          <w:sz w:val="20"/>
          <w:szCs w:val="20"/>
          <w:color w:val="auto"/>
        </w:rPr>
      </w:pPr>
    </w:p>
    <w:p>
      <w:pPr>
        <w:spacing w:after="0" w:line="234"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CHAPTER XI - BONUS ISSUE</w:t>
      </w:r>
    </w:p>
    <w:p>
      <w:pPr>
        <w:spacing w:after="0" w:line="200" w:lineRule="exact"/>
        <w:rPr>
          <w:sz w:val="20"/>
          <w:szCs w:val="20"/>
          <w:color w:val="auto"/>
        </w:rPr>
      </w:pPr>
    </w:p>
    <w:p>
      <w:pPr>
        <w:spacing w:after="0" w:line="35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Conditions for a bonus issue</w:t>
      </w:r>
    </w:p>
    <w:p>
      <w:pPr>
        <w:spacing w:after="0" w:line="147" w:lineRule="exact"/>
        <w:rPr>
          <w:sz w:val="20"/>
          <w:szCs w:val="20"/>
          <w:color w:val="auto"/>
        </w:rPr>
      </w:pPr>
    </w:p>
    <w:p>
      <w:pPr>
        <w:ind w:left="8" w:hanging="8"/>
        <w:spacing w:after="0" w:line="348" w:lineRule="auto"/>
        <w:tabs>
          <w:tab w:leader="none" w:pos="512" w:val="left"/>
        </w:tabs>
        <w:numPr>
          <w:ilvl w:val="0"/>
          <w:numId w:val="70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Subject to the provisions of the Companies Act, 2013 or any other applicable law, a listed issuer shall be eligible to issue bonus shares to its members if:</w:t>
      </w:r>
    </w:p>
    <w:p>
      <w:pPr>
        <w:spacing w:after="0" w:line="28" w:lineRule="exact"/>
        <w:rPr>
          <w:sz w:val="20"/>
          <w:szCs w:val="20"/>
          <w:color w:val="auto"/>
        </w:rPr>
      </w:pPr>
    </w:p>
    <w:p>
      <w:pPr>
        <w:ind w:left="548" w:hanging="548"/>
        <w:spacing w:after="0" w:line="342" w:lineRule="auto"/>
        <w:tabs>
          <w:tab w:leader="none" w:pos="548" w:val="left"/>
        </w:tabs>
        <w:numPr>
          <w:ilvl w:val="0"/>
          <w:numId w:val="705"/>
        </w:numPr>
        <w:rPr>
          <w:rFonts w:ascii="Calibri" w:cs="Calibri" w:eastAsia="Calibri" w:hAnsi="Calibri"/>
          <w:sz w:val="22"/>
          <w:szCs w:val="22"/>
          <w:color w:val="auto"/>
        </w:rPr>
      </w:pPr>
      <w:r>
        <w:rPr>
          <w:rFonts w:ascii="Times New Roman" w:cs="Times New Roman" w:eastAsia="Times New Roman" w:hAnsi="Times New Roman"/>
          <w:sz w:val="24"/>
          <w:szCs w:val="24"/>
          <w:color w:val="auto"/>
        </w:rPr>
        <w:t>it is authorised by its articles of association for issue of bonus shares, capitalisation of reserves, etc.:</w:t>
      </w:r>
    </w:p>
    <w:p>
      <w:pPr>
        <w:spacing w:after="0" w:line="31" w:lineRule="exact"/>
        <w:rPr>
          <w:rFonts w:ascii="Calibri" w:cs="Calibri" w:eastAsia="Calibri" w:hAnsi="Calibri"/>
          <w:sz w:val="22"/>
          <w:szCs w:val="22"/>
          <w:color w:val="auto"/>
        </w:rPr>
      </w:pPr>
    </w:p>
    <w:p>
      <w:pPr>
        <w:jc w:val="both"/>
        <w:ind w:left="548"/>
        <w:spacing w:after="0" w:line="354" w:lineRule="auto"/>
        <w:rPr>
          <w:rFonts w:ascii="Calibri" w:cs="Calibri" w:eastAsia="Calibri" w:hAnsi="Calibri"/>
          <w:sz w:val="22"/>
          <w:szCs w:val="22"/>
          <w:color w:val="auto"/>
        </w:rPr>
      </w:pPr>
      <w:r>
        <w:rPr>
          <w:rFonts w:ascii="Times New Roman" w:cs="Times New Roman" w:eastAsia="Times New Roman" w:hAnsi="Times New Roman"/>
          <w:sz w:val="24"/>
          <w:szCs w:val="24"/>
          <w:color w:val="auto"/>
        </w:rPr>
        <w:t>Provided that if there is no such provision in the articles of association, the issuer shall pass a resolution at its general body meeting making provisions in the articles of associations for capitalisation of reserve;</w:t>
      </w:r>
    </w:p>
    <w:p>
      <w:pPr>
        <w:spacing w:after="0" w:line="19" w:lineRule="exact"/>
        <w:rPr>
          <w:rFonts w:ascii="Calibri" w:cs="Calibri" w:eastAsia="Calibri" w:hAnsi="Calibri"/>
          <w:sz w:val="22"/>
          <w:szCs w:val="22"/>
          <w:color w:val="auto"/>
        </w:rPr>
      </w:pPr>
    </w:p>
    <w:p>
      <w:pPr>
        <w:ind w:left="548" w:hanging="548"/>
        <w:spacing w:after="0" w:line="344" w:lineRule="auto"/>
        <w:tabs>
          <w:tab w:leader="none" w:pos="548" w:val="left"/>
        </w:tabs>
        <w:numPr>
          <w:ilvl w:val="0"/>
          <w:numId w:val="705"/>
        </w:numPr>
        <w:rPr>
          <w:rFonts w:ascii="Calibri" w:cs="Calibri" w:eastAsia="Calibri" w:hAnsi="Calibri"/>
          <w:sz w:val="22"/>
          <w:szCs w:val="22"/>
          <w:color w:val="auto"/>
        </w:rPr>
      </w:pPr>
      <w:r>
        <w:rPr>
          <w:rFonts w:ascii="Times New Roman" w:cs="Times New Roman" w:eastAsia="Times New Roman" w:hAnsi="Times New Roman"/>
          <w:sz w:val="24"/>
          <w:szCs w:val="24"/>
          <w:color w:val="auto"/>
        </w:rPr>
        <w:t>it has not defaulted in payment of interest or principal in respect of fixed deposits or debt securities issued by it;</w:t>
      </w:r>
    </w:p>
    <w:p>
      <w:pPr>
        <w:spacing w:after="0" w:line="26" w:lineRule="exact"/>
        <w:rPr>
          <w:rFonts w:ascii="Calibri" w:cs="Calibri" w:eastAsia="Calibri" w:hAnsi="Calibri"/>
          <w:sz w:val="22"/>
          <w:szCs w:val="22"/>
          <w:color w:val="auto"/>
        </w:rPr>
      </w:pPr>
    </w:p>
    <w:p>
      <w:pPr>
        <w:ind w:left="548" w:hanging="548"/>
        <w:spacing w:after="0" w:line="344" w:lineRule="auto"/>
        <w:tabs>
          <w:tab w:leader="none" w:pos="548" w:val="left"/>
        </w:tabs>
        <w:numPr>
          <w:ilvl w:val="0"/>
          <w:numId w:val="705"/>
        </w:numPr>
        <w:rPr>
          <w:rFonts w:ascii="Calibri" w:cs="Calibri" w:eastAsia="Calibri" w:hAnsi="Calibri"/>
          <w:sz w:val="22"/>
          <w:szCs w:val="22"/>
          <w:color w:val="auto"/>
        </w:rPr>
      </w:pPr>
      <w:r>
        <w:rPr>
          <w:rFonts w:ascii="Times New Roman" w:cs="Times New Roman" w:eastAsia="Times New Roman" w:hAnsi="Times New Roman"/>
          <w:sz w:val="24"/>
          <w:szCs w:val="24"/>
          <w:color w:val="auto"/>
        </w:rPr>
        <w:t>it has not defaulted in respect of the payment of statutory dues of the employees such as contribution to provident fund, gratuity and bonus;</w:t>
      </w:r>
    </w:p>
    <w:p>
      <w:pPr>
        <w:spacing w:after="0" w:line="27" w:lineRule="exact"/>
        <w:rPr>
          <w:rFonts w:ascii="Calibri" w:cs="Calibri" w:eastAsia="Calibri" w:hAnsi="Calibri"/>
          <w:sz w:val="22"/>
          <w:szCs w:val="22"/>
          <w:color w:val="auto"/>
        </w:rPr>
      </w:pPr>
    </w:p>
    <w:p>
      <w:pPr>
        <w:ind w:left="548" w:hanging="548"/>
        <w:spacing w:after="0" w:line="344" w:lineRule="auto"/>
        <w:tabs>
          <w:tab w:leader="none" w:pos="548" w:val="left"/>
        </w:tabs>
        <w:numPr>
          <w:ilvl w:val="0"/>
          <w:numId w:val="705"/>
        </w:numPr>
        <w:rPr>
          <w:rFonts w:ascii="Calibri" w:cs="Calibri" w:eastAsia="Calibri" w:hAnsi="Calibri"/>
          <w:sz w:val="22"/>
          <w:szCs w:val="22"/>
          <w:color w:val="auto"/>
        </w:rPr>
      </w:pPr>
      <w:r>
        <w:rPr>
          <w:rFonts w:ascii="Times New Roman" w:cs="Times New Roman" w:eastAsia="Times New Roman" w:hAnsi="Times New Roman"/>
          <w:sz w:val="24"/>
          <w:szCs w:val="24"/>
          <w:color w:val="auto"/>
        </w:rPr>
        <w:t>any outstanding partly paid shares on the date of the allotment of the bonus shares, are made fully paid-up;</w:t>
      </w:r>
    </w:p>
    <w:p>
      <w:pPr>
        <w:spacing w:after="0" w:line="7" w:lineRule="exact"/>
        <w:rPr>
          <w:rFonts w:ascii="Calibri" w:cs="Calibri" w:eastAsia="Calibri" w:hAnsi="Calibri"/>
          <w:sz w:val="22"/>
          <w:szCs w:val="22"/>
          <w:color w:val="auto"/>
        </w:rPr>
      </w:pPr>
    </w:p>
    <w:p>
      <w:pPr>
        <w:ind w:left="548" w:hanging="548"/>
        <w:spacing w:after="0"/>
        <w:tabs>
          <w:tab w:leader="none" w:pos="548" w:val="left"/>
        </w:tabs>
        <w:numPr>
          <w:ilvl w:val="0"/>
          <w:numId w:val="705"/>
        </w:numPr>
        <w:rPr>
          <w:rFonts w:ascii="Calibri" w:cs="Calibri" w:eastAsia="Calibri" w:hAnsi="Calibri"/>
          <w:sz w:val="22"/>
          <w:szCs w:val="22"/>
          <w:color w:val="auto"/>
        </w:rPr>
      </w:pPr>
      <w:r>
        <w:rPr>
          <w:rFonts w:ascii="Times New Roman" w:cs="Times New Roman" w:eastAsia="Times New Roman" w:hAnsi="Times New Roman"/>
          <w:sz w:val="24"/>
          <w:szCs w:val="24"/>
          <w:color w:val="auto"/>
        </w:rPr>
        <w:t>any of its promoters or directors is not a fugitive economic offender.</w:t>
      </w:r>
    </w:p>
    <w:p>
      <w:pPr>
        <w:spacing w:after="0" w:line="200" w:lineRule="exact"/>
        <w:rPr>
          <w:sz w:val="20"/>
          <w:szCs w:val="20"/>
          <w:color w:val="auto"/>
        </w:rPr>
      </w:pPr>
    </w:p>
    <w:p>
      <w:pPr>
        <w:spacing w:after="0" w:line="35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Restrictions on a bonus issue</w:t>
      </w:r>
    </w:p>
    <w:p>
      <w:pPr>
        <w:spacing w:after="0" w:line="147" w:lineRule="exact"/>
        <w:rPr>
          <w:sz w:val="20"/>
          <w:szCs w:val="20"/>
          <w:color w:val="auto"/>
        </w:rPr>
      </w:pPr>
    </w:p>
    <w:p>
      <w:pPr>
        <w:jc w:val="both"/>
        <w:ind w:left="8" w:hanging="8"/>
        <w:spacing w:after="0" w:line="354" w:lineRule="auto"/>
        <w:tabs>
          <w:tab w:leader="none" w:pos="492" w:val="left"/>
        </w:tabs>
        <w:numPr>
          <w:ilvl w:val="0"/>
          <w:numId w:val="70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An issuer shall make a bonus issue of equity shares only if it has made reservation of equity shares of the same class in favour of the holders of outstanding compulsorily convertible debt instruments if any, in proportion to the convertible part thereof.</w:t>
      </w:r>
    </w:p>
    <w:p>
      <w:pPr>
        <w:spacing w:after="0" w:line="20" w:lineRule="exact"/>
        <w:rPr>
          <w:rFonts w:ascii="Times New Roman" w:cs="Times New Roman" w:eastAsia="Times New Roman" w:hAnsi="Times New Roman"/>
          <w:sz w:val="24"/>
          <w:szCs w:val="24"/>
          <w:b w:val="1"/>
          <w:bCs w:val="1"/>
          <w:color w:val="auto"/>
        </w:rPr>
      </w:pPr>
    </w:p>
    <w:p>
      <w:pPr>
        <w:jc w:val="both"/>
        <w:ind w:left="8"/>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(2)The equity shares so reserved for the holders of fully or partly compulsorily convertible debt instruments, shall be issued to the holder of such convertible debt instruments or warrants at the time of conversion of such convertible debt instruments, optionally convertible instruments,</w:t>
      </w: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171</w:t>
      </w:r>
    </w:p>
    <w:p>
      <w:pPr>
        <w:sectPr>
          <w:pgSz w:w="11900" w:h="16836" w:orient="portrait"/>
          <w:cols w:equalWidth="0" w:num="1">
            <w:col w:w="9468"/>
          </w:cols>
          <w:pgMar w:left="1152" w:top="1156" w:right="1284" w:bottom="103" w:gutter="0" w:footer="0" w:header="0"/>
        </w:sectPr>
      </w:pPr>
    </w:p>
    <w:bookmarkStart w:id="171" w:name="page172"/>
    <w:bookmarkEnd w:id="171"/>
    <w:p>
      <w:pPr>
        <w:ind w:left="8"/>
        <w:spacing w:after="0" w:line="348" w:lineRule="auto"/>
        <w:rPr>
          <w:sz w:val="20"/>
          <w:szCs w:val="20"/>
          <w:color w:val="auto"/>
        </w:rPr>
      </w:pPr>
      <w:r>
        <w:rPr>
          <w:rFonts w:ascii="Times New Roman" w:cs="Times New Roman" w:eastAsia="Times New Roman" w:hAnsi="Times New Roman"/>
          <w:sz w:val="24"/>
          <w:szCs w:val="24"/>
          <w:color w:val="auto"/>
        </w:rPr>
        <w:t>warrants, as the case may be, on the same terms or same proportion at which the bonus shares were issued.</w:t>
      </w:r>
    </w:p>
    <w:p>
      <w:pPr>
        <w:spacing w:after="0" w:line="28" w:lineRule="exact"/>
        <w:rPr>
          <w:sz w:val="20"/>
          <w:szCs w:val="20"/>
          <w:color w:val="auto"/>
        </w:rPr>
      </w:pPr>
    </w:p>
    <w:p>
      <w:pPr>
        <w:jc w:val="both"/>
        <w:ind w:left="8" w:hanging="8"/>
        <w:spacing w:after="0" w:line="354" w:lineRule="auto"/>
        <w:tabs>
          <w:tab w:leader="none" w:pos="365" w:val="left"/>
        </w:tabs>
        <w:numPr>
          <w:ilvl w:val="0"/>
          <w:numId w:val="70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bonus issue shall be made only out of free reserves, securities premium account or capital redemption reserve account and built out of the genuine profits or securities premium collected in cash and reserves created by revaluation of fixed assets shall not be capitalised for this purpose.</w:t>
      </w:r>
    </w:p>
    <w:p>
      <w:pPr>
        <w:spacing w:after="0" w:line="19" w:lineRule="exact"/>
        <w:rPr>
          <w:rFonts w:ascii="Times New Roman" w:cs="Times New Roman" w:eastAsia="Times New Roman" w:hAnsi="Times New Roman"/>
          <w:sz w:val="24"/>
          <w:szCs w:val="24"/>
          <w:color w:val="auto"/>
        </w:rPr>
      </w:pPr>
    </w:p>
    <w:p>
      <w:pPr>
        <w:ind w:left="8" w:hanging="8"/>
        <w:spacing w:after="0" w:line="350" w:lineRule="auto"/>
        <w:tabs>
          <w:tab w:leader="none" w:pos="363" w:val="left"/>
        </w:tabs>
        <w:numPr>
          <w:ilvl w:val="0"/>
          <w:numId w:val="70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Without prejudice to the provisions of sub-regulation (3), bonus shares shall not be issued in lieu of dividends.</w:t>
      </w:r>
    </w:p>
    <w:p>
      <w:pPr>
        <w:spacing w:after="0" w:line="3" w:lineRule="exact"/>
        <w:rPr>
          <w:sz w:val="20"/>
          <w:szCs w:val="20"/>
          <w:color w:val="auto"/>
        </w:rPr>
      </w:pPr>
    </w:p>
    <w:p>
      <w:pPr>
        <w:jc w:val="both"/>
        <w:ind w:left="8"/>
        <w:spacing w:after="0" w:line="326" w:lineRule="auto"/>
        <w:rPr>
          <w:sz w:val="20"/>
          <w:szCs w:val="20"/>
          <w:color w:val="auto"/>
        </w:rPr>
      </w:pPr>
      <w:r>
        <w:rPr>
          <w:rFonts w:ascii="Times New Roman" w:cs="Times New Roman" w:eastAsia="Times New Roman" w:hAnsi="Times New Roman"/>
          <w:sz w:val="32"/>
          <w:szCs w:val="32"/>
          <w:color w:val="auto"/>
          <w:vertAlign w:val="superscript"/>
        </w:rPr>
        <w:t>102</w:t>
      </w:r>
      <w:r>
        <w:rPr>
          <w:rFonts w:ascii="Times New Roman" w:cs="Times New Roman" w:eastAsia="Times New Roman" w:hAnsi="Times New Roman"/>
          <w:sz w:val="24"/>
          <w:szCs w:val="24"/>
          <w:color w:val="auto"/>
        </w:rPr>
        <w:t>[(5) If an issuer has issued SR equity shares to its promoters or founders, any bonus issue on the SR equity shares shall carry the same ratio of voting rights compared to ordinary shares and the SR equity shares issued in a bonus issue shall also be converted to equity shares having voting rights same as that of ordinary equity shares along with existing SR equity shares.]</w:t>
      </w:r>
    </w:p>
    <w:p>
      <w:pPr>
        <w:spacing w:after="0" w:line="200" w:lineRule="exact"/>
        <w:rPr>
          <w:sz w:val="20"/>
          <w:szCs w:val="20"/>
          <w:color w:val="auto"/>
        </w:rPr>
      </w:pPr>
    </w:p>
    <w:p>
      <w:pPr>
        <w:spacing w:after="0" w:line="260"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Completion of a bonus issue</w:t>
      </w:r>
    </w:p>
    <w:p>
      <w:pPr>
        <w:spacing w:after="0" w:line="132" w:lineRule="exact"/>
        <w:rPr>
          <w:sz w:val="20"/>
          <w:szCs w:val="20"/>
          <w:color w:val="auto"/>
        </w:rPr>
      </w:pPr>
    </w:p>
    <w:p>
      <w:pPr>
        <w:ind w:left="528" w:hanging="528"/>
        <w:spacing w:after="0"/>
        <w:tabs>
          <w:tab w:leader="none" w:pos="528" w:val="left"/>
        </w:tabs>
        <w:numPr>
          <w:ilvl w:val="0"/>
          <w:numId w:val="70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(1) An issuer, announcing a bonus issue after approval by its board of directors and not</w:t>
      </w:r>
    </w:p>
    <w:p>
      <w:pPr>
        <w:spacing w:after="0" w:line="151" w:lineRule="exact"/>
        <w:rPr>
          <w:sz w:val="20"/>
          <w:szCs w:val="20"/>
          <w:color w:val="auto"/>
        </w:rPr>
      </w:pPr>
    </w:p>
    <w:p>
      <w:pPr>
        <w:jc w:val="both"/>
        <w:ind w:left="8"/>
        <w:spacing w:after="0" w:line="354" w:lineRule="auto"/>
        <w:rPr>
          <w:sz w:val="20"/>
          <w:szCs w:val="20"/>
          <w:color w:val="auto"/>
        </w:rPr>
      </w:pPr>
      <w:r>
        <w:rPr>
          <w:rFonts w:ascii="Times New Roman" w:cs="Times New Roman" w:eastAsia="Times New Roman" w:hAnsi="Times New Roman"/>
          <w:sz w:val="24"/>
          <w:szCs w:val="24"/>
          <w:color w:val="auto"/>
        </w:rPr>
        <w:t>requiring shareholders’ approval for capitalisation of profits or reserves for making the bonus issue, shall implement the bonus issue within fifteen days from the date of approval of the issue by its board of directors:</w:t>
      </w:r>
    </w:p>
    <w:p>
      <w:pPr>
        <w:spacing w:after="0" w:line="20" w:lineRule="exact"/>
        <w:rPr>
          <w:sz w:val="20"/>
          <w:szCs w:val="20"/>
          <w:color w:val="auto"/>
        </w:rPr>
      </w:pPr>
    </w:p>
    <w:p>
      <w:pPr>
        <w:jc w:val="both"/>
        <w:ind w:left="8"/>
        <w:spacing w:after="0" w:line="356" w:lineRule="auto"/>
        <w:rPr>
          <w:sz w:val="20"/>
          <w:szCs w:val="20"/>
          <w:color w:val="auto"/>
        </w:rPr>
      </w:pPr>
      <w:r>
        <w:rPr>
          <w:rFonts w:ascii="Times New Roman" w:cs="Times New Roman" w:eastAsia="Times New Roman" w:hAnsi="Times New Roman"/>
          <w:sz w:val="24"/>
          <w:szCs w:val="24"/>
          <w:color w:val="auto"/>
        </w:rPr>
        <w:t>Provided that where the issuer is required to seek shareholders’ approval for capitalisation of profits or reserves for making the bonus issue</w:t>
      </w:r>
      <w:r>
        <w:rPr>
          <w:rFonts w:ascii="Times New Roman" w:cs="Times New Roman" w:eastAsia="Times New Roman" w:hAnsi="Times New Roman"/>
          <w:sz w:val="24"/>
          <w:szCs w:val="24"/>
          <w:color w:val="auto"/>
          <w:strike w:val="1"/>
        </w:rPr>
        <w:t>,</w:t>
      </w:r>
      <w:r>
        <w:rPr>
          <w:rFonts w:ascii="Times New Roman" w:cs="Times New Roman" w:eastAsia="Times New Roman" w:hAnsi="Times New Roman"/>
          <w:sz w:val="24"/>
          <w:szCs w:val="24"/>
          <w:color w:val="auto"/>
        </w:rPr>
        <w:t xml:space="preserve"> the bonus issue shall be implemented within two months from the date of the meeting of its board of directors wherein the decision to announce the bonus issue was taken subject to shareholders’ approval.</w:t>
      </w:r>
    </w:p>
    <w:p>
      <w:pPr>
        <w:spacing w:after="0" w:line="19" w:lineRule="exact"/>
        <w:rPr>
          <w:sz w:val="20"/>
          <w:szCs w:val="20"/>
          <w:color w:val="auto"/>
        </w:rPr>
      </w:pPr>
    </w:p>
    <w:p>
      <w:pPr>
        <w:jc w:val="both"/>
        <w:ind w:left="8"/>
        <w:spacing w:after="0" w:line="350" w:lineRule="auto"/>
        <w:rPr>
          <w:sz w:val="20"/>
          <w:szCs w:val="20"/>
          <w:color w:val="auto"/>
        </w:rPr>
      </w:pPr>
      <w:r>
        <w:rPr>
          <w:rFonts w:ascii="Times New Roman" w:cs="Times New Roman" w:eastAsia="Times New Roman" w:hAnsi="Times New Roman"/>
          <w:sz w:val="24"/>
          <w:szCs w:val="24"/>
          <w:b w:val="1"/>
          <w:bCs w:val="1"/>
          <w:color w:val="auto"/>
        </w:rPr>
        <w:t xml:space="preserve">Explanation: </w:t>
      </w:r>
      <w:r>
        <w:rPr>
          <w:rFonts w:ascii="Times New Roman" w:cs="Times New Roman" w:eastAsia="Times New Roman" w:hAnsi="Times New Roman"/>
          <w:sz w:val="24"/>
          <w:szCs w:val="24"/>
          <w:color w:val="auto"/>
        </w:rPr>
        <w:t>For the purpose of a bonus issue to be considered as ‘implemented’ the date of</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commencement of trading shall be considered.</w:t>
      </w:r>
    </w:p>
    <w:p>
      <w:pPr>
        <w:spacing w:after="0" w:line="11"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(2) A bonus issue, once announced, shall not be withdrawn.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jc w:val="center"/>
        <w:ind w:right="-427"/>
        <w:spacing w:after="0"/>
        <w:rPr>
          <w:sz w:val="20"/>
          <w:szCs w:val="20"/>
          <w:color w:val="auto"/>
        </w:rPr>
      </w:pPr>
      <w:r>
        <w:rPr>
          <w:rFonts w:ascii="Times New Roman" w:cs="Times New Roman" w:eastAsia="Times New Roman" w:hAnsi="Times New Roman"/>
          <w:sz w:val="32"/>
          <w:szCs w:val="32"/>
          <w:b w:val="1"/>
          <w:bCs w:val="1"/>
          <w:color w:val="auto"/>
          <w:vertAlign w:val="superscript"/>
        </w:rPr>
        <w:t>103</w:t>
      </w:r>
      <w:r>
        <w:rPr>
          <w:rFonts w:ascii="Times New Roman" w:cs="Times New Roman" w:eastAsia="Times New Roman" w:hAnsi="Times New Roman"/>
          <w:sz w:val="24"/>
          <w:szCs w:val="24"/>
          <w:b w:val="1"/>
          <w:bCs w:val="1"/>
          <w:color w:val="auto"/>
        </w:rPr>
        <w:t>[CHAPTER XI-A</w:t>
      </w:r>
    </w:p>
    <w:p>
      <w:pPr>
        <w:jc w:val="center"/>
        <w:ind w:right="-427"/>
        <w:spacing w:after="0" w:line="220" w:lineRule="auto"/>
        <w:rPr>
          <w:sz w:val="20"/>
          <w:szCs w:val="20"/>
          <w:color w:val="auto"/>
        </w:rPr>
      </w:pPr>
      <w:r>
        <w:rPr>
          <w:rFonts w:ascii="Times New Roman" w:cs="Times New Roman" w:eastAsia="Times New Roman" w:hAnsi="Times New Roman"/>
          <w:sz w:val="24"/>
          <w:szCs w:val="24"/>
          <w:b w:val="1"/>
          <w:bCs w:val="1"/>
          <w:color w:val="auto"/>
        </w:rPr>
        <w:t>POWER TO RELAX STRICT ENFORCEMENT OF THE REGULATIONS</w:t>
      </w:r>
    </w:p>
    <w:p>
      <w:pPr>
        <w:spacing w:after="0" w:line="320"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Exemption from enforcement of the regulations in special cases.</w:t>
      </w:r>
    </w:p>
    <w:p>
      <w:pPr>
        <w:spacing w:after="0" w:line="144" w:lineRule="exact"/>
        <w:rPr>
          <w:sz w:val="20"/>
          <w:szCs w:val="20"/>
          <w:color w:val="auto"/>
        </w:rPr>
      </w:pPr>
    </w:p>
    <w:p>
      <w:pPr>
        <w:jc w:val="both"/>
        <w:ind w:left="8"/>
        <w:spacing w:after="0" w:line="354" w:lineRule="auto"/>
        <w:rPr>
          <w:sz w:val="20"/>
          <w:szCs w:val="20"/>
          <w:color w:val="auto"/>
        </w:rPr>
      </w:pPr>
      <w:r>
        <w:rPr>
          <w:rFonts w:ascii="Times New Roman" w:cs="Times New Roman" w:eastAsia="Times New Roman" w:hAnsi="Times New Roman"/>
          <w:sz w:val="24"/>
          <w:szCs w:val="24"/>
          <w:b w:val="1"/>
          <w:bCs w:val="1"/>
          <w:color w:val="auto"/>
        </w:rPr>
        <w:t xml:space="preserve">295A. </w:t>
      </w:r>
      <w:r>
        <w:rPr>
          <w:rFonts w:ascii="Times New Roman" w:cs="Times New Roman" w:eastAsia="Times New Roman" w:hAnsi="Times New Roman"/>
          <w:sz w:val="24"/>
          <w:szCs w:val="24"/>
          <w:color w:val="auto"/>
        </w:rPr>
        <w:t>(1) The Board may, exempt any person or class of persons from the operation of all or any</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of the provisions of these regulations for a period as may be specified but not exceeding twelve months, for furthering innovation in technological aspects relating to testing new products,</w:t>
      </w:r>
    </w:p>
    <w:p>
      <w:pPr>
        <w:spacing w:after="0" w:line="200" w:lineRule="exact"/>
        <w:rPr>
          <w:sz w:val="20"/>
          <w:szCs w:val="20"/>
          <w:color w:val="auto"/>
        </w:rPr>
      </w:pPr>
    </w:p>
    <w:p>
      <w:pPr>
        <w:spacing w:after="0" w:line="318" w:lineRule="exact"/>
        <w:rPr>
          <w:sz w:val="20"/>
          <w:szCs w:val="20"/>
          <w:color w:val="auto"/>
        </w:rPr>
      </w:pPr>
    </w:p>
    <w:p>
      <w:pPr>
        <w:jc w:val="both"/>
        <w:ind w:left="8"/>
        <w:spacing w:after="0" w:line="211" w:lineRule="auto"/>
        <w:rPr>
          <w:sz w:val="20"/>
          <w:szCs w:val="20"/>
          <w:color w:val="auto"/>
        </w:rPr>
      </w:pPr>
      <w:r>
        <w:rPr>
          <w:rFonts w:ascii="Times New Roman" w:cs="Times New Roman" w:eastAsia="Times New Roman" w:hAnsi="Times New Roman"/>
          <w:sz w:val="25"/>
          <w:szCs w:val="25"/>
          <w:color w:val="auto"/>
          <w:vertAlign w:val="superscript"/>
        </w:rPr>
        <w:t>102</w:t>
      </w:r>
      <w:r>
        <w:rPr>
          <w:rFonts w:ascii="Times New Roman" w:cs="Times New Roman" w:eastAsia="Times New Roman" w:hAnsi="Times New Roman"/>
          <w:sz w:val="20"/>
          <w:szCs w:val="20"/>
          <w:color w:val="auto"/>
        </w:rPr>
        <w:t xml:space="preserve"> Inserted by the SEBI (Issue of Capital and Disclosure Requirements) (Third Amendment) Regulations, 2019 w.e.f.29.07.2019.</w:t>
      </w:r>
    </w:p>
    <w:p>
      <w:pPr>
        <w:ind w:left="248" w:hanging="248"/>
        <w:spacing w:after="0" w:line="201" w:lineRule="auto"/>
        <w:tabs>
          <w:tab w:leader="none" w:pos="248" w:val="left"/>
        </w:tabs>
        <w:numPr>
          <w:ilvl w:val="0"/>
          <w:numId w:val="709"/>
        </w:numPr>
        <w:rPr>
          <w:rFonts w:ascii="Times New Roman" w:cs="Times New Roman" w:eastAsia="Times New Roman" w:hAnsi="Times New Roman"/>
          <w:sz w:val="24"/>
          <w:szCs w:val="24"/>
          <w:color w:val="auto"/>
          <w:vertAlign w:val="superscript"/>
        </w:rPr>
      </w:pPr>
      <w:r>
        <w:rPr>
          <w:rFonts w:ascii="Times New Roman" w:cs="Times New Roman" w:eastAsia="Times New Roman" w:hAnsi="Times New Roman"/>
          <w:sz w:val="18"/>
          <w:szCs w:val="18"/>
          <w:color w:val="auto"/>
        </w:rPr>
        <w:t>Inserted by the SEBI (Regulatory Sandbox) (Amendment) Regulation, w.e.f. 17-04-2020.</w:t>
      </w:r>
    </w:p>
    <w:p>
      <w:pPr>
        <w:spacing w:after="0" w:line="29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172</w:t>
      </w:r>
    </w:p>
    <w:p>
      <w:pPr>
        <w:sectPr>
          <w:pgSz w:w="11900" w:h="16836" w:orient="portrait"/>
          <w:cols w:equalWidth="0" w:num="1">
            <w:col w:w="9468"/>
          </w:cols>
          <w:pgMar w:left="1152" w:top="1156" w:right="1284" w:bottom="103" w:gutter="0" w:footer="0" w:header="0"/>
        </w:sectPr>
      </w:pPr>
    </w:p>
    <w:bookmarkStart w:id="172" w:name="page173"/>
    <w:bookmarkEnd w:id="172"/>
    <w:p>
      <w:pPr>
        <w:ind w:left="8"/>
        <w:spacing w:after="0" w:line="348" w:lineRule="auto"/>
        <w:rPr>
          <w:sz w:val="20"/>
          <w:szCs w:val="20"/>
          <w:color w:val="auto"/>
        </w:rPr>
      </w:pPr>
      <w:r>
        <w:rPr>
          <w:rFonts w:ascii="Times New Roman" w:cs="Times New Roman" w:eastAsia="Times New Roman" w:hAnsi="Times New Roman"/>
          <w:sz w:val="24"/>
          <w:szCs w:val="24"/>
          <w:color w:val="auto"/>
        </w:rPr>
        <w:t>processes, services, business models, etc. in live environment of regulatory sandbox in the securities markets.</w:t>
      </w:r>
    </w:p>
    <w:p>
      <w:pPr>
        <w:spacing w:after="0" w:line="28" w:lineRule="exact"/>
        <w:rPr>
          <w:sz w:val="20"/>
          <w:szCs w:val="20"/>
          <w:color w:val="auto"/>
        </w:rPr>
      </w:pPr>
    </w:p>
    <w:p>
      <w:pPr>
        <w:jc w:val="both"/>
        <w:ind w:left="8" w:hanging="8"/>
        <w:spacing w:after="0" w:line="354" w:lineRule="auto"/>
        <w:tabs>
          <w:tab w:leader="none" w:pos="353" w:val="left"/>
        </w:tabs>
        <w:numPr>
          <w:ilvl w:val="0"/>
          <w:numId w:val="7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exemption granted by the Board under sub-regulation (1) shall be subject to the applicant satisfying such conditions as may be specified by the Board including conditions to be complied with on a continuous basis.</w:t>
      </w:r>
    </w:p>
    <w:p>
      <w:pPr>
        <w:spacing w:after="0" w:line="19" w:lineRule="exact"/>
        <w:rPr>
          <w:rFonts w:ascii="Times New Roman" w:cs="Times New Roman" w:eastAsia="Times New Roman" w:hAnsi="Times New Roman"/>
          <w:sz w:val="24"/>
          <w:szCs w:val="24"/>
          <w:color w:val="auto"/>
        </w:rPr>
      </w:pPr>
    </w:p>
    <w:p>
      <w:pPr>
        <w:jc w:val="both"/>
        <w:ind w:left="8"/>
        <w:spacing w:after="0" w:line="357"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Explanation. — For the purposes of these regulations, "regulatory sandbox" means a live testing environment where new products, processes, services, business models, etc. may be deployed on a limited set of eligible customers for a specified period of time, for furthering innovation in the securities market, subject to such conditions as may be specified by the Board.]</w:t>
      </w:r>
    </w:p>
    <w:p>
      <w:pPr>
        <w:spacing w:after="0" w:line="200" w:lineRule="exact"/>
        <w:rPr>
          <w:sz w:val="20"/>
          <w:szCs w:val="20"/>
          <w:color w:val="auto"/>
        </w:rPr>
      </w:pPr>
    </w:p>
    <w:p>
      <w:pPr>
        <w:spacing w:after="0" w:line="222"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CHAPTER XII - MISCELLANEOUS</w:t>
      </w:r>
    </w:p>
    <w:p>
      <w:pPr>
        <w:spacing w:after="0" w:line="200" w:lineRule="exact"/>
        <w:rPr>
          <w:sz w:val="20"/>
          <w:szCs w:val="20"/>
          <w:color w:val="auto"/>
        </w:rPr>
      </w:pPr>
    </w:p>
    <w:p>
      <w:pPr>
        <w:spacing w:after="0" w:line="35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Directions by the Board</w:t>
      </w:r>
    </w:p>
    <w:p>
      <w:pPr>
        <w:spacing w:after="0" w:line="144" w:lineRule="exact"/>
        <w:rPr>
          <w:sz w:val="20"/>
          <w:szCs w:val="20"/>
          <w:color w:val="auto"/>
        </w:rPr>
      </w:pPr>
    </w:p>
    <w:p>
      <w:pPr>
        <w:jc w:val="both"/>
        <w:ind w:left="8"/>
        <w:spacing w:after="0" w:line="357" w:lineRule="auto"/>
        <w:rPr>
          <w:sz w:val="20"/>
          <w:szCs w:val="20"/>
          <w:color w:val="auto"/>
        </w:rPr>
      </w:pPr>
      <w:r>
        <w:rPr>
          <w:rFonts w:ascii="Times New Roman" w:cs="Times New Roman" w:eastAsia="Times New Roman" w:hAnsi="Times New Roman"/>
          <w:sz w:val="24"/>
          <w:szCs w:val="24"/>
          <w:b w:val="1"/>
          <w:bCs w:val="1"/>
          <w:color w:val="auto"/>
        </w:rPr>
        <w:t>296</w:t>
      </w:r>
      <w:r>
        <w:rPr>
          <w:rFonts w:ascii="Times New Roman" w:cs="Times New Roman" w:eastAsia="Times New Roman" w:hAnsi="Times New Roman"/>
          <w:sz w:val="24"/>
          <w:szCs w:val="24"/>
          <w:color w:val="auto"/>
        </w:rPr>
        <w:t>. Without prejudice to the power under sections 11, 11A, 11B, 11D, sub-section (3) of section</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 xml:space="preserve">12, Chapter VIA and section 24 of the Act, the Board may either </w:t>
      </w:r>
      <w:r>
        <w:rPr>
          <w:rFonts w:ascii="Times New Roman" w:cs="Times New Roman" w:eastAsia="Times New Roman" w:hAnsi="Times New Roman"/>
          <w:sz w:val="24"/>
          <w:szCs w:val="24"/>
          <w:i w:val="1"/>
          <w:iCs w:val="1"/>
          <w:color w:val="auto"/>
        </w:rPr>
        <w:t>suo motu</w:t>
      </w:r>
      <w:r>
        <w:rPr>
          <w:rFonts w:ascii="Times New Roman" w:cs="Times New Roman" w:eastAsia="Times New Roman" w:hAnsi="Times New Roman"/>
          <w:sz w:val="24"/>
          <w:szCs w:val="24"/>
          <w:color w:val="auto"/>
        </w:rPr>
        <w:t xml:space="preserve"> or on receipt of information or on completion or pendency of any inspection, inquiry or investigation, in the interests of investors or the securities market, issue such directions or orders as it deems fit including any or all of the following:</w:t>
      </w:r>
    </w:p>
    <w:p>
      <w:pPr>
        <w:spacing w:after="0" w:line="7" w:lineRule="exact"/>
        <w:rPr>
          <w:sz w:val="20"/>
          <w:szCs w:val="20"/>
          <w:color w:val="auto"/>
        </w:rPr>
      </w:pPr>
    </w:p>
    <w:p>
      <w:pPr>
        <w:ind w:left="548" w:hanging="548"/>
        <w:spacing w:after="0"/>
        <w:tabs>
          <w:tab w:leader="none" w:pos="548" w:val="left"/>
        </w:tabs>
        <w:numPr>
          <w:ilvl w:val="0"/>
          <w:numId w:val="7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directing the persons concerned not to access the securities market for a specified period;</w:t>
      </w:r>
    </w:p>
    <w:p>
      <w:pPr>
        <w:spacing w:after="0" w:line="136" w:lineRule="exact"/>
        <w:rPr>
          <w:rFonts w:ascii="Times New Roman" w:cs="Times New Roman" w:eastAsia="Times New Roman" w:hAnsi="Times New Roman"/>
          <w:sz w:val="24"/>
          <w:szCs w:val="24"/>
          <w:color w:val="auto"/>
        </w:rPr>
      </w:pPr>
    </w:p>
    <w:p>
      <w:pPr>
        <w:ind w:left="548" w:hanging="548"/>
        <w:spacing w:after="0"/>
        <w:tabs>
          <w:tab w:leader="none" w:pos="548" w:val="left"/>
        </w:tabs>
        <w:numPr>
          <w:ilvl w:val="0"/>
          <w:numId w:val="7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directing the person concerned to sell or divest the securities;</w:t>
      </w:r>
    </w:p>
    <w:p>
      <w:pPr>
        <w:spacing w:after="0" w:line="151" w:lineRule="exact"/>
        <w:rPr>
          <w:rFonts w:ascii="Times New Roman" w:cs="Times New Roman" w:eastAsia="Times New Roman" w:hAnsi="Times New Roman"/>
          <w:sz w:val="24"/>
          <w:szCs w:val="24"/>
          <w:color w:val="auto"/>
        </w:rPr>
      </w:pPr>
    </w:p>
    <w:p>
      <w:pPr>
        <w:ind w:left="8" w:hanging="8"/>
        <w:spacing w:after="0" w:line="354" w:lineRule="auto"/>
        <w:tabs>
          <w:tab w:leader="none" w:pos="548" w:val="left"/>
        </w:tabs>
        <w:numPr>
          <w:ilvl w:val="0"/>
          <w:numId w:val="7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other direction which Board may deem fit and proper in the circumstances of the case: Provided that the Board shall, either before or after issuing such direction or order, give a reasonable opportunity of being heard to the person concerned:</w:t>
      </w:r>
    </w:p>
    <w:p>
      <w:pPr>
        <w:spacing w:after="0" w:line="20" w:lineRule="exact"/>
        <w:rPr>
          <w:rFonts w:ascii="Times New Roman" w:cs="Times New Roman" w:eastAsia="Times New Roman" w:hAnsi="Times New Roman"/>
          <w:sz w:val="24"/>
          <w:szCs w:val="24"/>
          <w:color w:val="auto"/>
        </w:rPr>
      </w:pPr>
    </w:p>
    <w:p>
      <w:pPr>
        <w:ind w:left="8"/>
        <w:spacing w:after="0" w:line="350"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further that if any interim direction or order is required to be issued, the Board may give post-decisional hearing to the person concerned.</w:t>
      </w:r>
    </w:p>
    <w:p>
      <w:pPr>
        <w:spacing w:after="0" w:line="200" w:lineRule="exact"/>
        <w:rPr>
          <w:sz w:val="20"/>
          <w:szCs w:val="20"/>
          <w:color w:val="auto"/>
        </w:rPr>
      </w:pPr>
    </w:p>
    <w:p>
      <w:pPr>
        <w:spacing w:after="0" w:line="231"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Liability for contravention of the Act, rules or the regulations</w:t>
      </w:r>
    </w:p>
    <w:p>
      <w:pPr>
        <w:spacing w:after="0" w:line="144" w:lineRule="exact"/>
        <w:rPr>
          <w:sz w:val="20"/>
          <w:szCs w:val="20"/>
          <w:color w:val="auto"/>
        </w:rPr>
      </w:pPr>
    </w:p>
    <w:p>
      <w:pPr>
        <w:jc w:val="both"/>
        <w:ind w:left="8"/>
        <w:spacing w:after="0" w:line="356" w:lineRule="auto"/>
        <w:rPr>
          <w:sz w:val="20"/>
          <w:szCs w:val="20"/>
          <w:color w:val="auto"/>
        </w:rPr>
      </w:pPr>
      <w:r>
        <w:rPr>
          <w:rFonts w:ascii="Times New Roman" w:cs="Times New Roman" w:eastAsia="Times New Roman" w:hAnsi="Times New Roman"/>
          <w:sz w:val="24"/>
          <w:szCs w:val="24"/>
          <w:b w:val="1"/>
          <w:bCs w:val="1"/>
          <w:color w:val="auto"/>
        </w:rPr>
        <w:t>297</w:t>
      </w:r>
      <w:r>
        <w:rPr>
          <w:rFonts w:ascii="Times New Roman" w:cs="Times New Roman" w:eastAsia="Times New Roman" w:hAnsi="Times New Roman"/>
          <w:sz w:val="24"/>
          <w:szCs w:val="24"/>
          <w:color w:val="auto"/>
        </w:rPr>
        <w:t>. (1) The listed issuer or any other person thereof who contravenes any of the provisions of</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these regulations, shall, in addition to the liability for action in terms of the securities laws, be liable for the following actions by the respective stock exchange(s), in the manner specified by the Board:</w:t>
      </w:r>
    </w:p>
    <w:p>
      <w:pPr>
        <w:spacing w:after="0" w:line="7" w:lineRule="exact"/>
        <w:rPr>
          <w:sz w:val="20"/>
          <w:szCs w:val="20"/>
          <w:color w:val="auto"/>
        </w:rPr>
      </w:pPr>
    </w:p>
    <w:p>
      <w:pPr>
        <w:ind w:left="728" w:hanging="368"/>
        <w:spacing w:after="0"/>
        <w:tabs>
          <w:tab w:leader="none" w:pos="728" w:val="left"/>
        </w:tabs>
        <w:numPr>
          <w:ilvl w:val="0"/>
          <w:numId w:val="7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imposition of fines;</w:t>
      </w:r>
    </w:p>
    <w:p>
      <w:pPr>
        <w:spacing w:after="0" w:line="139" w:lineRule="exact"/>
        <w:rPr>
          <w:rFonts w:ascii="Times New Roman" w:cs="Times New Roman" w:eastAsia="Times New Roman" w:hAnsi="Times New Roman"/>
          <w:sz w:val="24"/>
          <w:szCs w:val="24"/>
          <w:color w:val="auto"/>
        </w:rPr>
      </w:pPr>
    </w:p>
    <w:p>
      <w:pPr>
        <w:ind w:left="728" w:hanging="368"/>
        <w:spacing w:after="0"/>
        <w:tabs>
          <w:tab w:leader="none" w:pos="728" w:val="left"/>
        </w:tabs>
        <w:numPr>
          <w:ilvl w:val="0"/>
          <w:numId w:val="7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suspension of trading;</w:t>
      </w:r>
    </w:p>
    <w:p>
      <w:pPr>
        <w:spacing w:after="0" w:line="149" w:lineRule="exact"/>
        <w:rPr>
          <w:rFonts w:ascii="Times New Roman" w:cs="Times New Roman" w:eastAsia="Times New Roman" w:hAnsi="Times New Roman"/>
          <w:sz w:val="24"/>
          <w:szCs w:val="24"/>
          <w:color w:val="auto"/>
        </w:rPr>
      </w:pPr>
    </w:p>
    <w:p>
      <w:pPr>
        <w:ind w:left="728" w:hanging="368"/>
        <w:spacing w:after="0" w:line="350" w:lineRule="auto"/>
        <w:tabs>
          <w:tab w:leader="none" w:pos="728" w:val="left"/>
        </w:tabs>
        <w:numPr>
          <w:ilvl w:val="0"/>
          <w:numId w:val="7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freezing of promoter/promoter group holding of designated securities, as may be applicable in coordination with depositories;</w:t>
      </w:r>
    </w:p>
    <w:p>
      <w:pPr>
        <w:spacing w:after="0" w:line="268"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173</w:t>
      </w:r>
    </w:p>
    <w:p>
      <w:pPr>
        <w:sectPr>
          <w:pgSz w:w="11900" w:h="16836" w:orient="portrait"/>
          <w:cols w:equalWidth="0" w:num="1">
            <w:col w:w="9468"/>
          </w:cols>
          <w:pgMar w:left="1152" w:top="1156" w:right="1284" w:bottom="103" w:gutter="0" w:footer="0" w:header="0"/>
        </w:sectPr>
      </w:pPr>
    </w:p>
    <w:bookmarkStart w:id="173" w:name="page174"/>
    <w:bookmarkEnd w:id="173"/>
    <w:p>
      <w:pPr>
        <w:ind w:left="728" w:hanging="368"/>
        <w:spacing w:after="0"/>
        <w:tabs>
          <w:tab w:leader="none" w:pos="728" w:val="left"/>
        </w:tabs>
        <w:numPr>
          <w:ilvl w:val="1"/>
          <w:numId w:val="7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other action as may be specified by the Board from time to time.</w:t>
      </w:r>
    </w:p>
    <w:p>
      <w:pPr>
        <w:spacing w:after="0" w:line="149" w:lineRule="exact"/>
        <w:rPr>
          <w:rFonts w:ascii="Times New Roman" w:cs="Times New Roman" w:eastAsia="Times New Roman" w:hAnsi="Times New Roman"/>
          <w:sz w:val="24"/>
          <w:szCs w:val="24"/>
          <w:color w:val="auto"/>
        </w:rPr>
      </w:pPr>
    </w:p>
    <w:p>
      <w:pPr>
        <w:ind w:left="8" w:hanging="8"/>
        <w:spacing w:after="0" w:line="350" w:lineRule="auto"/>
        <w:tabs>
          <w:tab w:leader="none" w:pos="348" w:val="left"/>
        </w:tabs>
        <w:numPr>
          <w:ilvl w:val="0"/>
          <w:numId w:val="7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manner of revocation of actions specified in clauses (b) and (c) of sub-regulation (1), shall be in the manner specified by the Board.</w:t>
      </w:r>
    </w:p>
    <w:p>
      <w:pPr>
        <w:spacing w:after="0" w:line="16"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Failure to pay fine</w:t>
      </w:r>
    </w:p>
    <w:p>
      <w:pPr>
        <w:spacing w:after="0" w:line="147" w:lineRule="exact"/>
        <w:rPr>
          <w:sz w:val="20"/>
          <w:szCs w:val="20"/>
          <w:color w:val="auto"/>
        </w:rPr>
      </w:pPr>
    </w:p>
    <w:p>
      <w:pPr>
        <w:jc w:val="both"/>
        <w:ind w:left="8"/>
        <w:spacing w:after="0" w:line="354" w:lineRule="auto"/>
        <w:rPr>
          <w:sz w:val="20"/>
          <w:szCs w:val="20"/>
          <w:color w:val="auto"/>
        </w:rPr>
      </w:pPr>
      <w:r>
        <w:rPr>
          <w:rFonts w:ascii="Times New Roman" w:cs="Times New Roman" w:eastAsia="Times New Roman" w:hAnsi="Times New Roman"/>
          <w:sz w:val="24"/>
          <w:szCs w:val="24"/>
          <w:b w:val="1"/>
          <w:bCs w:val="1"/>
          <w:color w:val="auto"/>
        </w:rPr>
        <w:t>298</w:t>
      </w:r>
      <w:r>
        <w:rPr>
          <w:rFonts w:ascii="Times New Roman" w:cs="Times New Roman" w:eastAsia="Times New Roman" w:hAnsi="Times New Roman"/>
          <w:sz w:val="24"/>
          <w:szCs w:val="24"/>
          <w:color w:val="auto"/>
        </w:rPr>
        <w:t>. If the listed issuer fails to pay any fine imposed upon it by the recognised stock exchange(s),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within the period as specified from time to time, the stock exchange may initiate such other action in accordance with the bye-laws of such Stock Exchange after giving a notice in writing.</w:t>
      </w:r>
    </w:p>
    <w:p>
      <w:pPr>
        <w:spacing w:after="0" w:line="200" w:lineRule="exact"/>
        <w:rPr>
          <w:sz w:val="20"/>
          <w:szCs w:val="20"/>
          <w:color w:val="auto"/>
        </w:rPr>
      </w:pPr>
    </w:p>
    <w:p>
      <w:pPr>
        <w:spacing w:after="0" w:line="22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Power to remove difficulty</w:t>
      </w:r>
    </w:p>
    <w:p>
      <w:pPr>
        <w:spacing w:after="0" w:line="144" w:lineRule="exact"/>
        <w:rPr>
          <w:sz w:val="20"/>
          <w:szCs w:val="20"/>
          <w:color w:val="auto"/>
        </w:rPr>
      </w:pPr>
    </w:p>
    <w:p>
      <w:pPr>
        <w:jc w:val="both"/>
        <w:ind w:left="8"/>
        <w:spacing w:after="0" w:line="354" w:lineRule="auto"/>
        <w:rPr>
          <w:sz w:val="20"/>
          <w:szCs w:val="20"/>
          <w:color w:val="auto"/>
        </w:rPr>
      </w:pPr>
      <w:r>
        <w:rPr>
          <w:rFonts w:ascii="Times New Roman" w:cs="Times New Roman" w:eastAsia="Times New Roman" w:hAnsi="Times New Roman"/>
          <w:sz w:val="24"/>
          <w:szCs w:val="24"/>
          <w:b w:val="1"/>
          <w:bCs w:val="1"/>
          <w:color w:val="auto"/>
        </w:rPr>
        <w:t>299</w:t>
      </w:r>
      <w:r>
        <w:rPr>
          <w:rFonts w:ascii="Times New Roman" w:cs="Times New Roman" w:eastAsia="Times New Roman" w:hAnsi="Times New Roman"/>
          <w:sz w:val="24"/>
          <w:szCs w:val="24"/>
          <w:color w:val="auto"/>
        </w:rPr>
        <w:t>. In order to remove any difficulties in the application or interpretation of these regulations,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the Board may issue clarifications through guidance notes or circulars after recording reasons in writing.</w:t>
      </w:r>
    </w:p>
    <w:p>
      <w:pPr>
        <w:spacing w:after="0" w:line="200" w:lineRule="exact"/>
        <w:rPr>
          <w:sz w:val="20"/>
          <w:szCs w:val="20"/>
          <w:color w:val="auto"/>
        </w:rPr>
      </w:pPr>
    </w:p>
    <w:p>
      <w:pPr>
        <w:spacing w:after="0" w:line="22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Power to relax strict enforcement of the regulations</w:t>
      </w:r>
    </w:p>
    <w:p>
      <w:pPr>
        <w:spacing w:after="0" w:line="147" w:lineRule="exact"/>
        <w:rPr>
          <w:sz w:val="20"/>
          <w:szCs w:val="20"/>
          <w:color w:val="auto"/>
        </w:rPr>
      </w:pPr>
    </w:p>
    <w:p>
      <w:pPr>
        <w:jc w:val="both"/>
        <w:ind w:left="8"/>
        <w:spacing w:after="0" w:line="354" w:lineRule="auto"/>
        <w:rPr>
          <w:sz w:val="20"/>
          <w:szCs w:val="20"/>
          <w:color w:val="auto"/>
        </w:rPr>
      </w:pPr>
      <w:r>
        <w:rPr>
          <w:rFonts w:ascii="Times New Roman" w:cs="Times New Roman" w:eastAsia="Times New Roman" w:hAnsi="Times New Roman"/>
          <w:sz w:val="24"/>
          <w:szCs w:val="24"/>
          <w:b w:val="1"/>
          <w:bCs w:val="1"/>
          <w:color w:val="auto"/>
        </w:rPr>
        <w:t>300</w:t>
      </w:r>
      <w:r>
        <w:rPr>
          <w:rFonts w:ascii="Times New Roman" w:cs="Times New Roman" w:eastAsia="Times New Roman" w:hAnsi="Times New Roman"/>
          <w:sz w:val="24"/>
          <w:szCs w:val="24"/>
          <w:color w:val="auto"/>
        </w:rPr>
        <w:t>. (1) The Board may, in the interest of investors or for the development of the securities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market, relax the strict enforcement of any requirement of these regulations, if the Board is satisfied that:</w:t>
      </w:r>
    </w:p>
    <w:p>
      <w:pPr>
        <w:spacing w:after="0" w:line="8" w:lineRule="exact"/>
        <w:rPr>
          <w:sz w:val="20"/>
          <w:szCs w:val="20"/>
          <w:color w:val="auto"/>
        </w:rPr>
      </w:pPr>
    </w:p>
    <w:p>
      <w:pPr>
        <w:ind w:left="548" w:hanging="548"/>
        <w:spacing w:after="0"/>
        <w:tabs>
          <w:tab w:leader="none" w:pos="548" w:val="left"/>
        </w:tabs>
        <w:numPr>
          <w:ilvl w:val="0"/>
          <w:numId w:val="7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requirement is procedural in nature; or</w:t>
      </w:r>
    </w:p>
    <w:p>
      <w:pPr>
        <w:spacing w:after="0" w:line="139" w:lineRule="exact"/>
        <w:rPr>
          <w:rFonts w:ascii="Times New Roman" w:cs="Times New Roman" w:eastAsia="Times New Roman" w:hAnsi="Times New Roman"/>
          <w:sz w:val="24"/>
          <w:szCs w:val="24"/>
          <w:color w:val="auto"/>
        </w:rPr>
      </w:pPr>
    </w:p>
    <w:p>
      <w:pPr>
        <w:ind w:left="548" w:hanging="548"/>
        <w:spacing w:after="0"/>
        <w:tabs>
          <w:tab w:leader="none" w:pos="548" w:val="left"/>
        </w:tabs>
        <w:numPr>
          <w:ilvl w:val="0"/>
          <w:numId w:val="7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disclosure requirement is not relevant for a particular class of industry or issuer; or</w:t>
      </w:r>
    </w:p>
    <w:p>
      <w:pPr>
        <w:spacing w:after="0" w:line="136" w:lineRule="exact"/>
        <w:rPr>
          <w:rFonts w:ascii="Times New Roman" w:cs="Times New Roman" w:eastAsia="Times New Roman" w:hAnsi="Times New Roman"/>
          <w:sz w:val="24"/>
          <w:szCs w:val="24"/>
          <w:color w:val="auto"/>
        </w:rPr>
      </w:pPr>
    </w:p>
    <w:p>
      <w:pPr>
        <w:ind w:left="548" w:hanging="548"/>
        <w:spacing w:after="0"/>
        <w:tabs>
          <w:tab w:leader="none" w:pos="548" w:val="left"/>
        </w:tabs>
        <w:numPr>
          <w:ilvl w:val="0"/>
          <w:numId w:val="7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non-compliance was caused due to factors beyond the control of the issuer.</w:t>
      </w:r>
    </w:p>
    <w:p>
      <w:pPr>
        <w:spacing w:after="0" w:line="151" w:lineRule="exact"/>
        <w:rPr>
          <w:sz w:val="20"/>
          <w:szCs w:val="20"/>
          <w:color w:val="auto"/>
        </w:rPr>
      </w:pPr>
    </w:p>
    <w:p>
      <w:pPr>
        <w:ind w:left="8" w:hanging="8"/>
        <w:spacing w:after="0" w:line="348" w:lineRule="auto"/>
        <w:tabs>
          <w:tab w:leader="none" w:pos="368" w:val="left"/>
        </w:tabs>
        <w:numPr>
          <w:ilvl w:val="0"/>
          <w:numId w:val="71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For seeking relaxation under sub-regulation (1), an application, giving details and the grounds on which such relaxation has been sought, shall be filed with the Board.</w:t>
      </w:r>
    </w:p>
    <w:p>
      <w:pPr>
        <w:spacing w:after="0" w:line="27" w:lineRule="exact"/>
        <w:rPr>
          <w:rFonts w:ascii="Times New Roman" w:cs="Times New Roman" w:eastAsia="Times New Roman" w:hAnsi="Times New Roman"/>
          <w:sz w:val="24"/>
          <w:szCs w:val="24"/>
          <w:color w:val="auto"/>
        </w:rPr>
      </w:pPr>
    </w:p>
    <w:p>
      <w:pPr>
        <w:jc w:val="both"/>
        <w:ind w:left="8" w:hanging="8"/>
        <w:spacing w:after="0" w:line="356" w:lineRule="auto"/>
        <w:tabs>
          <w:tab w:leader="none" w:pos="368" w:val="left"/>
        </w:tabs>
        <w:numPr>
          <w:ilvl w:val="0"/>
          <w:numId w:val="71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application referred to under sub-regulation (2) shall be accompanied by a non-refundable fee of rupees one lakh payable by way of direct credit in the bank account through NEFT/ RTGS/ IMPS or any other mode allowed by RBI or by way of a demand draft in favour of the Board payable in Mumbai.</w:t>
      </w:r>
    </w:p>
    <w:p>
      <w:pPr>
        <w:spacing w:after="0" w:line="200" w:lineRule="exact"/>
        <w:rPr>
          <w:sz w:val="20"/>
          <w:szCs w:val="20"/>
          <w:color w:val="auto"/>
        </w:rPr>
      </w:pPr>
    </w:p>
    <w:p>
      <w:pPr>
        <w:spacing w:after="0" w:line="225"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Repeal and Savings</w:t>
      </w:r>
    </w:p>
    <w:p>
      <w:pPr>
        <w:spacing w:after="0" w:line="147" w:lineRule="exact"/>
        <w:rPr>
          <w:sz w:val="20"/>
          <w:szCs w:val="20"/>
          <w:color w:val="auto"/>
        </w:rPr>
      </w:pPr>
    </w:p>
    <w:p>
      <w:pPr>
        <w:ind w:left="8"/>
        <w:spacing w:after="0" w:line="348" w:lineRule="auto"/>
        <w:rPr>
          <w:sz w:val="20"/>
          <w:szCs w:val="20"/>
          <w:color w:val="auto"/>
        </w:rPr>
      </w:pPr>
      <w:r>
        <w:rPr>
          <w:rFonts w:ascii="Times New Roman" w:cs="Times New Roman" w:eastAsia="Times New Roman" w:hAnsi="Times New Roman"/>
          <w:sz w:val="24"/>
          <w:szCs w:val="24"/>
          <w:b w:val="1"/>
          <w:bCs w:val="1"/>
          <w:color w:val="auto"/>
        </w:rPr>
        <w:t>301</w:t>
      </w:r>
      <w:r>
        <w:rPr>
          <w:rFonts w:ascii="Times New Roman" w:cs="Times New Roman" w:eastAsia="Times New Roman" w:hAnsi="Times New Roman"/>
          <w:sz w:val="24"/>
          <w:szCs w:val="24"/>
          <w:color w:val="auto"/>
        </w:rPr>
        <w:t>. (1) On and from the commencement of these regulations, the Securities and Exchange Board</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of India (Issue of Capital and Disclosure Requirements), Regulations 2009 shall stand rescinded.</w:t>
      </w:r>
    </w:p>
    <w:p>
      <w:pPr>
        <w:spacing w:after="0" w:line="15"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(2) Notwithstanding such rescission:</w:t>
      </w:r>
    </w:p>
    <w:p>
      <w:pPr>
        <w:spacing w:after="0" w:line="149" w:lineRule="exact"/>
        <w:rPr>
          <w:sz w:val="20"/>
          <w:szCs w:val="20"/>
          <w:color w:val="auto"/>
        </w:rPr>
      </w:pPr>
    </w:p>
    <w:p>
      <w:pPr>
        <w:jc w:val="both"/>
        <w:ind w:left="548" w:hanging="548"/>
        <w:spacing w:after="0" w:line="356" w:lineRule="auto"/>
        <w:tabs>
          <w:tab w:leader="none" w:pos="548" w:val="left"/>
        </w:tabs>
        <w:numPr>
          <w:ilvl w:val="0"/>
          <w:numId w:val="7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anything done or any action taken or purported to have been done or taken including observation made in respect of any draft offer document, any enquiry or investigation commenced or show cause notice issued in respect of the said Regulations shall be deemed to have been done or taken under the corresponding provisions of these regulations.</w:t>
      </w:r>
    </w:p>
    <w:p>
      <w:pPr>
        <w:spacing w:after="0" w:line="263"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174</w:t>
      </w:r>
    </w:p>
    <w:p>
      <w:pPr>
        <w:sectPr>
          <w:pgSz w:w="11900" w:h="16836" w:orient="portrait"/>
          <w:cols w:equalWidth="0" w:num="1">
            <w:col w:w="9468"/>
          </w:cols>
          <w:pgMar w:left="1152" w:top="1144" w:right="1284" w:bottom="103" w:gutter="0" w:footer="0" w:header="0"/>
        </w:sectPr>
      </w:pPr>
    </w:p>
    <w:bookmarkStart w:id="174" w:name="page175"/>
    <w:bookmarkEnd w:id="174"/>
    <w:p>
      <w:pPr>
        <w:jc w:val="both"/>
        <w:ind w:left="548" w:hanging="548"/>
        <w:spacing w:after="0" w:line="354" w:lineRule="auto"/>
        <w:tabs>
          <w:tab w:leader="none" w:pos="548" w:val="left"/>
        </w:tabs>
        <w:numPr>
          <w:ilvl w:val="0"/>
          <w:numId w:val="7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offer document, whether draft or otherwise, filed or application made to the Board under the said Regulations and pending before it shall be deemed to have been filed or made under the corresponding provisions of these regulations.</w:t>
      </w:r>
    </w:p>
    <w:p>
      <w:pPr>
        <w:spacing w:after="0" w:line="200" w:lineRule="exact"/>
        <w:rPr>
          <w:sz w:val="20"/>
          <w:szCs w:val="20"/>
          <w:color w:val="auto"/>
        </w:rPr>
      </w:pPr>
    </w:p>
    <w:p>
      <w:pPr>
        <w:spacing w:after="0" w:line="228"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SCHEDULE I – LEAD MANAGERS’ INTER-SE ALLOCATION OF</w:t>
      </w:r>
    </w:p>
    <w:p>
      <w:pPr>
        <w:spacing w:after="0" w:line="137"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RESPONSIBILITIES</w:t>
      </w:r>
    </w:p>
    <w:p>
      <w:pPr>
        <w:spacing w:after="0" w:line="13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[See regulations 23(2), 69(2), 121(2), 184(2) and 245(2)]</w:t>
      </w:r>
    </w:p>
    <w:p>
      <w:pPr>
        <w:spacing w:after="0" w:line="200" w:lineRule="exact"/>
        <w:rPr>
          <w:sz w:val="20"/>
          <w:szCs w:val="20"/>
          <w:color w:val="auto"/>
        </w:rPr>
      </w:pPr>
    </w:p>
    <w:p>
      <w:pPr>
        <w:spacing w:after="0" w:line="360" w:lineRule="exact"/>
        <w:rPr>
          <w:sz w:val="20"/>
          <w:szCs w:val="20"/>
          <w:color w:val="auto"/>
        </w:rPr>
      </w:pPr>
    </w:p>
    <w:p>
      <w:pPr>
        <w:jc w:val="both"/>
        <w:ind w:left="568" w:hanging="568"/>
        <w:spacing w:after="0" w:line="354" w:lineRule="auto"/>
        <w:tabs>
          <w:tab w:leader="none" w:pos="568" w:val="left"/>
        </w:tabs>
        <w:numPr>
          <w:ilvl w:val="0"/>
          <w:numId w:val="71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 shall prepare a schedule, listing the activity-wise allocation of responsibilities relating to the issue, the name of the lead manager responsible for each set of activities or sub-activities, and disclose the same in the offer document.</w:t>
      </w:r>
    </w:p>
    <w:p>
      <w:pPr>
        <w:spacing w:after="0" w:line="19" w:lineRule="exact"/>
        <w:rPr>
          <w:rFonts w:ascii="Times New Roman" w:cs="Times New Roman" w:eastAsia="Times New Roman" w:hAnsi="Times New Roman"/>
          <w:sz w:val="24"/>
          <w:szCs w:val="24"/>
          <w:color w:val="auto"/>
        </w:rPr>
      </w:pPr>
    </w:p>
    <w:p>
      <w:pPr>
        <w:jc w:val="both"/>
        <w:ind w:left="568" w:hanging="568"/>
        <w:spacing w:after="0" w:line="350" w:lineRule="auto"/>
        <w:tabs>
          <w:tab w:leader="none" w:pos="568" w:val="left"/>
        </w:tabs>
        <w:numPr>
          <w:ilvl w:val="0"/>
          <w:numId w:val="71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Where circumstances warrant the joint and several responsibility of the lead manager(s) for any particular activity, a co-ordinator designated from amongst the lead manager(s)</w:t>
      </w:r>
    </w:p>
    <w:p>
      <w:pPr>
        <w:spacing w:after="0" w:line="23" w:lineRule="exact"/>
        <w:rPr>
          <w:rFonts w:ascii="Times New Roman" w:cs="Times New Roman" w:eastAsia="Times New Roman" w:hAnsi="Times New Roman"/>
          <w:sz w:val="24"/>
          <w:szCs w:val="24"/>
          <w:color w:val="auto"/>
        </w:rPr>
      </w:pPr>
    </w:p>
    <w:p>
      <w:pPr>
        <w:ind w:left="568"/>
        <w:spacing w:after="0" w:line="350"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(hereinafter referred to as the “designated lead manager”) shall furnish to the Board, when called for, information, report, rationales, etc. on matters relating to such activity.</w:t>
      </w:r>
    </w:p>
    <w:p>
      <w:pPr>
        <w:spacing w:after="0" w:line="10"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71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activities and sub-activities may be grouped on the following lines:</w:t>
      </w:r>
    </w:p>
    <w:p>
      <w:pPr>
        <w:spacing w:after="0" w:line="151" w:lineRule="exact"/>
        <w:rPr>
          <w:rFonts w:ascii="Times New Roman" w:cs="Times New Roman" w:eastAsia="Times New Roman" w:hAnsi="Times New Roman"/>
          <w:sz w:val="24"/>
          <w:szCs w:val="24"/>
          <w:color w:val="auto"/>
        </w:rPr>
      </w:pPr>
    </w:p>
    <w:p>
      <w:pPr>
        <w:ind w:left="1148" w:hanging="572"/>
        <w:spacing w:after="0" w:line="348" w:lineRule="auto"/>
        <w:tabs>
          <w:tab w:leader="none" w:pos="1148" w:val="left"/>
        </w:tabs>
        <w:numPr>
          <w:ilvl w:val="1"/>
          <w:numId w:val="71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Capital structuring with the relative components and formalities such as composition of debt and equity, type of instruments, etc.</w:t>
      </w:r>
    </w:p>
    <w:p>
      <w:pPr>
        <w:spacing w:after="0" w:line="27" w:lineRule="exact"/>
        <w:rPr>
          <w:rFonts w:ascii="Times New Roman" w:cs="Times New Roman" w:eastAsia="Times New Roman" w:hAnsi="Times New Roman"/>
          <w:sz w:val="24"/>
          <w:szCs w:val="24"/>
          <w:color w:val="auto"/>
        </w:rPr>
      </w:pPr>
    </w:p>
    <w:p>
      <w:pPr>
        <w:ind w:left="1148" w:hanging="572"/>
        <w:spacing w:after="0" w:line="348" w:lineRule="auto"/>
        <w:tabs>
          <w:tab w:leader="none" w:pos="1148" w:val="left"/>
        </w:tabs>
        <w:numPr>
          <w:ilvl w:val="1"/>
          <w:numId w:val="71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Drafting and design of the offer document, application form and abridged prospectus, and of the advertisement or publicity material including newspaper advertisements.</w:t>
      </w:r>
    </w:p>
    <w:p>
      <w:pPr>
        <w:spacing w:after="0" w:line="27" w:lineRule="exact"/>
        <w:rPr>
          <w:rFonts w:ascii="Times New Roman" w:cs="Times New Roman" w:eastAsia="Times New Roman" w:hAnsi="Times New Roman"/>
          <w:sz w:val="24"/>
          <w:szCs w:val="24"/>
          <w:color w:val="auto"/>
        </w:rPr>
      </w:pPr>
    </w:p>
    <w:p>
      <w:pPr>
        <w:jc w:val="both"/>
        <w:ind w:left="1148" w:hanging="572"/>
        <w:spacing w:after="0" w:line="354" w:lineRule="auto"/>
        <w:tabs>
          <w:tab w:leader="none" w:pos="1148" w:val="left"/>
        </w:tabs>
        <w:numPr>
          <w:ilvl w:val="1"/>
          <w:numId w:val="71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Selection of various intermediaries/agencies connected with the issue, such as registrars to the issue, printers, advertising agencies, bankers to the issue, collection centres as per schedule XII, etc.</w:t>
      </w:r>
    </w:p>
    <w:p>
      <w:pPr>
        <w:spacing w:after="0" w:line="20" w:lineRule="exact"/>
        <w:rPr>
          <w:rFonts w:ascii="Times New Roman" w:cs="Times New Roman" w:eastAsia="Times New Roman" w:hAnsi="Times New Roman"/>
          <w:sz w:val="24"/>
          <w:szCs w:val="24"/>
          <w:color w:val="auto"/>
        </w:rPr>
      </w:pPr>
    </w:p>
    <w:p>
      <w:pPr>
        <w:jc w:val="both"/>
        <w:ind w:left="1148" w:hanging="572"/>
        <w:spacing w:after="0" w:line="358" w:lineRule="auto"/>
        <w:tabs>
          <w:tab w:leader="none" w:pos="1148" w:val="left"/>
        </w:tabs>
        <w:numPr>
          <w:ilvl w:val="1"/>
          <w:numId w:val="71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Marketing of the issue, which shall cover, </w:t>
      </w:r>
      <w:r>
        <w:rPr>
          <w:rFonts w:ascii="Times New Roman" w:cs="Times New Roman" w:eastAsia="Times New Roman" w:hAnsi="Times New Roman"/>
          <w:sz w:val="24"/>
          <w:szCs w:val="24"/>
          <w:i w:val="1"/>
          <w:iCs w:val="1"/>
          <w:color w:val="auto"/>
        </w:rPr>
        <w:t>inter alia</w:t>
      </w:r>
      <w:r>
        <w:rPr>
          <w:rFonts w:ascii="Times New Roman" w:cs="Times New Roman" w:eastAsia="Times New Roman" w:hAnsi="Times New Roman"/>
          <w:sz w:val="24"/>
          <w:szCs w:val="24"/>
          <w:color w:val="auto"/>
        </w:rPr>
        <w:t>, formulating marketing strategies, preparation of publicity budget, arrangements for selection of (i) media, (ii) centres for holding conferences of media, stock brokers, investors, etc., (iii) brokers to the issue, and (iv) underwriters and underwriting arrangement, quantum and distribution of publicity and issue material including offer documents, application form and abridged prospectus.</w:t>
      </w:r>
    </w:p>
    <w:p>
      <w:pPr>
        <w:spacing w:after="0" w:line="14" w:lineRule="exact"/>
        <w:rPr>
          <w:rFonts w:ascii="Times New Roman" w:cs="Times New Roman" w:eastAsia="Times New Roman" w:hAnsi="Times New Roman"/>
          <w:sz w:val="24"/>
          <w:szCs w:val="24"/>
          <w:color w:val="auto"/>
        </w:rPr>
      </w:pPr>
    </w:p>
    <w:p>
      <w:pPr>
        <w:jc w:val="both"/>
        <w:ind w:left="1148" w:hanging="572"/>
        <w:spacing w:after="0" w:line="357" w:lineRule="auto"/>
        <w:tabs>
          <w:tab w:leader="none" w:pos="1148" w:val="left"/>
        </w:tabs>
        <w:numPr>
          <w:ilvl w:val="1"/>
          <w:numId w:val="71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Post-issue activities, including essential follow-up with bankers to the issue and self certified syndicate banks to get quick estimates of subscription and advising the issuer about the closure of the issue, finalisation of the basis of allotment after weeding out multiple applications, listing of instruments, despatch of certificates or demat credit and refunds/unblocking and co-ordination with various agencies connected with the</w:t>
      </w: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175</w:t>
      </w:r>
    </w:p>
    <w:p>
      <w:pPr>
        <w:sectPr>
          <w:pgSz w:w="11900" w:h="16836" w:orient="portrait"/>
          <w:cols w:equalWidth="0" w:num="1">
            <w:col w:w="9468"/>
          </w:cols>
          <w:pgMar w:left="1152" w:top="1156" w:right="1284" w:bottom="103" w:gutter="0" w:footer="0" w:header="0"/>
        </w:sectPr>
      </w:pPr>
    </w:p>
    <w:bookmarkStart w:id="175" w:name="page176"/>
    <w:bookmarkEnd w:id="175"/>
    <w:p>
      <w:pPr>
        <w:ind w:left="1148"/>
        <w:spacing w:after="0" w:line="348" w:lineRule="auto"/>
        <w:rPr>
          <w:sz w:val="20"/>
          <w:szCs w:val="20"/>
          <w:color w:val="auto"/>
        </w:rPr>
      </w:pPr>
      <w:r>
        <w:rPr>
          <w:rFonts w:ascii="Times New Roman" w:cs="Times New Roman" w:eastAsia="Times New Roman" w:hAnsi="Times New Roman"/>
          <w:sz w:val="24"/>
          <w:szCs w:val="24"/>
          <w:color w:val="auto"/>
        </w:rPr>
        <w:t>post-issue activity such as registrars to the issue, bankers to the issue, self certified syndicate banks and underwriters.</w:t>
      </w:r>
    </w:p>
    <w:p>
      <w:pPr>
        <w:spacing w:after="0" w:line="28" w:lineRule="exact"/>
        <w:rPr>
          <w:sz w:val="20"/>
          <w:szCs w:val="20"/>
          <w:color w:val="auto"/>
        </w:rPr>
      </w:pPr>
    </w:p>
    <w:p>
      <w:pPr>
        <w:jc w:val="both"/>
        <w:ind w:left="568" w:hanging="568"/>
        <w:spacing w:after="0" w:line="354" w:lineRule="auto"/>
        <w:tabs>
          <w:tab w:leader="none" w:pos="568" w:val="left"/>
        </w:tabs>
        <w:numPr>
          <w:ilvl w:val="0"/>
          <w:numId w:val="7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designated lead manager shall be responsible for ensuring compliance with these regulations and other requirements and formalities specified by the Registrar of Companies, the Board and the stock exchanges.</w:t>
      </w:r>
    </w:p>
    <w:p>
      <w:pPr>
        <w:spacing w:after="0" w:line="19" w:lineRule="exact"/>
        <w:rPr>
          <w:rFonts w:ascii="Times New Roman" w:cs="Times New Roman" w:eastAsia="Times New Roman" w:hAnsi="Times New Roman"/>
          <w:sz w:val="24"/>
          <w:szCs w:val="24"/>
          <w:color w:val="auto"/>
        </w:rPr>
      </w:pPr>
    </w:p>
    <w:p>
      <w:pPr>
        <w:ind w:left="568" w:hanging="568"/>
        <w:spacing w:after="0" w:line="350" w:lineRule="auto"/>
        <w:tabs>
          <w:tab w:leader="none" w:pos="568" w:val="left"/>
        </w:tabs>
        <w:numPr>
          <w:ilvl w:val="0"/>
          <w:numId w:val="7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designated lead manager shall be responsible for ensuring that all intermediaries fulfil their obligations and functions as specified in their agreements with the issuer.</w:t>
      </w:r>
    </w:p>
    <w:p>
      <w:pPr>
        <w:spacing w:after="0" w:line="23" w:lineRule="exact"/>
        <w:rPr>
          <w:rFonts w:ascii="Times New Roman" w:cs="Times New Roman" w:eastAsia="Times New Roman" w:hAnsi="Times New Roman"/>
          <w:sz w:val="24"/>
          <w:szCs w:val="24"/>
          <w:color w:val="auto"/>
        </w:rPr>
      </w:pPr>
    </w:p>
    <w:p>
      <w:pPr>
        <w:jc w:val="both"/>
        <w:ind w:left="568" w:hanging="568"/>
        <w:spacing w:after="0" w:line="357" w:lineRule="auto"/>
        <w:tabs>
          <w:tab w:leader="none" w:pos="568" w:val="left"/>
        </w:tabs>
        <w:numPr>
          <w:ilvl w:val="0"/>
          <w:numId w:val="7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under-subscription in an issue, the lead manager responsible for underwriting arrangements shall be responsible for invoking underwriting obligations and ensuring that the notice for devolvement containing the obligations of the underwriters is issued in terms of these regulations.</w:t>
      </w:r>
    </w:p>
    <w:p>
      <w:pPr>
        <w:spacing w:after="0" w:line="200" w:lineRule="exact"/>
        <w:rPr>
          <w:sz w:val="20"/>
          <w:szCs w:val="20"/>
          <w:color w:val="auto"/>
        </w:rPr>
      </w:pPr>
    </w:p>
    <w:p>
      <w:pPr>
        <w:spacing w:after="0" w:line="222"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SCHEDULE II - CONTENTS OF AGREEMENT BETWEEN LEAD MANAGER(S) AND</w:t>
      </w:r>
    </w:p>
    <w:p>
      <w:pPr>
        <w:spacing w:after="0" w:line="137"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ISSUER</w:t>
      </w:r>
    </w:p>
    <w:p>
      <w:pPr>
        <w:spacing w:after="0" w:line="13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[See regulations 23(5), 69(5), 71(2), 121(5), 184 (1) and 245(5)]</w:t>
      </w:r>
    </w:p>
    <w:p>
      <w:pPr>
        <w:spacing w:after="0" w:line="200" w:lineRule="exact"/>
        <w:rPr>
          <w:sz w:val="20"/>
          <w:szCs w:val="20"/>
          <w:color w:val="auto"/>
        </w:rPr>
      </w:pPr>
    </w:p>
    <w:p>
      <w:pPr>
        <w:spacing w:after="0" w:line="360" w:lineRule="exact"/>
        <w:rPr>
          <w:sz w:val="20"/>
          <w:szCs w:val="20"/>
          <w:color w:val="auto"/>
        </w:rPr>
      </w:pPr>
    </w:p>
    <w:p>
      <w:pPr>
        <w:ind w:left="8"/>
        <w:spacing w:after="0" w:line="348" w:lineRule="auto"/>
        <w:rPr>
          <w:sz w:val="20"/>
          <w:szCs w:val="20"/>
          <w:color w:val="auto"/>
        </w:rPr>
      </w:pPr>
      <w:r>
        <w:rPr>
          <w:rFonts w:ascii="Times New Roman" w:cs="Times New Roman" w:eastAsia="Times New Roman" w:hAnsi="Times New Roman"/>
          <w:sz w:val="24"/>
          <w:szCs w:val="24"/>
          <w:color w:val="auto"/>
        </w:rPr>
        <w:t>The agreement between the issuer and the lead manager(s) may contain various clauses governing their relationship with respect to the issue, including the following:</w:t>
      </w:r>
    </w:p>
    <w:p>
      <w:pPr>
        <w:spacing w:after="0" w:line="200" w:lineRule="exact"/>
        <w:rPr>
          <w:sz w:val="20"/>
          <w:szCs w:val="20"/>
          <w:color w:val="auto"/>
        </w:rPr>
      </w:pPr>
    </w:p>
    <w:p>
      <w:pPr>
        <w:spacing w:after="0" w:line="228" w:lineRule="exact"/>
        <w:rPr>
          <w:sz w:val="20"/>
          <w:szCs w:val="20"/>
          <w:color w:val="auto"/>
        </w:rPr>
      </w:pPr>
    </w:p>
    <w:p>
      <w:pPr>
        <w:ind w:left="568" w:hanging="568"/>
        <w:spacing w:after="0"/>
        <w:tabs>
          <w:tab w:leader="none" w:pos="568" w:val="left"/>
        </w:tabs>
        <w:numPr>
          <w:ilvl w:val="0"/>
          <w:numId w:val="7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Representation by the issuer to include representations in respect of the following matters:</w:t>
      </w:r>
    </w:p>
    <w:p>
      <w:pPr>
        <w:spacing w:after="0" w:line="151" w:lineRule="exact"/>
        <w:rPr>
          <w:rFonts w:ascii="Times New Roman" w:cs="Times New Roman" w:eastAsia="Times New Roman" w:hAnsi="Times New Roman"/>
          <w:sz w:val="24"/>
          <w:szCs w:val="24"/>
          <w:color w:val="auto"/>
        </w:rPr>
      </w:pPr>
    </w:p>
    <w:p>
      <w:pPr>
        <w:jc w:val="both"/>
        <w:ind w:left="908" w:hanging="368"/>
        <w:spacing w:after="0" w:line="354" w:lineRule="auto"/>
        <w:tabs>
          <w:tab w:leader="none" w:pos="968" w:val="left"/>
        </w:tabs>
        <w:numPr>
          <w:ilvl w:val="1"/>
          <w:numId w:val="7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Compliance with all statutory formalities under these regulations, the Companies Act, 1956 and/ or the Companies Act, 2013, as applicable and other conditions, instructions and advices issued by the Board and other relevant statutes relating to an issue.</w:t>
      </w:r>
    </w:p>
    <w:p>
      <w:pPr>
        <w:spacing w:after="0" w:line="20" w:lineRule="exact"/>
        <w:rPr>
          <w:rFonts w:ascii="Times New Roman" w:cs="Times New Roman" w:eastAsia="Times New Roman" w:hAnsi="Times New Roman"/>
          <w:sz w:val="24"/>
          <w:szCs w:val="24"/>
          <w:color w:val="auto"/>
        </w:rPr>
      </w:pPr>
    </w:p>
    <w:p>
      <w:pPr>
        <w:ind w:left="908" w:hanging="368"/>
        <w:spacing w:after="0" w:line="350" w:lineRule="auto"/>
        <w:tabs>
          <w:tab w:leader="none" w:pos="908" w:val="left"/>
        </w:tabs>
        <w:numPr>
          <w:ilvl w:val="1"/>
          <w:numId w:val="7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All statements made in the draft offer document or the draft letter of offer and the offer document shall be complete in all respects and shall be true and correct.</w:t>
      </w:r>
    </w:p>
    <w:p>
      <w:pPr>
        <w:spacing w:after="0" w:line="200" w:lineRule="exact"/>
        <w:rPr>
          <w:rFonts w:ascii="Times New Roman" w:cs="Times New Roman" w:eastAsia="Times New Roman" w:hAnsi="Times New Roman"/>
          <w:sz w:val="24"/>
          <w:szCs w:val="24"/>
          <w:color w:val="auto"/>
        </w:rPr>
      </w:pPr>
    </w:p>
    <w:p>
      <w:pPr>
        <w:spacing w:after="0" w:line="226"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7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Covenants by the issuer shall include covenants in respect of the following matters:</w:t>
      </w:r>
    </w:p>
    <w:p>
      <w:pPr>
        <w:spacing w:after="0" w:line="149" w:lineRule="exact"/>
        <w:rPr>
          <w:rFonts w:ascii="Times New Roman" w:cs="Times New Roman" w:eastAsia="Times New Roman" w:hAnsi="Times New Roman"/>
          <w:sz w:val="24"/>
          <w:szCs w:val="24"/>
          <w:color w:val="auto"/>
        </w:rPr>
      </w:pPr>
    </w:p>
    <w:p>
      <w:pPr>
        <w:jc w:val="both"/>
        <w:ind w:left="908" w:hanging="368"/>
        <w:spacing w:after="0" w:line="354" w:lineRule="auto"/>
        <w:tabs>
          <w:tab w:leader="none" w:pos="908" w:val="left"/>
        </w:tabs>
        <w:numPr>
          <w:ilvl w:val="1"/>
          <w:numId w:val="7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All necessary information shall be made available to the lead manager(s) and under no circumstances, the issuer shall neither give nor withhold any information which is likely to mislead the investors.</w:t>
      </w:r>
    </w:p>
    <w:p>
      <w:pPr>
        <w:spacing w:after="0" w:line="22" w:lineRule="exact"/>
        <w:rPr>
          <w:rFonts w:ascii="Times New Roman" w:cs="Times New Roman" w:eastAsia="Times New Roman" w:hAnsi="Times New Roman"/>
          <w:sz w:val="24"/>
          <w:szCs w:val="24"/>
          <w:color w:val="auto"/>
        </w:rPr>
      </w:pPr>
    </w:p>
    <w:p>
      <w:pPr>
        <w:ind w:left="908" w:hanging="368"/>
        <w:spacing w:after="0" w:line="348" w:lineRule="auto"/>
        <w:tabs>
          <w:tab w:leader="none" w:pos="908" w:val="left"/>
        </w:tabs>
        <w:numPr>
          <w:ilvl w:val="1"/>
          <w:numId w:val="7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All documents to enable the lead manager(s) to corroborate the information given in the draft offer document or the draft letter of offer have been provided.</w:t>
      </w:r>
    </w:p>
    <w:p>
      <w:pPr>
        <w:spacing w:after="0" w:line="28" w:lineRule="exact"/>
        <w:rPr>
          <w:rFonts w:ascii="Times New Roman" w:cs="Times New Roman" w:eastAsia="Times New Roman" w:hAnsi="Times New Roman"/>
          <w:sz w:val="24"/>
          <w:szCs w:val="24"/>
          <w:color w:val="auto"/>
        </w:rPr>
      </w:pPr>
    </w:p>
    <w:p>
      <w:pPr>
        <w:jc w:val="both"/>
        <w:ind w:left="908" w:hanging="368"/>
        <w:spacing w:after="0" w:line="348" w:lineRule="auto"/>
        <w:tabs>
          <w:tab w:leader="none" w:pos="908" w:val="left"/>
        </w:tabs>
        <w:numPr>
          <w:ilvl w:val="1"/>
          <w:numId w:val="7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All necessary facilities shall be extended by the issuer to the lead manager(s) to interact on any matter relevant to the issue with the solicitors or legal advisors, auditors,</w:t>
      </w: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176</w:t>
      </w:r>
    </w:p>
    <w:p>
      <w:pPr>
        <w:sectPr>
          <w:pgSz w:w="11900" w:h="16836" w:orient="portrait"/>
          <w:cols w:equalWidth="0" w:num="1">
            <w:col w:w="9468"/>
          </w:cols>
          <w:pgMar w:left="1152" w:top="1156" w:right="1284" w:bottom="103" w:gutter="0" w:footer="0" w:header="0"/>
        </w:sectPr>
      </w:pPr>
    </w:p>
    <w:bookmarkStart w:id="176" w:name="page177"/>
    <w:bookmarkEnd w:id="176"/>
    <w:p>
      <w:pPr>
        <w:ind w:left="908"/>
        <w:spacing w:after="0" w:line="348" w:lineRule="auto"/>
        <w:rPr>
          <w:sz w:val="20"/>
          <w:szCs w:val="20"/>
          <w:color w:val="auto"/>
        </w:rPr>
      </w:pPr>
      <w:r>
        <w:rPr>
          <w:rFonts w:ascii="Times New Roman" w:cs="Times New Roman" w:eastAsia="Times New Roman" w:hAnsi="Times New Roman"/>
          <w:sz w:val="24"/>
          <w:szCs w:val="24"/>
          <w:color w:val="auto"/>
        </w:rPr>
        <w:t>consultants, advisors to the issue, public financial institutions, scheduled commercial banks or any other organisation and any other intermediary associated with the issue.</w:t>
      </w:r>
    </w:p>
    <w:p>
      <w:pPr>
        <w:spacing w:after="0" w:line="28" w:lineRule="exact"/>
        <w:rPr>
          <w:sz w:val="20"/>
          <w:szCs w:val="20"/>
          <w:color w:val="auto"/>
        </w:rPr>
      </w:pPr>
    </w:p>
    <w:p>
      <w:pPr>
        <w:ind w:left="908" w:hanging="368"/>
        <w:spacing w:after="0" w:line="348" w:lineRule="auto"/>
        <w:tabs>
          <w:tab w:leader="none" w:pos="908" w:val="left"/>
        </w:tabs>
        <w:numPr>
          <w:ilvl w:val="1"/>
          <w:numId w:val="7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and particulars of statutory compliances which have to be fulfilled before the issue.</w:t>
      </w:r>
    </w:p>
    <w:p>
      <w:pPr>
        <w:spacing w:after="0" w:line="200" w:lineRule="exact"/>
        <w:rPr>
          <w:rFonts w:ascii="Times New Roman" w:cs="Times New Roman" w:eastAsia="Times New Roman" w:hAnsi="Times New Roman"/>
          <w:sz w:val="24"/>
          <w:szCs w:val="24"/>
          <w:color w:val="auto"/>
        </w:rPr>
      </w:pPr>
    </w:p>
    <w:p>
      <w:pPr>
        <w:spacing w:after="0" w:line="240" w:lineRule="exact"/>
        <w:rPr>
          <w:rFonts w:ascii="Times New Roman" w:cs="Times New Roman" w:eastAsia="Times New Roman" w:hAnsi="Times New Roman"/>
          <w:sz w:val="24"/>
          <w:szCs w:val="24"/>
          <w:color w:val="auto"/>
        </w:rPr>
      </w:pPr>
    </w:p>
    <w:p>
      <w:pPr>
        <w:jc w:val="both"/>
        <w:ind w:left="568" w:hanging="568"/>
        <w:spacing w:after="0" w:line="354" w:lineRule="auto"/>
        <w:tabs>
          <w:tab w:leader="none" w:pos="568" w:val="left"/>
        </w:tabs>
        <w:numPr>
          <w:ilvl w:val="0"/>
          <w:numId w:val="7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ensure that all advertisements released in connection with the issue conform to these regulations and the instructions given by the lead manager(s) from time to time and that it shall not make any misleading or incorrect statement in any public communication or</w:t>
      </w:r>
    </w:p>
    <w:p>
      <w:pPr>
        <w:spacing w:after="0" w:line="23" w:lineRule="exact"/>
        <w:rPr>
          <w:sz w:val="20"/>
          <w:szCs w:val="20"/>
          <w:color w:val="auto"/>
        </w:rPr>
      </w:pPr>
    </w:p>
    <w:p>
      <w:pPr>
        <w:jc w:val="both"/>
        <w:ind w:left="568"/>
        <w:spacing w:after="0" w:line="357" w:lineRule="auto"/>
        <w:rPr>
          <w:sz w:val="20"/>
          <w:szCs w:val="20"/>
          <w:color w:val="auto"/>
        </w:rPr>
      </w:pPr>
      <w:r>
        <w:rPr>
          <w:rFonts w:ascii="Times New Roman" w:cs="Times New Roman" w:eastAsia="Times New Roman" w:hAnsi="Times New Roman"/>
          <w:sz w:val="24"/>
          <w:szCs w:val="24"/>
          <w:color w:val="auto"/>
        </w:rPr>
        <w:t>publicity material including corporate, and issue advertisements of the issuer. The interviews by the issuer’s promoters, directors, duly authorized employees or representatives of the issuer, documentaries about the issuer or its promoters, periodical reports and press releases issued by the issuer or research report made by the issuer, any intermediary connected with the issue or their associates or at any press, stock brokers’ or investors’ conferences, shall also conform to these regulations .</w:t>
      </w:r>
    </w:p>
    <w:p>
      <w:pPr>
        <w:spacing w:after="0" w:line="200" w:lineRule="exact"/>
        <w:rPr>
          <w:sz w:val="20"/>
          <w:szCs w:val="20"/>
          <w:color w:val="auto"/>
        </w:rPr>
      </w:pPr>
    </w:p>
    <w:p>
      <w:pPr>
        <w:spacing w:after="0" w:line="234" w:lineRule="exact"/>
        <w:rPr>
          <w:sz w:val="20"/>
          <w:szCs w:val="20"/>
          <w:color w:val="auto"/>
        </w:rPr>
      </w:pPr>
    </w:p>
    <w:p>
      <w:pPr>
        <w:ind w:left="568" w:hanging="568"/>
        <w:spacing w:after="0" w:line="350" w:lineRule="auto"/>
        <w:tabs>
          <w:tab w:leader="none" w:pos="568" w:val="left"/>
        </w:tabs>
        <w:numPr>
          <w:ilvl w:val="0"/>
          <w:numId w:val="72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appoint other intermediaries (except self certified syndicate banks) and other persons associated with the issue only with the prior consent of the lead manager(s).</w:t>
      </w:r>
    </w:p>
    <w:p>
      <w:pPr>
        <w:spacing w:after="0" w:line="200" w:lineRule="exact"/>
        <w:rPr>
          <w:rFonts w:ascii="Times New Roman" w:cs="Times New Roman" w:eastAsia="Times New Roman" w:hAnsi="Times New Roman"/>
          <w:sz w:val="24"/>
          <w:szCs w:val="24"/>
          <w:color w:val="auto"/>
        </w:rPr>
      </w:pPr>
    </w:p>
    <w:p>
      <w:pPr>
        <w:spacing w:after="0" w:line="238" w:lineRule="exact"/>
        <w:rPr>
          <w:rFonts w:ascii="Times New Roman" w:cs="Times New Roman" w:eastAsia="Times New Roman" w:hAnsi="Times New Roman"/>
          <w:sz w:val="24"/>
          <w:szCs w:val="24"/>
          <w:color w:val="auto"/>
        </w:rPr>
      </w:pPr>
    </w:p>
    <w:p>
      <w:pPr>
        <w:jc w:val="both"/>
        <w:ind w:left="568" w:hanging="568"/>
        <w:spacing w:after="0" w:line="356" w:lineRule="auto"/>
        <w:tabs>
          <w:tab w:leader="none" w:pos="568" w:val="left"/>
        </w:tabs>
        <w:numPr>
          <w:ilvl w:val="0"/>
          <w:numId w:val="72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whenever required and wherever applicable, in consultation with the lead manager, enter into an agreement with the intermediaries associated with the issue, clearly setting forth their mutual rights, responsibilities and obligations. A certified true copy of such agreements shall be furnished to the lead manager.</w:t>
      </w:r>
    </w:p>
    <w:p>
      <w:pPr>
        <w:spacing w:after="0" w:line="200" w:lineRule="exact"/>
        <w:rPr>
          <w:rFonts w:ascii="Times New Roman" w:cs="Times New Roman" w:eastAsia="Times New Roman" w:hAnsi="Times New Roman"/>
          <w:sz w:val="24"/>
          <w:szCs w:val="24"/>
          <w:color w:val="auto"/>
        </w:rPr>
      </w:pPr>
    </w:p>
    <w:p>
      <w:pPr>
        <w:spacing w:after="0" w:line="231" w:lineRule="exact"/>
        <w:rPr>
          <w:rFonts w:ascii="Times New Roman" w:cs="Times New Roman" w:eastAsia="Times New Roman" w:hAnsi="Times New Roman"/>
          <w:sz w:val="24"/>
          <w:szCs w:val="24"/>
          <w:color w:val="auto"/>
        </w:rPr>
      </w:pPr>
    </w:p>
    <w:p>
      <w:pPr>
        <w:jc w:val="both"/>
        <w:ind w:left="568" w:hanging="568"/>
        <w:spacing w:after="0" w:line="354" w:lineRule="auto"/>
        <w:tabs>
          <w:tab w:leader="none" w:pos="568" w:val="left"/>
        </w:tabs>
        <w:numPr>
          <w:ilvl w:val="0"/>
          <w:numId w:val="72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take such steps as are necessary to ensure completion of allotment and despatch of letters of allotment/credit to demat accounts and refund orders/unblocking of funds to the applicants within the prescribed time.</w:t>
      </w:r>
    </w:p>
    <w:p>
      <w:pPr>
        <w:spacing w:after="0" w:line="200" w:lineRule="exact"/>
        <w:rPr>
          <w:rFonts w:ascii="Times New Roman" w:cs="Times New Roman" w:eastAsia="Times New Roman" w:hAnsi="Times New Roman"/>
          <w:sz w:val="24"/>
          <w:szCs w:val="24"/>
          <w:color w:val="auto"/>
        </w:rPr>
      </w:pPr>
    </w:p>
    <w:p>
      <w:pPr>
        <w:spacing w:after="0" w:line="234" w:lineRule="exact"/>
        <w:rPr>
          <w:rFonts w:ascii="Times New Roman" w:cs="Times New Roman" w:eastAsia="Times New Roman" w:hAnsi="Times New Roman"/>
          <w:sz w:val="24"/>
          <w:szCs w:val="24"/>
          <w:color w:val="auto"/>
        </w:rPr>
      </w:pPr>
    </w:p>
    <w:p>
      <w:pPr>
        <w:jc w:val="both"/>
        <w:ind w:left="568" w:hanging="568"/>
        <w:spacing w:after="0" w:line="354" w:lineRule="auto"/>
        <w:tabs>
          <w:tab w:leader="none" w:pos="568" w:val="left"/>
        </w:tabs>
        <w:numPr>
          <w:ilvl w:val="0"/>
          <w:numId w:val="72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take steps to pay fees, underwriting commission, brokerage to the underwriters, stock brokers, SCSBs, registered intermediaries, lead manager(s) etc. within the time specified in the agreement with such intermediaries or within a reasonable time.</w:t>
      </w:r>
    </w:p>
    <w:p>
      <w:pPr>
        <w:spacing w:after="0" w:line="200" w:lineRule="exact"/>
        <w:rPr>
          <w:rFonts w:ascii="Times New Roman" w:cs="Times New Roman" w:eastAsia="Times New Roman" w:hAnsi="Times New Roman"/>
          <w:sz w:val="24"/>
          <w:szCs w:val="24"/>
          <w:color w:val="auto"/>
        </w:rPr>
      </w:pPr>
    </w:p>
    <w:p>
      <w:pPr>
        <w:spacing w:after="0" w:line="235" w:lineRule="exact"/>
        <w:rPr>
          <w:rFonts w:ascii="Times New Roman" w:cs="Times New Roman" w:eastAsia="Times New Roman" w:hAnsi="Times New Roman"/>
          <w:sz w:val="24"/>
          <w:szCs w:val="24"/>
          <w:color w:val="auto"/>
        </w:rPr>
      </w:pPr>
    </w:p>
    <w:p>
      <w:pPr>
        <w:jc w:val="both"/>
        <w:ind w:left="568" w:hanging="568"/>
        <w:spacing w:after="0" w:line="354" w:lineRule="auto"/>
        <w:tabs>
          <w:tab w:leader="none" w:pos="568" w:val="left"/>
        </w:tabs>
        <w:numPr>
          <w:ilvl w:val="0"/>
          <w:numId w:val="72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undertakes to furnish such information and details regarding the issue as may be required by the lead manager(s), to enable them to file a report with the Board or place it on their websites.</w:t>
      </w: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177</w:t>
      </w:r>
    </w:p>
    <w:p>
      <w:pPr>
        <w:sectPr>
          <w:pgSz w:w="11900" w:h="16836" w:orient="portrait"/>
          <w:cols w:equalWidth="0" w:num="1">
            <w:col w:w="9468"/>
          </w:cols>
          <w:pgMar w:left="1152" w:top="1156" w:right="1284" w:bottom="103" w:gutter="0" w:footer="0" w:header="0"/>
        </w:sectPr>
      </w:pPr>
    </w:p>
    <w:bookmarkStart w:id="177" w:name="page178"/>
    <w:bookmarkEnd w:id="177"/>
    <w:p>
      <w:pPr>
        <w:jc w:val="both"/>
        <w:ind w:left="568" w:hanging="568"/>
        <w:spacing w:after="0" w:line="357" w:lineRule="auto"/>
        <w:tabs>
          <w:tab w:leader="none" w:pos="568" w:val="left"/>
        </w:tabs>
        <w:numPr>
          <w:ilvl w:val="0"/>
          <w:numId w:val="72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keep the lead manager(s) informed if it encounters any problem due to dislocation of communication system or any other material adverse circumstance which is likely to prevent or which has prevented the issuer from complying with its obligations, whether statutory or contractual, in respect of the matters pertaining to allotment, despatch of certificate, demat credit, making refunds/ unblocking of funds, share/debenture certificates etc.</w:t>
      </w:r>
    </w:p>
    <w:p>
      <w:pPr>
        <w:spacing w:after="0" w:line="200" w:lineRule="exact"/>
        <w:rPr>
          <w:rFonts w:ascii="Times New Roman" w:cs="Times New Roman" w:eastAsia="Times New Roman" w:hAnsi="Times New Roman"/>
          <w:sz w:val="24"/>
          <w:szCs w:val="24"/>
          <w:color w:val="auto"/>
        </w:rPr>
      </w:pPr>
    </w:p>
    <w:p>
      <w:pPr>
        <w:spacing w:after="0" w:line="234" w:lineRule="exact"/>
        <w:rPr>
          <w:rFonts w:ascii="Times New Roman" w:cs="Times New Roman" w:eastAsia="Times New Roman" w:hAnsi="Times New Roman"/>
          <w:sz w:val="24"/>
          <w:szCs w:val="24"/>
          <w:color w:val="auto"/>
        </w:rPr>
      </w:pPr>
    </w:p>
    <w:p>
      <w:pPr>
        <w:jc w:val="both"/>
        <w:ind w:left="568" w:hanging="568"/>
        <w:spacing w:after="0" w:line="350" w:lineRule="auto"/>
        <w:tabs>
          <w:tab w:leader="none" w:pos="568" w:val="left"/>
        </w:tabs>
        <w:numPr>
          <w:ilvl w:val="0"/>
          <w:numId w:val="72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not resort to any legal proceedings in respect of any matter having a bearing on the issue except in consultation with and after receipt of advice from the lead manager(s).</w:t>
      </w:r>
    </w:p>
    <w:p>
      <w:pPr>
        <w:spacing w:after="0" w:line="200" w:lineRule="exact"/>
        <w:rPr>
          <w:rFonts w:ascii="Times New Roman" w:cs="Times New Roman" w:eastAsia="Times New Roman" w:hAnsi="Times New Roman"/>
          <w:sz w:val="24"/>
          <w:szCs w:val="24"/>
          <w:color w:val="auto"/>
        </w:rPr>
      </w:pPr>
    </w:p>
    <w:p>
      <w:pPr>
        <w:spacing w:after="0" w:line="238" w:lineRule="exact"/>
        <w:rPr>
          <w:rFonts w:ascii="Times New Roman" w:cs="Times New Roman" w:eastAsia="Times New Roman" w:hAnsi="Times New Roman"/>
          <w:sz w:val="24"/>
          <w:szCs w:val="24"/>
          <w:color w:val="auto"/>
        </w:rPr>
      </w:pPr>
    </w:p>
    <w:p>
      <w:pPr>
        <w:jc w:val="both"/>
        <w:ind w:left="568" w:hanging="568"/>
        <w:spacing w:after="0" w:line="356" w:lineRule="auto"/>
        <w:tabs>
          <w:tab w:leader="none" w:pos="568" w:val="left"/>
        </w:tabs>
        <w:numPr>
          <w:ilvl w:val="0"/>
          <w:numId w:val="72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refund/unblock the monies of the applicants, if required to do so for any reason such as failing to get listing permission or under any direction or order of the Board. The issuer shall pay requisite interest amount if so required under the laws or direction or order of the Board.</w:t>
      </w:r>
    </w:p>
    <w:p>
      <w:pPr>
        <w:spacing w:after="0" w:line="200" w:lineRule="exact"/>
        <w:rPr>
          <w:rFonts w:ascii="Times New Roman" w:cs="Times New Roman" w:eastAsia="Times New Roman" w:hAnsi="Times New Roman"/>
          <w:sz w:val="24"/>
          <w:szCs w:val="24"/>
          <w:color w:val="auto"/>
        </w:rPr>
      </w:pPr>
    </w:p>
    <w:p>
      <w:pPr>
        <w:spacing w:after="0" w:line="231" w:lineRule="exact"/>
        <w:rPr>
          <w:rFonts w:ascii="Times New Roman" w:cs="Times New Roman" w:eastAsia="Times New Roman" w:hAnsi="Times New Roman"/>
          <w:sz w:val="24"/>
          <w:szCs w:val="24"/>
          <w:color w:val="auto"/>
        </w:rPr>
      </w:pPr>
    </w:p>
    <w:p>
      <w:pPr>
        <w:ind w:left="568" w:hanging="568"/>
        <w:spacing w:after="0" w:line="350" w:lineRule="auto"/>
        <w:tabs>
          <w:tab w:leader="none" w:pos="568" w:val="left"/>
        </w:tabs>
        <w:numPr>
          <w:ilvl w:val="0"/>
          <w:numId w:val="72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agreement shall specify any offer related rights of lead manager(s) with respect to the issuer.</w:t>
      </w:r>
    </w:p>
    <w:p>
      <w:pPr>
        <w:spacing w:after="0" w:line="200" w:lineRule="exact"/>
        <w:rPr>
          <w:rFonts w:ascii="Times New Roman" w:cs="Times New Roman" w:eastAsia="Times New Roman" w:hAnsi="Times New Roman"/>
          <w:sz w:val="24"/>
          <w:szCs w:val="24"/>
          <w:color w:val="auto"/>
        </w:rPr>
      </w:pPr>
    </w:p>
    <w:p>
      <w:pPr>
        <w:spacing w:after="0" w:line="238" w:lineRule="exact"/>
        <w:rPr>
          <w:rFonts w:ascii="Times New Roman" w:cs="Times New Roman" w:eastAsia="Times New Roman" w:hAnsi="Times New Roman"/>
          <w:sz w:val="24"/>
          <w:szCs w:val="24"/>
          <w:color w:val="auto"/>
        </w:rPr>
      </w:pPr>
    </w:p>
    <w:p>
      <w:pPr>
        <w:ind w:left="568" w:hanging="568"/>
        <w:spacing w:after="0" w:line="348" w:lineRule="auto"/>
        <w:tabs>
          <w:tab w:leader="none" w:pos="568" w:val="left"/>
        </w:tabs>
        <w:numPr>
          <w:ilvl w:val="0"/>
          <w:numId w:val="72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agreement shall specify the grounds for breach of the agreement and consequences of any breach.</w:t>
      </w:r>
    </w:p>
    <w:p>
      <w:pPr>
        <w:spacing w:after="0" w:line="32" w:lineRule="exact"/>
        <w:rPr>
          <w:sz w:val="20"/>
          <w:szCs w:val="20"/>
          <w:color w:val="auto"/>
        </w:rPr>
      </w:pPr>
    </w:p>
    <w:p>
      <w:pPr>
        <w:jc w:val="center"/>
        <w:ind w:left="1160" w:right="280"/>
        <w:spacing w:after="0" w:line="348" w:lineRule="auto"/>
        <w:rPr>
          <w:sz w:val="20"/>
          <w:szCs w:val="20"/>
          <w:color w:val="auto"/>
        </w:rPr>
      </w:pPr>
      <w:r>
        <w:rPr>
          <w:rFonts w:ascii="Times New Roman" w:cs="Times New Roman" w:eastAsia="Times New Roman" w:hAnsi="Times New Roman"/>
          <w:sz w:val="24"/>
          <w:szCs w:val="24"/>
          <w:b w:val="1"/>
          <w:bCs w:val="1"/>
          <w:color w:val="auto"/>
        </w:rPr>
        <w:t>SCHEDULE III - FEES TO BE PAID ALONG WITH DRAFT OFFER DOCUMENT/ DRAFT LETTER OF OFFER OR OFFER DOCUMENT</w:t>
      </w:r>
    </w:p>
    <w:p>
      <w:pPr>
        <w:spacing w:after="0" w:line="200" w:lineRule="exact"/>
        <w:rPr>
          <w:sz w:val="20"/>
          <w:szCs w:val="20"/>
          <w:color w:val="auto"/>
        </w:rPr>
      </w:pPr>
    </w:p>
    <w:p>
      <w:pPr>
        <w:spacing w:after="0" w:line="236" w:lineRule="exact"/>
        <w:rPr>
          <w:sz w:val="20"/>
          <w:szCs w:val="20"/>
          <w:color w:val="auto"/>
        </w:rPr>
      </w:pPr>
    </w:p>
    <w:p>
      <w:pPr>
        <w:ind w:left="8"/>
        <w:spacing w:after="0" w:line="350" w:lineRule="auto"/>
        <w:rPr>
          <w:sz w:val="20"/>
          <w:szCs w:val="20"/>
          <w:color w:val="auto"/>
        </w:rPr>
      </w:pPr>
      <w:r>
        <w:rPr>
          <w:rFonts w:ascii="Times New Roman" w:cs="Times New Roman" w:eastAsia="Times New Roman" w:hAnsi="Times New Roman"/>
          <w:sz w:val="24"/>
          <w:szCs w:val="24"/>
          <w:color w:val="auto"/>
        </w:rPr>
        <w:t>[See regulations 25(1), 25(6), 71(1), 71(6), 100(1), 123(1), 123(6), 156(1), 186(5), 220(1), 287(1) and 288(1)]</w:t>
      </w:r>
    </w:p>
    <w:p>
      <w:pPr>
        <w:spacing w:after="0" w:line="200" w:lineRule="exact"/>
        <w:rPr>
          <w:sz w:val="20"/>
          <w:szCs w:val="20"/>
          <w:color w:val="auto"/>
        </w:rPr>
      </w:pPr>
    </w:p>
    <w:p>
      <w:pPr>
        <w:spacing w:after="0" w:line="238" w:lineRule="exact"/>
        <w:rPr>
          <w:sz w:val="20"/>
          <w:szCs w:val="20"/>
          <w:color w:val="auto"/>
        </w:rPr>
      </w:pPr>
    </w:p>
    <w:p>
      <w:pPr>
        <w:jc w:val="both"/>
        <w:ind w:left="568" w:hanging="568"/>
        <w:spacing w:after="0" w:line="354" w:lineRule="auto"/>
        <w:tabs>
          <w:tab w:leader="none" w:pos="568" w:val="left"/>
        </w:tabs>
        <w:numPr>
          <w:ilvl w:val="0"/>
          <w:numId w:val="726"/>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In respect of every draft offer document, offer document in case of a fast track issue and draft letter of offer as also in cases of updation of any draft offer document, fees at the rate as specified below, shall be payable to the Board.</w:t>
      </w:r>
    </w:p>
    <w:p>
      <w:pPr>
        <w:spacing w:after="0" w:line="7" w:lineRule="exact"/>
        <w:rPr>
          <w:rFonts w:ascii="Times New Roman" w:cs="Times New Roman" w:eastAsia="Times New Roman" w:hAnsi="Times New Roman"/>
          <w:sz w:val="22"/>
          <w:szCs w:val="22"/>
          <w:color w:val="auto"/>
        </w:rPr>
      </w:pPr>
    </w:p>
    <w:p>
      <w:pPr>
        <w:ind w:left="568" w:hanging="568"/>
        <w:spacing w:after="0"/>
        <w:tabs>
          <w:tab w:leader="none" w:pos="568" w:val="left"/>
        </w:tabs>
        <w:numPr>
          <w:ilvl w:val="0"/>
          <w:numId w:val="726"/>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The  fees  shall  be paid in advance by  way  of  direct  credit  in  the  Board’s bank</w:t>
      </w:r>
    </w:p>
    <w:p>
      <w:pPr>
        <w:spacing w:after="0" w:line="151" w:lineRule="exact"/>
        <w:rPr>
          <w:sz w:val="20"/>
          <w:szCs w:val="20"/>
          <w:color w:val="auto"/>
        </w:rPr>
      </w:pPr>
    </w:p>
    <w:p>
      <w:pPr>
        <w:jc w:val="both"/>
        <w:ind w:left="568"/>
        <w:spacing w:after="0" w:line="356" w:lineRule="auto"/>
        <w:rPr>
          <w:sz w:val="20"/>
          <w:szCs w:val="20"/>
          <w:color w:val="auto"/>
        </w:rPr>
      </w:pPr>
      <w:r>
        <w:rPr>
          <w:rFonts w:ascii="Times New Roman" w:cs="Times New Roman" w:eastAsia="Times New Roman" w:hAnsi="Times New Roman"/>
          <w:sz w:val="24"/>
          <w:szCs w:val="24"/>
          <w:color w:val="auto"/>
        </w:rPr>
        <w:t>account through NEFT/RTGS/IMPS or any other mode allowed by RBI or by means of a demand draft drawn in favour of ‘the Securities and Exchange Board of India’ payable at the place of office of the Board, in terms of Schedule IV, where the draft offer document or offer document or updated draft offer document, as the case may be, is filed.</w:t>
      </w: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178</w:t>
      </w:r>
    </w:p>
    <w:p>
      <w:pPr>
        <w:sectPr>
          <w:pgSz w:w="11900" w:h="16836" w:orient="portrait"/>
          <w:cols w:equalWidth="0" w:num="1">
            <w:col w:w="9468"/>
          </w:cols>
          <w:pgMar w:left="1152" w:top="1156" w:right="1284" w:bottom="103" w:gutter="0" w:footer="0" w:header="0"/>
        </w:sectPr>
      </w:pPr>
    </w:p>
    <w:bookmarkStart w:id="178" w:name="page179"/>
    <w:bookmarkEnd w:id="178"/>
    <w:p>
      <w:pPr>
        <w:ind w:left="1148" w:hanging="572"/>
        <w:spacing w:after="0"/>
        <w:tabs>
          <w:tab w:leader="none" w:pos="1148" w:val="left"/>
        </w:tabs>
        <w:numPr>
          <w:ilvl w:val="0"/>
          <w:numId w:val="727"/>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Public issue:</w:t>
      </w:r>
    </w:p>
    <w:p>
      <w:pPr>
        <w:spacing w:after="0" w:line="120" w:lineRule="exact"/>
        <w:rPr>
          <w:sz w:val="20"/>
          <w:szCs w:val="20"/>
          <w:color w:val="auto"/>
        </w:rPr>
      </w:pPr>
    </w:p>
    <w:tbl>
      <w:tblPr>
        <w:tblLayout w:type="fixed"/>
        <w:tblInd w:w="1128" w:type="dxa"/>
        <w:tblCellMar>
          <w:top w:w="0" w:type="dxa"/>
          <w:left w:w="0" w:type="dxa"/>
          <w:bottom w:w="0" w:type="dxa"/>
          <w:right w:w="0" w:type="dxa"/>
        </w:tblCellMar>
      </w:tblPr>
      <w:tr>
        <w:trPr>
          <w:trHeight w:val="395"/>
        </w:trPr>
        <w:tc>
          <w:tcPr>
            <w:tcW w:w="20" w:type="dxa"/>
            <w:vAlign w:val="bottom"/>
          </w:tcPr>
          <w:p>
            <w:pPr>
              <w:spacing w:after="0"/>
              <w:rPr>
                <w:sz w:val="24"/>
                <w:szCs w:val="24"/>
                <w:color w:val="auto"/>
              </w:rPr>
            </w:pPr>
          </w:p>
        </w:tc>
        <w:tc>
          <w:tcPr>
            <w:tcW w:w="700" w:type="dxa"/>
            <w:vAlign w:val="bottom"/>
            <w:tcBorders>
              <w:top w:val="single" w:sz="8" w:color="auto"/>
              <w:left w:val="single" w:sz="8" w:color="auto"/>
            </w:tcBorders>
          </w:tcPr>
          <w:p>
            <w:pPr>
              <w:ind w:left="120"/>
              <w:spacing w:after="0"/>
              <w:rPr>
                <w:sz w:val="20"/>
                <w:szCs w:val="20"/>
                <w:color w:val="auto"/>
              </w:rPr>
            </w:pPr>
            <w:r>
              <w:rPr>
                <w:rFonts w:ascii="Times New Roman" w:cs="Times New Roman" w:eastAsia="Times New Roman" w:hAnsi="Times New Roman"/>
                <w:sz w:val="24"/>
                <w:szCs w:val="24"/>
                <w:b w:val="1"/>
                <w:bCs w:val="1"/>
                <w:color w:val="auto"/>
              </w:rPr>
              <w:t>Size</w:t>
            </w:r>
          </w:p>
        </w:tc>
        <w:tc>
          <w:tcPr>
            <w:tcW w:w="360" w:type="dxa"/>
            <w:vAlign w:val="bottom"/>
            <w:tcBorders>
              <w:top w:val="single" w:sz="8" w:color="auto"/>
            </w:tcBorders>
          </w:tcPr>
          <w:p>
            <w:pPr>
              <w:ind w:left="120"/>
              <w:spacing w:after="0"/>
              <w:rPr>
                <w:sz w:val="20"/>
                <w:szCs w:val="20"/>
                <w:color w:val="auto"/>
              </w:rPr>
            </w:pPr>
            <w:r>
              <w:rPr>
                <w:rFonts w:ascii="Times New Roman" w:cs="Times New Roman" w:eastAsia="Times New Roman" w:hAnsi="Times New Roman"/>
                <w:sz w:val="24"/>
                <w:szCs w:val="24"/>
                <w:b w:val="1"/>
                <w:bCs w:val="1"/>
                <w:color w:val="auto"/>
              </w:rPr>
              <w:t>of</w:t>
            </w:r>
          </w:p>
        </w:tc>
        <w:tc>
          <w:tcPr>
            <w:tcW w:w="800" w:type="dxa"/>
            <w:vAlign w:val="bottom"/>
            <w:tcBorders>
              <w:top w:val="single" w:sz="8" w:color="auto"/>
            </w:tcBorders>
            <w:gridSpan w:val="2"/>
          </w:tcPr>
          <w:p>
            <w:pPr>
              <w:ind w:left="220"/>
              <w:spacing w:after="0"/>
              <w:rPr>
                <w:sz w:val="20"/>
                <w:szCs w:val="20"/>
                <w:color w:val="auto"/>
              </w:rPr>
            </w:pPr>
            <w:r>
              <w:rPr>
                <w:rFonts w:ascii="Times New Roman" w:cs="Times New Roman" w:eastAsia="Times New Roman" w:hAnsi="Times New Roman"/>
                <w:sz w:val="24"/>
                <w:szCs w:val="24"/>
                <w:b w:val="1"/>
                <w:bCs w:val="1"/>
                <w:color w:val="auto"/>
              </w:rPr>
              <w:t>the</w:t>
            </w:r>
          </w:p>
        </w:tc>
        <w:tc>
          <w:tcPr>
            <w:tcW w:w="580" w:type="dxa"/>
            <w:vAlign w:val="bottom"/>
            <w:tcBorders>
              <w:top w:val="single" w:sz="8" w:color="auto"/>
            </w:tcBorders>
            <w:gridSpan w:val="2"/>
          </w:tcPr>
          <w:p>
            <w:pPr>
              <w:jc w:val="right"/>
              <w:ind w:right="20"/>
              <w:spacing w:after="0"/>
              <w:rPr>
                <w:sz w:val="20"/>
                <w:szCs w:val="20"/>
                <w:color w:val="auto"/>
              </w:rPr>
            </w:pPr>
            <w:r>
              <w:rPr>
                <w:rFonts w:ascii="Times New Roman" w:cs="Times New Roman" w:eastAsia="Times New Roman" w:hAnsi="Times New Roman"/>
                <w:sz w:val="24"/>
                <w:szCs w:val="24"/>
                <w:b w:val="1"/>
                <w:bCs w:val="1"/>
                <w:color w:val="auto"/>
                <w:w w:val="97"/>
              </w:rPr>
              <w:t>issue,</w:t>
            </w:r>
          </w:p>
        </w:tc>
        <w:tc>
          <w:tcPr>
            <w:tcW w:w="120" w:type="dxa"/>
            <w:vAlign w:val="bottom"/>
            <w:tcBorders>
              <w:top w:val="single" w:sz="8" w:color="auto"/>
              <w:right w:val="single" w:sz="8" w:color="auto"/>
            </w:tcBorders>
          </w:tcPr>
          <w:p>
            <w:pPr>
              <w:spacing w:after="0"/>
              <w:rPr>
                <w:sz w:val="24"/>
                <w:szCs w:val="24"/>
                <w:color w:val="auto"/>
              </w:rPr>
            </w:pPr>
          </w:p>
        </w:tc>
        <w:tc>
          <w:tcPr>
            <w:tcW w:w="2720" w:type="dxa"/>
            <w:vAlign w:val="bottom"/>
            <w:tcBorders>
              <w:top w:val="single" w:sz="8" w:color="auto"/>
            </w:tcBorders>
            <w:gridSpan w:val="4"/>
          </w:tcPr>
          <w:p>
            <w:pPr>
              <w:ind w:left="80"/>
              <w:spacing w:after="0"/>
              <w:rPr>
                <w:sz w:val="20"/>
                <w:szCs w:val="20"/>
                <w:color w:val="auto"/>
              </w:rPr>
            </w:pPr>
            <w:r>
              <w:rPr>
                <w:rFonts w:ascii="Times New Roman" w:cs="Times New Roman" w:eastAsia="Times New Roman" w:hAnsi="Times New Roman"/>
                <w:sz w:val="24"/>
                <w:szCs w:val="24"/>
                <w:b w:val="1"/>
                <w:bCs w:val="1"/>
                <w:color w:val="auto"/>
              </w:rPr>
              <w:t>Amount / Rate of fees</w:t>
            </w:r>
          </w:p>
        </w:tc>
        <w:tc>
          <w:tcPr>
            <w:tcW w:w="100" w:type="dxa"/>
            <w:vAlign w:val="bottom"/>
            <w:tcBorders>
              <w:top w:val="single" w:sz="8" w:color="auto"/>
              <w:right w:val="single" w:sz="8" w:color="auto"/>
            </w:tcBorders>
          </w:tcPr>
          <w:p>
            <w:pPr>
              <w:spacing w:after="0"/>
              <w:rPr>
                <w:sz w:val="24"/>
                <w:szCs w:val="24"/>
                <w:color w:val="auto"/>
              </w:rPr>
            </w:pPr>
          </w:p>
        </w:tc>
        <w:tc>
          <w:tcPr>
            <w:tcW w:w="3140" w:type="dxa"/>
            <w:vAlign w:val="bottom"/>
            <w:tcBorders>
              <w:top w:val="single" w:sz="8" w:color="auto"/>
              <w:right w:val="single" w:sz="8" w:color="auto"/>
            </w:tcBorders>
            <w:gridSpan w:val="4"/>
          </w:tcPr>
          <w:p>
            <w:pPr>
              <w:ind w:left="80"/>
              <w:spacing w:after="0"/>
              <w:rPr>
                <w:sz w:val="20"/>
                <w:szCs w:val="20"/>
                <w:color w:val="auto"/>
              </w:rPr>
            </w:pPr>
            <w:r>
              <w:rPr>
                <w:rFonts w:ascii="Times New Roman" w:cs="Times New Roman" w:eastAsia="Times New Roman" w:hAnsi="Times New Roman"/>
                <w:sz w:val="32"/>
                <w:szCs w:val="32"/>
                <w:b w:val="1"/>
                <w:bCs w:val="1"/>
                <w:color w:val="auto"/>
                <w:vertAlign w:val="superscript"/>
              </w:rPr>
              <w:t>104</w:t>
            </w:r>
            <w:r>
              <w:rPr>
                <w:rFonts w:ascii="Times New Roman" w:cs="Times New Roman" w:eastAsia="Times New Roman" w:hAnsi="Times New Roman"/>
                <w:sz w:val="24"/>
                <w:szCs w:val="24"/>
                <w:b w:val="1"/>
                <w:bCs w:val="1"/>
                <w:color w:val="auto"/>
              </w:rPr>
              <w:t>[Amount / Rate of fees for</w:t>
            </w:r>
          </w:p>
        </w:tc>
      </w:tr>
      <w:tr>
        <w:trPr>
          <w:trHeight w:val="303"/>
        </w:trPr>
        <w:tc>
          <w:tcPr>
            <w:tcW w:w="20" w:type="dxa"/>
            <w:vAlign w:val="bottom"/>
          </w:tcPr>
          <w:p>
            <w:pPr>
              <w:spacing w:after="0"/>
              <w:rPr>
                <w:sz w:val="24"/>
                <w:szCs w:val="24"/>
                <w:color w:val="auto"/>
              </w:rPr>
            </w:pPr>
          </w:p>
        </w:tc>
        <w:tc>
          <w:tcPr>
            <w:tcW w:w="1440" w:type="dxa"/>
            <w:vAlign w:val="bottom"/>
            <w:tcBorders>
              <w:left w:val="single" w:sz="8" w:color="auto"/>
            </w:tcBorders>
            <w:gridSpan w:val="3"/>
          </w:tcPr>
          <w:p>
            <w:pPr>
              <w:ind w:left="120"/>
              <w:spacing w:after="0"/>
              <w:rPr>
                <w:sz w:val="20"/>
                <w:szCs w:val="20"/>
                <w:color w:val="auto"/>
              </w:rPr>
            </w:pPr>
            <w:r>
              <w:rPr>
                <w:rFonts w:ascii="Times New Roman" w:cs="Times New Roman" w:eastAsia="Times New Roman" w:hAnsi="Times New Roman"/>
                <w:sz w:val="24"/>
                <w:szCs w:val="24"/>
                <w:b w:val="1"/>
                <w:bCs w:val="1"/>
                <w:color w:val="auto"/>
              </w:rPr>
              <w:t>including</w:t>
            </w:r>
          </w:p>
        </w:tc>
        <w:tc>
          <w:tcPr>
            <w:tcW w:w="1000" w:type="dxa"/>
            <w:vAlign w:val="bottom"/>
            <w:gridSpan w:val="3"/>
          </w:tcPr>
          <w:p>
            <w:pPr>
              <w:jc w:val="right"/>
              <w:spacing w:after="0"/>
              <w:rPr>
                <w:sz w:val="20"/>
                <w:szCs w:val="20"/>
                <w:color w:val="auto"/>
              </w:rPr>
            </w:pPr>
            <w:r>
              <w:rPr>
                <w:rFonts w:ascii="Times New Roman" w:cs="Times New Roman" w:eastAsia="Times New Roman" w:hAnsi="Times New Roman"/>
                <w:sz w:val="24"/>
                <w:szCs w:val="24"/>
                <w:b w:val="1"/>
                <w:bCs w:val="1"/>
                <w:color w:val="auto"/>
              </w:rPr>
              <w:t>intended</w:t>
            </w:r>
          </w:p>
        </w:tc>
        <w:tc>
          <w:tcPr>
            <w:tcW w:w="120" w:type="dxa"/>
            <w:vAlign w:val="bottom"/>
            <w:tcBorders>
              <w:right w:val="single" w:sz="8" w:color="auto"/>
            </w:tcBorders>
          </w:tcPr>
          <w:p>
            <w:pPr>
              <w:spacing w:after="0"/>
              <w:rPr>
                <w:sz w:val="24"/>
                <w:szCs w:val="24"/>
                <w:color w:val="auto"/>
              </w:rPr>
            </w:pPr>
          </w:p>
        </w:tc>
        <w:tc>
          <w:tcPr>
            <w:tcW w:w="780" w:type="dxa"/>
            <w:vAlign w:val="bottom"/>
          </w:tcPr>
          <w:p>
            <w:pPr>
              <w:spacing w:after="0"/>
              <w:rPr>
                <w:sz w:val="24"/>
                <w:szCs w:val="24"/>
                <w:color w:val="auto"/>
              </w:rPr>
            </w:pPr>
          </w:p>
        </w:tc>
        <w:tc>
          <w:tcPr>
            <w:tcW w:w="130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00" w:type="dxa"/>
            <w:vAlign w:val="bottom"/>
            <w:tcBorders>
              <w:right w:val="single" w:sz="8" w:color="auto"/>
            </w:tcBorders>
          </w:tcPr>
          <w:p>
            <w:pPr>
              <w:spacing w:after="0"/>
              <w:rPr>
                <w:sz w:val="24"/>
                <w:szCs w:val="24"/>
                <w:color w:val="auto"/>
              </w:rPr>
            </w:pPr>
          </w:p>
        </w:tc>
        <w:tc>
          <w:tcPr>
            <w:tcW w:w="3140" w:type="dxa"/>
            <w:vAlign w:val="bottom"/>
            <w:tcBorders>
              <w:right w:val="single" w:sz="8" w:color="auto"/>
            </w:tcBorders>
            <w:gridSpan w:val="4"/>
          </w:tcPr>
          <w:p>
            <w:pPr>
              <w:ind w:left="80"/>
              <w:spacing w:after="0"/>
              <w:rPr>
                <w:sz w:val="20"/>
                <w:szCs w:val="20"/>
                <w:color w:val="auto"/>
              </w:rPr>
            </w:pPr>
            <w:r>
              <w:rPr>
                <w:rFonts w:ascii="Times New Roman" w:cs="Times New Roman" w:eastAsia="Times New Roman" w:hAnsi="Times New Roman"/>
                <w:sz w:val="24"/>
                <w:szCs w:val="24"/>
                <w:b w:val="1"/>
                <w:bCs w:val="1"/>
                <w:color w:val="auto"/>
              </w:rPr>
              <w:t>filing within one year after</w:t>
            </w:r>
          </w:p>
        </w:tc>
      </w:tr>
      <w:tr>
        <w:trPr>
          <w:trHeight w:val="415"/>
        </w:trPr>
        <w:tc>
          <w:tcPr>
            <w:tcW w:w="20" w:type="dxa"/>
            <w:vAlign w:val="bottom"/>
          </w:tcPr>
          <w:p>
            <w:pPr>
              <w:spacing w:after="0"/>
              <w:rPr>
                <w:sz w:val="24"/>
                <w:szCs w:val="24"/>
                <w:color w:val="auto"/>
              </w:rPr>
            </w:pPr>
          </w:p>
        </w:tc>
        <w:tc>
          <w:tcPr>
            <w:tcW w:w="1060" w:type="dxa"/>
            <w:vAlign w:val="bottom"/>
            <w:tcBorders>
              <w:left w:val="single" w:sz="8" w:color="auto"/>
            </w:tcBorders>
            <w:gridSpan w:val="2"/>
          </w:tcPr>
          <w:p>
            <w:pPr>
              <w:ind w:left="120"/>
              <w:spacing w:after="0"/>
              <w:rPr>
                <w:sz w:val="20"/>
                <w:szCs w:val="20"/>
                <w:color w:val="auto"/>
              </w:rPr>
            </w:pPr>
            <w:r>
              <w:rPr>
                <w:rFonts w:ascii="Times New Roman" w:cs="Times New Roman" w:eastAsia="Times New Roman" w:hAnsi="Times New Roman"/>
                <w:sz w:val="24"/>
                <w:szCs w:val="24"/>
                <w:b w:val="1"/>
                <w:bCs w:val="1"/>
                <w:color w:val="auto"/>
                <w:w w:val="98"/>
              </w:rPr>
              <w:t>retention</w:t>
            </w:r>
          </w:p>
        </w:tc>
        <w:tc>
          <w:tcPr>
            <w:tcW w:w="3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580" w:type="dxa"/>
            <w:vAlign w:val="bottom"/>
            <w:gridSpan w:val="2"/>
          </w:tcPr>
          <w:p>
            <w:pPr>
              <w:jc w:val="right"/>
              <w:spacing w:after="0"/>
              <w:rPr>
                <w:sz w:val="20"/>
                <w:szCs w:val="20"/>
                <w:color w:val="auto"/>
              </w:rPr>
            </w:pPr>
            <w:r>
              <w:rPr>
                <w:rFonts w:ascii="Times New Roman" w:cs="Times New Roman" w:eastAsia="Times New Roman" w:hAnsi="Times New Roman"/>
                <w:sz w:val="24"/>
                <w:szCs w:val="24"/>
                <w:b w:val="1"/>
                <w:bCs w:val="1"/>
                <w:color w:val="auto"/>
              </w:rPr>
              <w:t>of</w:t>
            </w:r>
          </w:p>
        </w:tc>
        <w:tc>
          <w:tcPr>
            <w:tcW w:w="120" w:type="dxa"/>
            <w:vAlign w:val="bottom"/>
            <w:tcBorders>
              <w:right w:val="single" w:sz="8" w:color="auto"/>
            </w:tcBorders>
          </w:tcPr>
          <w:p>
            <w:pPr>
              <w:spacing w:after="0"/>
              <w:rPr>
                <w:sz w:val="24"/>
                <w:szCs w:val="24"/>
                <w:color w:val="auto"/>
              </w:rPr>
            </w:pPr>
          </w:p>
        </w:tc>
        <w:tc>
          <w:tcPr>
            <w:tcW w:w="780" w:type="dxa"/>
            <w:vAlign w:val="bottom"/>
          </w:tcPr>
          <w:p>
            <w:pPr>
              <w:spacing w:after="0"/>
              <w:rPr>
                <w:sz w:val="24"/>
                <w:szCs w:val="24"/>
                <w:color w:val="auto"/>
              </w:rPr>
            </w:pPr>
          </w:p>
        </w:tc>
        <w:tc>
          <w:tcPr>
            <w:tcW w:w="130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00" w:type="dxa"/>
            <w:vAlign w:val="bottom"/>
            <w:tcBorders>
              <w:right w:val="single" w:sz="8" w:color="auto"/>
            </w:tcBorders>
          </w:tcPr>
          <w:p>
            <w:pPr>
              <w:spacing w:after="0"/>
              <w:rPr>
                <w:sz w:val="24"/>
                <w:szCs w:val="24"/>
                <w:color w:val="auto"/>
              </w:rPr>
            </w:pPr>
          </w:p>
        </w:tc>
        <w:tc>
          <w:tcPr>
            <w:tcW w:w="3140" w:type="dxa"/>
            <w:vAlign w:val="bottom"/>
            <w:tcBorders>
              <w:right w:val="single" w:sz="8" w:color="auto"/>
            </w:tcBorders>
            <w:gridSpan w:val="4"/>
          </w:tcPr>
          <w:p>
            <w:pPr>
              <w:ind w:left="80"/>
              <w:spacing w:after="0"/>
              <w:rPr>
                <w:sz w:val="20"/>
                <w:szCs w:val="20"/>
                <w:color w:val="auto"/>
              </w:rPr>
            </w:pPr>
            <w:r>
              <w:rPr>
                <w:rFonts w:ascii="Times New Roman" w:cs="Times New Roman" w:eastAsia="Times New Roman" w:hAnsi="Times New Roman"/>
                <w:sz w:val="24"/>
                <w:szCs w:val="24"/>
                <w:b w:val="1"/>
                <w:bCs w:val="1"/>
                <w:color w:val="auto"/>
              </w:rPr>
              <w:t>expiry of SEBI Observation</w:t>
            </w:r>
          </w:p>
        </w:tc>
      </w:tr>
      <w:tr>
        <w:trPr>
          <w:trHeight w:val="413"/>
        </w:trPr>
        <w:tc>
          <w:tcPr>
            <w:tcW w:w="20" w:type="dxa"/>
            <w:vAlign w:val="bottom"/>
          </w:tcPr>
          <w:p>
            <w:pPr>
              <w:spacing w:after="0"/>
              <w:rPr>
                <w:sz w:val="24"/>
                <w:szCs w:val="24"/>
                <w:color w:val="auto"/>
              </w:rPr>
            </w:pPr>
          </w:p>
        </w:tc>
        <w:tc>
          <w:tcPr>
            <w:tcW w:w="1860" w:type="dxa"/>
            <w:vAlign w:val="bottom"/>
            <w:tcBorders>
              <w:left w:val="single" w:sz="8" w:color="auto"/>
            </w:tcBorders>
            <w:gridSpan w:val="4"/>
          </w:tcPr>
          <w:p>
            <w:pPr>
              <w:ind w:left="120"/>
              <w:spacing w:after="0"/>
              <w:rPr>
                <w:sz w:val="20"/>
                <w:szCs w:val="20"/>
                <w:color w:val="auto"/>
              </w:rPr>
            </w:pPr>
            <w:r>
              <w:rPr>
                <w:rFonts w:ascii="Times New Roman" w:cs="Times New Roman" w:eastAsia="Times New Roman" w:hAnsi="Times New Roman"/>
                <w:sz w:val="24"/>
                <w:szCs w:val="24"/>
                <w:b w:val="1"/>
                <w:bCs w:val="1"/>
                <w:color w:val="auto"/>
                <w:w w:val="99"/>
              </w:rPr>
              <w:t>oversubscription</w:t>
            </w:r>
          </w:p>
        </w:tc>
        <w:tc>
          <w:tcPr>
            <w:tcW w:w="5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780" w:type="dxa"/>
            <w:vAlign w:val="bottom"/>
          </w:tcPr>
          <w:p>
            <w:pPr>
              <w:spacing w:after="0"/>
              <w:rPr>
                <w:sz w:val="24"/>
                <w:szCs w:val="24"/>
                <w:color w:val="auto"/>
              </w:rPr>
            </w:pPr>
          </w:p>
        </w:tc>
        <w:tc>
          <w:tcPr>
            <w:tcW w:w="130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00" w:type="dxa"/>
            <w:vAlign w:val="bottom"/>
            <w:tcBorders>
              <w:right w:val="single" w:sz="8" w:color="auto"/>
            </w:tcBorders>
          </w:tcPr>
          <w:p>
            <w:pPr>
              <w:spacing w:after="0"/>
              <w:rPr>
                <w:sz w:val="24"/>
                <w:szCs w:val="24"/>
                <w:color w:val="auto"/>
              </w:rPr>
            </w:pPr>
          </w:p>
        </w:tc>
        <w:tc>
          <w:tcPr>
            <w:tcW w:w="1220" w:type="dxa"/>
            <w:vAlign w:val="bottom"/>
          </w:tcPr>
          <w:p>
            <w:pPr>
              <w:ind w:left="80"/>
              <w:spacing w:after="0"/>
              <w:rPr>
                <w:sz w:val="20"/>
                <w:szCs w:val="20"/>
                <w:color w:val="auto"/>
              </w:rPr>
            </w:pPr>
            <w:r>
              <w:rPr>
                <w:rFonts w:ascii="Times New Roman" w:cs="Times New Roman" w:eastAsia="Times New Roman" w:hAnsi="Times New Roman"/>
                <w:sz w:val="24"/>
                <w:szCs w:val="24"/>
                <w:b w:val="1"/>
                <w:bCs w:val="1"/>
                <w:color w:val="auto"/>
              </w:rPr>
              <w:t>letter</w:t>
            </w:r>
          </w:p>
        </w:tc>
        <w:tc>
          <w:tcPr>
            <w:tcW w:w="110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00" w:type="dxa"/>
            <w:vAlign w:val="bottom"/>
            <w:tcBorders>
              <w:right w:val="single" w:sz="8" w:color="auto"/>
            </w:tcBorders>
          </w:tcPr>
          <w:p>
            <w:pPr>
              <w:spacing w:after="0"/>
              <w:rPr>
                <w:sz w:val="24"/>
                <w:szCs w:val="24"/>
                <w:color w:val="auto"/>
              </w:rPr>
            </w:pPr>
          </w:p>
        </w:tc>
      </w:tr>
      <w:tr>
        <w:trPr>
          <w:trHeight w:val="142"/>
        </w:trPr>
        <w:tc>
          <w:tcPr>
            <w:tcW w:w="20" w:type="dxa"/>
            <w:vAlign w:val="bottom"/>
          </w:tcPr>
          <w:p>
            <w:pPr>
              <w:spacing w:after="0"/>
              <w:rPr>
                <w:sz w:val="12"/>
                <w:szCs w:val="12"/>
                <w:color w:val="auto"/>
              </w:rPr>
            </w:pPr>
          </w:p>
        </w:tc>
        <w:tc>
          <w:tcPr>
            <w:tcW w:w="2420" w:type="dxa"/>
            <w:vAlign w:val="bottom"/>
            <w:tcBorders>
              <w:left w:val="single" w:sz="8" w:color="auto"/>
              <w:bottom w:val="single" w:sz="8" w:color="auto"/>
            </w:tcBorders>
            <w:gridSpan w:val="5"/>
          </w:tcPr>
          <w:p>
            <w:pPr>
              <w:spacing w:after="0"/>
              <w:rPr>
                <w:sz w:val="12"/>
                <w:szCs w:val="12"/>
                <w:color w:val="auto"/>
              </w:rPr>
            </w:pPr>
          </w:p>
        </w:tc>
        <w:tc>
          <w:tcPr>
            <w:tcW w:w="20" w:type="dxa"/>
            <w:vAlign w:val="bottom"/>
            <w:tcBorders>
              <w:bottom w:val="single" w:sz="8" w:color="auto"/>
            </w:tcBorders>
          </w:tcPr>
          <w:p>
            <w:pPr>
              <w:spacing w:after="0"/>
              <w:rPr>
                <w:sz w:val="12"/>
                <w:szCs w:val="12"/>
                <w:color w:val="auto"/>
              </w:rPr>
            </w:pPr>
          </w:p>
        </w:tc>
        <w:tc>
          <w:tcPr>
            <w:tcW w:w="120" w:type="dxa"/>
            <w:vAlign w:val="bottom"/>
            <w:tcBorders>
              <w:bottom w:val="single" w:sz="8" w:color="auto"/>
              <w:right w:val="single" w:sz="8" w:color="auto"/>
            </w:tcBorders>
          </w:tcPr>
          <w:p>
            <w:pPr>
              <w:spacing w:after="0"/>
              <w:rPr>
                <w:sz w:val="12"/>
                <w:szCs w:val="12"/>
                <w:color w:val="auto"/>
              </w:rPr>
            </w:pPr>
          </w:p>
        </w:tc>
        <w:tc>
          <w:tcPr>
            <w:tcW w:w="2680" w:type="dxa"/>
            <w:vAlign w:val="bottom"/>
            <w:tcBorders>
              <w:bottom w:val="single" w:sz="8" w:color="auto"/>
            </w:tcBorders>
            <w:gridSpan w:val="3"/>
          </w:tcPr>
          <w:p>
            <w:pPr>
              <w:spacing w:after="0"/>
              <w:rPr>
                <w:sz w:val="12"/>
                <w:szCs w:val="12"/>
                <w:color w:val="auto"/>
              </w:rPr>
            </w:pPr>
          </w:p>
        </w:tc>
        <w:tc>
          <w:tcPr>
            <w:tcW w:w="40" w:type="dxa"/>
            <w:vAlign w:val="bottom"/>
            <w:tcBorders>
              <w:bottom w:val="single" w:sz="8" w:color="auto"/>
            </w:tcBorders>
          </w:tcPr>
          <w:p>
            <w:pPr>
              <w:spacing w:after="0"/>
              <w:rPr>
                <w:sz w:val="12"/>
                <w:szCs w:val="12"/>
                <w:color w:val="auto"/>
              </w:rPr>
            </w:pPr>
          </w:p>
        </w:tc>
        <w:tc>
          <w:tcPr>
            <w:tcW w:w="100" w:type="dxa"/>
            <w:vAlign w:val="bottom"/>
            <w:tcBorders>
              <w:bottom w:val="single" w:sz="8" w:color="auto"/>
              <w:right w:val="single" w:sz="8" w:color="auto"/>
            </w:tcBorders>
          </w:tcPr>
          <w:p>
            <w:pPr>
              <w:spacing w:after="0"/>
              <w:rPr>
                <w:sz w:val="12"/>
                <w:szCs w:val="12"/>
                <w:color w:val="auto"/>
              </w:rPr>
            </w:pPr>
          </w:p>
        </w:tc>
        <w:tc>
          <w:tcPr>
            <w:tcW w:w="2840" w:type="dxa"/>
            <w:vAlign w:val="bottom"/>
            <w:tcBorders>
              <w:bottom w:val="single" w:sz="8" w:color="auto"/>
            </w:tcBorders>
            <w:gridSpan w:val="3"/>
          </w:tcPr>
          <w:p>
            <w:pPr>
              <w:spacing w:after="0"/>
              <w:rPr>
                <w:sz w:val="12"/>
                <w:szCs w:val="12"/>
                <w:color w:val="auto"/>
              </w:rPr>
            </w:pPr>
          </w:p>
        </w:tc>
        <w:tc>
          <w:tcPr>
            <w:tcW w:w="300" w:type="dxa"/>
            <w:vAlign w:val="bottom"/>
            <w:tcBorders>
              <w:bottom w:val="single" w:sz="8" w:color="auto"/>
              <w:right w:val="single" w:sz="8" w:color="auto"/>
            </w:tcBorders>
          </w:tcPr>
          <w:p>
            <w:pPr>
              <w:spacing w:after="0"/>
              <w:rPr>
                <w:sz w:val="12"/>
                <w:szCs w:val="12"/>
                <w:color w:val="auto"/>
              </w:rPr>
            </w:pPr>
          </w:p>
        </w:tc>
      </w:tr>
      <w:tr>
        <w:trPr>
          <w:trHeight w:val="258"/>
        </w:trPr>
        <w:tc>
          <w:tcPr>
            <w:tcW w:w="20" w:type="dxa"/>
            <w:vAlign w:val="bottom"/>
          </w:tcPr>
          <w:p>
            <w:pPr>
              <w:spacing w:after="0"/>
              <w:rPr>
                <w:sz w:val="22"/>
                <w:szCs w:val="22"/>
                <w:color w:val="auto"/>
              </w:rPr>
            </w:pPr>
          </w:p>
        </w:tc>
        <w:tc>
          <w:tcPr>
            <w:tcW w:w="2440" w:type="dxa"/>
            <w:vAlign w:val="bottom"/>
            <w:tcBorders>
              <w:left w:val="single" w:sz="8" w:color="auto"/>
            </w:tcBorders>
            <w:gridSpan w:val="6"/>
          </w:tcPr>
          <w:p>
            <w:pPr>
              <w:ind w:left="120"/>
              <w:spacing w:after="0" w:line="258" w:lineRule="exact"/>
              <w:rPr>
                <w:sz w:val="20"/>
                <w:szCs w:val="20"/>
                <w:color w:val="auto"/>
              </w:rPr>
            </w:pPr>
            <w:r>
              <w:rPr>
                <w:rFonts w:ascii="Times New Roman" w:cs="Times New Roman" w:eastAsia="Times New Roman" w:hAnsi="Times New Roman"/>
                <w:sz w:val="24"/>
                <w:szCs w:val="24"/>
                <w:color w:val="auto"/>
              </w:rPr>
              <w:t>Less  than  or  equal  to</w:t>
            </w:r>
          </w:p>
        </w:tc>
        <w:tc>
          <w:tcPr>
            <w:tcW w:w="120" w:type="dxa"/>
            <w:vAlign w:val="bottom"/>
            <w:tcBorders>
              <w:right w:val="single" w:sz="8" w:color="auto"/>
            </w:tcBorders>
          </w:tcPr>
          <w:p>
            <w:pPr>
              <w:spacing w:after="0"/>
              <w:rPr>
                <w:sz w:val="22"/>
                <w:szCs w:val="22"/>
                <w:color w:val="auto"/>
              </w:rPr>
            </w:pPr>
          </w:p>
        </w:tc>
        <w:tc>
          <w:tcPr>
            <w:tcW w:w="2720" w:type="dxa"/>
            <w:vAlign w:val="bottom"/>
            <w:gridSpan w:val="4"/>
          </w:tcPr>
          <w:p>
            <w:pPr>
              <w:ind w:left="80"/>
              <w:spacing w:after="0" w:line="258" w:lineRule="exact"/>
              <w:rPr>
                <w:sz w:val="20"/>
                <w:szCs w:val="20"/>
                <w:color w:val="auto"/>
              </w:rPr>
            </w:pPr>
            <w:r>
              <w:rPr>
                <w:rFonts w:ascii="Times New Roman" w:cs="Times New Roman" w:eastAsia="Times New Roman" w:hAnsi="Times New Roman"/>
                <w:sz w:val="24"/>
                <w:szCs w:val="24"/>
                <w:color w:val="auto"/>
              </w:rPr>
              <w:t>A flat charge of one lakh</w:t>
            </w:r>
          </w:p>
        </w:tc>
        <w:tc>
          <w:tcPr>
            <w:tcW w:w="100" w:type="dxa"/>
            <w:vAlign w:val="bottom"/>
            <w:tcBorders>
              <w:right w:val="single" w:sz="8" w:color="auto"/>
            </w:tcBorders>
          </w:tcPr>
          <w:p>
            <w:pPr>
              <w:spacing w:after="0"/>
              <w:rPr>
                <w:sz w:val="22"/>
                <w:szCs w:val="22"/>
                <w:color w:val="auto"/>
              </w:rPr>
            </w:pPr>
          </w:p>
        </w:tc>
        <w:tc>
          <w:tcPr>
            <w:tcW w:w="3140" w:type="dxa"/>
            <w:vAlign w:val="bottom"/>
            <w:tcBorders>
              <w:right w:val="single" w:sz="8" w:color="auto"/>
            </w:tcBorders>
            <w:gridSpan w:val="4"/>
          </w:tcPr>
          <w:p>
            <w:pPr>
              <w:ind w:left="100"/>
              <w:spacing w:after="0" w:line="258" w:lineRule="exact"/>
              <w:rPr>
                <w:sz w:val="20"/>
                <w:szCs w:val="20"/>
                <w:color w:val="auto"/>
              </w:rPr>
            </w:pPr>
            <w:r>
              <w:rPr>
                <w:rFonts w:ascii="Times New Roman" w:cs="Times New Roman" w:eastAsia="Times New Roman" w:hAnsi="Times New Roman"/>
                <w:sz w:val="24"/>
                <w:szCs w:val="24"/>
                <w:color w:val="auto"/>
              </w:rPr>
              <w:t>A   flat   charge   of   fifty</w:t>
            </w:r>
          </w:p>
        </w:tc>
      </w:tr>
      <w:tr>
        <w:trPr>
          <w:trHeight w:val="413"/>
        </w:trPr>
        <w:tc>
          <w:tcPr>
            <w:tcW w:w="20" w:type="dxa"/>
            <w:vAlign w:val="bottom"/>
          </w:tcPr>
          <w:p>
            <w:pPr>
              <w:spacing w:after="0"/>
              <w:rPr>
                <w:sz w:val="24"/>
                <w:szCs w:val="24"/>
                <w:color w:val="auto"/>
              </w:rPr>
            </w:pPr>
          </w:p>
        </w:tc>
        <w:tc>
          <w:tcPr>
            <w:tcW w:w="1860" w:type="dxa"/>
            <w:vAlign w:val="bottom"/>
            <w:tcBorders>
              <w:left w:val="single" w:sz="8" w:color="auto"/>
            </w:tcBorders>
            <w:gridSpan w:val="4"/>
          </w:tcPr>
          <w:p>
            <w:pPr>
              <w:ind w:left="120"/>
              <w:spacing w:after="0"/>
              <w:rPr>
                <w:sz w:val="20"/>
                <w:szCs w:val="20"/>
                <w:color w:val="auto"/>
              </w:rPr>
            </w:pPr>
            <w:r>
              <w:rPr>
                <w:rFonts w:ascii="Times New Roman" w:cs="Times New Roman" w:eastAsia="Times New Roman" w:hAnsi="Times New Roman"/>
                <w:sz w:val="24"/>
                <w:szCs w:val="24"/>
                <w:color w:val="auto"/>
              </w:rPr>
              <w:t>ten crore rupees.</w:t>
            </w:r>
          </w:p>
        </w:tc>
        <w:tc>
          <w:tcPr>
            <w:tcW w:w="5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2080" w:type="dxa"/>
            <w:vAlign w:val="bottom"/>
            <w:gridSpan w:val="2"/>
          </w:tcPr>
          <w:p>
            <w:pPr>
              <w:ind w:left="80"/>
              <w:spacing w:after="0"/>
              <w:rPr>
                <w:sz w:val="20"/>
                <w:szCs w:val="20"/>
                <w:color w:val="auto"/>
              </w:rPr>
            </w:pPr>
            <w:r>
              <w:rPr>
                <w:rFonts w:ascii="Times New Roman" w:cs="Times New Roman" w:eastAsia="Times New Roman" w:hAnsi="Times New Roman"/>
                <w:sz w:val="24"/>
                <w:szCs w:val="24"/>
                <w:color w:val="auto"/>
              </w:rPr>
              <w:t>rupees ( 1,00,000/-).</w:t>
            </w:r>
          </w:p>
        </w:tc>
        <w:tc>
          <w:tcPr>
            <w:tcW w:w="6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00" w:type="dxa"/>
            <w:vAlign w:val="bottom"/>
            <w:tcBorders>
              <w:right w:val="single" w:sz="8" w:color="auto"/>
            </w:tcBorders>
          </w:tcPr>
          <w:p>
            <w:pPr>
              <w:spacing w:after="0"/>
              <w:rPr>
                <w:sz w:val="24"/>
                <w:szCs w:val="24"/>
                <w:color w:val="auto"/>
              </w:rPr>
            </w:pPr>
          </w:p>
        </w:tc>
        <w:tc>
          <w:tcPr>
            <w:tcW w:w="3140" w:type="dxa"/>
            <w:vAlign w:val="bottom"/>
            <w:tcBorders>
              <w:right w:val="single" w:sz="8" w:color="auto"/>
            </w:tcBorders>
            <w:gridSpan w:val="4"/>
          </w:tcPr>
          <w:p>
            <w:pPr>
              <w:ind w:left="100"/>
              <w:spacing w:after="0"/>
              <w:rPr>
                <w:sz w:val="20"/>
                <w:szCs w:val="20"/>
                <w:color w:val="auto"/>
              </w:rPr>
            </w:pPr>
            <w:r>
              <w:rPr>
                <w:rFonts w:ascii="Times New Roman" w:cs="Times New Roman" w:eastAsia="Times New Roman" w:hAnsi="Times New Roman"/>
                <w:sz w:val="24"/>
                <w:szCs w:val="24"/>
                <w:color w:val="auto"/>
              </w:rPr>
              <w:t>thousand rupees ( 50,000/-).</w:t>
            </w:r>
          </w:p>
        </w:tc>
      </w:tr>
      <w:tr>
        <w:trPr>
          <w:trHeight w:val="147"/>
        </w:trPr>
        <w:tc>
          <w:tcPr>
            <w:tcW w:w="20" w:type="dxa"/>
            <w:vAlign w:val="bottom"/>
          </w:tcPr>
          <w:p>
            <w:pPr>
              <w:spacing w:after="0"/>
              <w:rPr>
                <w:sz w:val="12"/>
                <w:szCs w:val="12"/>
                <w:color w:val="auto"/>
              </w:rPr>
            </w:pPr>
          </w:p>
        </w:tc>
        <w:tc>
          <w:tcPr>
            <w:tcW w:w="700" w:type="dxa"/>
            <w:vAlign w:val="bottom"/>
            <w:tcBorders>
              <w:left w:val="single" w:sz="8" w:color="auto"/>
              <w:bottom w:val="single" w:sz="8" w:color="auto"/>
            </w:tcBorders>
          </w:tcPr>
          <w:p>
            <w:pPr>
              <w:spacing w:after="0"/>
              <w:rPr>
                <w:sz w:val="12"/>
                <w:szCs w:val="12"/>
                <w:color w:val="auto"/>
              </w:rPr>
            </w:pPr>
          </w:p>
        </w:tc>
        <w:tc>
          <w:tcPr>
            <w:tcW w:w="740" w:type="dxa"/>
            <w:vAlign w:val="bottom"/>
            <w:tcBorders>
              <w:bottom w:val="single" w:sz="8" w:color="auto"/>
            </w:tcBorders>
            <w:gridSpan w:val="2"/>
          </w:tcPr>
          <w:p>
            <w:pPr>
              <w:spacing w:after="0"/>
              <w:rPr>
                <w:sz w:val="12"/>
                <w:szCs w:val="12"/>
                <w:color w:val="auto"/>
              </w:rPr>
            </w:pPr>
          </w:p>
        </w:tc>
        <w:tc>
          <w:tcPr>
            <w:tcW w:w="420" w:type="dxa"/>
            <w:vAlign w:val="bottom"/>
            <w:tcBorders>
              <w:bottom w:val="single" w:sz="8" w:color="auto"/>
            </w:tcBorders>
          </w:tcPr>
          <w:p>
            <w:pPr>
              <w:spacing w:after="0"/>
              <w:rPr>
                <w:sz w:val="12"/>
                <w:szCs w:val="12"/>
                <w:color w:val="auto"/>
              </w:rPr>
            </w:pPr>
          </w:p>
        </w:tc>
        <w:tc>
          <w:tcPr>
            <w:tcW w:w="560" w:type="dxa"/>
            <w:vAlign w:val="bottom"/>
            <w:tcBorders>
              <w:bottom w:val="single" w:sz="8" w:color="auto"/>
            </w:tcBorders>
          </w:tcPr>
          <w:p>
            <w:pPr>
              <w:spacing w:after="0"/>
              <w:rPr>
                <w:sz w:val="12"/>
                <w:szCs w:val="12"/>
                <w:color w:val="auto"/>
              </w:rPr>
            </w:pPr>
          </w:p>
        </w:tc>
        <w:tc>
          <w:tcPr>
            <w:tcW w:w="20" w:type="dxa"/>
            <w:vAlign w:val="bottom"/>
            <w:tcBorders>
              <w:bottom w:val="single" w:sz="8" w:color="auto"/>
            </w:tcBorders>
          </w:tcPr>
          <w:p>
            <w:pPr>
              <w:spacing w:after="0"/>
              <w:rPr>
                <w:sz w:val="12"/>
                <w:szCs w:val="12"/>
                <w:color w:val="auto"/>
              </w:rPr>
            </w:pPr>
          </w:p>
        </w:tc>
        <w:tc>
          <w:tcPr>
            <w:tcW w:w="120" w:type="dxa"/>
            <w:vAlign w:val="bottom"/>
            <w:tcBorders>
              <w:bottom w:val="single" w:sz="8" w:color="auto"/>
              <w:right w:val="single" w:sz="8" w:color="auto"/>
            </w:tcBorders>
          </w:tcPr>
          <w:p>
            <w:pPr>
              <w:spacing w:after="0"/>
              <w:rPr>
                <w:sz w:val="12"/>
                <w:szCs w:val="12"/>
                <w:color w:val="auto"/>
              </w:rPr>
            </w:pPr>
          </w:p>
        </w:tc>
        <w:tc>
          <w:tcPr>
            <w:tcW w:w="2680" w:type="dxa"/>
            <w:vAlign w:val="bottom"/>
            <w:tcBorders>
              <w:bottom w:val="single" w:sz="8" w:color="auto"/>
            </w:tcBorders>
            <w:gridSpan w:val="3"/>
          </w:tcPr>
          <w:p>
            <w:pPr>
              <w:spacing w:after="0"/>
              <w:rPr>
                <w:sz w:val="12"/>
                <w:szCs w:val="12"/>
                <w:color w:val="auto"/>
              </w:rPr>
            </w:pPr>
          </w:p>
        </w:tc>
        <w:tc>
          <w:tcPr>
            <w:tcW w:w="40" w:type="dxa"/>
            <w:vAlign w:val="bottom"/>
            <w:tcBorders>
              <w:bottom w:val="single" w:sz="8" w:color="auto"/>
            </w:tcBorders>
          </w:tcPr>
          <w:p>
            <w:pPr>
              <w:spacing w:after="0"/>
              <w:rPr>
                <w:sz w:val="12"/>
                <w:szCs w:val="12"/>
                <w:color w:val="auto"/>
              </w:rPr>
            </w:pPr>
          </w:p>
        </w:tc>
        <w:tc>
          <w:tcPr>
            <w:tcW w:w="100" w:type="dxa"/>
            <w:vAlign w:val="bottom"/>
            <w:tcBorders>
              <w:bottom w:val="single" w:sz="8" w:color="auto"/>
              <w:right w:val="single" w:sz="8" w:color="auto"/>
            </w:tcBorders>
          </w:tcPr>
          <w:p>
            <w:pPr>
              <w:spacing w:after="0"/>
              <w:rPr>
                <w:sz w:val="12"/>
                <w:szCs w:val="12"/>
                <w:color w:val="auto"/>
              </w:rPr>
            </w:pPr>
          </w:p>
        </w:tc>
        <w:tc>
          <w:tcPr>
            <w:tcW w:w="2840" w:type="dxa"/>
            <w:vAlign w:val="bottom"/>
            <w:tcBorders>
              <w:bottom w:val="single" w:sz="8" w:color="auto"/>
            </w:tcBorders>
            <w:gridSpan w:val="3"/>
          </w:tcPr>
          <w:p>
            <w:pPr>
              <w:spacing w:after="0"/>
              <w:rPr>
                <w:sz w:val="12"/>
                <w:szCs w:val="12"/>
                <w:color w:val="auto"/>
              </w:rPr>
            </w:pPr>
          </w:p>
        </w:tc>
        <w:tc>
          <w:tcPr>
            <w:tcW w:w="300" w:type="dxa"/>
            <w:vAlign w:val="bottom"/>
            <w:tcBorders>
              <w:bottom w:val="single" w:sz="8" w:color="auto"/>
              <w:right w:val="single" w:sz="8" w:color="auto"/>
            </w:tcBorders>
          </w:tcPr>
          <w:p>
            <w:pPr>
              <w:spacing w:after="0"/>
              <w:rPr>
                <w:sz w:val="12"/>
                <w:szCs w:val="12"/>
                <w:color w:val="auto"/>
              </w:rPr>
            </w:pPr>
          </w:p>
        </w:tc>
      </w:tr>
      <w:tr>
        <w:trPr>
          <w:trHeight w:val="258"/>
        </w:trPr>
        <w:tc>
          <w:tcPr>
            <w:tcW w:w="20" w:type="dxa"/>
            <w:vAlign w:val="bottom"/>
          </w:tcPr>
          <w:p>
            <w:pPr>
              <w:spacing w:after="0"/>
              <w:rPr>
                <w:sz w:val="22"/>
                <w:szCs w:val="22"/>
                <w:color w:val="auto"/>
              </w:rPr>
            </w:pPr>
          </w:p>
        </w:tc>
        <w:tc>
          <w:tcPr>
            <w:tcW w:w="700" w:type="dxa"/>
            <w:vAlign w:val="bottom"/>
            <w:tcBorders>
              <w:left w:val="single" w:sz="8" w:color="auto"/>
            </w:tcBorders>
          </w:tcPr>
          <w:p>
            <w:pPr>
              <w:ind w:left="140"/>
              <w:spacing w:after="0" w:line="258" w:lineRule="exact"/>
              <w:rPr>
                <w:sz w:val="20"/>
                <w:szCs w:val="20"/>
                <w:color w:val="auto"/>
              </w:rPr>
            </w:pPr>
            <w:r>
              <w:rPr>
                <w:rFonts w:ascii="Times New Roman" w:cs="Times New Roman" w:eastAsia="Times New Roman" w:hAnsi="Times New Roman"/>
                <w:sz w:val="24"/>
                <w:szCs w:val="24"/>
                <w:color w:val="auto"/>
              </w:rPr>
              <w:t>More</w:t>
            </w:r>
          </w:p>
        </w:tc>
        <w:tc>
          <w:tcPr>
            <w:tcW w:w="740" w:type="dxa"/>
            <w:vAlign w:val="bottom"/>
            <w:gridSpan w:val="2"/>
          </w:tcPr>
          <w:p>
            <w:pPr>
              <w:ind w:left="140"/>
              <w:spacing w:after="0" w:line="258" w:lineRule="exact"/>
              <w:rPr>
                <w:sz w:val="20"/>
                <w:szCs w:val="20"/>
                <w:color w:val="auto"/>
              </w:rPr>
            </w:pPr>
            <w:r>
              <w:rPr>
                <w:rFonts w:ascii="Times New Roman" w:cs="Times New Roman" w:eastAsia="Times New Roman" w:hAnsi="Times New Roman"/>
                <w:sz w:val="24"/>
                <w:szCs w:val="24"/>
                <w:color w:val="auto"/>
              </w:rPr>
              <w:t>than</w:t>
            </w:r>
          </w:p>
        </w:tc>
        <w:tc>
          <w:tcPr>
            <w:tcW w:w="420" w:type="dxa"/>
            <w:vAlign w:val="bottom"/>
          </w:tcPr>
          <w:p>
            <w:pPr>
              <w:ind w:left="20"/>
              <w:spacing w:after="0" w:line="258" w:lineRule="exact"/>
              <w:rPr>
                <w:sz w:val="20"/>
                <w:szCs w:val="20"/>
                <w:color w:val="auto"/>
              </w:rPr>
            </w:pPr>
            <w:r>
              <w:rPr>
                <w:rFonts w:ascii="Times New Roman" w:cs="Times New Roman" w:eastAsia="Times New Roman" w:hAnsi="Times New Roman"/>
                <w:sz w:val="24"/>
                <w:szCs w:val="24"/>
                <w:color w:val="auto"/>
              </w:rPr>
              <w:t>ten</w:t>
            </w:r>
          </w:p>
        </w:tc>
        <w:tc>
          <w:tcPr>
            <w:tcW w:w="580" w:type="dxa"/>
            <w:vAlign w:val="bottom"/>
            <w:gridSpan w:val="2"/>
          </w:tcPr>
          <w:p>
            <w:pPr>
              <w:jc w:val="right"/>
              <w:spacing w:after="0" w:line="258" w:lineRule="exact"/>
              <w:rPr>
                <w:sz w:val="20"/>
                <w:szCs w:val="20"/>
                <w:color w:val="auto"/>
              </w:rPr>
            </w:pPr>
            <w:r>
              <w:rPr>
                <w:rFonts w:ascii="Times New Roman" w:cs="Times New Roman" w:eastAsia="Times New Roman" w:hAnsi="Times New Roman"/>
                <w:sz w:val="24"/>
                <w:szCs w:val="24"/>
                <w:color w:val="auto"/>
              </w:rPr>
              <w:t>crore</w:t>
            </w:r>
          </w:p>
        </w:tc>
        <w:tc>
          <w:tcPr>
            <w:tcW w:w="120" w:type="dxa"/>
            <w:vAlign w:val="bottom"/>
            <w:tcBorders>
              <w:right w:val="single" w:sz="8" w:color="auto"/>
            </w:tcBorders>
          </w:tcPr>
          <w:p>
            <w:pPr>
              <w:spacing w:after="0"/>
              <w:rPr>
                <w:sz w:val="22"/>
                <w:szCs w:val="22"/>
                <w:color w:val="auto"/>
              </w:rPr>
            </w:pPr>
          </w:p>
        </w:tc>
        <w:tc>
          <w:tcPr>
            <w:tcW w:w="2720" w:type="dxa"/>
            <w:vAlign w:val="bottom"/>
            <w:gridSpan w:val="4"/>
          </w:tcPr>
          <w:p>
            <w:pPr>
              <w:ind w:left="80"/>
              <w:spacing w:after="0" w:line="258" w:lineRule="exact"/>
              <w:rPr>
                <w:sz w:val="20"/>
                <w:szCs w:val="20"/>
                <w:color w:val="auto"/>
              </w:rPr>
            </w:pPr>
            <w:r>
              <w:rPr>
                <w:rFonts w:ascii="Times New Roman" w:cs="Times New Roman" w:eastAsia="Times New Roman" w:hAnsi="Times New Roman"/>
                <w:sz w:val="24"/>
                <w:szCs w:val="24"/>
                <w:color w:val="auto"/>
              </w:rPr>
              <w:t>0.1 per cent. of the issue</w:t>
            </w:r>
          </w:p>
        </w:tc>
        <w:tc>
          <w:tcPr>
            <w:tcW w:w="100" w:type="dxa"/>
            <w:vAlign w:val="bottom"/>
            <w:tcBorders>
              <w:right w:val="single" w:sz="8" w:color="auto"/>
            </w:tcBorders>
          </w:tcPr>
          <w:p>
            <w:pPr>
              <w:spacing w:after="0"/>
              <w:rPr>
                <w:sz w:val="22"/>
                <w:szCs w:val="22"/>
                <w:color w:val="auto"/>
              </w:rPr>
            </w:pPr>
          </w:p>
        </w:tc>
        <w:tc>
          <w:tcPr>
            <w:tcW w:w="3140" w:type="dxa"/>
            <w:vAlign w:val="bottom"/>
            <w:tcBorders>
              <w:right w:val="single" w:sz="8" w:color="auto"/>
            </w:tcBorders>
            <w:gridSpan w:val="4"/>
          </w:tcPr>
          <w:p>
            <w:pPr>
              <w:ind w:left="100"/>
              <w:spacing w:after="0" w:line="258" w:lineRule="exact"/>
              <w:rPr>
                <w:sz w:val="20"/>
                <w:szCs w:val="20"/>
                <w:color w:val="auto"/>
              </w:rPr>
            </w:pPr>
            <w:r>
              <w:rPr>
                <w:rFonts w:ascii="Times New Roman" w:cs="Times New Roman" w:eastAsia="Times New Roman" w:hAnsi="Times New Roman"/>
                <w:sz w:val="24"/>
                <w:szCs w:val="24"/>
                <w:color w:val="auto"/>
              </w:rPr>
              <w:t>0.05 per cent of the issue size.</w:t>
            </w:r>
          </w:p>
        </w:tc>
      </w:tr>
      <w:tr>
        <w:trPr>
          <w:trHeight w:val="413"/>
        </w:trPr>
        <w:tc>
          <w:tcPr>
            <w:tcW w:w="20" w:type="dxa"/>
            <w:vAlign w:val="bottom"/>
          </w:tcPr>
          <w:p>
            <w:pPr>
              <w:spacing w:after="0"/>
              <w:rPr>
                <w:sz w:val="24"/>
                <w:szCs w:val="24"/>
                <w:color w:val="auto"/>
              </w:rPr>
            </w:pPr>
          </w:p>
        </w:tc>
        <w:tc>
          <w:tcPr>
            <w:tcW w:w="2440" w:type="dxa"/>
            <w:vAlign w:val="bottom"/>
            <w:tcBorders>
              <w:left w:val="single" w:sz="8" w:color="auto"/>
            </w:tcBorders>
            <w:gridSpan w:val="6"/>
          </w:tcPr>
          <w:p>
            <w:pPr>
              <w:ind w:left="140"/>
              <w:spacing w:after="0"/>
              <w:rPr>
                <w:sz w:val="20"/>
                <w:szCs w:val="20"/>
                <w:color w:val="auto"/>
              </w:rPr>
            </w:pPr>
            <w:r>
              <w:rPr>
                <w:rFonts w:ascii="Times New Roman" w:cs="Times New Roman" w:eastAsia="Times New Roman" w:hAnsi="Times New Roman"/>
                <w:sz w:val="24"/>
                <w:szCs w:val="24"/>
                <w:color w:val="auto"/>
              </w:rPr>
              <w:t>rupees, but less than or</w:t>
            </w:r>
          </w:p>
        </w:tc>
        <w:tc>
          <w:tcPr>
            <w:tcW w:w="120" w:type="dxa"/>
            <w:vAlign w:val="bottom"/>
            <w:tcBorders>
              <w:right w:val="single" w:sz="8" w:color="auto"/>
            </w:tcBorders>
          </w:tcPr>
          <w:p>
            <w:pPr>
              <w:spacing w:after="0"/>
              <w:rPr>
                <w:sz w:val="24"/>
                <w:szCs w:val="24"/>
                <w:color w:val="auto"/>
              </w:rPr>
            </w:pPr>
          </w:p>
        </w:tc>
        <w:tc>
          <w:tcPr>
            <w:tcW w:w="78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size.</w:t>
            </w:r>
          </w:p>
        </w:tc>
        <w:tc>
          <w:tcPr>
            <w:tcW w:w="130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00" w:type="dxa"/>
            <w:vAlign w:val="bottom"/>
            <w:tcBorders>
              <w:right w:val="single" w:sz="8" w:color="auto"/>
            </w:tcBorders>
          </w:tcPr>
          <w:p>
            <w:pPr>
              <w:spacing w:after="0"/>
              <w:rPr>
                <w:sz w:val="24"/>
                <w:szCs w:val="24"/>
                <w:color w:val="auto"/>
              </w:rPr>
            </w:pPr>
          </w:p>
        </w:tc>
        <w:tc>
          <w:tcPr>
            <w:tcW w:w="122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00" w:type="dxa"/>
            <w:vAlign w:val="bottom"/>
            <w:tcBorders>
              <w:right w:val="single" w:sz="8" w:color="auto"/>
            </w:tcBorders>
          </w:tcPr>
          <w:p>
            <w:pPr>
              <w:spacing w:after="0"/>
              <w:rPr>
                <w:sz w:val="24"/>
                <w:szCs w:val="24"/>
                <w:color w:val="auto"/>
              </w:rPr>
            </w:pPr>
          </w:p>
        </w:tc>
      </w:tr>
      <w:tr>
        <w:trPr>
          <w:trHeight w:val="415"/>
        </w:trPr>
        <w:tc>
          <w:tcPr>
            <w:tcW w:w="20" w:type="dxa"/>
            <w:vAlign w:val="bottom"/>
          </w:tcPr>
          <w:p>
            <w:pPr>
              <w:spacing w:after="0"/>
              <w:rPr>
                <w:sz w:val="24"/>
                <w:szCs w:val="24"/>
                <w:color w:val="auto"/>
              </w:rPr>
            </w:pPr>
          </w:p>
        </w:tc>
        <w:tc>
          <w:tcPr>
            <w:tcW w:w="700" w:type="dxa"/>
            <w:vAlign w:val="bottom"/>
            <w:tcBorders>
              <w:left w:val="single" w:sz="8" w:color="auto"/>
            </w:tcBorders>
          </w:tcPr>
          <w:p>
            <w:pPr>
              <w:ind w:left="140"/>
              <w:spacing w:after="0"/>
              <w:rPr>
                <w:sz w:val="20"/>
                <w:szCs w:val="20"/>
                <w:color w:val="auto"/>
              </w:rPr>
            </w:pPr>
            <w:r>
              <w:rPr>
                <w:rFonts w:ascii="Times New Roman" w:cs="Times New Roman" w:eastAsia="Times New Roman" w:hAnsi="Times New Roman"/>
                <w:sz w:val="24"/>
                <w:szCs w:val="24"/>
                <w:color w:val="auto"/>
              </w:rPr>
              <w:t>equal</w:t>
            </w:r>
          </w:p>
        </w:tc>
        <w:tc>
          <w:tcPr>
            <w:tcW w:w="360" w:type="dxa"/>
            <w:vAlign w:val="bottom"/>
          </w:tcPr>
          <w:p>
            <w:pPr>
              <w:ind w:left="60"/>
              <w:spacing w:after="0"/>
              <w:rPr>
                <w:sz w:val="20"/>
                <w:szCs w:val="20"/>
                <w:color w:val="auto"/>
              </w:rPr>
            </w:pPr>
            <w:r>
              <w:rPr>
                <w:rFonts w:ascii="Times New Roman" w:cs="Times New Roman" w:eastAsia="Times New Roman" w:hAnsi="Times New Roman"/>
                <w:sz w:val="24"/>
                <w:szCs w:val="24"/>
                <w:color w:val="auto"/>
              </w:rPr>
              <w:t>to</w:t>
            </w:r>
          </w:p>
        </w:tc>
        <w:tc>
          <w:tcPr>
            <w:tcW w:w="380" w:type="dxa"/>
            <w:vAlign w:val="bottom"/>
          </w:tcPr>
          <w:p>
            <w:pPr>
              <w:ind w:left="20"/>
              <w:spacing w:after="0"/>
              <w:rPr>
                <w:sz w:val="20"/>
                <w:szCs w:val="20"/>
                <w:color w:val="auto"/>
              </w:rPr>
            </w:pPr>
            <w:r>
              <w:rPr>
                <w:rFonts w:ascii="Times New Roman" w:cs="Times New Roman" w:eastAsia="Times New Roman" w:hAnsi="Times New Roman"/>
                <w:sz w:val="24"/>
                <w:szCs w:val="24"/>
                <w:color w:val="auto"/>
                <w:w w:val="90"/>
              </w:rPr>
              <w:t>five</w:t>
            </w:r>
          </w:p>
        </w:tc>
        <w:tc>
          <w:tcPr>
            <w:tcW w:w="1000" w:type="dxa"/>
            <w:vAlign w:val="bottom"/>
            <w:gridSpan w:val="3"/>
          </w:tcPr>
          <w:p>
            <w:pPr>
              <w:jc w:val="right"/>
              <w:ind w:right="20"/>
              <w:spacing w:after="0"/>
              <w:rPr>
                <w:sz w:val="20"/>
                <w:szCs w:val="20"/>
                <w:color w:val="auto"/>
              </w:rPr>
            </w:pPr>
            <w:r>
              <w:rPr>
                <w:rFonts w:ascii="Times New Roman" w:cs="Times New Roman" w:eastAsia="Times New Roman" w:hAnsi="Times New Roman"/>
                <w:sz w:val="24"/>
                <w:szCs w:val="24"/>
                <w:color w:val="auto"/>
              </w:rPr>
              <w:t>thousand</w:t>
            </w:r>
          </w:p>
        </w:tc>
        <w:tc>
          <w:tcPr>
            <w:tcW w:w="120" w:type="dxa"/>
            <w:vAlign w:val="bottom"/>
            <w:tcBorders>
              <w:right w:val="single" w:sz="8" w:color="auto"/>
            </w:tcBorders>
          </w:tcPr>
          <w:p>
            <w:pPr>
              <w:spacing w:after="0"/>
              <w:rPr>
                <w:sz w:val="24"/>
                <w:szCs w:val="24"/>
                <w:color w:val="auto"/>
              </w:rPr>
            </w:pPr>
          </w:p>
        </w:tc>
        <w:tc>
          <w:tcPr>
            <w:tcW w:w="780" w:type="dxa"/>
            <w:vAlign w:val="bottom"/>
          </w:tcPr>
          <w:p>
            <w:pPr>
              <w:spacing w:after="0"/>
              <w:rPr>
                <w:sz w:val="24"/>
                <w:szCs w:val="24"/>
                <w:color w:val="auto"/>
              </w:rPr>
            </w:pPr>
          </w:p>
        </w:tc>
        <w:tc>
          <w:tcPr>
            <w:tcW w:w="130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00" w:type="dxa"/>
            <w:vAlign w:val="bottom"/>
            <w:tcBorders>
              <w:right w:val="single" w:sz="8" w:color="auto"/>
            </w:tcBorders>
          </w:tcPr>
          <w:p>
            <w:pPr>
              <w:spacing w:after="0"/>
              <w:rPr>
                <w:sz w:val="24"/>
                <w:szCs w:val="24"/>
                <w:color w:val="auto"/>
              </w:rPr>
            </w:pPr>
          </w:p>
        </w:tc>
        <w:tc>
          <w:tcPr>
            <w:tcW w:w="122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00" w:type="dxa"/>
            <w:vAlign w:val="bottom"/>
            <w:tcBorders>
              <w:right w:val="single" w:sz="8" w:color="auto"/>
            </w:tcBorders>
          </w:tcPr>
          <w:p>
            <w:pPr>
              <w:spacing w:after="0"/>
              <w:rPr>
                <w:sz w:val="24"/>
                <w:szCs w:val="24"/>
                <w:color w:val="auto"/>
              </w:rPr>
            </w:pPr>
          </w:p>
        </w:tc>
      </w:tr>
      <w:tr>
        <w:trPr>
          <w:trHeight w:val="413"/>
        </w:trPr>
        <w:tc>
          <w:tcPr>
            <w:tcW w:w="20" w:type="dxa"/>
            <w:vAlign w:val="bottom"/>
          </w:tcPr>
          <w:p>
            <w:pPr>
              <w:spacing w:after="0"/>
              <w:rPr>
                <w:sz w:val="24"/>
                <w:szCs w:val="24"/>
                <w:color w:val="auto"/>
              </w:rPr>
            </w:pPr>
          </w:p>
        </w:tc>
        <w:tc>
          <w:tcPr>
            <w:tcW w:w="1440" w:type="dxa"/>
            <w:vAlign w:val="bottom"/>
            <w:tcBorders>
              <w:left w:val="single" w:sz="8" w:color="auto"/>
            </w:tcBorders>
            <w:gridSpan w:val="3"/>
          </w:tcPr>
          <w:p>
            <w:pPr>
              <w:ind w:left="140"/>
              <w:spacing w:after="0"/>
              <w:rPr>
                <w:sz w:val="20"/>
                <w:szCs w:val="20"/>
                <w:color w:val="auto"/>
              </w:rPr>
            </w:pPr>
            <w:r>
              <w:rPr>
                <w:rFonts w:ascii="Times New Roman" w:cs="Times New Roman" w:eastAsia="Times New Roman" w:hAnsi="Times New Roman"/>
                <w:sz w:val="24"/>
                <w:szCs w:val="24"/>
                <w:color w:val="auto"/>
              </w:rPr>
              <w:t>crore rupees.</w:t>
            </w:r>
          </w:p>
        </w:tc>
        <w:tc>
          <w:tcPr>
            <w:tcW w:w="42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780" w:type="dxa"/>
            <w:vAlign w:val="bottom"/>
          </w:tcPr>
          <w:p>
            <w:pPr>
              <w:spacing w:after="0"/>
              <w:rPr>
                <w:sz w:val="24"/>
                <w:szCs w:val="24"/>
                <w:color w:val="auto"/>
              </w:rPr>
            </w:pPr>
          </w:p>
        </w:tc>
        <w:tc>
          <w:tcPr>
            <w:tcW w:w="130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00" w:type="dxa"/>
            <w:vAlign w:val="bottom"/>
            <w:tcBorders>
              <w:right w:val="single" w:sz="8" w:color="auto"/>
            </w:tcBorders>
          </w:tcPr>
          <w:p>
            <w:pPr>
              <w:spacing w:after="0"/>
              <w:rPr>
                <w:sz w:val="24"/>
                <w:szCs w:val="24"/>
                <w:color w:val="auto"/>
              </w:rPr>
            </w:pPr>
          </w:p>
        </w:tc>
        <w:tc>
          <w:tcPr>
            <w:tcW w:w="122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00" w:type="dxa"/>
            <w:vAlign w:val="bottom"/>
            <w:tcBorders>
              <w:right w:val="single" w:sz="8" w:color="auto"/>
            </w:tcBorders>
          </w:tcPr>
          <w:p>
            <w:pPr>
              <w:spacing w:after="0"/>
              <w:rPr>
                <w:sz w:val="24"/>
                <w:szCs w:val="24"/>
                <w:color w:val="auto"/>
              </w:rPr>
            </w:pPr>
          </w:p>
        </w:tc>
      </w:tr>
      <w:tr>
        <w:trPr>
          <w:trHeight w:val="147"/>
        </w:trPr>
        <w:tc>
          <w:tcPr>
            <w:tcW w:w="20" w:type="dxa"/>
            <w:vAlign w:val="bottom"/>
          </w:tcPr>
          <w:p>
            <w:pPr>
              <w:spacing w:after="0"/>
              <w:rPr>
                <w:sz w:val="12"/>
                <w:szCs w:val="12"/>
                <w:color w:val="auto"/>
              </w:rPr>
            </w:pPr>
          </w:p>
        </w:tc>
        <w:tc>
          <w:tcPr>
            <w:tcW w:w="700" w:type="dxa"/>
            <w:vAlign w:val="bottom"/>
            <w:tcBorders>
              <w:left w:val="single" w:sz="8" w:color="auto"/>
              <w:bottom w:val="single" w:sz="8" w:color="auto"/>
            </w:tcBorders>
          </w:tcPr>
          <w:p>
            <w:pPr>
              <w:spacing w:after="0"/>
              <w:rPr>
                <w:sz w:val="12"/>
                <w:szCs w:val="12"/>
                <w:color w:val="auto"/>
              </w:rPr>
            </w:pPr>
          </w:p>
        </w:tc>
        <w:tc>
          <w:tcPr>
            <w:tcW w:w="360" w:type="dxa"/>
            <w:vAlign w:val="bottom"/>
            <w:tcBorders>
              <w:bottom w:val="single" w:sz="8" w:color="auto"/>
            </w:tcBorders>
          </w:tcPr>
          <w:p>
            <w:pPr>
              <w:spacing w:after="0"/>
              <w:rPr>
                <w:sz w:val="12"/>
                <w:szCs w:val="12"/>
                <w:color w:val="auto"/>
              </w:rPr>
            </w:pPr>
          </w:p>
        </w:tc>
        <w:tc>
          <w:tcPr>
            <w:tcW w:w="800" w:type="dxa"/>
            <w:vAlign w:val="bottom"/>
            <w:tcBorders>
              <w:bottom w:val="single" w:sz="8" w:color="auto"/>
            </w:tcBorders>
            <w:gridSpan w:val="2"/>
          </w:tcPr>
          <w:p>
            <w:pPr>
              <w:spacing w:after="0"/>
              <w:rPr>
                <w:sz w:val="12"/>
                <w:szCs w:val="12"/>
                <w:color w:val="auto"/>
              </w:rPr>
            </w:pPr>
          </w:p>
        </w:tc>
        <w:tc>
          <w:tcPr>
            <w:tcW w:w="560" w:type="dxa"/>
            <w:vAlign w:val="bottom"/>
            <w:tcBorders>
              <w:bottom w:val="single" w:sz="8" w:color="auto"/>
            </w:tcBorders>
          </w:tcPr>
          <w:p>
            <w:pPr>
              <w:spacing w:after="0"/>
              <w:rPr>
                <w:sz w:val="12"/>
                <w:szCs w:val="12"/>
                <w:color w:val="auto"/>
              </w:rPr>
            </w:pPr>
          </w:p>
        </w:tc>
        <w:tc>
          <w:tcPr>
            <w:tcW w:w="20" w:type="dxa"/>
            <w:vAlign w:val="bottom"/>
            <w:tcBorders>
              <w:bottom w:val="single" w:sz="8" w:color="auto"/>
            </w:tcBorders>
          </w:tcPr>
          <w:p>
            <w:pPr>
              <w:spacing w:after="0"/>
              <w:rPr>
                <w:sz w:val="12"/>
                <w:szCs w:val="12"/>
                <w:color w:val="auto"/>
              </w:rPr>
            </w:pPr>
          </w:p>
        </w:tc>
        <w:tc>
          <w:tcPr>
            <w:tcW w:w="120" w:type="dxa"/>
            <w:vAlign w:val="bottom"/>
            <w:tcBorders>
              <w:bottom w:val="single" w:sz="8" w:color="auto"/>
              <w:right w:val="single" w:sz="8" w:color="auto"/>
            </w:tcBorders>
          </w:tcPr>
          <w:p>
            <w:pPr>
              <w:spacing w:after="0"/>
              <w:rPr>
                <w:sz w:val="12"/>
                <w:szCs w:val="12"/>
                <w:color w:val="auto"/>
              </w:rPr>
            </w:pPr>
          </w:p>
        </w:tc>
        <w:tc>
          <w:tcPr>
            <w:tcW w:w="780" w:type="dxa"/>
            <w:vAlign w:val="bottom"/>
            <w:tcBorders>
              <w:bottom w:val="single" w:sz="8" w:color="auto"/>
            </w:tcBorders>
          </w:tcPr>
          <w:p>
            <w:pPr>
              <w:spacing w:after="0"/>
              <w:rPr>
                <w:sz w:val="12"/>
                <w:szCs w:val="12"/>
                <w:color w:val="auto"/>
              </w:rPr>
            </w:pPr>
          </w:p>
        </w:tc>
        <w:tc>
          <w:tcPr>
            <w:tcW w:w="1300" w:type="dxa"/>
            <w:vAlign w:val="bottom"/>
            <w:tcBorders>
              <w:bottom w:val="single" w:sz="8" w:color="auto"/>
            </w:tcBorders>
          </w:tcPr>
          <w:p>
            <w:pPr>
              <w:spacing w:after="0"/>
              <w:rPr>
                <w:sz w:val="12"/>
                <w:szCs w:val="12"/>
                <w:color w:val="auto"/>
              </w:rPr>
            </w:pPr>
          </w:p>
        </w:tc>
        <w:tc>
          <w:tcPr>
            <w:tcW w:w="600" w:type="dxa"/>
            <w:vAlign w:val="bottom"/>
            <w:tcBorders>
              <w:bottom w:val="single" w:sz="8" w:color="auto"/>
            </w:tcBorders>
          </w:tcPr>
          <w:p>
            <w:pPr>
              <w:spacing w:after="0"/>
              <w:rPr>
                <w:sz w:val="12"/>
                <w:szCs w:val="12"/>
                <w:color w:val="auto"/>
              </w:rPr>
            </w:pPr>
          </w:p>
        </w:tc>
        <w:tc>
          <w:tcPr>
            <w:tcW w:w="40" w:type="dxa"/>
            <w:vAlign w:val="bottom"/>
            <w:tcBorders>
              <w:bottom w:val="single" w:sz="8" w:color="auto"/>
            </w:tcBorders>
          </w:tcPr>
          <w:p>
            <w:pPr>
              <w:spacing w:after="0"/>
              <w:rPr>
                <w:sz w:val="12"/>
                <w:szCs w:val="12"/>
                <w:color w:val="auto"/>
              </w:rPr>
            </w:pPr>
          </w:p>
        </w:tc>
        <w:tc>
          <w:tcPr>
            <w:tcW w:w="100" w:type="dxa"/>
            <w:vAlign w:val="bottom"/>
            <w:tcBorders>
              <w:bottom w:val="single" w:sz="8" w:color="auto"/>
              <w:right w:val="single" w:sz="8" w:color="auto"/>
            </w:tcBorders>
          </w:tcPr>
          <w:p>
            <w:pPr>
              <w:spacing w:after="0"/>
              <w:rPr>
                <w:sz w:val="12"/>
                <w:szCs w:val="12"/>
                <w:color w:val="auto"/>
              </w:rPr>
            </w:pPr>
          </w:p>
        </w:tc>
        <w:tc>
          <w:tcPr>
            <w:tcW w:w="1220" w:type="dxa"/>
            <w:vAlign w:val="bottom"/>
            <w:tcBorders>
              <w:bottom w:val="single" w:sz="8" w:color="auto"/>
            </w:tcBorders>
          </w:tcPr>
          <w:p>
            <w:pPr>
              <w:spacing w:after="0"/>
              <w:rPr>
                <w:sz w:val="12"/>
                <w:szCs w:val="12"/>
                <w:color w:val="auto"/>
              </w:rPr>
            </w:pPr>
          </w:p>
        </w:tc>
        <w:tc>
          <w:tcPr>
            <w:tcW w:w="1100" w:type="dxa"/>
            <w:vAlign w:val="bottom"/>
            <w:tcBorders>
              <w:bottom w:val="single" w:sz="8" w:color="auto"/>
            </w:tcBorders>
          </w:tcPr>
          <w:p>
            <w:pPr>
              <w:spacing w:after="0"/>
              <w:rPr>
                <w:sz w:val="12"/>
                <w:szCs w:val="12"/>
                <w:color w:val="auto"/>
              </w:rPr>
            </w:pPr>
          </w:p>
        </w:tc>
        <w:tc>
          <w:tcPr>
            <w:tcW w:w="520" w:type="dxa"/>
            <w:vAlign w:val="bottom"/>
            <w:tcBorders>
              <w:bottom w:val="single" w:sz="8" w:color="auto"/>
            </w:tcBorders>
          </w:tcPr>
          <w:p>
            <w:pPr>
              <w:spacing w:after="0"/>
              <w:rPr>
                <w:sz w:val="12"/>
                <w:szCs w:val="12"/>
                <w:color w:val="auto"/>
              </w:rPr>
            </w:pPr>
          </w:p>
        </w:tc>
        <w:tc>
          <w:tcPr>
            <w:tcW w:w="300" w:type="dxa"/>
            <w:vAlign w:val="bottom"/>
            <w:tcBorders>
              <w:bottom w:val="single" w:sz="8" w:color="auto"/>
              <w:right w:val="single" w:sz="8" w:color="auto"/>
            </w:tcBorders>
          </w:tcPr>
          <w:p>
            <w:pPr>
              <w:spacing w:after="0"/>
              <w:rPr>
                <w:sz w:val="12"/>
                <w:szCs w:val="12"/>
                <w:color w:val="auto"/>
              </w:rPr>
            </w:pPr>
          </w:p>
        </w:tc>
      </w:tr>
      <w:tr>
        <w:trPr>
          <w:trHeight w:val="258"/>
        </w:trPr>
        <w:tc>
          <w:tcPr>
            <w:tcW w:w="20" w:type="dxa"/>
            <w:vAlign w:val="bottom"/>
          </w:tcPr>
          <w:p>
            <w:pPr>
              <w:spacing w:after="0"/>
              <w:rPr>
                <w:sz w:val="22"/>
                <w:szCs w:val="22"/>
                <w:color w:val="auto"/>
              </w:rPr>
            </w:pPr>
          </w:p>
        </w:tc>
        <w:tc>
          <w:tcPr>
            <w:tcW w:w="700" w:type="dxa"/>
            <w:vAlign w:val="bottom"/>
            <w:tcBorders>
              <w:left w:val="single" w:sz="8" w:color="auto"/>
            </w:tcBorders>
          </w:tcPr>
          <w:p>
            <w:pPr>
              <w:ind w:left="140"/>
              <w:spacing w:after="0" w:line="258" w:lineRule="exact"/>
              <w:rPr>
                <w:sz w:val="20"/>
                <w:szCs w:val="20"/>
                <w:color w:val="auto"/>
              </w:rPr>
            </w:pPr>
            <w:r>
              <w:rPr>
                <w:rFonts w:ascii="Times New Roman" w:cs="Times New Roman" w:eastAsia="Times New Roman" w:hAnsi="Times New Roman"/>
                <w:sz w:val="24"/>
                <w:szCs w:val="24"/>
                <w:color w:val="auto"/>
              </w:rPr>
              <w:t>More</w:t>
            </w:r>
          </w:p>
        </w:tc>
        <w:tc>
          <w:tcPr>
            <w:tcW w:w="360" w:type="dxa"/>
            <w:vAlign w:val="bottom"/>
          </w:tcPr>
          <w:p>
            <w:pPr>
              <w:spacing w:after="0"/>
              <w:rPr>
                <w:sz w:val="22"/>
                <w:szCs w:val="22"/>
                <w:color w:val="auto"/>
              </w:rPr>
            </w:pPr>
          </w:p>
        </w:tc>
        <w:tc>
          <w:tcPr>
            <w:tcW w:w="800" w:type="dxa"/>
            <w:vAlign w:val="bottom"/>
            <w:gridSpan w:val="2"/>
          </w:tcPr>
          <w:p>
            <w:pPr>
              <w:ind w:left="80"/>
              <w:spacing w:after="0" w:line="258" w:lineRule="exact"/>
              <w:rPr>
                <w:sz w:val="20"/>
                <w:szCs w:val="20"/>
                <w:color w:val="auto"/>
              </w:rPr>
            </w:pPr>
            <w:r>
              <w:rPr>
                <w:rFonts w:ascii="Times New Roman" w:cs="Times New Roman" w:eastAsia="Times New Roman" w:hAnsi="Times New Roman"/>
                <w:sz w:val="24"/>
                <w:szCs w:val="24"/>
                <w:color w:val="auto"/>
              </w:rPr>
              <w:t>than</w:t>
            </w:r>
          </w:p>
        </w:tc>
        <w:tc>
          <w:tcPr>
            <w:tcW w:w="580" w:type="dxa"/>
            <w:vAlign w:val="bottom"/>
            <w:gridSpan w:val="2"/>
          </w:tcPr>
          <w:p>
            <w:pPr>
              <w:jc w:val="right"/>
              <w:ind w:right="20"/>
              <w:spacing w:after="0" w:line="258" w:lineRule="exact"/>
              <w:rPr>
                <w:sz w:val="20"/>
                <w:szCs w:val="20"/>
                <w:color w:val="auto"/>
              </w:rPr>
            </w:pPr>
            <w:r>
              <w:rPr>
                <w:rFonts w:ascii="Times New Roman" w:cs="Times New Roman" w:eastAsia="Times New Roman" w:hAnsi="Times New Roman"/>
                <w:sz w:val="24"/>
                <w:szCs w:val="24"/>
                <w:color w:val="auto"/>
              </w:rPr>
              <w:t>five</w:t>
            </w:r>
          </w:p>
        </w:tc>
        <w:tc>
          <w:tcPr>
            <w:tcW w:w="120" w:type="dxa"/>
            <w:vAlign w:val="bottom"/>
            <w:tcBorders>
              <w:right w:val="single" w:sz="8" w:color="auto"/>
            </w:tcBorders>
          </w:tcPr>
          <w:p>
            <w:pPr>
              <w:spacing w:after="0"/>
              <w:rPr>
                <w:sz w:val="22"/>
                <w:szCs w:val="22"/>
                <w:color w:val="auto"/>
              </w:rPr>
            </w:pPr>
          </w:p>
        </w:tc>
        <w:tc>
          <w:tcPr>
            <w:tcW w:w="780" w:type="dxa"/>
            <w:vAlign w:val="bottom"/>
          </w:tcPr>
          <w:p>
            <w:pPr>
              <w:ind w:left="80"/>
              <w:spacing w:after="0" w:line="258" w:lineRule="exact"/>
              <w:rPr>
                <w:sz w:val="20"/>
                <w:szCs w:val="20"/>
                <w:color w:val="auto"/>
              </w:rPr>
            </w:pPr>
            <w:r>
              <w:rPr>
                <w:rFonts w:ascii="Times New Roman" w:cs="Times New Roman" w:eastAsia="Times New Roman" w:hAnsi="Times New Roman"/>
                <w:sz w:val="24"/>
                <w:szCs w:val="24"/>
                <w:color w:val="auto"/>
              </w:rPr>
              <w:t>Five</w:t>
            </w:r>
          </w:p>
        </w:tc>
        <w:tc>
          <w:tcPr>
            <w:tcW w:w="1300" w:type="dxa"/>
            <w:vAlign w:val="bottom"/>
          </w:tcPr>
          <w:p>
            <w:pPr>
              <w:ind w:left="280"/>
              <w:spacing w:after="0" w:line="258" w:lineRule="exact"/>
              <w:rPr>
                <w:sz w:val="20"/>
                <w:szCs w:val="20"/>
                <w:color w:val="auto"/>
              </w:rPr>
            </w:pPr>
            <w:r>
              <w:rPr>
                <w:rFonts w:ascii="Times New Roman" w:cs="Times New Roman" w:eastAsia="Times New Roman" w:hAnsi="Times New Roman"/>
                <w:sz w:val="24"/>
                <w:szCs w:val="24"/>
                <w:color w:val="auto"/>
              </w:rPr>
              <w:t>crore</w:t>
            </w:r>
          </w:p>
        </w:tc>
        <w:tc>
          <w:tcPr>
            <w:tcW w:w="640" w:type="dxa"/>
            <w:vAlign w:val="bottom"/>
            <w:gridSpan w:val="2"/>
          </w:tcPr>
          <w:p>
            <w:pPr>
              <w:spacing w:after="0" w:line="258" w:lineRule="exact"/>
              <w:rPr>
                <w:sz w:val="20"/>
                <w:szCs w:val="20"/>
                <w:color w:val="auto"/>
              </w:rPr>
            </w:pPr>
            <w:r>
              <w:rPr>
                <w:rFonts w:ascii="Times New Roman" w:cs="Times New Roman" w:eastAsia="Times New Roman" w:hAnsi="Times New Roman"/>
                <w:sz w:val="24"/>
                <w:szCs w:val="24"/>
                <w:color w:val="auto"/>
                <w:w w:val="98"/>
              </w:rPr>
              <w:t>rupees</w:t>
            </w:r>
          </w:p>
        </w:tc>
        <w:tc>
          <w:tcPr>
            <w:tcW w:w="100" w:type="dxa"/>
            <w:vAlign w:val="bottom"/>
            <w:tcBorders>
              <w:right w:val="single" w:sz="8" w:color="auto"/>
            </w:tcBorders>
          </w:tcPr>
          <w:p>
            <w:pPr>
              <w:spacing w:after="0"/>
              <w:rPr>
                <w:sz w:val="22"/>
                <w:szCs w:val="22"/>
                <w:color w:val="auto"/>
              </w:rPr>
            </w:pPr>
          </w:p>
        </w:tc>
        <w:tc>
          <w:tcPr>
            <w:tcW w:w="1220" w:type="dxa"/>
            <w:vAlign w:val="bottom"/>
          </w:tcPr>
          <w:p>
            <w:pPr>
              <w:ind w:left="100"/>
              <w:spacing w:after="0" w:line="258" w:lineRule="exact"/>
              <w:rPr>
                <w:sz w:val="20"/>
                <w:szCs w:val="20"/>
                <w:color w:val="auto"/>
              </w:rPr>
            </w:pPr>
            <w:r>
              <w:rPr>
                <w:rFonts w:ascii="Times New Roman" w:cs="Times New Roman" w:eastAsia="Times New Roman" w:hAnsi="Times New Roman"/>
                <w:sz w:val="24"/>
                <w:szCs w:val="24"/>
                <w:color w:val="auto"/>
              </w:rPr>
              <w:t>Two  crore</w:t>
            </w:r>
          </w:p>
        </w:tc>
        <w:tc>
          <w:tcPr>
            <w:tcW w:w="1100" w:type="dxa"/>
            <w:vAlign w:val="bottom"/>
          </w:tcPr>
          <w:p>
            <w:pPr>
              <w:ind w:left="80"/>
              <w:spacing w:after="0" w:line="258" w:lineRule="exact"/>
              <w:rPr>
                <w:sz w:val="20"/>
                <w:szCs w:val="20"/>
                <w:color w:val="auto"/>
              </w:rPr>
            </w:pPr>
            <w:r>
              <w:rPr>
                <w:rFonts w:ascii="Times New Roman" w:cs="Times New Roman" w:eastAsia="Times New Roman" w:hAnsi="Times New Roman"/>
                <w:sz w:val="24"/>
                <w:szCs w:val="24"/>
                <w:color w:val="auto"/>
              </w:rPr>
              <w:t>fifty  lakh</w:t>
            </w:r>
          </w:p>
        </w:tc>
        <w:tc>
          <w:tcPr>
            <w:tcW w:w="820" w:type="dxa"/>
            <w:vAlign w:val="bottom"/>
            <w:tcBorders>
              <w:right w:val="single" w:sz="8" w:color="auto"/>
            </w:tcBorders>
            <w:gridSpan w:val="2"/>
          </w:tcPr>
          <w:p>
            <w:pPr>
              <w:ind w:left="60"/>
              <w:spacing w:after="0" w:line="258" w:lineRule="exact"/>
              <w:rPr>
                <w:sz w:val="20"/>
                <w:szCs w:val="20"/>
                <w:color w:val="auto"/>
              </w:rPr>
            </w:pPr>
            <w:r>
              <w:rPr>
                <w:rFonts w:ascii="Times New Roman" w:cs="Times New Roman" w:eastAsia="Times New Roman" w:hAnsi="Times New Roman"/>
                <w:sz w:val="24"/>
                <w:szCs w:val="24"/>
                <w:color w:val="auto"/>
              </w:rPr>
              <w:t>rupees</w:t>
            </w:r>
          </w:p>
        </w:tc>
      </w:tr>
      <w:tr>
        <w:trPr>
          <w:trHeight w:val="413"/>
        </w:trPr>
        <w:tc>
          <w:tcPr>
            <w:tcW w:w="20" w:type="dxa"/>
            <w:vAlign w:val="bottom"/>
          </w:tcPr>
          <w:p>
            <w:pPr>
              <w:spacing w:after="0"/>
              <w:rPr>
                <w:sz w:val="24"/>
                <w:szCs w:val="24"/>
                <w:color w:val="auto"/>
              </w:rPr>
            </w:pPr>
          </w:p>
        </w:tc>
        <w:tc>
          <w:tcPr>
            <w:tcW w:w="2440" w:type="dxa"/>
            <w:vAlign w:val="bottom"/>
            <w:tcBorders>
              <w:left w:val="single" w:sz="8" w:color="auto"/>
            </w:tcBorders>
            <w:gridSpan w:val="6"/>
          </w:tcPr>
          <w:p>
            <w:pPr>
              <w:ind w:left="140"/>
              <w:spacing w:after="0"/>
              <w:rPr>
                <w:sz w:val="20"/>
                <w:szCs w:val="20"/>
                <w:color w:val="auto"/>
              </w:rPr>
            </w:pPr>
            <w:r>
              <w:rPr>
                <w:rFonts w:ascii="Times New Roman" w:cs="Times New Roman" w:eastAsia="Times New Roman" w:hAnsi="Times New Roman"/>
                <w:sz w:val="24"/>
                <w:szCs w:val="24"/>
                <w:color w:val="auto"/>
              </w:rPr>
              <w:t>thousand crore rupees.</w:t>
            </w:r>
          </w:p>
        </w:tc>
        <w:tc>
          <w:tcPr>
            <w:tcW w:w="120" w:type="dxa"/>
            <w:vAlign w:val="bottom"/>
            <w:tcBorders>
              <w:right w:val="single" w:sz="8" w:color="auto"/>
            </w:tcBorders>
          </w:tcPr>
          <w:p>
            <w:pPr>
              <w:spacing w:after="0"/>
              <w:rPr>
                <w:sz w:val="24"/>
                <w:szCs w:val="24"/>
                <w:color w:val="auto"/>
              </w:rPr>
            </w:pPr>
          </w:p>
        </w:tc>
        <w:tc>
          <w:tcPr>
            <w:tcW w:w="2720" w:type="dxa"/>
            <w:vAlign w:val="bottom"/>
            <w:gridSpan w:val="4"/>
          </w:tcPr>
          <w:p>
            <w:pPr>
              <w:ind w:left="80"/>
              <w:spacing w:after="0"/>
              <w:rPr>
                <w:sz w:val="20"/>
                <w:szCs w:val="20"/>
                <w:color w:val="auto"/>
              </w:rPr>
            </w:pPr>
            <w:r>
              <w:rPr>
                <w:rFonts w:ascii="Times New Roman" w:cs="Times New Roman" w:eastAsia="Times New Roman" w:hAnsi="Times New Roman"/>
                <w:sz w:val="24"/>
                <w:szCs w:val="24"/>
                <w:color w:val="auto"/>
              </w:rPr>
              <w:t>( 5,00,00,000/-) plus 0.025</w:t>
            </w:r>
          </w:p>
        </w:tc>
        <w:tc>
          <w:tcPr>
            <w:tcW w:w="100" w:type="dxa"/>
            <w:vAlign w:val="bottom"/>
            <w:tcBorders>
              <w:right w:val="single" w:sz="8" w:color="auto"/>
            </w:tcBorders>
          </w:tcPr>
          <w:p>
            <w:pPr>
              <w:spacing w:after="0"/>
              <w:rPr>
                <w:sz w:val="24"/>
                <w:szCs w:val="24"/>
                <w:color w:val="auto"/>
              </w:rPr>
            </w:pPr>
          </w:p>
        </w:tc>
        <w:tc>
          <w:tcPr>
            <w:tcW w:w="3140" w:type="dxa"/>
            <w:vAlign w:val="bottom"/>
            <w:tcBorders>
              <w:right w:val="single" w:sz="8" w:color="auto"/>
            </w:tcBorders>
            <w:gridSpan w:val="4"/>
          </w:tcPr>
          <w:p>
            <w:pPr>
              <w:ind w:left="100"/>
              <w:spacing w:after="0"/>
              <w:rPr>
                <w:sz w:val="20"/>
                <w:szCs w:val="20"/>
                <w:color w:val="auto"/>
              </w:rPr>
            </w:pPr>
            <w:r>
              <w:rPr>
                <w:rFonts w:ascii="Times New Roman" w:cs="Times New Roman" w:eastAsia="Times New Roman" w:hAnsi="Times New Roman"/>
                <w:sz w:val="24"/>
                <w:szCs w:val="24"/>
                <w:color w:val="auto"/>
              </w:rPr>
              <w:t>( 2,50,00,000/-)  plus  0.0125</w:t>
            </w:r>
          </w:p>
        </w:tc>
      </w:tr>
      <w:tr>
        <w:trPr>
          <w:trHeight w:val="415"/>
        </w:trPr>
        <w:tc>
          <w:tcPr>
            <w:tcW w:w="20" w:type="dxa"/>
            <w:vAlign w:val="bottom"/>
          </w:tcPr>
          <w:p>
            <w:pPr>
              <w:spacing w:after="0"/>
              <w:rPr>
                <w:sz w:val="24"/>
                <w:szCs w:val="24"/>
                <w:color w:val="auto"/>
              </w:rPr>
            </w:pPr>
          </w:p>
        </w:tc>
        <w:tc>
          <w:tcPr>
            <w:tcW w:w="700" w:type="dxa"/>
            <w:vAlign w:val="bottom"/>
            <w:tcBorders>
              <w:left w:val="single" w:sz="8" w:color="auto"/>
            </w:tcBorders>
          </w:tcPr>
          <w:p>
            <w:pPr>
              <w:spacing w:after="0"/>
              <w:rPr>
                <w:sz w:val="24"/>
                <w:szCs w:val="24"/>
                <w:color w:val="auto"/>
              </w:rPr>
            </w:pPr>
          </w:p>
        </w:tc>
        <w:tc>
          <w:tcPr>
            <w:tcW w:w="3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2720" w:type="dxa"/>
            <w:vAlign w:val="bottom"/>
            <w:gridSpan w:val="4"/>
          </w:tcPr>
          <w:p>
            <w:pPr>
              <w:ind w:left="80"/>
              <w:spacing w:after="0"/>
              <w:rPr>
                <w:sz w:val="20"/>
                <w:szCs w:val="20"/>
                <w:color w:val="auto"/>
              </w:rPr>
            </w:pPr>
            <w:r>
              <w:rPr>
                <w:rFonts w:ascii="Times New Roman" w:cs="Times New Roman" w:eastAsia="Times New Roman" w:hAnsi="Times New Roman"/>
                <w:sz w:val="24"/>
                <w:szCs w:val="24"/>
                <w:color w:val="auto"/>
              </w:rPr>
              <w:t>per cent. of the portion of</w:t>
            </w:r>
          </w:p>
        </w:tc>
        <w:tc>
          <w:tcPr>
            <w:tcW w:w="100" w:type="dxa"/>
            <w:vAlign w:val="bottom"/>
            <w:tcBorders>
              <w:right w:val="single" w:sz="8" w:color="auto"/>
            </w:tcBorders>
          </w:tcPr>
          <w:p>
            <w:pPr>
              <w:spacing w:after="0"/>
              <w:rPr>
                <w:sz w:val="24"/>
                <w:szCs w:val="24"/>
                <w:color w:val="auto"/>
              </w:rPr>
            </w:pPr>
          </w:p>
        </w:tc>
        <w:tc>
          <w:tcPr>
            <w:tcW w:w="3140" w:type="dxa"/>
            <w:vAlign w:val="bottom"/>
            <w:tcBorders>
              <w:right w:val="single" w:sz="8" w:color="auto"/>
            </w:tcBorders>
            <w:gridSpan w:val="4"/>
          </w:tcPr>
          <w:p>
            <w:pPr>
              <w:ind w:left="100"/>
              <w:spacing w:after="0"/>
              <w:rPr>
                <w:sz w:val="20"/>
                <w:szCs w:val="20"/>
                <w:color w:val="auto"/>
              </w:rPr>
            </w:pPr>
            <w:r>
              <w:rPr>
                <w:rFonts w:ascii="Times New Roman" w:cs="Times New Roman" w:eastAsia="Times New Roman" w:hAnsi="Times New Roman"/>
                <w:sz w:val="24"/>
                <w:szCs w:val="24"/>
                <w:color w:val="auto"/>
              </w:rPr>
              <w:t>per cent. of the portion of the</w:t>
            </w:r>
          </w:p>
        </w:tc>
      </w:tr>
      <w:tr>
        <w:trPr>
          <w:trHeight w:val="413"/>
        </w:trPr>
        <w:tc>
          <w:tcPr>
            <w:tcW w:w="20" w:type="dxa"/>
            <w:vAlign w:val="bottom"/>
          </w:tcPr>
          <w:p>
            <w:pPr>
              <w:spacing w:after="0"/>
              <w:rPr>
                <w:sz w:val="24"/>
                <w:szCs w:val="24"/>
                <w:color w:val="auto"/>
              </w:rPr>
            </w:pPr>
          </w:p>
        </w:tc>
        <w:tc>
          <w:tcPr>
            <w:tcW w:w="700" w:type="dxa"/>
            <w:vAlign w:val="bottom"/>
            <w:tcBorders>
              <w:left w:val="single" w:sz="8" w:color="auto"/>
            </w:tcBorders>
          </w:tcPr>
          <w:p>
            <w:pPr>
              <w:spacing w:after="0"/>
              <w:rPr>
                <w:sz w:val="24"/>
                <w:szCs w:val="24"/>
                <w:color w:val="auto"/>
              </w:rPr>
            </w:pPr>
          </w:p>
        </w:tc>
        <w:tc>
          <w:tcPr>
            <w:tcW w:w="3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2720" w:type="dxa"/>
            <w:vAlign w:val="bottom"/>
            <w:gridSpan w:val="4"/>
          </w:tcPr>
          <w:p>
            <w:pPr>
              <w:ind w:left="80"/>
              <w:spacing w:after="0"/>
              <w:rPr>
                <w:sz w:val="20"/>
                <w:szCs w:val="20"/>
                <w:color w:val="auto"/>
              </w:rPr>
            </w:pPr>
            <w:r>
              <w:rPr>
                <w:rFonts w:ascii="Times New Roman" w:cs="Times New Roman" w:eastAsia="Times New Roman" w:hAnsi="Times New Roman"/>
                <w:sz w:val="24"/>
                <w:szCs w:val="24"/>
                <w:color w:val="auto"/>
              </w:rPr>
              <w:t>the issue size in excess of</w:t>
            </w:r>
          </w:p>
        </w:tc>
        <w:tc>
          <w:tcPr>
            <w:tcW w:w="100" w:type="dxa"/>
            <w:vAlign w:val="bottom"/>
            <w:tcBorders>
              <w:right w:val="single" w:sz="8" w:color="auto"/>
            </w:tcBorders>
          </w:tcPr>
          <w:p>
            <w:pPr>
              <w:spacing w:after="0"/>
              <w:rPr>
                <w:sz w:val="24"/>
                <w:szCs w:val="24"/>
                <w:color w:val="auto"/>
              </w:rPr>
            </w:pPr>
          </w:p>
        </w:tc>
        <w:tc>
          <w:tcPr>
            <w:tcW w:w="3140" w:type="dxa"/>
            <w:vAlign w:val="bottom"/>
            <w:tcBorders>
              <w:right w:val="single" w:sz="8" w:color="auto"/>
            </w:tcBorders>
            <w:gridSpan w:val="4"/>
          </w:tcPr>
          <w:p>
            <w:pPr>
              <w:ind w:left="100"/>
              <w:spacing w:after="0"/>
              <w:rPr>
                <w:sz w:val="20"/>
                <w:szCs w:val="20"/>
                <w:color w:val="auto"/>
              </w:rPr>
            </w:pPr>
            <w:r>
              <w:rPr>
                <w:rFonts w:ascii="Times New Roman" w:cs="Times New Roman" w:eastAsia="Times New Roman" w:hAnsi="Times New Roman"/>
                <w:sz w:val="24"/>
                <w:szCs w:val="24"/>
                <w:color w:val="auto"/>
              </w:rPr>
              <w:t>issue  size  in  excess  of  five</w:t>
            </w:r>
          </w:p>
        </w:tc>
      </w:tr>
      <w:tr>
        <w:trPr>
          <w:trHeight w:val="415"/>
        </w:trPr>
        <w:tc>
          <w:tcPr>
            <w:tcW w:w="20" w:type="dxa"/>
            <w:vAlign w:val="bottom"/>
          </w:tcPr>
          <w:p>
            <w:pPr>
              <w:spacing w:after="0"/>
              <w:rPr>
                <w:sz w:val="24"/>
                <w:szCs w:val="24"/>
                <w:color w:val="auto"/>
              </w:rPr>
            </w:pPr>
          </w:p>
        </w:tc>
        <w:tc>
          <w:tcPr>
            <w:tcW w:w="700" w:type="dxa"/>
            <w:vAlign w:val="bottom"/>
            <w:tcBorders>
              <w:left w:val="single" w:sz="8" w:color="auto"/>
            </w:tcBorders>
          </w:tcPr>
          <w:p>
            <w:pPr>
              <w:spacing w:after="0"/>
              <w:rPr>
                <w:sz w:val="24"/>
                <w:szCs w:val="24"/>
                <w:color w:val="auto"/>
              </w:rPr>
            </w:pPr>
          </w:p>
        </w:tc>
        <w:tc>
          <w:tcPr>
            <w:tcW w:w="3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2720" w:type="dxa"/>
            <w:vAlign w:val="bottom"/>
            <w:gridSpan w:val="4"/>
          </w:tcPr>
          <w:p>
            <w:pPr>
              <w:ind w:left="80"/>
              <w:spacing w:after="0"/>
              <w:rPr>
                <w:sz w:val="20"/>
                <w:szCs w:val="20"/>
                <w:color w:val="auto"/>
              </w:rPr>
            </w:pPr>
            <w:r>
              <w:rPr>
                <w:rFonts w:ascii="Times New Roman" w:cs="Times New Roman" w:eastAsia="Times New Roman" w:hAnsi="Times New Roman"/>
                <w:sz w:val="24"/>
                <w:szCs w:val="24"/>
                <w:color w:val="auto"/>
              </w:rPr>
              <w:t>five thousand crore rupees</w:t>
            </w:r>
          </w:p>
        </w:tc>
        <w:tc>
          <w:tcPr>
            <w:tcW w:w="100" w:type="dxa"/>
            <w:vAlign w:val="bottom"/>
            <w:tcBorders>
              <w:right w:val="single" w:sz="8" w:color="auto"/>
            </w:tcBorders>
          </w:tcPr>
          <w:p>
            <w:pPr>
              <w:spacing w:after="0"/>
              <w:rPr>
                <w:sz w:val="24"/>
                <w:szCs w:val="24"/>
                <w:color w:val="auto"/>
              </w:rPr>
            </w:pPr>
          </w:p>
        </w:tc>
        <w:tc>
          <w:tcPr>
            <w:tcW w:w="122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thousand</w:t>
            </w:r>
          </w:p>
        </w:tc>
        <w:tc>
          <w:tcPr>
            <w:tcW w:w="1100" w:type="dxa"/>
            <w:vAlign w:val="bottom"/>
          </w:tcPr>
          <w:p>
            <w:pPr>
              <w:ind w:left="200"/>
              <w:spacing w:after="0"/>
              <w:rPr>
                <w:sz w:val="20"/>
                <w:szCs w:val="20"/>
                <w:color w:val="auto"/>
              </w:rPr>
            </w:pPr>
            <w:r>
              <w:rPr>
                <w:rFonts w:ascii="Times New Roman" w:cs="Times New Roman" w:eastAsia="Times New Roman" w:hAnsi="Times New Roman"/>
                <w:sz w:val="24"/>
                <w:szCs w:val="24"/>
                <w:color w:val="auto"/>
              </w:rPr>
              <w:t>crore</w:t>
            </w:r>
          </w:p>
        </w:tc>
        <w:tc>
          <w:tcPr>
            <w:tcW w:w="820" w:type="dxa"/>
            <w:vAlign w:val="bottom"/>
            <w:tcBorders>
              <w:right w:val="single" w:sz="8" w:color="auto"/>
            </w:tcBorders>
            <w:gridSpan w:val="2"/>
          </w:tcPr>
          <w:p>
            <w:pPr>
              <w:ind w:left="60"/>
              <w:spacing w:after="0"/>
              <w:rPr>
                <w:sz w:val="20"/>
                <w:szCs w:val="20"/>
                <w:color w:val="auto"/>
              </w:rPr>
            </w:pPr>
            <w:r>
              <w:rPr>
                <w:rFonts w:ascii="Times New Roman" w:cs="Times New Roman" w:eastAsia="Times New Roman" w:hAnsi="Times New Roman"/>
                <w:sz w:val="24"/>
                <w:szCs w:val="24"/>
                <w:color w:val="auto"/>
              </w:rPr>
              <w:t>rupees</w:t>
            </w:r>
          </w:p>
        </w:tc>
      </w:tr>
      <w:tr>
        <w:trPr>
          <w:trHeight w:val="413"/>
        </w:trPr>
        <w:tc>
          <w:tcPr>
            <w:tcW w:w="20" w:type="dxa"/>
            <w:vAlign w:val="bottom"/>
          </w:tcPr>
          <w:p>
            <w:pPr>
              <w:spacing w:after="0"/>
              <w:rPr>
                <w:sz w:val="24"/>
                <w:szCs w:val="24"/>
                <w:color w:val="auto"/>
              </w:rPr>
            </w:pPr>
          </w:p>
        </w:tc>
        <w:tc>
          <w:tcPr>
            <w:tcW w:w="700" w:type="dxa"/>
            <w:vAlign w:val="bottom"/>
            <w:tcBorders>
              <w:left w:val="single" w:sz="8" w:color="auto"/>
            </w:tcBorders>
          </w:tcPr>
          <w:p>
            <w:pPr>
              <w:spacing w:after="0"/>
              <w:rPr>
                <w:sz w:val="24"/>
                <w:szCs w:val="24"/>
                <w:color w:val="auto"/>
              </w:rPr>
            </w:pPr>
          </w:p>
        </w:tc>
        <w:tc>
          <w:tcPr>
            <w:tcW w:w="3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2080" w:type="dxa"/>
            <w:vAlign w:val="bottom"/>
            <w:gridSpan w:val="2"/>
          </w:tcPr>
          <w:p>
            <w:pPr>
              <w:ind w:left="80"/>
              <w:spacing w:after="0"/>
              <w:rPr>
                <w:sz w:val="20"/>
                <w:szCs w:val="20"/>
                <w:color w:val="auto"/>
              </w:rPr>
            </w:pPr>
            <w:r>
              <w:rPr>
                <w:rFonts w:ascii="Times New Roman" w:cs="Times New Roman" w:eastAsia="Times New Roman" w:hAnsi="Times New Roman"/>
                <w:sz w:val="24"/>
                <w:szCs w:val="24"/>
                <w:color w:val="auto"/>
              </w:rPr>
              <w:t>( 5000,00,00,000/-).</w:t>
            </w:r>
          </w:p>
        </w:tc>
        <w:tc>
          <w:tcPr>
            <w:tcW w:w="6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00" w:type="dxa"/>
            <w:vAlign w:val="bottom"/>
            <w:tcBorders>
              <w:right w:val="single" w:sz="8" w:color="auto"/>
            </w:tcBorders>
          </w:tcPr>
          <w:p>
            <w:pPr>
              <w:spacing w:after="0"/>
              <w:rPr>
                <w:sz w:val="24"/>
                <w:szCs w:val="24"/>
                <w:color w:val="auto"/>
              </w:rPr>
            </w:pPr>
          </w:p>
        </w:tc>
        <w:tc>
          <w:tcPr>
            <w:tcW w:w="2320" w:type="dxa"/>
            <w:vAlign w:val="bottom"/>
            <w:gridSpan w:val="2"/>
          </w:tcPr>
          <w:p>
            <w:pPr>
              <w:ind w:left="100"/>
              <w:spacing w:after="0"/>
              <w:rPr>
                <w:sz w:val="20"/>
                <w:szCs w:val="20"/>
                <w:color w:val="auto"/>
              </w:rPr>
            </w:pPr>
            <w:r>
              <w:rPr>
                <w:rFonts w:ascii="Times New Roman" w:cs="Times New Roman" w:eastAsia="Times New Roman" w:hAnsi="Times New Roman"/>
                <w:sz w:val="24"/>
                <w:szCs w:val="24"/>
                <w:color w:val="auto"/>
              </w:rPr>
              <w:t>( 5000,00,00,000/-).]</w:t>
            </w:r>
          </w:p>
        </w:tc>
        <w:tc>
          <w:tcPr>
            <w:tcW w:w="520" w:type="dxa"/>
            <w:vAlign w:val="bottom"/>
          </w:tcPr>
          <w:p>
            <w:pPr>
              <w:spacing w:after="0"/>
              <w:rPr>
                <w:sz w:val="24"/>
                <w:szCs w:val="24"/>
                <w:color w:val="auto"/>
              </w:rPr>
            </w:pPr>
          </w:p>
        </w:tc>
        <w:tc>
          <w:tcPr>
            <w:tcW w:w="300" w:type="dxa"/>
            <w:vAlign w:val="bottom"/>
            <w:tcBorders>
              <w:right w:val="single" w:sz="8" w:color="auto"/>
            </w:tcBorders>
          </w:tcPr>
          <w:p>
            <w:pPr>
              <w:spacing w:after="0"/>
              <w:rPr>
                <w:sz w:val="24"/>
                <w:szCs w:val="24"/>
                <w:color w:val="auto"/>
              </w:rPr>
            </w:pPr>
          </w:p>
        </w:tc>
      </w:tr>
      <w:tr>
        <w:trPr>
          <w:trHeight w:val="147"/>
        </w:trPr>
        <w:tc>
          <w:tcPr>
            <w:tcW w:w="20" w:type="dxa"/>
            <w:vAlign w:val="bottom"/>
          </w:tcPr>
          <w:p>
            <w:pPr>
              <w:spacing w:after="0"/>
              <w:rPr>
                <w:sz w:val="12"/>
                <w:szCs w:val="12"/>
                <w:color w:val="auto"/>
              </w:rPr>
            </w:pPr>
          </w:p>
        </w:tc>
        <w:tc>
          <w:tcPr>
            <w:tcW w:w="2420" w:type="dxa"/>
            <w:vAlign w:val="bottom"/>
            <w:tcBorders>
              <w:left w:val="single" w:sz="8" w:color="auto"/>
              <w:bottom w:val="single" w:sz="8" w:color="auto"/>
            </w:tcBorders>
            <w:gridSpan w:val="5"/>
          </w:tcPr>
          <w:p>
            <w:pPr>
              <w:spacing w:after="0"/>
              <w:rPr>
                <w:sz w:val="12"/>
                <w:szCs w:val="12"/>
                <w:color w:val="auto"/>
              </w:rPr>
            </w:pPr>
          </w:p>
        </w:tc>
        <w:tc>
          <w:tcPr>
            <w:tcW w:w="20" w:type="dxa"/>
            <w:vAlign w:val="bottom"/>
            <w:tcBorders>
              <w:bottom w:val="single" w:sz="8" w:color="auto"/>
            </w:tcBorders>
          </w:tcPr>
          <w:p>
            <w:pPr>
              <w:spacing w:after="0"/>
              <w:rPr>
                <w:sz w:val="12"/>
                <w:szCs w:val="12"/>
                <w:color w:val="auto"/>
              </w:rPr>
            </w:pPr>
          </w:p>
        </w:tc>
        <w:tc>
          <w:tcPr>
            <w:tcW w:w="120" w:type="dxa"/>
            <w:vAlign w:val="bottom"/>
            <w:tcBorders>
              <w:bottom w:val="single" w:sz="8" w:color="auto"/>
              <w:right w:val="single" w:sz="8" w:color="auto"/>
            </w:tcBorders>
          </w:tcPr>
          <w:p>
            <w:pPr>
              <w:spacing w:after="0"/>
              <w:rPr>
                <w:sz w:val="12"/>
                <w:szCs w:val="12"/>
                <w:color w:val="auto"/>
              </w:rPr>
            </w:pPr>
          </w:p>
        </w:tc>
        <w:tc>
          <w:tcPr>
            <w:tcW w:w="2680" w:type="dxa"/>
            <w:vAlign w:val="bottom"/>
            <w:tcBorders>
              <w:bottom w:val="single" w:sz="8" w:color="auto"/>
            </w:tcBorders>
            <w:gridSpan w:val="3"/>
          </w:tcPr>
          <w:p>
            <w:pPr>
              <w:spacing w:after="0"/>
              <w:rPr>
                <w:sz w:val="12"/>
                <w:szCs w:val="12"/>
                <w:color w:val="auto"/>
              </w:rPr>
            </w:pPr>
          </w:p>
        </w:tc>
        <w:tc>
          <w:tcPr>
            <w:tcW w:w="40" w:type="dxa"/>
            <w:vAlign w:val="bottom"/>
            <w:tcBorders>
              <w:bottom w:val="single" w:sz="8" w:color="auto"/>
            </w:tcBorders>
          </w:tcPr>
          <w:p>
            <w:pPr>
              <w:spacing w:after="0"/>
              <w:rPr>
                <w:sz w:val="12"/>
                <w:szCs w:val="12"/>
                <w:color w:val="auto"/>
              </w:rPr>
            </w:pPr>
          </w:p>
        </w:tc>
        <w:tc>
          <w:tcPr>
            <w:tcW w:w="100" w:type="dxa"/>
            <w:vAlign w:val="bottom"/>
            <w:tcBorders>
              <w:bottom w:val="single" w:sz="8" w:color="auto"/>
              <w:right w:val="single" w:sz="8" w:color="auto"/>
            </w:tcBorders>
          </w:tcPr>
          <w:p>
            <w:pPr>
              <w:spacing w:after="0"/>
              <w:rPr>
                <w:sz w:val="12"/>
                <w:szCs w:val="12"/>
                <w:color w:val="auto"/>
              </w:rPr>
            </w:pPr>
          </w:p>
        </w:tc>
        <w:tc>
          <w:tcPr>
            <w:tcW w:w="2840" w:type="dxa"/>
            <w:vAlign w:val="bottom"/>
            <w:tcBorders>
              <w:bottom w:val="single" w:sz="8" w:color="auto"/>
            </w:tcBorders>
            <w:gridSpan w:val="3"/>
          </w:tcPr>
          <w:p>
            <w:pPr>
              <w:spacing w:after="0"/>
              <w:rPr>
                <w:sz w:val="12"/>
                <w:szCs w:val="12"/>
                <w:color w:val="auto"/>
              </w:rPr>
            </w:pPr>
          </w:p>
        </w:tc>
        <w:tc>
          <w:tcPr>
            <w:tcW w:w="300" w:type="dxa"/>
            <w:vAlign w:val="bottom"/>
            <w:tcBorders>
              <w:bottom w:val="single" w:sz="8" w:color="auto"/>
              <w:right w:val="single" w:sz="8" w:color="auto"/>
            </w:tcBorders>
          </w:tcPr>
          <w:p>
            <w:pPr>
              <w:spacing w:after="0"/>
              <w:rPr>
                <w:sz w:val="12"/>
                <w:szCs w:val="12"/>
                <w:color w:val="auto"/>
              </w:rPr>
            </w:pPr>
          </w:p>
        </w:tc>
      </w:tr>
      <w:tr>
        <w:trPr>
          <w:trHeight w:val="405"/>
        </w:trPr>
        <w:tc>
          <w:tcPr>
            <w:tcW w:w="20" w:type="dxa"/>
            <w:vAlign w:val="bottom"/>
          </w:tcPr>
          <w:p>
            <w:pPr>
              <w:spacing w:after="0"/>
              <w:rPr>
                <w:sz w:val="24"/>
                <w:szCs w:val="24"/>
                <w:color w:val="auto"/>
              </w:rPr>
            </w:pPr>
          </w:p>
        </w:tc>
        <w:tc>
          <w:tcPr>
            <w:tcW w:w="2420" w:type="dxa"/>
            <w:vAlign w:val="bottom"/>
            <w:gridSpan w:val="5"/>
          </w:tcPr>
          <w:p>
            <w:pPr>
              <w:spacing w:after="0"/>
              <w:rPr>
                <w:sz w:val="24"/>
                <w:szCs w:val="24"/>
                <w:color w:val="auto"/>
              </w:rPr>
            </w:pPr>
          </w:p>
        </w:tc>
        <w:tc>
          <w:tcPr>
            <w:tcW w:w="20" w:type="dxa"/>
            <w:vAlign w:val="bottom"/>
          </w:tcPr>
          <w:p>
            <w:pPr>
              <w:spacing w:after="0"/>
              <w:rPr>
                <w:sz w:val="24"/>
                <w:szCs w:val="24"/>
                <w:color w:val="auto"/>
              </w:rPr>
            </w:pPr>
          </w:p>
        </w:tc>
        <w:tc>
          <w:tcPr>
            <w:tcW w:w="2800" w:type="dxa"/>
            <w:vAlign w:val="bottom"/>
            <w:gridSpan w:val="4"/>
          </w:tcPr>
          <w:p>
            <w:pPr>
              <w:spacing w:after="0"/>
              <w:rPr>
                <w:sz w:val="24"/>
                <w:szCs w:val="24"/>
                <w:color w:val="auto"/>
              </w:rPr>
            </w:pPr>
          </w:p>
        </w:tc>
        <w:tc>
          <w:tcPr>
            <w:tcW w:w="40" w:type="dxa"/>
            <w:vAlign w:val="bottom"/>
          </w:tcPr>
          <w:p>
            <w:pPr>
              <w:spacing w:after="0"/>
              <w:rPr>
                <w:sz w:val="24"/>
                <w:szCs w:val="24"/>
                <w:color w:val="auto"/>
              </w:rPr>
            </w:pPr>
          </w:p>
        </w:tc>
        <w:tc>
          <w:tcPr>
            <w:tcW w:w="2940" w:type="dxa"/>
            <w:vAlign w:val="bottom"/>
            <w:gridSpan w:val="4"/>
          </w:tcPr>
          <w:p>
            <w:pPr>
              <w:spacing w:after="0"/>
              <w:rPr>
                <w:sz w:val="24"/>
                <w:szCs w:val="24"/>
                <w:color w:val="auto"/>
              </w:rPr>
            </w:pPr>
          </w:p>
        </w:tc>
        <w:tc>
          <w:tcPr>
            <w:tcW w:w="300" w:type="dxa"/>
            <w:vAlign w:val="bottom"/>
          </w:tcPr>
          <w:p>
            <w:pPr>
              <w:spacing w:after="0"/>
              <w:rPr>
                <w:sz w:val="24"/>
                <w:szCs w:val="24"/>
                <w:color w:val="auto"/>
              </w:rPr>
            </w:pPr>
          </w:p>
        </w:tc>
      </w:tr>
      <w:tr>
        <w:trPr>
          <w:trHeight w:val="316"/>
        </w:trPr>
        <w:tc>
          <w:tcPr>
            <w:tcW w:w="20" w:type="dxa"/>
            <w:vAlign w:val="bottom"/>
            <w:tcBorders>
              <w:top w:val="single" w:sz="8" w:color="auto"/>
            </w:tcBorders>
            <w:shd w:val="clear" w:color="auto" w:fill="000000"/>
          </w:tcPr>
          <w:p>
            <w:pPr>
              <w:spacing w:after="0"/>
              <w:rPr>
                <w:sz w:val="24"/>
                <w:szCs w:val="24"/>
                <w:color w:val="auto"/>
              </w:rPr>
            </w:pPr>
          </w:p>
        </w:tc>
        <w:tc>
          <w:tcPr>
            <w:tcW w:w="2420" w:type="dxa"/>
            <w:vAlign w:val="bottom"/>
            <w:tcBorders>
              <w:top w:val="single" w:sz="8" w:color="auto"/>
              <w:right w:val="single" w:sz="8" w:color="auto"/>
            </w:tcBorders>
            <w:gridSpan w:val="5"/>
          </w:tcPr>
          <w:p>
            <w:pPr>
              <w:ind w:left="40"/>
              <w:spacing w:after="0" w:line="316" w:lineRule="exact"/>
              <w:rPr>
                <w:sz w:val="20"/>
                <w:szCs w:val="20"/>
                <w:color w:val="auto"/>
              </w:rPr>
            </w:pPr>
            <w:r>
              <w:rPr>
                <w:rFonts w:ascii="Times New Roman" w:cs="Times New Roman" w:eastAsia="Times New Roman" w:hAnsi="Times New Roman"/>
                <w:sz w:val="32"/>
                <w:szCs w:val="32"/>
                <w:b w:val="1"/>
                <w:bCs w:val="1"/>
                <w:color w:val="auto"/>
                <w:vertAlign w:val="superscript"/>
              </w:rPr>
              <w:t>105</w:t>
            </w:r>
            <w:r>
              <w:rPr>
                <w:rFonts w:ascii="Times New Roman" w:cs="Times New Roman" w:eastAsia="Times New Roman" w:hAnsi="Times New Roman"/>
                <w:sz w:val="24"/>
                <w:szCs w:val="24"/>
                <w:b w:val="1"/>
                <w:bCs w:val="1"/>
                <w:color w:val="auto"/>
              </w:rPr>
              <w:t>[Size of the issue,</w:t>
            </w:r>
          </w:p>
        </w:tc>
        <w:tc>
          <w:tcPr>
            <w:tcW w:w="20" w:type="dxa"/>
            <w:vAlign w:val="bottom"/>
            <w:tcBorders>
              <w:top w:val="single" w:sz="8" w:color="auto"/>
            </w:tcBorders>
          </w:tcPr>
          <w:p>
            <w:pPr>
              <w:spacing w:after="0"/>
              <w:rPr>
                <w:sz w:val="24"/>
                <w:szCs w:val="24"/>
                <w:color w:val="auto"/>
              </w:rPr>
            </w:pPr>
          </w:p>
        </w:tc>
        <w:tc>
          <w:tcPr>
            <w:tcW w:w="2800" w:type="dxa"/>
            <w:vAlign w:val="bottom"/>
            <w:tcBorders>
              <w:top w:val="single" w:sz="8" w:color="auto"/>
              <w:right w:val="single" w:sz="8" w:color="auto"/>
            </w:tcBorders>
            <w:gridSpan w:val="4"/>
          </w:tcPr>
          <w:p>
            <w:pPr>
              <w:ind w:left="20"/>
              <w:spacing w:after="0" w:line="264" w:lineRule="exact"/>
              <w:rPr>
                <w:sz w:val="20"/>
                <w:szCs w:val="20"/>
                <w:color w:val="auto"/>
              </w:rPr>
            </w:pPr>
            <w:r>
              <w:rPr>
                <w:rFonts w:ascii="Times New Roman" w:cs="Times New Roman" w:eastAsia="Times New Roman" w:hAnsi="Times New Roman"/>
                <w:sz w:val="24"/>
                <w:szCs w:val="24"/>
                <w:b w:val="1"/>
                <w:bCs w:val="1"/>
                <w:color w:val="auto"/>
              </w:rPr>
              <w:t>Amount / Rate of fees</w:t>
            </w:r>
          </w:p>
        </w:tc>
        <w:tc>
          <w:tcPr>
            <w:tcW w:w="40" w:type="dxa"/>
            <w:vAlign w:val="bottom"/>
            <w:tcBorders>
              <w:top w:val="single" w:sz="8" w:color="auto"/>
            </w:tcBorders>
          </w:tcPr>
          <w:p>
            <w:pPr>
              <w:spacing w:after="0"/>
              <w:rPr>
                <w:sz w:val="24"/>
                <w:szCs w:val="24"/>
                <w:color w:val="auto"/>
              </w:rPr>
            </w:pPr>
          </w:p>
        </w:tc>
        <w:tc>
          <w:tcPr>
            <w:tcW w:w="2940" w:type="dxa"/>
            <w:vAlign w:val="bottom"/>
            <w:tcBorders>
              <w:top w:val="single" w:sz="8" w:color="auto"/>
              <w:right w:val="single" w:sz="8" w:color="auto"/>
            </w:tcBorders>
            <w:gridSpan w:val="4"/>
          </w:tcPr>
          <w:p>
            <w:pPr>
              <w:ind w:left="20"/>
              <w:spacing w:after="0" w:line="264" w:lineRule="exact"/>
              <w:rPr>
                <w:sz w:val="20"/>
                <w:szCs w:val="20"/>
                <w:color w:val="auto"/>
              </w:rPr>
            </w:pPr>
            <w:r>
              <w:rPr>
                <w:rFonts w:ascii="Times New Roman" w:cs="Times New Roman" w:eastAsia="Times New Roman" w:hAnsi="Times New Roman"/>
                <w:sz w:val="24"/>
                <w:szCs w:val="24"/>
                <w:b w:val="1"/>
                <w:bCs w:val="1"/>
                <w:color w:val="auto"/>
              </w:rPr>
              <w:t>Amount / Rate of fees for</w:t>
            </w:r>
          </w:p>
        </w:tc>
        <w:tc>
          <w:tcPr>
            <w:tcW w:w="300" w:type="dxa"/>
            <w:vAlign w:val="bottom"/>
          </w:tcPr>
          <w:p>
            <w:pPr>
              <w:spacing w:after="0"/>
              <w:rPr>
                <w:sz w:val="24"/>
                <w:szCs w:val="24"/>
                <w:color w:val="auto"/>
              </w:rPr>
            </w:pPr>
          </w:p>
        </w:tc>
      </w:tr>
      <w:tr>
        <w:trPr>
          <w:trHeight w:val="264"/>
        </w:trPr>
        <w:tc>
          <w:tcPr>
            <w:tcW w:w="20" w:type="dxa"/>
            <w:vAlign w:val="bottom"/>
            <w:shd w:val="clear" w:color="auto" w:fill="000000"/>
          </w:tcPr>
          <w:p>
            <w:pPr>
              <w:spacing w:after="0"/>
              <w:rPr>
                <w:sz w:val="22"/>
                <w:szCs w:val="22"/>
                <w:color w:val="auto"/>
              </w:rPr>
            </w:pPr>
          </w:p>
        </w:tc>
        <w:tc>
          <w:tcPr>
            <w:tcW w:w="2420" w:type="dxa"/>
            <w:vAlign w:val="bottom"/>
            <w:tcBorders>
              <w:right w:val="single" w:sz="8" w:color="auto"/>
            </w:tcBorders>
            <w:gridSpan w:val="5"/>
          </w:tcPr>
          <w:p>
            <w:pPr>
              <w:ind w:left="40"/>
              <w:spacing w:after="0" w:line="264" w:lineRule="exact"/>
              <w:rPr>
                <w:sz w:val="20"/>
                <w:szCs w:val="20"/>
                <w:color w:val="auto"/>
              </w:rPr>
            </w:pPr>
            <w:r>
              <w:rPr>
                <w:rFonts w:ascii="Times New Roman" w:cs="Times New Roman" w:eastAsia="Times New Roman" w:hAnsi="Times New Roman"/>
                <w:sz w:val="24"/>
                <w:szCs w:val="24"/>
                <w:b w:val="1"/>
                <w:bCs w:val="1"/>
                <w:color w:val="auto"/>
              </w:rPr>
              <w:t>including intended</w:t>
            </w:r>
          </w:p>
        </w:tc>
        <w:tc>
          <w:tcPr>
            <w:tcW w:w="20" w:type="dxa"/>
            <w:vAlign w:val="bottom"/>
          </w:tcPr>
          <w:p>
            <w:pPr>
              <w:spacing w:after="0"/>
              <w:rPr>
                <w:sz w:val="22"/>
                <w:szCs w:val="22"/>
                <w:color w:val="auto"/>
              </w:rPr>
            </w:pPr>
          </w:p>
        </w:tc>
        <w:tc>
          <w:tcPr>
            <w:tcW w:w="120" w:type="dxa"/>
            <w:vAlign w:val="bottom"/>
          </w:tcPr>
          <w:p>
            <w:pPr>
              <w:spacing w:after="0"/>
              <w:rPr>
                <w:sz w:val="22"/>
                <w:szCs w:val="22"/>
                <w:color w:val="auto"/>
              </w:rPr>
            </w:pPr>
          </w:p>
        </w:tc>
        <w:tc>
          <w:tcPr>
            <w:tcW w:w="780" w:type="dxa"/>
            <w:vAlign w:val="bottom"/>
          </w:tcPr>
          <w:p>
            <w:pPr>
              <w:spacing w:after="0"/>
              <w:rPr>
                <w:sz w:val="22"/>
                <w:szCs w:val="22"/>
                <w:color w:val="auto"/>
              </w:rPr>
            </w:pPr>
          </w:p>
        </w:tc>
        <w:tc>
          <w:tcPr>
            <w:tcW w:w="1300" w:type="dxa"/>
            <w:vAlign w:val="bottom"/>
          </w:tcPr>
          <w:p>
            <w:pPr>
              <w:spacing w:after="0"/>
              <w:rPr>
                <w:sz w:val="22"/>
                <w:szCs w:val="22"/>
                <w:color w:val="auto"/>
              </w:rPr>
            </w:pPr>
          </w:p>
        </w:tc>
        <w:tc>
          <w:tcPr>
            <w:tcW w:w="600" w:type="dxa"/>
            <w:vAlign w:val="bottom"/>
            <w:tcBorders>
              <w:right w:val="single" w:sz="8" w:color="auto"/>
            </w:tcBorders>
          </w:tcPr>
          <w:p>
            <w:pPr>
              <w:spacing w:after="0"/>
              <w:rPr>
                <w:sz w:val="22"/>
                <w:szCs w:val="22"/>
                <w:color w:val="auto"/>
              </w:rPr>
            </w:pPr>
          </w:p>
        </w:tc>
        <w:tc>
          <w:tcPr>
            <w:tcW w:w="40" w:type="dxa"/>
            <w:vAlign w:val="bottom"/>
          </w:tcPr>
          <w:p>
            <w:pPr>
              <w:spacing w:after="0"/>
              <w:rPr>
                <w:sz w:val="22"/>
                <w:szCs w:val="22"/>
                <w:color w:val="auto"/>
              </w:rPr>
            </w:pPr>
          </w:p>
        </w:tc>
        <w:tc>
          <w:tcPr>
            <w:tcW w:w="2940" w:type="dxa"/>
            <w:vAlign w:val="bottom"/>
            <w:tcBorders>
              <w:right w:val="single" w:sz="8" w:color="auto"/>
            </w:tcBorders>
            <w:gridSpan w:val="4"/>
          </w:tcPr>
          <w:p>
            <w:pPr>
              <w:ind w:left="20"/>
              <w:spacing w:after="0" w:line="264" w:lineRule="exact"/>
              <w:rPr>
                <w:sz w:val="20"/>
                <w:szCs w:val="20"/>
                <w:color w:val="auto"/>
              </w:rPr>
            </w:pPr>
            <w:r>
              <w:rPr>
                <w:rFonts w:ascii="Times New Roman" w:cs="Times New Roman" w:eastAsia="Times New Roman" w:hAnsi="Times New Roman"/>
                <w:sz w:val="24"/>
                <w:szCs w:val="24"/>
                <w:b w:val="1"/>
                <w:bCs w:val="1"/>
                <w:color w:val="auto"/>
              </w:rPr>
              <w:t>filing within one year after</w:t>
            </w:r>
          </w:p>
        </w:tc>
        <w:tc>
          <w:tcPr>
            <w:tcW w:w="300" w:type="dxa"/>
            <w:vAlign w:val="bottom"/>
          </w:tcPr>
          <w:p>
            <w:pPr>
              <w:spacing w:after="0"/>
              <w:rPr>
                <w:sz w:val="22"/>
                <w:szCs w:val="22"/>
                <w:color w:val="auto"/>
              </w:rPr>
            </w:pPr>
          </w:p>
        </w:tc>
      </w:tr>
      <w:tr>
        <w:trPr>
          <w:trHeight w:val="317"/>
        </w:trPr>
        <w:tc>
          <w:tcPr>
            <w:tcW w:w="20" w:type="dxa"/>
            <w:vAlign w:val="bottom"/>
            <w:shd w:val="clear" w:color="auto" w:fill="000000"/>
          </w:tcPr>
          <w:p>
            <w:pPr>
              <w:spacing w:after="0"/>
              <w:rPr>
                <w:sz w:val="24"/>
                <w:szCs w:val="24"/>
                <w:color w:val="auto"/>
              </w:rPr>
            </w:pPr>
          </w:p>
        </w:tc>
        <w:tc>
          <w:tcPr>
            <w:tcW w:w="1440" w:type="dxa"/>
            <w:vAlign w:val="bottom"/>
            <w:gridSpan w:val="3"/>
          </w:tcPr>
          <w:p>
            <w:pPr>
              <w:ind w:left="40"/>
              <w:spacing w:after="0"/>
              <w:rPr>
                <w:sz w:val="20"/>
                <w:szCs w:val="20"/>
                <w:color w:val="auto"/>
              </w:rPr>
            </w:pPr>
            <w:r>
              <w:rPr>
                <w:rFonts w:ascii="Times New Roman" w:cs="Times New Roman" w:eastAsia="Times New Roman" w:hAnsi="Times New Roman"/>
                <w:sz w:val="24"/>
                <w:szCs w:val="24"/>
                <w:b w:val="1"/>
                <w:bCs w:val="1"/>
                <w:color w:val="auto"/>
              </w:rPr>
              <w:t>retention of</w:t>
            </w:r>
          </w:p>
        </w:tc>
        <w:tc>
          <w:tcPr>
            <w:tcW w:w="420" w:type="dxa"/>
            <w:vAlign w:val="bottom"/>
          </w:tcPr>
          <w:p>
            <w:pPr>
              <w:spacing w:after="0"/>
              <w:rPr>
                <w:sz w:val="24"/>
                <w:szCs w:val="24"/>
                <w:color w:val="auto"/>
              </w:rPr>
            </w:pPr>
          </w:p>
        </w:tc>
        <w:tc>
          <w:tcPr>
            <w:tcW w:w="560" w:type="dxa"/>
            <w:vAlign w:val="bottom"/>
            <w:tcBorders>
              <w:right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300" w:type="dxa"/>
            <w:vAlign w:val="bottom"/>
          </w:tcPr>
          <w:p>
            <w:pPr>
              <w:spacing w:after="0"/>
              <w:rPr>
                <w:sz w:val="24"/>
                <w:szCs w:val="24"/>
                <w:color w:val="auto"/>
              </w:rPr>
            </w:pPr>
          </w:p>
        </w:tc>
        <w:tc>
          <w:tcPr>
            <w:tcW w:w="600" w:type="dxa"/>
            <w:vAlign w:val="bottom"/>
            <w:tcBorders>
              <w:right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2940" w:type="dxa"/>
            <w:vAlign w:val="bottom"/>
            <w:tcBorders>
              <w:right w:val="single" w:sz="8" w:color="auto"/>
            </w:tcBorders>
            <w:gridSpan w:val="4"/>
          </w:tcPr>
          <w:p>
            <w:pPr>
              <w:ind w:left="20"/>
              <w:spacing w:after="0"/>
              <w:rPr>
                <w:sz w:val="20"/>
                <w:szCs w:val="20"/>
                <w:color w:val="auto"/>
              </w:rPr>
            </w:pPr>
            <w:r>
              <w:rPr>
                <w:rFonts w:ascii="Times New Roman" w:cs="Times New Roman" w:eastAsia="Times New Roman" w:hAnsi="Times New Roman"/>
                <w:sz w:val="24"/>
                <w:szCs w:val="24"/>
                <w:b w:val="1"/>
                <w:bCs w:val="1"/>
                <w:color w:val="auto"/>
              </w:rPr>
              <w:t>expiry of SEBI Observation</w:t>
            </w:r>
          </w:p>
        </w:tc>
        <w:tc>
          <w:tcPr>
            <w:tcW w:w="300" w:type="dxa"/>
            <w:vAlign w:val="bottom"/>
          </w:tcPr>
          <w:p>
            <w:pPr>
              <w:spacing w:after="0"/>
              <w:rPr>
                <w:sz w:val="24"/>
                <w:szCs w:val="24"/>
                <w:color w:val="auto"/>
              </w:rPr>
            </w:pPr>
          </w:p>
        </w:tc>
      </w:tr>
      <w:tr>
        <w:trPr>
          <w:trHeight w:val="317"/>
        </w:trPr>
        <w:tc>
          <w:tcPr>
            <w:tcW w:w="20" w:type="dxa"/>
            <w:vAlign w:val="bottom"/>
            <w:shd w:val="clear" w:color="auto" w:fill="000000"/>
          </w:tcPr>
          <w:p>
            <w:pPr>
              <w:spacing w:after="0"/>
              <w:rPr>
                <w:sz w:val="24"/>
                <w:szCs w:val="24"/>
                <w:color w:val="auto"/>
              </w:rPr>
            </w:pPr>
          </w:p>
        </w:tc>
        <w:tc>
          <w:tcPr>
            <w:tcW w:w="1860" w:type="dxa"/>
            <w:vAlign w:val="bottom"/>
            <w:gridSpan w:val="4"/>
          </w:tcPr>
          <w:p>
            <w:pPr>
              <w:ind w:left="40"/>
              <w:spacing w:after="0"/>
              <w:rPr>
                <w:sz w:val="20"/>
                <w:szCs w:val="20"/>
                <w:color w:val="auto"/>
              </w:rPr>
            </w:pPr>
            <w:r>
              <w:rPr>
                <w:rFonts w:ascii="Times New Roman" w:cs="Times New Roman" w:eastAsia="Times New Roman" w:hAnsi="Times New Roman"/>
                <w:sz w:val="24"/>
                <w:szCs w:val="24"/>
                <w:b w:val="1"/>
                <w:bCs w:val="1"/>
                <w:color w:val="auto"/>
              </w:rPr>
              <w:t>oversubscription</w:t>
            </w:r>
          </w:p>
        </w:tc>
        <w:tc>
          <w:tcPr>
            <w:tcW w:w="560" w:type="dxa"/>
            <w:vAlign w:val="bottom"/>
            <w:tcBorders>
              <w:right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300" w:type="dxa"/>
            <w:vAlign w:val="bottom"/>
          </w:tcPr>
          <w:p>
            <w:pPr>
              <w:spacing w:after="0"/>
              <w:rPr>
                <w:sz w:val="24"/>
                <w:szCs w:val="24"/>
                <w:color w:val="auto"/>
              </w:rPr>
            </w:pPr>
          </w:p>
        </w:tc>
        <w:tc>
          <w:tcPr>
            <w:tcW w:w="600" w:type="dxa"/>
            <w:vAlign w:val="bottom"/>
            <w:tcBorders>
              <w:right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1320" w:type="dxa"/>
            <w:vAlign w:val="bottom"/>
            <w:gridSpan w:val="2"/>
          </w:tcPr>
          <w:p>
            <w:pPr>
              <w:ind w:left="20"/>
              <w:spacing w:after="0"/>
              <w:rPr>
                <w:sz w:val="20"/>
                <w:szCs w:val="20"/>
                <w:color w:val="auto"/>
              </w:rPr>
            </w:pPr>
            <w:r>
              <w:rPr>
                <w:rFonts w:ascii="Times New Roman" w:cs="Times New Roman" w:eastAsia="Times New Roman" w:hAnsi="Times New Roman"/>
                <w:sz w:val="24"/>
                <w:szCs w:val="24"/>
                <w:b w:val="1"/>
                <w:bCs w:val="1"/>
                <w:color w:val="auto"/>
              </w:rPr>
              <w:t>letter</w:t>
            </w:r>
          </w:p>
        </w:tc>
        <w:tc>
          <w:tcPr>
            <w:tcW w:w="1100" w:type="dxa"/>
            <w:vAlign w:val="bottom"/>
          </w:tcPr>
          <w:p>
            <w:pPr>
              <w:spacing w:after="0"/>
              <w:rPr>
                <w:sz w:val="24"/>
                <w:szCs w:val="24"/>
                <w:color w:val="auto"/>
              </w:rPr>
            </w:pPr>
          </w:p>
        </w:tc>
        <w:tc>
          <w:tcPr>
            <w:tcW w:w="520" w:type="dxa"/>
            <w:vAlign w:val="bottom"/>
            <w:tcBorders>
              <w:right w:val="single" w:sz="8" w:color="auto"/>
            </w:tcBorders>
          </w:tcPr>
          <w:p>
            <w:pPr>
              <w:spacing w:after="0"/>
              <w:rPr>
                <w:sz w:val="24"/>
                <w:szCs w:val="24"/>
                <w:color w:val="auto"/>
              </w:rPr>
            </w:pPr>
          </w:p>
        </w:tc>
        <w:tc>
          <w:tcPr>
            <w:tcW w:w="300" w:type="dxa"/>
            <w:vAlign w:val="bottom"/>
          </w:tcPr>
          <w:p>
            <w:pPr>
              <w:spacing w:after="0"/>
              <w:rPr>
                <w:sz w:val="24"/>
                <w:szCs w:val="24"/>
                <w:color w:val="auto"/>
              </w:rPr>
            </w:pPr>
          </w:p>
        </w:tc>
      </w:tr>
      <w:tr>
        <w:trPr>
          <w:trHeight w:val="46"/>
        </w:trPr>
        <w:tc>
          <w:tcPr>
            <w:tcW w:w="20" w:type="dxa"/>
            <w:vAlign w:val="bottom"/>
            <w:tcBorders>
              <w:bottom w:val="single" w:sz="8" w:color="auto"/>
            </w:tcBorders>
            <w:shd w:val="clear" w:color="auto" w:fill="000000"/>
          </w:tcPr>
          <w:p>
            <w:pPr>
              <w:spacing w:after="0"/>
              <w:rPr>
                <w:sz w:val="4"/>
                <w:szCs w:val="4"/>
                <w:color w:val="auto"/>
              </w:rPr>
            </w:pPr>
          </w:p>
        </w:tc>
        <w:tc>
          <w:tcPr>
            <w:tcW w:w="2420" w:type="dxa"/>
            <w:vAlign w:val="bottom"/>
            <w:tcBorders>
              <w:bottom w:val="single" w:sz="8" w:color="auto"/>
              <w:right w:val="single" w:sz="8" w:color="auto"/>
            </w:tcBorders>
            <w:gridSpan w:val="5"/>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2800" w:type="dxa"/>
            <w:vAlign w:val="bottom"/>
            <w:tcBorders>
              <w:bottom w:val="single" w:sz="8" w:color="auto"/>
              <w:right w:val="single" w:sz="8" w:color="auto"/>
            </w:tcBorders>
            <w:gridSpan w:val="4"/>
          </w:tcPr>
          <w:p>
            <w:pPr>
              <w:spacing w:after="0"/>
              <w:rPr>
                <w:sz w:val="4"/>
                <w:szCs w:val="4"/>
                <w:color w:val="auto"/>
              </w:rPr>
            </w:pPr>
          </w:p>
        </w:tc>
        <w:tc>
          <w:tcPr>
            <w:tcW w:w="40" w:type="dxa"/>
            <w:vAlign w:val="bottom"/>
            <w:tcBorders>
              <w:bottom w:val="single" w:sz="8" w:color="auto"/>
            </w:tcBorders>
          </w:tcPr>
          <w:p>
            <w:pPr>
              <w:spacing w:after="0"/>
              <w:rPr>
                <w:sz w:val="4"/>
                <w:szCs w:val="4"/>
                <w:color w:val="auto"/>
              </w:rPr>
            </w:pPr>
          </w:p>
        </w:tc>
        <w:tc>
          <w:tcPr>
            <w:tcW w:w="2940" w:type="dxa"/>
            <w:vAlign w:val="bottom"/>
            <w:tcBorders>
              <w:bottom w:val="single" w:sz="8" w:color="auto"/>
              <w:right w:val="single" w:sz="8" w:color="auto"/>
            </w:tcBorders>
            <w:gridSpan w:val="4"/>
          </w:tcPr>
          <w:p>
            <w:pPr>
              <w:spacing w:after="0"/>
              <w:rPr>
                <w:sz w:val="4"/>
                <w:szCs w:val="4"/>
                <w:color w:val="auto"/>
              </w:rPr>
            </w:pPr>
          </w:p>
        </w:tc>
        <w:tc>
          <w:tcPr>
            <w:tcW w:w="300" w:type="dxa"/>
            <w:vAlign w:val="bottom"/>
          </w:tcPr>
          <w:p>
            <w:pPr>
              <w:spacing w:after="0"/>
              <w:rPr>
                <w:sz w:val="4"/>
                <w:szCs w:val="4"/>
                <w:color w:val="auto"/>
              </w:rPr>
            </w:pPr>
          </w:p>
        </w:tc>
      </w:tr>
      <w:tr>
        <w:trPr>
          <w:trHeight w:val="258"/>
        </w:trPr>
        <w:tc>
          <w:tcPr>
            <w:tcW w:w="20" w:type="dxa"/>
            <w:vAlign w:val="bottom"/>
            <w:shd w:val="clear" w:color="auto" w:fill="000000"/>
          </w:tcPr>
          <w:p>
            <w:pPr>
              <w:spacing w:after="0"/>
              <w:rPr>
                <w:sz w:val="22"/>
                <w:szCs w:val="22"/>
                <w:color w:val="auto"/>
              </w:rPr>
            </w:pPr>
          </w:p>
        </w:tc>
        <w:tc>
          <w:tcPr>
            <w:tcW w:w="2420" w:type="dxa"/>
            <w:vAlign w:val="bottom"/>
            <w:tcBorders>
              <w:right w:val="single" w:sz="8" w:color="auto"/>
            </w:tcBorders>
            <w:gridSpan w:val="5"/>
          </w:tcPr>
          <w:p>
            <w:pPr>
              <w:ind w:left="40"/>
              <w:spacing w:after="0" w:line="258" w:lineRule="exact"/>
              <w:rPr>
                <w:sz w:val="20"/>
                <w:szCs w:val="20"/>
                <w:color w:val="auto"/>
              </w:rPr>
            </w:pPr>
            <w:r>
              <w:rPr>
                <w:rFonts w:ascii="Times New Roman" w:cs="Times New Roman" w:eastAsia="Times New Roman" w:hAnsi="Times New Roman"/>
                <w:sz w:val="24"/>
                <w:szCs w:val="24"/>
                <w:color w:val="auto"/>
              </w:rPr>
              <w:t>Less than or equal to</w:t>
            </w:r>
          </w:p>
        </w:tc>
        <w:tc>
          <w:tcPr>
            <w:tcW w:w="20" w:type="dxa"/>
            <w:vAlign w:val="bottom"/>
          </w:tcPr>
          <w:p>
            <w:pPr>
              <w:spacing w:after="0"/>
              <w:rPr>
                <w:sz w:val="22"/>
                <w:szCs w:val="22"/>
                <w:color w:val="auto"/>
              </w:rPr>
            </w:pPr>
          </w:p>
        </w:tc>
        <w:tc>
          <w:tcPr>
            <w:tcW w:w="2800" w:type="dxa"/>
            <w:vAlign w:val="bottom"/>
            <w:tcBorders>
              <w:right w:val="single" w:sz="8" w:color="auto"/>
            </w:tcBorders>
            <w:gridSpan w:val="4"/>
          </w:tcPr>
          <w:p>
            <w:pPr>
              <w:ind w:left="20"/>
              <w:spacing w:after="0" w:line="258" w:lineRule="exact"/>
              <w:rPr>
                <w:sz w:val="20"/>
                <w:szCs w:val="20"/>
                <w:color w:val="auto"/>
              </w:rPr>
            </w:pPr>
            <w:r>
              <w:rPr>
                <w:rFonts w:ascii="Times New Roman" w:cs="Times New Roman" w:eastAsia="Times New Roman" w:hAnsi="Times New Roman"/>
                <w:sz w:val="24"/>
                <w:szCs w:val="24"/>
                <w:color w:val="auto"/>
              </w:rPr>
              <w:t>A   flat   charge   of   fifty</w:t>
            </w:r>
          </w:p>
        </w:tc>
        <w:tc>
          <w:tcPr>
            <w:tcW w:w="40" w:type="dxa"/>
            <w:vAlign w:val="bottom"/>
          </w:tcPr>
          <w:p>
            <w:pPr>
              <w:spacing w:after="0"/>
              <w:rPr>
                <w:sz w:val="22"/>
                <w:szCs w:val="22"/>
                <w:color w:val="auto"/>
              </w:rPr>
            </w:pPr>
          </w:p>
        </w:tc>
        <w:tc>
          <w:tcPr>
            <w:tcW w:w="2940" w:type="dxa"/>
            <w:vAlign w:val="bottom"/>
            <w:tcBorders>
              <w:right w:val="single" w:sz="8" w:color="auto"/>
            </w:tcBorders>
            <w:gridSpan w:val="4"/>
          </w:tcPr>
          <w:p>
            <w:pPr>
              <w:ind w:left="20"/>
              <w:spacing w:after="0" w:line="258" w:lineRule="exact"/>
              <w:rPr>
                <w:sz w:val="20"/>
                <w:szCs w:val="20"/>
                <w:color w:val="auto"/>
              </w:rPr>
            </w:pPr>
            <w:r>
              <w:rPr>
                <w:rFonts w:ascii="Times New Roman" w:cs="Times New Roman" w:eastAsia="Times New Roman" w:hAnsi="Times New Roman"/>
                <w:sz w:val="24"/>
                <w:szCs w:val="24"/>
                <w:color w:val="auto"/>
              </w:rPr>
              <w:t>A flat charge of twenty five</w:t>
            </w:r>
          </w:p>
        </w:tc>
        <w:tc>
          <w:tcPr>
            <w:tcW w:w="300" w:type="dxa"/>
            <w:vAlign w:val="bottom"/>
          </w:tcPr>
          <w:p>
            <w:pPr>
              <w:spacing w:after="0"/>
              <w:rPr>
                <w:sz w:val="22"/>
                <w:szCs w:val="22"/>
                <w:color w:val="auto"/>
              </w:rPr>
            </w:pPr>
          </w:p>
        </w:tc>
      </w:tr>
      <w:tr>
        <w:trPr>
          <w:trHeight w:val="317"/>
        </w:trPr>
        <w:tc>
          <w:tcPr>
            <w:tcW w:w="20" w:type="dxa"/>
            <w:vAlign w:val="bottom"/>
            <w:shd w:val="clear" w:color="auto" w:fill="000000"/>
          </w:tcPr>
          <w:p>
            <w:pPr>
              <w:spacing w:after="0"/>
              <w:rPr>
                <w:sz w:val="24"/>
                <w:szCs w:val="24"/>
                <w:color w:val="auto"/>
              </w:rPr>
            </w:pPr>
          </w:p>
        </w:tc>
        <w:tc>
          <w:tcPr>
            <w:tcW w:w="1860" w:type="dxa"/>
            <w:vAlign w:val="bottom"/>
            <w:gridSpan w:val="4"/>
          </w:tcPr>
          <w:p>
            <w:pPr>
              <w:ind w:left="40"/>
              <w:spacing w:after="0"/>
              <w:rPr>
                <w:sz w:val="20"/>
                <w:szCs w:val="20"/>
                <w:color w:val="auto"/>
              </w:rPr>
            </w:pPr>
            <w:r>
              <w:rPr>
                <w:rFonts w:ascii="Times New Roman" w:cs="Times New Roman" w:eastAsia="Times New Roman" w:hAnsi="Times New Roman"/>
                <w:sz w:val="24"/>
                <w:szCs w:val="24"/>
                <w:color w:val="auto"/>
              </w:rPr>
              <w:t>ten crore rupees.</w:t>
            </w:r>
          </w:p>
        </w:tc>
        <w:tc>
          <w:tcPr>
            <w:tcW w:w="560" w:type="dxa"/>
            <w:vAlign w:val="bottom"/>
            <w:tcBorders>
              <w:right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2800" w:type="dxa"/>
            <w:vAlign w:val="bottom"/>
            <w:tcBorders>
              <w:right w:val="single" w:sz="8" w:color="auto"/>
            </w:tcBorders>
            <w:gridSpan w:val="4"/>
          </w:tcPr>
          <w:p>
            <w:pPr>
              <w:ind w:left="20"/>
              <w:spacing w:after="0"/>
              <w:rPr>
                <w:sz w:val="20"/>
                <w:szCs w:val="20"/>
                <w:color w:val="auto"/>
              </w:rPr>
            </w:pPr>
            <w:r>
              <w:rPr>
                <w:rFonts w:ascii="Times New Roman" w:cs="Times New Roman" w:eastAsia="Times New Roman" w:hAnsi="Times New Roman"/>
                <w:sz w:val="24"/>
                <w:szCs w:val="24"/>
                <w:color w:val="auto"/>
              </w:rPr>
              <w:t>thousand rupees (50,000/-).</w:t>
            </w:r>
          </w:p>
        </w:tc>
        <w:tc>
          <w:tcPr>
            <w:tcW w:w="40" w:type="dxa"/>
            <w:vAlign w:val="bottom"/>
          </w:tcPr>
          <w:p>
            <w:pPr>
              <w:spacing w:after="0"/>
              <w:rPr>
                <w:sz w:val="24"/>
                <w:szCs w:val="24"/>
                <w:color w:val="auto"/>
              </w:rPr>
            </w:pPr>
          </w:p>
        </w:tc>
        <w:tc>
          <w:tcPr>
            <w:tcW w:w="2940" w:type="dxa"/>
            <w:vAlign w:val="bottom"/>
            <w:tcBorders>
              <w:right w:val="single" w:sz="8" w:color="auto"/>
            </w:tcBorders>
            <w:gridSpan w:val="4"/>
          </w:tcPr>
          <w:p>
            <w:pPr>
              <w:ind w:left="20"/>
              <w:spacing w:after="0"/>
              <w:rPr>
                <w:sz w:val="20"/>
                <w:szCs w:val="20"/>
                <w:color w:val="auto"/>
              </w:rPr>
            </w:pPr>
            <w:r>
              <w:rPr>
                <w:rFonts w:ascii="Times New Roman" w:cs="Times New Roman" w:eastAsia="Times New Roman" w:hAnsi="Times New Roman"/>
                <w:sz w:val="24"/>
                <w:szCs w:val="24"/>
                <w:color w:val="auto"/>
              </w:rPr>
              <w:t>thousand rupees (25,000/-).</w:t>
            </w:r>
          </w:p>
        </w:tc>
        <w:tc>
          <w:tcPr>
            <w:tcW w:w="300" w:type="dxa"/>
            <w:vAlign w:val="bottom"/>
          </w:tcPr>
          <w:p>
            <w:pPr>
              <w:spacing w:after="0"/>
              <w:rPr>
                <w:sz w:val="24"/>
                <w:szCs w:val="24"/>
                <w:color w:val="auto"/>
              </w:rPr>
            </w:pPr>
          </w:p>
        </w:tc>
      </w:tr>
      <w:tr>
        <w:trPr>
          <w:trHeight w:val="48"/>
        </w:trPr>
        <w:tc>
          <w:tcPr>
            <w:tcW w:w="20" w:type="dxa"/>
            <w:vAlign w:val="bottom"/>
            <w:tcBorders>
              <w:bottom w:val="single" w:sz="8" w:color="auto"/>
            </w:tcBorders>
            <w:shd w:val="clear" w:color="auto" w:fill="000000"/>
          </w:tcPr>
          <w:p>
            <w:pPr>
              <w:spacing w:after="0"/>
              <w:rPr>
                <w:sz w:val="4"/>
                <w:szCs w:val="4"/>
                <w:color w:val="auto"/>
              </w:rPr>
            </w:pPr>
          </w:p>
        </w:tc>
        <w:tc>
          <w:tcPr>
            <w:tcW w:w="2420" w:type="dxa"/>
            <w:vAlign w:val="bottom"/>
            <w:tcBorders>
              <w:bottom w:val="single" w:sz="8" w:color="auto"/>
              <w:right w:val="single" w:sz="8" w:color="auto"/>
            </w:tcBorders>
            <w:gridSpan w:val="5"/>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2800" w:type="dxa"/>
            <w:vAlign w:val="bottom"/>
            <w:tcBorders>
              <w:bottom w:val="single" w:sz="8" w:color="auto"/>
              <w:right w:val="single" w:sz="8" w:color="auto"/>
            </w:tcBorders>
            <w:gridSpan w:val="4"/>
          </w:tcPr>
          <w:p>
            <w:pPr>
              <w:spacing w:after="0"/>
              <w:rPr>
                <w:sz w:val="4"/>
                <w:szCs w:val="4"/>
                <w:color w:val="auto"/>
              </w:rPr>
            </w:pPr>
          </w:p>
        </w:tc>
        <w:tc>
          <w:tcPr>
            <w:tcW w:w="40" w:type="dxa"/>
            <w:vAlign w:val="bottom"/>
            <w:tcBorders>
              <w:bottom w:val="single" w:sz="8" w:color="auto"/>
            </w:tcBorders>
          </w:tcPr>
          <w:p>
            <w:pPr>
              <w:spacing w:after="0"/>
              <w:rPr>
                <w:sz w:val="4"/>
                <w:szCs w:val="4"/>
                <w:color w:val="auto"/>
              </w:rPr>
            </w:pPr>
          </w:p>
        </w:tc>
        <w:tc>
          <w:tcPr>
            <w:tcW w:w="2940" w:type="dxa"/>
            <w:vAlign w:val="bottom"/>
            <w:tcBorders>
              <w:bottom w:val="single" w:sz="8" w:color="auto"/>
              <w:right w:val="single" w:sz="8" w:color="auto"/>
            </w:tcBorders>
            <w:gridSpan w:val="4"/>
          </w:tcPr>
          <w:p>
            <w:pPr>
              <w:spacing w:after="0"/>
              <w:rPr>
                <w:sz w:val="4"/>
                <w:szCs w:val="4"/>
                <w:color w:val="auto"/>
              </w:rPr>
            </w:pPr>
          </w:p>
        </w:tc>
        <w:tc>
          <w:tcPr>
            <w:tcW w:w="300" w:type="dxa"/>
            <w:vAlign w:val="bottom"/>
          </w:tcPr>
          <w:p>
            <w:pPr>
              <w:spacing w:after="0"/>
              <w:rPr>
                <w:sz w:val="4"/>
                <w:szCs w:val="4"/>
                <w:color w:val="auto"/>
              </w:rPr>
            </w:pPr>
          </w:p>
        </w:tc>
      </w:tr>
      <w:tr>
        <w:trPr>
          <w:trHeight w:val="260"/>
        </w:trPr>
        <w:tc>
          <w:tcPr>
            <w:tcW w:w="20" w:type="dxa"/>
            <w:vAlign w:val="bottom"/>
            <w:shd w:val="clear" w:color="auto" w:fill="000000"/>
          </w:tcPr>
          <w:p>
            <w:pPr>
              <w:spacing w:after="0"/>
              <w:rPr>
                <w:sz w:val="22"/>
                <w:szCs w:val="22"/>
                <w:color w:val="auto"/>
              </w:rPr>
            </w:pPr>
          </w:p>
        </w:tc>
        <w:tc>
          <w:tcPr>
            <w:tcW w:w="2420" w:type="dxa"/>
            <w:vAlign w:val="bottom"/>
            <w:tcBorders>
              <w:right w:val="single" w:sz="8" w:color="auto"/>
            </w:tcBorders>
            <w:gridSpan w:val="5"/>
          </w:tcPr>
          <w:p>
            <w:pPr>
              <w:ind w:left="40"/>
              <w:spacing w:after="0" w:line="260" w:lineRule="exact"/>
              <w:rPr>
                <w:sz w:val="20"/>
                <w:szCs w:val="20"/>
                <w:color w:val="auto"/>
              </w:rPr>
            </w:pPr>
            <w:r>
              <w:rPr>
                <w:rFonts w:ascii="Times New Roman" w:cs="Times New Roman" w:eastAsia="Times New Roman" w:hAnsi="Times New Roman"/>
                <w:sz w:val="24"/>
                <w:szCs w:val="24"/>
                <w:color w:val="auto"/>
              </w:rPr>
              <w:t>More than ten crore</w:t>
            </w:r>
          </w:p>
        </w:tc>
        <w:tc>
          <w:tcPr>
            <w:tcW w:w="20" w:type="dxa"/>
            <w:vAlign w:val="bottom"/>
          </w:tcPr>
          <w:p>
            <w:pPr>
              <w:spacing w:after="0"/>
              <w:rPr>
                <w:sz w:val="22"/>
                <w:szCs w:val="22"/>
                <w:color w:val="auto"/>
              </w:rPr>
            </w:pPr>
          </w:p>
        </w:tc>
        <w:tc>
          <w:tcPr>
            <w:tcW w:w="2800" w:type="dxa"/>
            <w:vAlign w:val="bottom"/>
            <w:tcBorders>
              <w:right w:val="single" w:sz="8" w:color="auto"/>
            </w:tcBorders>
            <w:gridSpan w:val="4"/>
          </w:tcPr>
          <w:p>
            <w:pPr>
              <w:ind w:left="20"/>
              <w:spacing w:after="0" w:line="260" w:lineRule="exact"/>
              <w:rPr>
                <w:sz w:val="20"/>
                <w:szCs w:val="20"/>
                <w:color w:val="auto"/>
              </w:rPr>
            </w:pPr>
            <w:r>
              <w:rPr>
                <w:rFonts w:ascii="Times New Roman" w:cs="Times New Roman" w:eastAsia="Times New Roman" w:hAnsi="Times New Roman"/>
                <w:sz w:val="24"/>
                <w:szCs w:val="24"/>
                <w:color w:val="auto"/>
              </w:rPr>
              <w:t>0.05 per cent. of the issue</w:t>
            </w:r>
          </w:p>
        </w:tc>
        <w:tc>
          <w:tcPr>
            <w:tcW w:w="40" w:type="dxa"/>
            <w:vAlign w:val="bottom"/>
          </w:tcPr>
          <w:p>
            <w:pPr>
              <w:spacing w:after="0"/>
              <w:rPr>
                <w:sz w:val="22"/>
                <w:szCs w:val="22"/>
                <w:color w:val="auto"/>
              </w:rPr>
            </w:pPr>
          </w:p>
        </w:tc>
        <w:tc>
          <w:tcPr>
            <w:tcW w:w="2940" w:type="dxa"/>
            <w:vAlign w:val="bottom"/>
            <w:tcBorders>
              <w:right w:val="single" w:sz="8" w:color="auto"/>
            </w:tcBorders>
            <w:gridSpan w:val="4"/>
          </w:tcPr>
          <w:p>
            <w:pPr>
              <w:ind w:left="20"/>
              <w:spacing w:after="0" w:line="260" w:lineRule="exact"/>
              <w:rPr>
                <w:sz w:val="20"/>
                <w:szCs w:val="20"/>
                <w:color w:val="auto"/>
              </w:rPr>
            </w:pPr>
            <w:r>
              <w:rPr>
                <w:rFonts w:ascii="Times New Roman" w:cs="Times New Roman" w:eastAsia="Times New Roman" w:hAnsi="Times New Roman"/>
                <w:sz w:val="24"/>
                <w:szCs w:val="24"/>
                <w:color w:val="auto"/>
              </w:rPr>
              <w:t>0.025  per  cent  of  the  issue</w:t>
            </w:r>
          </w:p>
        </w:tc>
        <w:tc>
          <w:tcPr>
            <w:tcW w:w="300" w:type="dxa"/>
            <w:vAlign w:val="bottom"/>
          </w:tcPr>
          <w:p>
            <w:pPr>
              <w:spacing w:after="0"/>
              <w:rPr>
                <w:sz w:val="22"/>
                <w:szCs w:val="22"/>
                <w:color w:val="auto"/>
              </w:rPr>
            </w:pPr>
          </w:p>
        </w:tc>
      </w:tr>
      <w:tr>
        <w:trPr>
          <w:trHeight w:val="317"/>
        </w:trPr>
        <w:tc>
          <w:tcPr>
            <w:tcW w:w="20" w:type="dxa"/>
            <w:vAlign w:val="bottom"/>
            <w:shd w:val="clear" w:color="auto" w:fill="000000"/>
          </w:tcPr>
          <w:p>
            <w:pPr>
              <w:spacing w:after="0"/>
              <w:rPr>
                <w:sz w:val="24"/>
                <w:szCs w:val="24"/>
                <w:color w:val="auto"/>
              </w:rPr>
            </w:pPr>
          </w:p>
        </w:tc>
        <w:tc>
          <w:tcPr>
            <w:tcW w:w="2420" w:type="dxa"/>
            <w:vAlign w:val="bottom"/>
            <w:tcBorders>
              <w:right w:val="single" w:sz="8" w:color="auto"/>
            </w:tcBorders>
            <w:gridSpan w:val="5"/>
          </w:tcPr>
          <w:p>
            <w:pPr>
              <w:ind w:left="40"/>
              <w:spacing w:after="0"/>
              <w:rPr>
                <w:sz w:val="20"/>
                <w:szCs w:val="20"/>
                <w:color w:val="auto"/>
              </w:rPr>
            </w:pPr>
            <w:r>
              <w:rPr>
                <w:rFonts w:ascii="Times New Roman" w:cs="Times New Roman" w:eastAsia="Times New Roman" w:hAnsi="Times New Roman"/>
                <w:sz w:val="24"/>
                <w:szCs w:val="24"/>
                <w:color w:val="auto"/>
              </w:rPr>
              <w:t>rupees, but less than or</w:t>
            </w:r>
          </w:p>
        </w:tc>
        <w:tc>
          <w:tcPr>
            <w:tcW w:w="20" w:type="dxa"/>
            <w:vAlign w:val="bottom"/>
          </w:tcPr>
          <w:p>
            <w:pPr>
              <w:spacing w:after="0"/>
              <w:rPr>
                <w:sz w:val="24"/>
                <w:szCs w:val="24"/>
                <w:color w:val="auto"/>
              </w:rPr>
            </w:pPr>
          </w:p>
        </w:tc>
        <w:tc>
          <w:tcPr>
            <w:tcW w:w="900" w:type="dxa"/>
            <w:vAlign w:val="bottom"/>
            <w:gridSpan w:val="2"/>
          </w:tcPr>
          <w:p>
            <w:pPr>
              <w:ind w:left="20"/>
              <w:spacing w:after="0"/>
              <w:rPr>
                <w:sz w:val="20"/>
                <w:szCs w:val="20"/>
                <w:color w:val="auto"/>
              </w:rPr>
            </w:pPr>
            <w:r>
              <w:rPr>
                <w:rFonts w:ascii="Times New Roman" w:cs="Times New Roman" w:eastAsia="Times New Roman" w:hAnsi="Times New Roman"/>
                <w:sz w:val="24"/>
                <w:szCs w:val="24"/>
                <w:color w:val="auto"/>
              </w:rPr>
              <w:t>size.</w:t>
            </w:r>
          </w:p>
        </w:tc>
        <w:tc>
          <w:tcPr>
            <w:tcW w:w="1300" w:type="dxa"/>
            <w:vAlign w:val="bottom"/>
          </w:tcPr>
          <w:p>
            <w:pPr>
              <w:spacing w:after="0"/>
              <w:rPr>
                <w:sz w:val="24"/>
                <w:szCs w:val="24"/>
                <w:color w:val="auto"/>
              </w:rPr>
            </w:pPr>
          </w:p>
        </w:tc>
        <w:tc>
          <w:tcPr>
            <w:tcW w:w="600" w:type="dxa"/>
            <w:vAlign w:val="bottom"/>
            <w:tcBorders>
              <w:right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1320" w:type="dxa"/>
            <w:vAlign w:val="bottom"/>
            <w:gridSpan w:val="2"/>
          </w:tcPr>
          <w:p>
            <w:pPr>
              <w:ind w:left="20"/>
              <w:spacing w:after="0"/>
              <w:rPr>
                <w:sz w:val="20"/>
                <w:szCs w:val="20"/>
                <w:color w:val="auto"/>
              </w:rPr>
            </w:pPr>
            <w:r>
              <w:rPr>
                <w:rFonts w:ascii="Times New Roman" w:cs="Times New Roman" w:eastAsia="Times New Roman" w:hAnsi="Times New Roman"/>
                <w:sz w:val="24"/>
                <w:szCs w:val="24"/>
                <w:color w:val="auto"/>
              </w:rPr>
              <w:t>size.</w:t>
            </w:r>
          </w:p>
        </w:tc>
        <w:tc>
          <w:tcPr>
            <w:tcW w:w="1100" w:type="dxa"/>
            <w:vAlign w:val="bottom"/>
          </w:tcPr>
          <w:p>
            <w:pPr>
              <w:spacing w:after="0"/>
              <w:rPr>
                <w:sz w:val="24"/>
                <w:szCs w:val="24"/>
                <w:color w:val="auto"/>
              </w:rPr>
            </w:pPr>
          </w:p>
        </w:tc>
        <w:tc>
          <w:tcPr>
            <w:tcW w:w="520" w:type="dxa"/>
            <w:vAlign w:val="bottom"/>
            <w:tcBorders>
              <w:right w:val="single" w:sz="8" w:color="auto"/>
            </w:tcBorders>
          </w:tcPr>
          <w:p>
            <w:pPr>
              <w:spacing w:after="0"/>
              <w:rPr>
                <w:sz w:val="24"/>
                <w:szCs w:val="24"/>
                <w:color w:val="auto"/>
              </w:rPr>
            </w:pPr>
          </w:p>
        </w:tc>
        <w:tc>
          <w:tcPr>
            <w:tcW w:w="300" w:type="dxa"/>
            <w:vAlign w:val="bottom"/>
          </w:tcPr>
          <w:p>
            <w:pPr>
              <w:spacing w:after="0"/>
              <w:rPr>
                <w:sz w:val="24"/>
                <w:szCs w:val="24"/>
                <w:color w:val="auto"/>
              </w:rPr>
            </w:pPr>
          </w:p>
        </w:tc>
      </w:tr>
      <w:tr>
        <w:trPr>
          <w:trHeight w:val="317"/>
        </w:trPr>
        <w:tc>
          <w:tcPr>
            <w:tcW w:w="20" w:type="dxa"/>
            <w:vAlign w:val="bottom"/>
            <w:shd w:val="clear" w:color="auto" w:fill="000000"/>
          </w:tcPr>
          <w:p>
            <w:pPr>
              <w:spacing w:after="0"/>
              <w:rPr>
                <w:sz w:val="24"/>
                <w:szCs w:val="24"/>
                <w:color w:val="auto"/>
              </w:rPr>
            </w:pPr>
          </w:p>
        </w:tc>
        <w:tc>
          <w:tcPr>
            <w:tcW w:w="2420" w:type="dxa"/>
            <w:vAlign w:val="bottom"/>
            <w:tcBorders>
              <w:right w:val="single" w:sz="8" w:color="auto"/>
            </w:tcBorders>
            <w:gridSpan w:val="5"/>
          </w:tcPr>
          <w:p>
            <w:pPr>
              <w:ind w:left="40"/>
              <w:spacing w:after="0"/>
              <w:rPr>
                <w:sz w:val="20"/>
                <w:szCs w:val="20"/>
                <w:color w:val="auto"/>
              </w:rPr>
            </w:pPr>
            <w:r>
              <w:rPr>
                <w:rFonts w:ascii="Times New Roman" w:cs="Times New Roman" w:eastAsia="Times New Roman" w:hAnsi="Times New Roman"/>
                <w:sz w:val="24"/>
                <w:szCs w:val="24"/>
                <w:color w:val="auto"/>
              </w:rPr>
              <w:t>equal to five thousand</w:t>
            </w:r>
          </w:p>
        </w:tc>
        <w:tc>
          <w:tcPr>
            <w:tcW w:w="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300" w:type="dxa"/>
            <w:vAlign w:val="bottom"/>
          </w:tcPr>
          <w:p>
            <w:pPr>
              <w:spacing w:after="0"/>
              <w:rPr>
                <w:sz w:val="24"/>
                <w:szCs w:val="24"/>
                <w:color w:val="auto"/>
              </w:rPr>
            </w:pPr>
          </w:p>
        </w:tc>
        <w:tc>
          <w:tcPr>
            <w:tcW w:w="600" w:type="dxa"/>
            <w:vAlign w:val="bottom"/>
            <w:tcBorders>
              <w:right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520" w:type="dxa"/>
            <w:vAlign w:val="bottom"/>
            <w:tcBorders>
              <w:right w:val="single" w:sz="8" w:color="auto"/>
            </w:tcBorders>
          </w:tcPr>
          <w:p>
            <w:pPr>
              <w:spacing w:after="0"/>
              <w:rPr>
                <w:sz w:val="24"/>
                <w:szCs w:val="24"/>
                <w:color w:val="auto"/>
              </w:rPr>
            </w:pPr>
          </w:p>
        </w:tc>
        <w:tc>
          <w:tcPr>
            <w:tcW w:w="300" w:type="dxa"/>
            <w:vAlign w:val="bottom"/>
          </w:tcPr>
          <w:p>
            <w:pPr>
              <w:spacing w:after="0"/>
              <w:rPr>
                <w:sz w:val="24"/>
                <w:szCs w:val="24"/>
                <w:color w:val="auto"/>
              </w:rPr>
            </w:pPr>
          </w:p>
        </w:tc>
      </w:tr>
      <w:tr>
        <w:trPr>
          <w:trHeight w:val="317"/>
        </w:trPr>
        <w:tc>
          <w:tcPr>
            <w:tcW w:w="20" w:type="dxa"/>
            <w:vAlign w:val="bottom"/>
            <w:shd w:val="clear" w:color="auto" w:fill="000000"/>
          </w:tcPr>
          <w:p>
            <w:pPr>
              <w:spacing w:after="0"/>
              <w:rPr>
                <w:sz w:val="24"/>
                <w:szCs w:val="24"/>
                <w:color w:val="auto"/>
              </w:rPr>
            </w:pPr>
          </w:p>
        </w:tc>
        <w:tc>
          <w:tcPr>
            <w:tcW w:w="1440" w:type="dxa"/>
            <w:vAlign w:val="bottom"/>
            <w:gridSpan w:val="3"/>
          </w:tcPr>
          <w:p>
            <w:pPr>
              <w:ind w:left="40"/>
              <w:spacing w:after="0"/>
              <w:rPr>
                <w:sz w:val="20"/>
                <w:szCs w:val="20"/>
                <w:color w:val="auto"/>
              </w:rPr>
            </w:pPr>
            <w:r>
              <w:rPr>
                <w:rFonts w:ascii="Times New Roman" w:cs="Times New Roman" w:eastAsia="Times New Roman" w:hAnsi="Times New Roman"/>
                <w:sz w:val="24"/>
                <w:szCs w:val="24"/>
                <w:color w:val="auto"/>
              </w:rPr>
              <w:t>crore rupees.</w:t>
            </w:r>
          </w:p>
        </w:tc>
        <w:tc>
          <w:tcPr>
            <w:tcW w:w="420" w:type="dxa"/>
            <w:vAlign w:val="bottom"/>
          </w:tcPr>
          <w:p>
            <w:pPr>
              <w:spacing w:after="0"/>
              <w:rPr>
                <w:sz w:val="24"/>
                <w:szCs w:val="24"/>
                <w:color w:val="auto"/>
              </w:rPr>
            </w:pPr>
          </w:p>
        </w:tc>
        <w:tc>
          <w:tcPr>
            <w:tcW w:w="560" w:type="dxa"/>
            <w:vAlign w:val="bottom"/>
            <w:tcBorders>
              <w:right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300" w:type="dxa"/>
            <w:vAlign w:val="bottom"/>
          </w:tcPr>
          <w:p>
            <w:pPr>
              <w:spacing w:after="0"/>
              <w:rPr>
                <w:sz w:val="24"/>
                <w:szCs w:val="24"/>
                <w:color w:val="auto"/>
              </w:rPr>
            </w:pPr>
          </w:p>
        </w:tc>
        <w:tc>
          <w:tcPr>
            <w:tcW w:w="600" w:type="dxa"/>
            <w:vAlign w:val="bottom"/>
            <w:tcBorders>
              <w:right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520" w:type="dxa"/>
            <w:vAlign w:val="bottom"/>
            <w:tcBorders>
              <w:right w:val="single" w:sz="8" w:color="auto"/>
            </w:tcBorders>
          </w:tcPr>
          <w:p>
            <w:pPr>
              <w:spacing w:after="0"/>
              <w:rPr>
                <w:sz w:val="24"/>
                <w:szCs w:val="24"/>
                <w:color w:val="auto"/>
              </w:rPr>
            </w:pPr>
          </w:p>
        </w:tc>
        <w:tc>
          <w:tcPr>
            <w:tcW w:w="300" w:type="dxa"/>
            <w:vAlign w:val="bottom"/>
          </w:tcPr>
          <w:p>
            <w:pPr>
              <w:spacing w:after="0"/>
              <w:rPr>
                <w:sz w:val="24"/>
                <w:szCs w:val="24"/>
                <w:color w:val="auto"/>
              </w:rPr>
            </w:pPr>
          </w:p>
        </w:tc>
      </w:tr>
      <w:tr>
        <w:trPr>
          <w:trHeight w:val="48"/>
        </w:trPr>
        <w:tc>
          <w:tcPr>
            <w:tcW w:w="20" w:type="dxa"/>
            <w:vAlign w:val="bottom"/>
            <w:tcBorders>
              <w:bottom w:val="single" w:sz="8" w:color="auto"/>
            </w:tcBorders>
            <w:shd w:val="clear" w:color="auto" w:fill="000000"/>
          </w:tcPr>
          <w:p>
            <w:pPr>
              <w:spacing w:after="0"/>
              <w:rPr>
                <w:sz w:val="4"/>
                <w:szCs w:val="4"/>
                <w:color w:val="auto"/>
              </w:rPr>
            </w:pPr>
          </w:p>
        </w:tc>
        <w:tc>
          <w:tcPr>
            <w:tcW w:w="1860" w:type="dxa"/>
            <w:vAlign w:val="bottom"/>
            <w:tcBorders>
              <w:bottom w:val="single" w:sz="8" w:color="auto"/>
            </w:tcBorders>
            <w:gridSpan w:val="4"/>
          </w:tcPr>
          <w:p>
            <w:pPr>
              <w:spacing w:after="0"/>
              <w:rPr>
                <w:sz w:val="4"/>
                <w:szCs w:val="4"/>
                <w:color w:val="auto"/>
              </w:rPr>
            </w:pPr>
          </w:p>
        </w:tc>
        <w:tc>
          <w:tcPr>
            <w:tcW w:w="560" w:type="dxa"/>
            <w:vAlign w:val="bottom"/>
            <w:tcBorders>
              <w:bottom w:val="single" w:sz="8" w:color="auto"/>
              <w:right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2800" w:type="dxa"/>
            <w:vAlign w:val="bottom"/>
            <w:tcBorders>
              <w:bottom w:val="single" w:sz="8" w:color="auto"/>
              <w:right w:val="single" w:sz="8" w:color="auto"/>
            </w:tcBorders>
            <w:gridSpan w:val="4"/>
          </w:tcPr>
          <w:p>
            <w:pPr>
              <w:spacing w:after="0"/>
              <w:rPr>
                <w:sz w:val="4"/>
                <w:szCs w:val="4"/>
                <w:color w:val="auto"/>
              </w:rPr>
            </w:pPr>
          </w:p>
        </w:tc>
        <w:tc>
          <w:tcPr>
            <w:tcW w:w="40" w:type="dxa"/>
            <w:vAlign w:val="bottom"/>
            <w:tcBorders>
              <w:bottom w:val="single" w:sz="8" w:color="auto"/>
            </w:tcBorders>
          </w:tcPr>
          <w:p>
            <w:pPr>
              <w:spacing w:after="0"/>
              <w:rPr>
                <w:sz w:val="4"/>
                <w:szCs w:val="4"/>
                <w:color w:val="auto"/>
              </w:rPr>
            </w:pPr>
          </w:p>
        </w:tc>
        <w:tc>
          <w:tcPr>
            <w:tcW w:w="2940" w:type="dxa"/>
            <w:vAlign w:val="bottom"/>
            <w:tcBorders>
              <w:bottom w:val="single" w:sz="8" w:color="auto"/>
              <w:right w:val="single" w:sz="8" w:color="auto"/>
            </w:tcBorders>
            <w:gridSpan w:val="4"/>
          </w:tcPr>
          <w:p>
            <w:pPr>
              <w:spacing w:after="0"/>
              <w:rPr>
                <w:sz w:val="4"/>
                <w:szCs w:val="4"/>
                <w:color w:val="auto"/>
              </w:rPr>
            </w:pPr>
          </w:p>
        </w:tc>
        <w:tc>
          <w:tcPr>
            <w:tcW w:w="300" w:type="dxa"/>
            <w:vAlign w:val="bottom"/>
          </w:tcPr>
          <w:p>
            <w:pPr>
              <w:spacing w:after="0"/>
              <w:rPr>
                <w:sz w:val="4"/>
                <w:szCs w:val="4"/>
                <w:color w:val="auto"/>
              </w:rPr>
            </w:pPr>
          </w:p>
        </w:tc>
      </w:tr>
      <w:tr>
        <w:trPr>
          <w:trHeight w:val="260"/>
        </w:trPr>
        <w:tc>
          <w:tcPr>
            <w:tcW w:w="20" w:type="dxa"/>
            <w:vAlign w:val="bottom"/>
            <w:shd w:val="clear" w:color="auto" w:fill="000000"/>
          </w:tcPr>
          <w:p>
            <w:pPr>
              <w:spacing w:after="0"/>
              <w:rPr>
                <w:sz w:val="22"/>
                <w:szCs w:val="22"/>
                <w:color w:val="auto"/>
              </w:rPr>
            </w:pPr>
          </w:p>
        </w:tc>
        <w:tc>
          <w:tcPr>
            <w:tcW w:w="1860" w:type="dxa"/>
            <w:vAlign w:val="bottom"/>
            <w:gridSpan w:val="4"/>
          </w:tcPr>
          <w:p>
            <w:pPr>
              <w:ind w:left="40"/>
              <w:spacing w:after="0" w:line="260" w:lineRule="exact"/>
              <w:rPr>
                <w:sz w:val="20"/>
                <w:szCs w:val="20"/>
                <w:color w:val="auto"/>
              </w:rPr>
            </w:pPr>
            <w:r>
              <w:rPr>
                <w:rFonts w:ascii="Times New Roman" w:cs="Times New Roman" w:eastAsia="Times New Roman" w:hAnsi="Times New Roman"/>
                <w:sz w:val="24"/>
                <w:szCs w:val="24"/>
                <w:color w:val="auto"/>
              </w:rPr>
              <w:t>More than five</w:t>
            </w:r>
          </w:p>
        </w:tc>
        <w:tc>
          <w:tcPr>
            <w:tcW w:w="560" w:type="dxa"/>
            <w:vAlign w:val="bottom"/>
            <w:tcBorders>
              <w:right w:val="single" w:sz="8" w:color="auto"/>
            </w:tcBorders>
          </w:tcPr>
          <w:p>
            <w:pPr>
              <w:spacing w:after="0"/>
              <w:rPr>
                <w:sz w:val="22"/>
                <w:szCs w:val="22"/>
                <w:color w:val="auto"/>
              </w:rPr>
            </w:pPr>
          </w:p>
        </w:tc>
        <w:tc>
          <w:tcPr>
            <w:tcW w:w="20" w:type="dxa"/>
            <w:vAlign w:val="bottom"/>
          </w:tcPr>
          <w:p>
            <w:pPr>
              <w:spacing w:after="0"/>
              <w:rPr>
                <w:sz w:val="22"/>
                <w:szCs w:val="22"/>
                <w:color w:val="auto"/>
              </w:rPr>
            </w:pPr>
          </w:p>
        </w:tc>
        <w:tc>
          <w:tcPr>
            <w:tcW w:w="2800" w:type="dxa"/>
            <w:vAlign w:val="bottom"/>
            <w:tcBorders>
              <w:right w:val="single" w:sz="8" w:color="auto"/>
            </w:tcBorders>
            <w:gridSpan w:val="4"/>
          </w:tcPr>
          <w:p>
            <w:pPr>
              <w:ind w:left="20"/>
              <w:spacing w:after="0" w:line="260" w:lineRule="exact"/>
              <w:rPr>
                <w:sz w:val="20"/>
                <w:szCs w:val="20"/>
                <w:color w:val="auto"/>
              </w:rPr>
            </w:pPr>
            <w:r>
              <w:rPr>
                <w:rFonts w:ascii="Times New Roman" w:cs="Times New Roman" w:eastAsia="Times New Roman" w:hAnsi="Times New Roman"/>
                <w:sz w:val="24"/>
                <w:szCs w:val="24"/>
                <w:color w:val="auto"/>
              </w:rPr>
              <w:t>Two crore fifty lakh rupees</w:t>
            </w:r>
          </w:p>
        </w:tc>
        <w:tc>
          <w:tcPr>
            <w:tcW w:w="40" w:type="dxa"/>
            <w:vAlign w:val="bottom"/>
          </w:tcPr>
          <w:p>
            <w:pPr>
              <w:spacing w:after="0"/>
              <w:rPr>
                <w:sz w:val="22"/>
                <w:szCs w:val="22"/>
                <w:color w:val="auto"/>
              </w:rPr>
            </w:pPr>
          </w:p>
        </w:tc>
        <w:tc>
          <w:tcPr>
            <w:tcW w:w="2940" w:type="dxa"/>
            <w:vAlign w:val="bottom"/>
            <w:tcBorders>
              <w:right w:val="single" w:sz="8" w:color="auto"/>
            </w:tcBorders>
            <w:gridSpan w:val="4"/>
          </w:tcPr>
          <w:p>
            <w:pPr>
              <w:ind w:left="20"/>
              <w:spacing w:after="0" w:line="260" w:lineRule="exact"/>
              <w:rPr>
                <w:sz w:val="20"/>
                <w:szCs w:val="20"/>
                <w:color w:val="auto"/>
              </w:rPr>
            </w:pPr>
            <w:r>
              <w:rPr>
                <w:rFonts w:ascii="Times New Roman" w:cs="Times New Roman" w:eastAsia="Times New Roman" w:hAnsi="Times New Roman"/>
                <w:sz w:val="24"/>
                <w:szCs w:val="24"/>
                <w:color w:val="auto"/>
              </w:rPr>
              <w:t>One  crore  twenty  five  lakh</w:t>
            </w:r>
          </w:p>
        </w:tc>
        <w:tc>
          <w:tcPr>
            <w:tcW w:w="300" w:type="dxa"/>
            <w:vAlign w:val="bottom"/>
          </w:tcPr>
          <w:p>
            <w:pPr>
              <w:spacing w:after="0"/>
              <w:rPr>
                <w:sz w:val="22"/>
                <w:szCs w:val="22"/>
                <w:color w:val="auto"/>
              </w:rPr>
            </w:pPr>
          </w:p>
        </w:tc>
      </w:tr>
      <w:tr>
        <w:trPr>
          <w:trHeight w:val="317"/>
        </w:trPr>
        <w:tc>
          <w:tcPr>
            <w:tcW w:w="20" w:type="dxa"/>
            <w:vAlign w:val="bottom"/>
            <w:shd w:val="clear" w:color="auto" w:fill="000000"/>
          </w:tcPr>
          <w:p>
            <w:pPr>
              <w:spacing w:after="0"/>
              <w:rPr>
                <w:sz w:val="24"/>
                <w:szCs w:val="24"/>
                <w:color w:val="auto"/>
              </w:rPr>
            </w:pPr>
          </w:p>
        </w:tc>
        <w:tc>
          <w:tcPr>
            <w:tcW w:w="2420" w:type="dxa"/>
            <w:vAlign w:val="bottom"/>
            <w:tcBorders>
              <w:right w:val="single" w:sz="8" w:color="auto"/>
            </w:tcBorders>
            <w:gridSpan w:val="5"/>
          </w:tcPr>
          <w:p>
            <w:pPr>
              <w:ind w:left="40"/>
              <w:spacing w:after="0"/>
              <w:rPr>
                <w:sz w:val="20"/>
                <w:szCs w:val="20"/>
                <w:color w:val="auto"/>
              </w:rPr>
            </w:pPr>
            <w:r>
              <w:rPr>
                <w:rFonts w:ascii="Times New Roman" w:cs="Times New Roman" w:eastAsia="Times New Roman" w:hAnsi="Times New Roman"/>
                <w:sz w:val="24"/>
                <w:szCs w:val="24"/>
                <w:color w:val="auto"/>
              </w:rPr>
              <w:t>thousand crore rupees.</w:t>
            </w:r>
          </w:p>
        </w:tc>
        <w:tc>
          <w:tcPr>
            <w:tcW w:w="20" w:type="dxa"/>
            <w:vAlign w:val="bottom"/>
          </w:tcPr>
          <w:p>
            <w:pPr>
              <w:spacing w:after="0"/>
              <w:rPr>
                <w:sz w:val="24"/>
                <w:szCs w:val="24"/>
                <w:color w:val="auto"/>
              </w:rPr>
            </w:pPr>
          </w:p>
        </w:tc>
        <w:tc>
          <w:tcPr>
            <w:tcW w:w="2800" w:type="dxa"/>
            <w:vAlign w:val="bottom"/>
            <w:tcBorders>
              <w:right w:val="single" w:sz="8" w:color="auto"/>
            </w:tcBorders>
            <w:gridSpan w:val="4"/>
          </w:tcPr>
          <w:p>
            <w:pPr>
              <w:ind w:left="20"/>
              <w:spacing w:after="0"/>
              <w:rPr>
                <w:sz w:val="20"/>
                <w:szCs w:val="20"/>
                <w:color w:val="auto"/>
              </w:rPr>
            </w:pPr>
            <w:r>
              <w:rPr>
                <w:rFonts w:ascii="Times New Roman" w:cs="Times New Roman" w:eastAsia="Times New Roman" w:hAnsi="Times New Roman"/>
                <w:sz w:val="24"/>
                <w:szCs w:val="24"/>
                <w:color w:val="auto"/>
              </w:rPr>
              <w:t>(2,50,00,000/-) plus 0.0125</w:t>
            </w:r>
          </w:p>
        </w:tc>
        <w:tc>
          <w:tcPr>
            <w:tcW w:w="40" w:type="dxa"/>
            <w:vAlign w:val="bottom"/>
          </w:tcPr>
          <w:p>
            <w:pPr>
              <w:spacing w:after="0"/>
              <w:rPr>
                <w:sz w:val="24"/>
                <w:szCs w:val="24"/>
                <w:color w:val="auto"/>
              </w:rPr>
            </w:pPr>
          </w:p>
        </w:tc>
        <w:tc>
          <w:tcPr>
            <w:tcW w:w="2940" w:type="dxa"/>
            <w:vAlign w:val="bottom"/>
            <w:tcBorders>
              <w:right w:val="single" w:sz="8" w:color="auto"/>
            </w:tcBorders>
            <w:gridSpan w:val="4"/>
          </w:tcPr>
          <w:p>
            <w:pPr>
              <w:ind w:left="20"/>
              <w:spacing w:after="0"/>
              <w:rPr>
                <w:sz w:val="20"/>
                <w:szCs w:val="20"/>
                <w:color w:val="auto"/>
              </w:rPr>
            </w:pPr>
            <w:r>
              <w:rPr>
                <w:rFonts w:ascii="Times New Roman" w:cs="Times New Roman" w:eastAsia="Times New Roman" w:hAnsi="Times New Roman"/>
                <w:sz w:val="24"/>
                <w:szCs w:val="24"/>
                <w:color w:val="auto"/>
              </w:rPr>
              <w:t>rupees  (1,25,,00,000/-)  plus</w:t>
            </w:r>
          </w:p>
        </w:tc>
        <w:tc>
          <w:tcPr>
            <w:tcW w:w="300" w:type="dxa"/>
            <w:vAlign w:val="bottom"/>
          </w:tcPr>
          <w:p>
            <w:pPr>
              <w:spacing w:after="0"/>
              <w:rPr>
                <w:sz w:val="24"/>
                <w:szCs w:val="24"/>
                <w:color w:val="auto"/>
              </w:rPr>
            </w:pPr>
          </w:p>
        </w:tc>
      </w:tr>
      <w:tr>
        <w:trPr>
          <w:trHeight w:val="317"/>
        </w:trPr>
        <w:tc>
          <w:tcPr>
            <w:tcW w:w="20" w:type="dxa"/>
            <w:vAlign w:val="bottom"/>
            <w:shd w:val="clear" w:color="auto" w:fill="000000"/>
          </w:tcPr>
          <w:p>
            <w:pPr>
              <w:spacing w:after="0"/>
              <w:rPr>
                <w:sz w:val="24"/>
                <w:szCs w:val="24"/>
                <w:color w:val="auto"/>
              </w:rPr>
            </w:pPr>
          </w:p>
        </w:tc>
        <w:tc>
          <w:tcPr>
            <w:tcW w:w="70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560" w:type="dxa"/>
            <w:vAlign w:val="bottom"/>
            <w:tcBorders>
              <w:right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2800" w:type="dxa"/>
            <w:vAlign w:val="bottom"/>
            <w:tcBorders>
              <w:right w:val="single" w:sz="8" w:color="auto"/>
            </w:tcBorders>
            <w:gridSpan w:val="4"/>
          </w:tcPr>
          <w:p>
            <w:pPr>
              <w:ind w:left="20"/>
              <w:spacing w:after="0"/>
              <w:rPr>
                <w:sz w:val="20"/>
                <w:szCs w:val="20"/>
                <w:color w:val="auto"/>
              </w:rPr>
            </w:pPr>
            <w:r>
              <w:rPr>
                <w:rFonts w:ascii="Times New Roman" w:cs="Times New Roman" w:eastAsia="Times New Roman" w:hAnsi="Times New Roman"/>
                <w:sz w:val="24"/>
                <w:szCs w:val="24"/>
                <w:color w:val="auto"/>
              </w:rPr>
              <w:t>per cent. of the portion of</w:t>
            </w:r>
          </w:p>
        </w:tc>
        <w:tc>
          <w:tcPr>
            <w:tcW w:w="40" w:type="dxa"/>
            <w:vAlign w:val="bottom"/>
          </w:tcPr>
          <w:p>
            <w:pPr>
              <w:spacing w:after="0"/>
              <w:rPr>
                <w:sz w:val="24"/>
                <w:szCs w:val="24"/>
                <w:color w:val="auto"/>
              </w:rPr>
            </w:pPr>
          </w:p>
        </w:tc>
        <w:tc>
          <w:tcPr>
            <w:tcW w:w="2940" w:type="dxa"/>
            <w:vAlign w:val="bottom"/>
            <w:tcBorders>
              <w:right w:val="single" w:sz="8" w:color="auto"/>
            </w:tcBorders>
            <w:gridSpan w:val="4"/>
          </w:tcPr>
          <w:p>
            <w:pPr>
              <w:ind w:left="20"/>
              <w:spacing w:after="0"/>
              <w:rPr>
                <w:sz w:val="20"/>
                <w:szCs w:val="20"/>
                <w:color w:val="auto"/>
              </w:rPr>
            </w:pPr>
            <w:r>
              <w:rPr>
                <w:rFonts w:ascii="Times New Roman" w:cs="Times New Roman" w:eastAsia="Times New Roman" w:hAnsi="Times New Roman"/>
                <w:sz w:val="24"/>
                <w:szCs w:val="24"/>
                <w:color w:val="auto"/>
              </w:rPr>
              <w:t>0.00625  per  cent.  of  the</w:t>
            </w:r>
          </w:p>
        </w:tc>
        <w:tc>
          <w:tcPr>
            <w:tcW w:w="300" w:type="dxa"/>
            <w:vAlign w:val="bottom"/>
          </w:tcPr>
          <w:p>
            <w:pPr>
              <w:spacing w:after="0"/>
              <w:rPr>
                <w:sz w:val="24"/>
                <w:szCs w:val="24"/>
                <w:color w:val="auto"/>
              </w:rPr>
            </w:pPr>
          </w:p>
        </w:tc>
      </w:tr>
      <w:tr>
        <w:trPr>
          <w:trHeight w:val="317"/>
        </w:trPr>
        <w:tc>
          <w:tcPr>
            <w:tcW w:w="20" w:type="dxa"/>
            <w:vAlign w:val="bottom"/>
            <w:shd w:val="clear" w:color="auto" w:fill="000000"/>
          </w:tcPr>
          <w:p>
            <w:pPr>
              <w:spacing w:after="0"/>
              <w:rPr>
                <w:sz w:val="24"/>
                <w:szCs w:val="24"/>
                <w:color w:val="auto"/>
              </w:rPr>
            </w:pPr>
          </w:p>
        </w:tc>
        <w:tc>
          <w:tcPr>
            <w:tcW w:w="70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560" w:type="dxa"/>
            <w:vAlign w:val="bottom"/>
            <w:tcBorders>
              <w:right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2800" w:type="dxa"/>
            <w:vAlign w:val="bottom"/>
            <w:tcBorders>
              <w:right w:val="single" w:sz="8" w:color="auto"/>
            </w:tcBorders>
            <w:gridSpan w:val="4"/>
          </w:tcPr>
          <w:p>
            <w:pPr>
              <w:ind w:left="20"/>
              <w:spacing w:after="0"/>
              <w:rPr>
                <w:sz w:val="20"/>
                <w:szCs w:val="20"/>
                <w:color w:val="auto"/>
              </w:rPr>
            </w:pPr>
            <w:r>
              <w:rPr>
                <w:rFonts w:ascii="Times New Roman" w:cs="Times New Roman" w:eastAsia="Times New Roman" w:hAnsi="Times New Roman"/>
                <w:sz w:val="24"/>
                <w:szCs w:val="24"/>
                <w:color w:val="auto"/>
              </w:rPr>
              <w:t>the issue size in excess of</w:t>
            </w:r>
          </w:p>
        </w:tc>
        <w:tc>
          <w:tcPr>
            <w:tcW w:w="40" w:type="dxa"/>
            <w:vAlign w:val="bottom"/>
          </w:tcPr>
          <w:p>
            <w:pPr>
              <w:spacing w:after="0"/>
              <w:rPr>
                <w:sz w:val="24"/>
                <w:szCs w:val="24"/>
                <w:color w:val="auto"/>
              </w:rPr>
            </w:pPr>
          </w:p>
        </w:tc>
        <w:tc>
          <w:tcPr>
            <w:tcW w:w="2940" w:type="dxa"/>
            <w:vAlign w:val="bottom"/>
            <w:tcBorders>
              <w:right w:val="single" w:sz="8" w:color="auto"/>
            </w:tcBorders>
            <w:gridSpan w:val="4"/>
          </w:tcPr>
          <w:p>
            <w:pPr>
              <w:ind w:left="20"/>
              <w:spacing w:after="0"/>
              <w:rPr>
                <w:sz w:val="20"/>
                <w:szCs w:val="20"/>
                <w:color w:val="auto"/>
              </w:rPr>
            </w:pPr>
            <w:r>
              <w:rPr>
                <w:rFonts w:ascii="Times New Roman" w:cs="Times New Roman" w:eastAsia="Times New Roman" w:hAnsi="Times New Roman"/>
                <w:sz w:val="24"/>
                <w:szCs w:val="24"/>
                <w:color w:val="auto"/>
              </w:rPr>
              <w:t>portion  of  the  issue  size  in</w:t>
            </w:r>
          </w:p>
        </w:tc>
        <w:tc>
          <w:tcPr>
            <w:tcW w:w="300" w:type="dxa"/>
            <w:vAlign w:val="bottom"/>
          </w:tcPr>
          <w:p>
            <w:pPr>
              <w:spacing w:after="0"/>
              <w:rPr>
                <w:sz w:val="24"/>
                <w:szCs w:val="24"/>
                <w:color w:val="auto"/>
              </w:rPr>
            </w:pPr>
          </w:p>
        </w:tc>
      </w:tr>
      <w:tr>
        <w:trPr>
          <w:trHeight w:val="319"/>
        </w:trPr>
        <w:tc>
          <w:tcPr>
            <w:tcW w:w="20" w:type="dxa"/>
            <w:vAlign w:val="bottom"/>
            <w:shd w:val="clear" w:color="auto" w:fill="000000"/>
          </w:tcPr>
          <w:p>
            <w:pPr>
              <w:spacing w:after="0"/>
              <w:rPr>
                <w:sz w:val="24"/>
                <w:szCs w:val="24"/>
                <w:color w:val="auto"/>
              </w:rPr>
            </w:pPr>
          </w:p>
        </w:tc>
        <w:tc>
          <w:tcPr>
            <w:tcW w:w="70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560" w:type="dxa"/>
            <w:vAlign w:val="bottom"/>
            <w:tcBorders>
              <w:right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2800" w:type="dxa"/>
            <w:vAlign w:val="bottom"/>
            <w:tcBorders>
              <w:right w:val="single" w:sz="8" w:color="auto"/>
            </w:tcBorders>
            <w:gridSpan w:val="4"/>
          </w:tcPr>
          <w:p>
            <w:pPr>
              <w:ind w:left="20"/>
              <w:spacing w:after="0"/>
              <w:rPr>
                <w:sz w:val="20"/>
                <w:szCs w:val="20"/>
                <w:color w:val="auto"/>
              </w:rPr>
            </w:pPr>
            <w:r>
              <w:rPr>
                <w:rFonts w:ascii="Times New Roman" w:cs="Times New Roman" w:eastAsia="Times New Roman" w:hAnsi="Times New Roman"/>
                <w:sz w:val="24"/>
                <w:szCs w:val="24"/>
                <w:color w:val="auto"/>
              </w:rPr>
              <w:t>five thousand crore rupees</w:t>
            </w:r>
          </w:p>
        </w:tc>
        <w:tc>
          <w:tcPr>
            <w:tcW w:w="40" w:type="dxa"/>
            <w:vAlign w:val="bottom"/>
          </w:tcPr>
          <w:p>
            <w:pPr>
              <w:spacing w:after="0"/>
              <w:rPr>
                <w:sz w:val="24"/>
                <w:szCs w:val="24"/>
                <w:color w:val="auto"/>
              </w:rPr>
            </w:pPr>
          </w:p>
        </w:tc>
        <w:tc>
          <w:tcPr>
            <w:tcW w:w="2940" w:type="dxa"/>
            <w:vAlign w:val="bottom"/>
            <w:tcBorders>
              <w:right w:val="single" w:sz="8" w:color="auto"/>
            </w:tcBorders>
            <w:gridSpan w:val="4"/>
          </w:tcPr>
          <w:p>
            <w:pPr>
              <w:ind w:left="20"/>
              <w:spacing w:after="0"/>
              <w:rPr>
                <w:sz w:val="20"/>
                <w:szCs w:val="20"/>
                <w:color w:val="auto"/>
              </w:rPr>
            </w:pPr>
            <w:r>
              <w:rPr>
                <w:rFonts w:ascii="Times New Roman" w:cs="Times New Roman" w:eastAsia="Times New Roman" w:hAnsi="Times New Roman"/>
                <w:sz w:val="24"/>
                <w:szCs w:val="24"/>
                <w:color w:val="auto"/>
              </w:rPr>
              <w:t>excess of five thousand crore</w:t>
            </w:r>
          </w:p>
        </w:tc>
        <w:tc>
          <w:tcPr>
            <w:tcW w:w="300" w:type="dxa"/>
            <w:vAlign w:val="bottom"/>
          </w:tcPr>
          <w:p>
            <w:pPr>
              <w:spacing w:after="0"/>
              <w:rPr>
                <w:sz w:val="24"/>
                <w:szCs w:val="24"/>
                <w:color w:val="auto"/>
              </w:rPr>
            </w:pPr>
          </w:p>
        </w:tc>
      </w:tr>
      <w:tr>
        <w:trPr>
          <w:trHeight w:val="317"/>
        </w:trPr>
        <w:tc>
          <w:tcPr>
            <w:tcW w:w="20" w:type="dxa"/>
            <w:vAlign w:val="bottom"/>
            <w:shd w:val="clear" w:color="auto" w:fill="000000"/>
          </w:tcPr>
          <w:p>
            <w:pPr>
              <w:spacing w:after="0"/>
              <w:rPr>
                <w:sz w:val="24"/>
                <w:szCs w:val="24"/>
                <w:color w:val="auto"/>
              </w:rPr>
            </w:pPr>
          </w:p>
        </w:tc>
        <w:tc>
          <w:tcPr>
            <w:tcW w:w="70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560" w:type="dxa"/>
            <w:vAlign w:val="bottom"/>
            <w:tcBorders>
              <w:right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2200" w:type="dxa"/>
            <w:vAlign w:val="bottom"/>
            <w:gridSpan w:val="3"/>
          </w:tcPr>
          <w:p>
            <w:pPr>
              <w:ind w:left="20"/>
              <w:spacing w:after="0"/>
              <w:rPr>
                <w:sz w:val="20"/>
                <w:szCs w:val="20"/>
                <w:color w:val="auto"/>
              </w:rPr>
            </w:pPr>
            <w:r>
              <w:rPr>
                <w:rFonts w:ascii="Times New Roman" w:cs="Times New Roman" w:eastAsia="Times New Roman" w:hAnsi="Times New Roman"/>
                <w:sz w:val="24"/>
                <w:szCs w:val="24"/>
                <w:color w:val="auto"/>
              </w:rPr>
              <w:t>(5000,00,00,000/-).</w:t>
            </w:r>
          </w:p>
        </w:tc>
        <w:tc>
          <w:tcPr>
            <w:tcW w:w="600" w:type="dxa"/>
            <w:vAlign w:val="bottom"/>
            <w:tcBorders>
              <w:right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2940" w:type="dxa"/>
            <w:vAlign w:val="bottom"/>
            <w:tcBorders>
              <w:right w:val="single" w:sz="8" w:color="auto"/>
            </w:tcBorders>
            <w:gridSpan w:val="4"/>
          </w:tcPr>
          <w:p>
            <w:pPr>
              <w:ind w:left="20"/>
              <w:spacing w:after="0"/>
              <w:rPr>
                <w:sz w:val="20"/>
                <w:szCs w:val="20"/>
                <w:color w:val="auto"/>
              </w:rPr>
            </w:pPr>
            <w:r>
              <w:rPr>
                <w:rFonts w:ascii="Times New Roman" w:cs="Times New Roman" w:eastAsia="Times New Roman" w:hAnsi="Times New Roman"/>
                <w:sz w:val="24"/>
                <w:szCs w:val="24"/>
                <w:color w:val="auto"/>
              </w:rPr>
              <w:t>rupees (5000,00,00,000/-).]</w:t>
            </w:r>
          </w:p>
        </w:tc>
        <w:tc>
          <w:tcPr>
            <w:tcW w:w="300" w:type="dxa"/>
            <w:vAlign w:val="bottom"/>
          </w:tcPr>
          <w:p>
            <w:pPr>
              <w:spacing w:after="0"/>
              <w:rPr>
                <w:sz w:val="24"/>
                <w:szCs w:val="24"/>
                <w:color w:val="auto"/>
              </w:rPr>
            </w:pPr>
          </w:p>
        </w:tc>
      </w:tr>
      <w:tr>
        <w:trPr>
          <w:trHeight w:val="366"/>
        </w:trPr>
        <w:tc>
          <w:tcPr>
            <w:tcW w:w="20" w:type="dxa"/>
            <w:vAlign w:val="bottom"/>
            <w:tcBorders>
              <w:bottom w:val="single" w:sz="8" w:color="auto"/>
            </w:tcBorders>
            <w:shd w:val="clear" w:color="auto" w:fill="000000"/>
          </w:tcPr>
          <w:p>
            <w:pPr>
              <w:spacing w:after="0"/>
              <w:rPr>
                <w:sz w:val="24"/>
                <w:szCs w:val="24"/>
                <w:color w:val="auto"/>
              </w:rPr>
            </w:pPr>
          </w:p>
        </w:tc>
        <w:tc>
          <w:tcPr>
            <w:tcW w:w="700" w:type="dxa"/>
            <w:vAlign w:val="bottom"/>
            <w:tcBorders>
              <w:bottom w:val="single" w:sz="8" w:color="auto"/>
            </w:tcBorders>
          </w:tcPr>
          <w:p>
            <w:pPr>
              <w:spacing w:after="0"/>
              <w:rPr>
                <w:sz w:val="24"/>
                <w:szCs w:val="24"/>
                <w:color w:val="auto"/>
              </w:rPr>
            </w:pPr>
          </w:p>
        </w:tc>
        <w:tc>
          <w:tcPr>
            <w:tcW w:w="360" w:type="dxa"/>
            <w:vAlign w:val="bottom"/>
            <w:tcBorders>
              <w:bottom w:val="single" w:sz="8" w:color="auto"/>
            </w:tcBorders>
          </w:tcPr>
          <w:p>
            <w:pPr>
              <w:spacing w:after="0"/>
              <w:rPr>
                <w:sz w:val="24"/>
                <w:szCs w:val="24"/>
                <w:color w:val="auto"/>
              </w:rPr>
            </w:pPr>
          </w:p>
        </w:tc>
        <w:tc>
          <w:tcPr>
            <w:tcW w:w="380" w:type="dxa"/>
            <w:vAlign w:val="bottom"/>
            <w:tcBorders>
              <w:bottom w:val="single" w:sz="8" w:color="auto"/>
            </w:tcBorders>
          </w:tcPr>
          <w:p>
            <w:pPr>
              <w:spacing w:after="0"/>
              <w:rPr>
                <w:sz w:val="24"/>
                <w:szCs w:val="24"/>
                <w:color w:val="auto"/>
              </w:rPr>
            </w:pPr>
          </w:p>
        </w:tc>
        <w:tc>
          <w:tcPr>
            <w:tcW w:w="420" w:type="dxa"/>
            <w:vAlign w:val="bottom"/>
            <w:tcBorders>
              <w:bottom w:val="single" w:sz="8" w:color="auto"/>
            </w:tcBorders>
          </w:tcPr>
          <w:p>
            <w:pPr>
              <w:spacing w:after="0"/>
              <w:rPr>
                <w:sz w:val="24"/>
                <w:szCs w:val="24"/>
                <w:color w:val="auto"/>
              </w:rPr>
            </w:pPr>
          </w:p>
        </w:tc>
        <w:tc>
          <w:tcPr>
            <w:tcW w:w="560" w:type="dxa"/>
            <w:vAlign w:val="bottom"/>
            <w:tcBorders>
              <w:bottom w:val="single" w:sz="8" w:color="auto"/>
              <w:right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780" w:type="dxa"/>
            <w:vAlign w:val="bottom"/>
            <w:tcBorders>
              <w:bottom w:val="single" w:sz="8" w:color="auto"/>
            </w:tcBorders>
          </w:tcPr>
          <w:p>
            <w:pPr>
              <w:spacing w:after="0"/>
              <w:rPr>
                <w:sz w:val="24"/>
                <w:szCs w:val="24"/>
                <w:color w:val="auto"/>
              </w:rPr>
            </w:pPr>
          </w:p>
        </w:tc>
        <w:tc>
          <w:tcPr>
            <w:tcW w:w="1300" w:type="dxa"/>
            <w:vAlign w:val="bottom"/>
            <w:tcBorders>
              <w:bottom w:val="single" w:sz="8" w:color="auto"/>
            </w:tcBorders>
          </w:tcPr>
          <w:p>
            <w:pPr>
              <w:spacing w:after="0"/>
              <w:rPr>
                <w:sz w:val="24"/>
                <w:szCs w:val="24"/>
                <w:color w:val="auto"/>
              </w:rPr>
            </w:pPr>
          </w:p>
        </w:tc>
        <w:tc>
          <w:tcPr>
            <w:tcW w:w="600" w:type="dxa"/>
            <w:vAlign w:val="bottom"/>
            <w:tcBorders>
              <w:bottom w:val="single" w:sz="8" w:color="auto"/>
              <w:right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220" w:type="dxa"/>
            <w:vAlign w:val="bottom"/>
            <w:tcBorders>
              <w:bottom w:val="single" w:sz="8" w:color="auto"/>
            </w:tcBorders>
          </w:tcPr>
          <w:p>
            <w:pPr>
              <w:spacing w:after="0"/>
              <w:rPr>
                <w:sz w:val="24"/>
                <w:szCs w:val="24"/>
                <w:color w:val="auto"/>
              </w:rPr>
            </w:pPr>
          </w:p>
        </w:tc>
        <w:tc>
          <w:tcPr>
            <w:tcW w:w="1100" w:type="dxa"/>
            <w:vAlign w:val="bottom"/>
            <w:tcBorders>
              <w:bottom w:val="single" w:sz="8" w:color="auto"/>
            </w:tcBorders>
          </w:tcPr>
          <w:p>
            <w:pPr>
              <w:spacing w:after="0"/>
              <w:rPr>
                <w:sz w:val="24"/>
                <w:szCs w:val="24"/>
                <w:color w:val="auto"/>
              </w:rPr>
            </w:pPr>
          </w:p>
        </w:tc>
        <w:tc>
          <w:tcPr>
            <w:tcW w:w="520" w:type="dxa"/>
            <w:vAlign w:val="bottom"/>
            <w:tcBorders>
              <w:bottom w:val="single" w:sz="8" w:color="auto"/>
              <w:right w:val="single" w:sz="8" w:color="auto"/>
            </w:tcBorders>
          </w:tcPr>
          <w:p>
            <w:pPr>
              <w:spacing w:after="0"/>
              <w:rPr>
                <w:sz w:val="24"/>
                <w:szCs w:val="24"/>
                <w:color w:val="auto"/>
              </w:rPr>
            </w:pPr>
          </w:p>
        </w:tc>
        <w:tc>
          <w:tcPr>
            <w:tcW w:w="300" w:type="dxa"/>
            <w:vAlign w:val="bottom"/>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2895600</wp:posOffset>
            </wp:positionH>
            <wp:positionV relativeFrom="paragraph">
              <wp:posOffset>-6616700</wp:posOffset>
            </wp:positionV>
            <wp:extent cx="56515" cy="1238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56515" cy="123825"/>
                    </a:xfrm>
                    <a:prstGeom prst="rect">
                      <a:avLst/>
                    </a:prstGeom>
                    <a:noFill/>
                  </pic:spPr>
                </pic:pic>
              </a:graphicData>
            </a:graphic>
          </wp:anchor>
        </w:drawing>
        <w:drawing>
          <wp:anchor simplePos="0" relativeHeight="251657728" behindDoc="1" locked="0" layoutInCell="0" allowOverlap="1">
            <wp:simplePos x="0" y="0"/>
            <wp:positionH relativeFrom="column">
              <wp:posOffset>5283835</wp:posOffset>
            </wp:positionH>
            <wp:positionV relativeFrom="paragraph">
              <wp:posOffset>-6616700</wp:posOffset>
            </wp:positionV>
            <wp:extent cx="56515" cy="1238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56515" cy="123825"/>
                    </a:xfrm>
                    <a:prstGeom prst="rect">
                      <a:avLst/>
                    </a:prstGeom>
                    <a:noFill/>
                  </pic:spPr>
                </pic:pic>
              </a:graphicData>
            </a:graphic>
          </wp:anchor>
        </w:drawing>
        <w:drawing>
          <wp:anchor simplePos="0" relativeHeight="251657728" behindDoc="1" locked="0" layoutInCell="0" allowOverlap="1">
            <wp:simplePos x="0" y="0"/>
            <wp:positionH relativeFrom="column">
              <wp:posOffset>2459990</wp:posOffset>
            </wp:positionH>
            <wp:positionV relativeFrom="paragraph">
              <wp:posOffset>-5027295</wp:posOffset>
            </wp:positionV>
            <wp:extent cx="55880" cy="1238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55880" cy="123825"/>
                    </a:xfrm>
                    <a:prstGeom prst="rect">
                      <a:avLst/>
                    </a:prstGeom>
                    <a:noFill/>
                  </pic:spPr>
                </pic:pic>
              </a:graphicData>
            </a:graphic>
          </wp:anchor>
        </w:drawing>
        <w:drawing>
          <wp:anchor simplePos="0" relativeHeight="251657728" behindDoc="1" locked="0" layoutInCell="0" allowOverlap="1">
            <wp:simplePos x="0" y="0"/>
            <wp:positionH relativeFrom="column">
              <wp:posOffset>2459990</wp:posOffset>
            </wp:positionH>
            <wp:positionV relativeFrom="paragraph">
              <wp:posOffset>-3975735</wp:posOffset>
            </wp:positionV>
            <wp:extent cx="55880" cy="1238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55880" cy="123825"/>
                    </a:xfrm>
                    <a:prstGeom prst="rect">
                      <a:avLst/>
                    </a:prstGeom>
                    <a:noFill/>
                  </pic:spPr>
                </pic:pic>
              </a:graphicData>
            </a:graphic>
          </wp:anchor>
        </w:drawing>
        <w:drawing>
          <wp:anchor simplePos="0" relativeHeight="251657728" behindDoc="1" locked="0" layoutInCell="0" allowOverlap="1">
            <wp:simplePos x="0" y="0"/>
            <wp:positionH relativeFrom="column">
              <wp:posOffset>4259580</wp:posOffset>
            </wp:positionH>
            <wp:positionV relativeFrom="paragraph">
              <wp:posOffset>-5027295</wp:posOffset>
            </wp:positionV>
            <wp:extent cx="56515" cy="1238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extLst>
                    </a:blip>
                    <a:srcRect/>
                    <a:stretch>
                      <a:fillRect/>
                    </a:stretch>
                  </pic:blipFill>
                  <pic:spPr bwMode="auto">
                    <a:xfrm>
                      <a:off x="0" y="0"/>
                      <a:ext cx="56515" cy="123825"/>
                    </a:xfrm>
                    <a:prstGeom prst="rect">
                      <a:avLst/>
                    </a:prstGeom>
                    <a:noFill/>
                  </pic:spPr>
                </pic:pic>
              </a:graphicData>
            </a:graphic>
          </wp:anchor>
        </w:drawing>
        <w:drawing>
          <wp:anchor simplePos="0" relativeHeight="251657728" behindDoc="1" locked="0" layoutInCell="0" allowOverlap="1">
            <wp:simplePos x="0" y="0"/>
            <wp:positionH relativeFrom="column">
              <wp:posOffset>4259580</wp:posOffset>
            </wp:positionH>
            <wp:positionV relativeFrom="paragraph">
              <wp:posOffset>-3975735</wp:posOffset>
            </wp:positionV>
            <wp:extent cx="56515" cy="1238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56515" cy="123825"/>
                    </a:xfrm>
                    <a:prstGeom prst="rect">
                      <a:avLst/>
                    </a:prstGeom>
                    <a:noFill/>
                  </pic:spPr>
                </pic:pic>
              </a:graphicData>
            </a:graphic>
          </wp:anchor>
        </w:drawing>
      </w:r>
    </w:p>
    <w:p>
      <w:pPr>
        <w:spacing w:after="0" w:line="200" w:lineRule="exact"/>
        <w:rPr>
          <w:sz w:val="20"/>
          <w:szCs w:val="20"/>
          <w:color w:val="auto"/>
        </w:rPr>
      </w:pPr>
    </w:p>
    <w:p>
      <w:pPr>
        <w:spacing w:after="0" w:line="307" w:lineRule="exact"/>
        <w:rPr>
          <w:sz w:val="20"/>
          <w:szCs w:val="20"/>
          <w:color w:val="auto"/>
        </w:rPr>
      </w:pPr>
    </w:p>
    <w:p>
      <w:pPr>
        <w:ind w:left="248" w:hanging="248"/>
        <w:spacing w:after="0"/>
        <w:tabs>
          <w:tab w:leader="none" w:pos="248" w:val="left"/>
        </w:tabs>
        <w:numPr>
          <w:ilvl w:val="0"/>
          <w:numId w:val="728"/>
        </w:numPr>
        <w:rPr>
          <w:rFonts w:ascii="Times New Roman" w:cs="Times New Roman" w:eastAsia="Times New Roman" w:hAnsi="Times New Roman"/>
          <w:sz w:val="24"/>
          <w:szCs w:val="24"/>
          <w:color w:val="auto"/>
          <w:vertAlign w:val="superscript"/>
        </w:rPr>
      </w:pPr>
      <w:r>
        <w:rPr>
          <w:rFonts w:ascii="Times New Roman" w:cs="Times New Roman" w:eastAsia="Times New Roman" w:hAnsi="Times New Roman"/>
          <w:sz w:val="18"/>
          <w:szCs w:val="18"/>
          <w:color w:val="auto"/>
        </w:rPr>
        <w:t>Inserted by the Securities and Exchange Board of India (Payment of Fees) (Amendment) Regulations, 2019 w-e-f-</w:t>
      </w:r>
    </w:p>
    <w:p>
      <w:pPr>
        <w:spacing w:after="0" w:line="19" w:lineRule="exact"/>
        <w:rPr>
          <w:rFonts w:ascii="Times New Roman" w:cs="Times New Roman" w:eastAsia="Times New Roman" w:hAnsi="Times New Roman"/>
          <w:sz w:val="24"/>
          <w:szCs w:val="24"/>
          <w:color w:val="auto"/>
          <w:vertAlign w:val="superscript"/>
        </w:rPr>
      </w:pPr>
    </w:p>
    <w:p>
      <w:pPr>
        <w:ind w:left="248" w:hanging="248"/>
        <w:spacing w:after="0" w:line="231" w:lineRule="auto"/>
        <w:tabs>
          <w:tab w:leader="none" w:pos="248" w:val="left"/>
        </w:tabs>
        <w:numPr>
          <w:ilvl w:val="0"/>
          <w:numId w:val="729"/>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04.2019.</w:t>
      </w:r>
    </w:p>
    <w:p>
      <w:pPr>
        <w:spacing w:after="0" w:line="12" w:lineRule="exact"/>
        <w:rPr>
          <w:rFonts w:ascii="Times New Roman" w:cs="Times New Roman" w:eastAsia="Times New Roman" w:hAnsi="Times New Roman"/>
          <w:sz w:val="19"/>
          <w:szCs w:val="19"/>
          <w:color w:val="auto"/>
        </w:rPr>
      </w:pPr>
    </w:p>
    <w:p>
      <w:pPr>
        <w:ind w:left="8" w:right="180" w:hanging="8"/>
        <w:spacing w:after="0" w:line="213" w:lineRule="auto"/>
        <w:tabs>
          <w:tab w:leader="none" w:pos="255" w:val="left"/>
        </w:tabs>
        <w:numPr>
          <w:ilvl w:val="0"/>
          <w:numId w:val="730"/>
        </w:numPr>
        <w:rPr>
          <w:rFonts w:ascii="Times New Roman" w:cs="Times New Roman" w:eastAsia="Times New Roman" w:hAnsi="Times New Roman"/>
          <w:sz w:val="25"/>
          <w:szCs w:val="25"/>
          <w:color w:val="auto"/>
          <w:vertAlign w:val="superscript"/>
        </w:rPr>
      </w:pPr>
      <w:r>
        <w:rPr>
          <w:rFonts w:ascii="Times New Roman" w:cs="Times New Roman" w:eastAsia="Times New Roman" w:hAnsi="Times New Roman"/>
          <w:sz w:val="19"/>
          <w:szCs w:val="19"/>
          <w:color w:val="auto"/>
        </w:rPr>
        <w:t>Inserted by the Securities and Exchange Board of India (Payment of Fees) (Amendment) Regulations, 2020 for the period from 01.06.2020 to 31.12.2020.</w:t>
      </w:r>
    </w:p>
    <w:p>
      <w:pPr>
        <w:spacing w:after="0" w:line="299" w:lineRule="exact"/>
        <w:rPr>
          <w:sz w:val="20"/>
          <w:szCs w:val="20"/>
          <w:color w:val="auto"/>
        </w:rPr>
      </w:pPr>
    </w:p>
    <w:p>
      <w:pPr>
        <w:jc w:val="center"/>
        <w:ind w:right="172"/>
        <w:spacing w:after="0"/>
        <w:rPr>
          <w:sz w:val="20"/>
          <w:szCs w:val="20"/>
          <w:color w:val="auto"/>
        </w:rPr>
      </w:pPr>
      <w:r>
        <w:rPr>
          <w:rFonts w:ascii="Times New Roman" w:cs="Times New Roman" w:eastAsia="Times New Roman" w:hAnsi="Times New Roman"/>
          <w:sz w:val="24"/>
          <w:szCs w:val="24"/>
          <w:color w:val="auto"/>
        </w:rPr>
        <w:t>179</w:t>
      </w:r>
    </w:p>
    <w:p>
      <w:pPr>
        <w:sectPr>
          <w:pgSz w:w="11900" w:h="16836" w:orient="portrait"/>
          <w:cols w:equalWidth="0" w:num="1">
            <w:col w:w="9648"/>
          </w:cols>
          <w:pgMar w:left="1152" w:top="1142" w:right="1104" w:bottom="103" w:gutter="0" w:footer="0" w:header="0"/>
        </w:sectPr>
      </w:pPr>
    </w:p>
    <w:bookmarkStart w:id="179" w:name="page180"/>
    <w:bookmarkEnd w:id="179"/>
    <w:p>
      <w:pPr>
        <w:spacing w:after="0" w:line="115" w:lineRule="exact"/>
        <w:rPr>
          <w:sz w:val="20"/>
          <w:szCs w:val="20"/>
          <w:color w:val="auto"/>
        </w:rPr>
      </w:pPr>
    </w:p>
    <w:p>
      <w:pPr>
        <w:ind w:left="568"/>
        <w:spacing w:after="0"/>
        <w:tabs>
          <w:tab w:leader="none" w:pos="1127" w:val="left"/>
        </w:tabs>
        <w:rPr>
          <w:sz w:val="20"/>
          <w:szCs w:val="20"/>
          <w:color w:val="auto"/>
        </w:rPr>
      </w:pPr>
      <w:r>
        <w:rPr>
          <w:rFonts w:ascii="Calibri" w:cs="Calibri" w:eastAsia="Calibri" w:hAnsi="Calibri"/>
          <w:sz w:val="22"/>
          <w:szCs w:val="22"/>
          <w:color w:val="auto"/>
        </w:rPr>
        <w:t>(b)</w:t>
      </w:r>
      <w:r>
        <w:rPr>
          <w:sz w:val="20"/>
          <w:szCs w:val="20"/>
          <w:color w:val="auto"/>
        </w:rPr>
        <w:tab/>
      </w:r>
      <w:r>
        <w:rPr>
          <w:rFonts w:ascii="Times New Roman" w:cs="Times New Roman" w:eastAsia="Times New Roman" w:hAnsi="Times New Roman"/>
          <w:sz w:val="24"/>
          <w:szCs w:val="24"/>
          <w:b w:val="1"/>
          <w:bCs w:val="1"/>
          <w:color w:val="auto"/>
        </w:rPr>
        <w:t>Rights issue:</w:t>
      </w:r>
    </w:p>
    <w:p>
      <w:pPr>
        <w:spacing w:after="0" w:line="200" w:lineRule="exact"/>
        <w:rPr>
          <w:sz w:val="20"/>
          <w:szCs w:val="20"/>
          <w:color w:val="auto"/>
        </w:rPr>
      </w:pPr>
    </w:p>
    <w:p>
      <w:pPr>
        <w:spacing w:after="0" w:line="335" w:lineRule="exact"/>
        <w:rPr>
          <w:sz w:val="20"/>
          <w:szCs w:val="20"/>
          <w:color w:val="auto"/>
        </w:rPr>
      </w:pPr>
    </w:p>
    <w:tbl>
      <w:tblPr>
        <w:tblLayout w:type="fixed"/>
        <w:tblInd w:w="1178" w:type="dxa"/>
        <w:tblCellMar>
          <w:top w:w="0" w:type="dxa"/>
          <w:left w:w="0" w:type="dxa"/>
          <w:bottom w:w="0" w:type="dxa"/>
          <w:right w:w="0" w:type="dxa"/>
        </w:tblCellMar>
      </w:tblPr>
      <w:tr>
        <w:trPr>
          <w:trHeight w:val="395"/>
        </w:trPr>
        <w:tc>
          <w:tcPr>
            <w:tcW w:w="120" w:type="dxa"/>
            <w:vAlign w:val="bottom"/>
            <w:tcBorders>
              <w:top w:val="single" w:sz="8" w:color="auto"/>
              <w:left w:val="single" w:sz="8" w:color="auto"/>
            </w:tcBorders>
          </w:tcPr>
          <w:p>
            <w:pPr>
              <w:spacing w:after="0"/>
              <w:rPr>
                <w:sz w:val="24"/>
                <w:szCs w:val="24"/>
                <w:color w:val="auto"/>
              </w:rPr>
            </w:pPr>
          </w:p>
        </w:tc>
        <w:tc>
          <w:tcPr>
            <w:tcW w:w="2420" w:type="dxa"/>
            <w:vAlign w:val="bottom"/>
            <w:tcBorders>
              <w:top w:val="single" w:sz="8" w:color="auto"/>
              <w:right w:val="single" w:sz="8" w:color="auto"/>
            </w:tcBorders>
          </w:tcPr>
          <w:p>
            <w:pPr>
              <w:jc w:val="center"/>
              <w:ind w:right="21"/>
              <w:spacing w:after="0"/>
              <w:rPr>
                <w:sz w:val="20"/>
                <w:szCs w:val="20"/>
                <w:color w:val="auto"/>
              </w:rPr>
            </w:pPr>
            <w:r>
              <w:rPr>
                <w:rFonts w:ascii="Times New Roman" w:cs="Times New Roman" w:eastAsia="Times New Roman" w:hAnsi="Times New Roman"/>
                <w:sz w:val="24"/>
                <w:szCs w:val="24"/>
                <w:b w:val="1"/>
                <w:bCs w:val="1"/>
                <w:color w:val="auto"/>
              </w:rPr>
              <w:t>Size of the issue,</w:t>
            </w:r>
          </w:p>
        </w:tc>
        <w:tc>
          <w:tcPr>
            <w:tcW w:w="60" w:type="dxa"/>
            <w:vAlign w:val="bottom"/>
            <w:tcBorders>
              <w:top w:val="single" w:sz="8" w:color="auto"/>
            </w:tcBorders>
          </w:tcPr>
          <w:p>
            <w:pPr>
              <w:spacing w:after="0"/>
              <w:rPr>
                <w:sz w:val="24"/>
                <w:szCs w:val="24"/>
                <w:color w:val="auto"/>
              </w:rPr>
            </w:pPr>
          </w:p>
        </w:tc>
        <w:tc>
          <w:tcPr>
            <w:tcW w:w="2620" w:type="dxa"/>
            <w:vAlign w:val="bottom"/>
            <w:tcBorders>
              <w:top w:val="single" w:sz="8" w:color="auto"/>
              <w:right w:val="single" w:sz="8" w:color="auto"/>
            </w:tcBorders>
            <w:gridSpan w:val="2"/>
          </w:tcPr>
          <w:p>
            <w:pPr>
              <w:ind w:left="140"/>
              <w:spacing w:after="0"/>
              <w:rPr>
                <w:sz w:val="20"/>
                <w:szCs w:val="20"/>
                <w:color w:val="auto"/>
              </w:rPr>
            </w:pPr>
            <w:r>
              <w:rPr>
                <w:rFonts w:ascii="Times New Roman" w:cs="Times New Roman" w:eastAsia="Times New Roman" w:hAnsi="Times New Roman"/>
                <w:sz w:val="24"/>
                <w:szCs w:val="24"/>
                <w:b w:val="1"/>
                <w:bCs w:val="1"/>
                <w:color w:val="auto"/>
              </w:rPr>
              <w:t>Amount / Rate of fees</w:t>
            </w:r>
          </w:p>
        </w:tc>
        <w:tc>
          <w:tcPr>
            <w:tcW w:w="3120" w:type="dxa"/>
            <w:vAlign w:val="bottom"/>
            <w:tcBorders>
              <w:top w:val="single" w:sz="8" w:color="auto"/>
              <w:right w:val="single" w:sz="8" w:color="auto"/>
            </w:tcBorders>
            <w:gridSpan w:val="7"/>
          </w:tcPr>
          <w:p>
            <w:pPr>
              <w:ind w:left="80"/>
              <w:spacing w:after="0"/>
              <w:rPr>
                <w:sz w:val="20"/>
                <w:szCs w:val="20"/>
                <w:color w:val="auto"/>
              </w:rPr>
            </w:pPr>
            <w:r>
              <w:rPr>
                <w:rFonts w:ascii="Times New Roman" w:cs="Times New Roman" w:eastAsia="Times New Roman" w:hAnsi="Times New Roman"/>
                <w:sz w:val="32"/>
                <w:szCs w:val="32"/>
                <w:b w:val="1"/>
                <w:bCs w:val="1"/>
                <w:color w:val="auto"/>
                <w:vertAlign w:val="superscript"/>
              </w:rPr>
              <w:t>106</w:t>
            </w:r>
            <w:r>
              <w:rPr>
                <w:rFonts w:ascii="Times New Roman" w:cs="Times New Roman" w:eastAsia="Times New Roman" w:hAnsi="Times New Roman"/>
                <w:sz w:val="24"/>
                <w:szCs w:val="24"/>
                <w:b w:val="1"/>
                <w:bCs w:val="1"/>
                <w:color w:val="auto"/>
              </w:rPr>
              <w:t>[Amount / Rate of fees for</w:t>
            </w:r>
          </w:p>
        </w:tc>
        <w:tc>
          <w:tcPr>
            <w:tcW w:w="0" w:type="dxa"/>
            <w:vAlign w:val="bottom"/>
          </w:tcPr>
          <w:p>
            <w:pPr>
              <w:spacing w:after="0"/>
              <w:rPr>
                <w:sz w:val="1"/>
                <w:szCs w:val="1"/>
                <w:color w:val="auto"/>
              </w:rPr>
            </w:pPr>
          </w:p>
        </w:tc>
      </w:tr>
      <w:tr>
        <w:trPr>
          <w:trHeight w:val="303"/>
        </w:trPr>
        <w:tc>
          <w:tcPr>
            <w:tcW w:w="120" w:type="dxa"/>
            <w:vAlign w:val="bottom"/>
            <w:tcBorders>
              <w:left w:val="single" w:sz="8" w:color="auto"/>
            </w:tcBorders>
          </w:tcPr>
          <w:p>
            <w:pPr>
              <w:spacing w:after="0"/>
              <w:rPr>
                <w:sz w:val="24"/>
                <w:szCs w:val="24"/>
                <w:color w:val="auto"/>
              </w:rPr>
            </w:pPr>
          </w:p>
        </w:tc>
        <w:tc>
          <w:tcPr>
            <w:tcW w:w="2420" w:type="dxa"/>
            <w:vAlign w:val="bottom"/>
            <w:tcBorders>
              <w:right w:val="single" w:sz="8" w:color="auto"/>
            </w:tcBorders>
          </w:tcPr>
          <w:p>
            <w:pPr>
              <w:jc w:val="center"/>
              <w:ind w:right="21"/>
              <w:spacing w:after="0"/>
              <w:rPr>
                <w:sz w:val="20"/>
                <w:szCs w:val="20"/>
                <w:color w:val="auto"/>
              </w:rPr>
            </w:pPr>
            <w:r>
              <w:rPr>
                <w:rFonts w:ascii="Times New Roman" w:cs="Times New Roman" w:eastAsia="Times New Roman" w:hAnsi="Times New Roman"/>
                <w:sz w:val="24"/>
                <w:szCs w:val="24"/>
                <w:b w:val="1"/>
                <w:bCs w:val="1"/>
                <w:color w:val="auto"/>
              </w:rPr>
              <w:t>including intended</w:t>
            </w:r>
          </w:p>
        </w:tc>
        <w:tc>
          <w:tcPr>
            <w:tcW w:w="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400" w:type="dxa"/>
            <w:vAlign w:val="bottom"/>
            <w:tcBorders>
              <w:right w:val="single" w:sz="8" w:color="auto"/>
            </w:tcBorders>
          </w:tcPr>
          <w:p>
            <w:pPr>
              <w:spacing w:after="0"/>
              <w:rPr>
                <w:sz w:val="24"/>
                <w:szCs w:val="24"/>
                <w:color w:val="auto"/>
              </w:rPr>
            </w:pPr>
          </w:p>
        </w:tc>
        <w:tc>
          <w:tcPr>
            <w:tcW w:w="3120" w:type="dxa"/>
            <w:vAlign w:val="bottom"/>
            <w:tcBorders>
              <w:right w:val="single" w:sz="8" w:color="auto"/>
            </w:tcBorders>
            <w:gridSpan w:val="7"/>
          </w:tcPr>
          <w:p>
            <w:pPr>
              <w:ind w:left="80"/>
              <w:spacing w:after="0"/>
              <w:rPr>
                <w:sz w:val="20"/>
                <w:szCs w:val="20"/>
                <w:color w:val="auto"/>
              </w:rPr>
            </w:pPr>
            <w:r>
              <w:rPr>
                <w:rFonts w:ascii="Times New Roman" w:cs="Times New Roman" w:eastAsia="Times New Roman" w:hAnsi="Times New Roman"/>
                <w:sz w:val="24"/>
                <w:szCs w:val="24"/>
                <w:b w:val="1"/>
                <w:bCs w:val="1"/>
                <w:color w:val="auto"/>
              </w:rPr>
              <w:t>filing within one year after</w:t>
            </w:r>
          </w:p>
        </w:tc>
        <w:tc>
          <w:tcPr>
            <w:tcW w:w="0" w:type="dxa"/>
            <w:vAlign w:val="bottom"/>
          </w:tcPr>
          <w:p>
            <w:pPr>
              <w:spacing w:after="0"/>
              <w:rPr>
                <w:sz w:val="1"/>
                <w:szCs w:val="1"/>
                <w:color w:val="auto"/>
              </w:rPr>
            </w:pPr>
          </w:p>
        </w:tc>
      </w:tr>
      <w:tr>
        <w:trPr>
          <w:trHeight w:val="415"/>
        </w:trPr>
        <w:tc>
          <w:tcPr>
            <w:tcW w:w="120" w:type="dxa"/>
            <w:vAlign w:val="bottom"/>
            <w:tcBorders>
              <w:left w:val="single" w:sz="8" w:color="auto"/>
            </w:tcBorders>
          </w:tcPr>
          <w:p>
            <w:pPr>
              <w:spacing w:after="0"/>
              <w:rPr>
                <w:sz w:val="24"/>
                <w:szCs w:val="24"/>
                <w:color w:val="auto"/>
              </w:rPr>
            </w:pPr>
          </w:p>
        </w:tc>
        <w:tc>
          <w:tcPr>
            <w:tcW w:w="2420" w:type="dxa"/>
            <w:vAlign w:val="bottom"/>
            <w:tcBorders>
              <w:right w:val="single" w:sz="8" w:color="auto"/>
            </w:tcBorders>
          </w:tcPr>
          <w:p>
            <w:pPr>
              <w:jc w:val="center"/>
              <w:ind w:right="21"/>
              <w:spacing w:after="0"/>
              <w:rPr>
                <w:sz w:val="20"/>
                <w:szCs w:val="20"/>
                <w:color w:val="auto"/>
              </w:rPr>
            </w:pPr>
            <w:r>
              <w:rPr>
                <w:rFonts w:ascii="Times New Roman" w:cs="Times New Roman" w:eastAsia="Times New Roman" w:hAnsi="Times New Roman"/>
                <w:sz w:val="24"/>
                <w:szCs w:val="24"/>
                <w:b w:val="1"/>
                <w:bCs w:val="1"/>
                <w:color w:val="auto"/>
              </w:rPr>
              <w:t>retention of</w:t>
            </w:r>
          </w:p>
        </w:tc>
        <w:tc>
          <w:tcPr>
            <w:tcW w:w="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400" w:type="dxa"/>
            <w:vAlign w:val="bottom"/>
            <w:tcBorders>
              <w:right w:val="single" w:sz="8" w:color="auto"/>
            </w:tcBorders>
          </w:tcPr>
          <w:p>
            <w:pPr>
              <w:spacing w:after="0"/>
              <w:rPr>
                <w:sz w:val="24"/>
                <w:szCs w:val="24"/>
                <w:color w:val="auto"/>
              </w:rPr>
            </w:pPr>
          </w:p>
        </w:tc>
        <w:tc>
          <w:tcPr>
            <w:tcW w:w="3120" w:type="dxa"/>
            <w:vAlign w:val="bottom"/>
            <w:tcBorders>
              <w:right w:val="single" w:sz="8" w:color="auto"/>
            </w:tcBorders>
            <w:gridSpan w:val="7"/>
          </w:tcPr>
          <w:p>
            <w:pPr>
              <w:ind w:left="80"/>
              <w:spacing w:after="0"/>
              <w:rPr>
                <w:sz w:val="20"/>
                <w:szCs w:val="20"/>
                <w:color w:val="auto"/>
              </w:rPr>
            </w:pPr>
            <w:r>
              <w:rPr>
                <w:rFonts w:ascii="Times New Roman" w:cs="Times New Roman" w:eastAsia="Times New Roman" w:hAnsi="Times New Roman"/>
                <w:sz w:val="24"/>
                <w:szCs w:val="24"/>
                <w:b w:val="1"/>
                <w:bCs w:val="1"/>
                <w:color w:val="auto"/>
              </w:rPr>
              <w:t>expiry of SEBI Observation</w:t>
            </w:r>
          </w:p>
        </w:tc>
        <w:tc>
          <w:tcPr>
            <w:tcW w:w="0" w:type="dxa"/>
            <w:vAlign w:val="bottom"/>
          </w:tcPr>
          <w:p>
            <w:pPr>
              <w:spacing w:after="0"/>
              <w:rPr>
                <w:sz w:val="1"/>
                <w:szCs w:val="1"/>
                <w:color w:val="auto"/>
              </w:rPr>
            </w:pPr>
          </w:p>
        </w:tc>
      </w:tr>
      <w:tr>
        <w:trPr>
          <w:trHeight w:val="413"/>
        </w:trPr>
        <w:tc>
          <w:tcPr>
            <w:tcW w:w="120" w:type="dxa"/>
            <w:vAlign w:val="bottom"/>
            <w:tcBorders>
              <w:left w:val="single" w:sz="8" w:color="auto"/>
            </w:tcBorders>
          </w:tcPr>
          <w:p>
            <w:pPr>
              <w:spacing w:after="0"/>
              <w:rPr>
                <w:sz w:val="24"/>
                <w:szCs w:val="24"/>
                <w:color w:val="auto"/>
              </w:rPr>
            </w:pPr>
          </w:p>
        </w:tc>
        <w:tc>
          <w:tcPr>
            <w:tcW w:w="2420" w:type="dxa"/>
            <w:vAlign w:val="bottom"/>
            <w:tcBorders>
              <w:right w:val="single" w:sz="8" w:color="auto"/>
            </w:tcBorders>
          </w:tcPr>
          <w:p>
            <w:pPr>
              <w:jc w:val="center"/>
              <w:ind w:right="21"/>
              <w:spacing w:after="0"/>
              <w:rPr>
                <w:sz w:val="20"/>
                <w:szCs w:val="20"/>
                <w:color w:val="auto"/>
              </w:rPr>
            </w:pPr>
            <w:r>
              <w:rPr>
                <w:rFonts w:ascii="Times New Roman" w:cs="Times New Roman" w:eastAsia="Times New Roman" w:hAnsi="Times New Roman"/>
                <w:sz w:val="24"/>
                <w:szCs w:val="24"/>
                <w:b w:val="1"/>
                <w:bCs w:val="1"/>
                <w:color w:val="auto"/>
                <w:w w:val="99"/>
              </w:rPr>
              <w:t>oversubscription</w:t>
            </w:r>
          </w:p>
        </w:tc>
        <w:tc>
          <w:tcPr>
            <w:tcW w:w="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400" w:type="dxa"/>
            <w:vAlign w:val="bottom"/>
            <w:tcBorders>
              <w:right w:val="single" w:sz="8" w:color="auto"/>
            </w:tcBorders>
          </w:tcPr>
          <w:p>
            <w:pPr>
              <w:spacing w:after="0"/>
              <w:rPr>
                <w:sz w:val="24"/>
                <w:szCs w:val="24"/>
                <w:color w:val="auto"/>
              </w:rPr>
            </w:pPr>
          </w:p>
        </w:tc>
        <w:tc>
          <w:tcPr>
            <w:tcW w:w="640" w:type="dxa"/>
            <w:vAlign w:val="bottom"/>
            <w:gridSpan w:val="2"/>
          </w:tcPr>
          <w:p>
            <w:pPr>
              <w:ind w:left="80"/>
              <w:spacing w:after="0"/>
              <w:rPr>
                <w:sz w:val="20"/>
                <w:szCs w:val="20"/>
                <w:color w:val="auto"/>
              </w:rPr>
            </w:pPr>
            <w:r>
              <w:rPr>
                <w:rFonts w:ascii="Times New Roman" w:cs="Times New Roman" w:eastAsia="Times New Roman" w:hAnsi="Times New Roman"/>
                <w:sz w:val="24"/>
                <w:szCs w:val="24"/>
                <w:b w:val="1"/>
                <w:bCs w:val="1"/>
                <w:color w:val="auto"/>
                <w:w w:val="98"/>
              </w:rPr>
              <w:t>letter</w:t>
            </w:r>
          </w:p>
        </w:tc>
        <w:tc>
          <w:tcPr>
            <w:tcW w:w="48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48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555"/>
        </w:trPr>
        <w:tc>
          <w:tcPr>
            <w:tcW w:w="120" w:type="dxa"/>
            <w:vAlign w:val="bottom"/>
            <w:tcBorders>
              <w:left w:val="single" w:sz="8" w:color="auto"/>
              <w:bottom w:val="single" w:sz="8" w:color="auto"/>
            </w:tcBorders>
          </w:tcPr>
          <w:p>
            <w:pPr>
              <w:spacing w:after="0"/>
              <w:rPr>
                <w:sz w:val="24"/>
                <w:szCs w:val="24"/>
                <w:color w:val="auto"/>
              </w:rPr>
            </w:pPr>
          </w:p>
        </w:tc>
        <w:tc>
          <w:tcPr>
            <w:tcW w:w="2420" w:type="dxa"/>
            <w:vAlign w:val="bottom"/>
            <w:tcBorders>
              <w:bottom w:val="single" w:sz="8" w:color="auto"/>
              <w:right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2400" w:type="dxa"/>
            <w:vAlign w:val="bottom"/>
            <w:tcBorders>
              <w:bottom w:val="single" w:sz="8" w:color="auto"/>
              <w:right w:val="single" w:sz="8" w:color="auto"/>
            </w:tcBorders>
          </w:tcPr>
          <w:p>
            <w:pPr>
              <w:spacing w:after="0"/>
              <w:rPr>
                <w:sz w:val="24"/>
                <w:szCs w:val="24"/>
                <w:color w:val="auto"/>
              </w:rPr>
            </w:pPr>
          </w:p>
        </w:tc>
        <w:tc>
          <w:tcPr>
            <w:tcW w:w="580" w:type="dxa"/>
            <w:vAlign w:val="bottom"/>
            <w:tcBorders>
              <w:bottom w:val="single" w:sz="8" w:color="auto"/>
            </w:tcBorders>
          </w:tcPr>
          <w:p>
            <w:pPr>
              <w:spacing w:after="0"/>
              <w:rPr>
                <w:sz w:val="24"/>
                <w:szCs w:val="24"/>
                <w:color w:val="auto"/>
              </w:rPr>
            </w:pPr>
          </w:p>
        </w:tc>
        <w:tc>
          <w:tcPr>
            <w:tcW w:w="2540" w:type="dxa"/>
            <w:vAlign w:val="bottom"/>
            <w:tcBorders>
              <w:bottom w:val="single" w:sz="8" w:color="auto"/>
              <w:right w:val="single" w:sz="8" w:color="auto"/>
            </w:tcBorders>
            <w:gridSpan w:val="6"/>
          </w:tcPr>
          <w:p>
            <w:pPr>
              <w:spacing w:after="0"/>
              <w:rPr>
                <w:sz w:val="24"/>
                <w:szCs w:val="24"/>
                <w:color w:val="auto"/>
              </w:rPr>
            </w:pPr>
          </w:p>
        </w:tc>
        <w:tc>
          <w:tcPr>
            <w:tcW w:w="0" w:type="dxa"/>
            <w:vAlign w:val="bottom"/>
          </w:tcPr>
          <w:p>
            <w:pPr>
              <w:spacing w:after="0"/>
              <w:rPr>
                <w:sz w:val="1"/>
                <w:szCs w:val="1"/>
                <w:color w:val="auto"/>
              </w:rPr>
            </w:pPr>
          </w:p>
        </w:tc>
      </w:tr>
      <w:tr>
        <w:trPr>
          <w:trHeight w:val="259"/>
        </w:trPr>
        <w:tc>
          <w:tcPr>
            <w:tcW w:w="120" w:type="dxa"/>
            <w:vAlign w:val="bottom"/>
            <w:tcBorders>
              <w:left w:val="single" w:sz="8" w:color="auto"/>
            </w:tcBorders>
          </w:tcPr>
          <w:p>
            <w:pPr>
              <w:spacing w:after="0"/>
              <w:rPr>
                <w:sz w:val="22"/>
                <w:szCs w:val="22"/>
                <w:color w:val="auto"/>
              </w:rPr>
            </w:pPr>
          </w:p>
        </w:tc>
        <w:tc>
          <w:tcPr>
            <w:tcW w:w="2420" w:type="dxa"/>
            <w:vAlign w:val="bottom"/>
            <w:tcBorders>
              <w:right w:val="single" w:sz="8" w:color="auto"/>
            </w:tcBorders>
          </w:tcPr>
          <w:p>
            <w:pPr>
              <w:spacing w:after="0" w:line="258" w:lineRule="exact"/>
              <w:rPr>
                <w:sz w:val="20"/>
                <w:szCs w:val="20"/>
                <w:color w:val="auto"/>
              </w:rPr>
            </w:pPr>
            <w:r>
              <w:rPr>
                <w:rFonts w:ascii="Times New Roman" w:cs="Times New Roman" w:eastAsia="Times New Roman" w:hAnsi="Times New Roman"/>
                <w:sz w:val="24"/>
                <w:szCs w:val="24"/>
                <w:color w:val="auto"/>
              </w:rPr>
              <w:t>Less than or equal to</w:t>
            </w:r>
          </w:p>
        </w:tc>
        <w:tc>
          <w:tcPr>
            <w:tcW w:w="60" w:type="dxa"/>
            <w:vAlign w:val="bottom"/>
          </w:tcPr>
          <w:p>
            <w:pPr>
              <w:spacing w:after="0"/>
              <w:rPr>
                <w:sz w:val="22"/>
                <w:szCs w:val="22"/>
                <w:color w:val="auto"/>
              </w:rPr>
            </w:pPr>
          </w:p>
        </w:tc>
        <w:tc>
          <w:tcPr>
            <w:tcW w:w="2620" w:type="dxa"/>
            <w:vAlign w:val="bottom"/>
            <w:tcBorders>
              <w:right w:val="single" w:sz="8" w:color="auto"/>
            </w:tcBorders>
            <w:gridSpan w:val="2"/>
          </w:tcPr>
          <w:p>
            <w:pPr>
              <w:ind w:left="20"/>
              <w:spacing w:after="0" w:line="258" w:lineRule="exact"/>
              <w:rPr>
                <w:sz w:val="20"/>
                <w:szCs w:val="20"/>
                <w:color w:val="auto"/>
              </w:rPr>
            </w:pPr>
            <w:r>
              <w:rPr>
                <w:rFonts w:ascii="Times New Roman" w:cs="Times New Roman" w:eastAsia="Times New Roman" w:hAnsi="Times New Roman"/>
                <w:sz w:val="24"/>
                <w:szCs w:val="24"/>
                <w:color w:val="auto"/>
              </w:rPr>
              <w:t>A flat charge of fifty</w:t>
            </w:r>
          </w:p>
        </w:tc>
        <w:tc>
          <w:tcPr>
            <w:tcW w:w="3120" w:type="dxa"/>
            <w:vAlign w:val="bottom"/>
            <w:tcBorders>
              <w:right w:val="single" w:sz="8" w:color="auto"/>
            </w:tcBorders>
            <w:gridSpan w:val="7"/>
          </w:tcPr>
          <w:p>
            <w:pPr>
              <w:ind w:left="100"/>
              <w:spacing w:after="0" w:line="258" w:lineRule="exact"/>
              <w:rPr>
                <w:sz w:val="20"/>
                <w:szCs w:val="20"/>
                <w:color w:val="auto"/>
              </w:rPr>
            </w:pPr>
            <w:r>
              <w:rPr>
                <w:rFonts w:ascii="Times New Roman" w:cs="Times New Roman" w:eastAsia="Times New Roman" w:hAnsi="Times New Roman"/>
                <w:sz w:val="24"/>
                <w:szCs w:val="24"/>
                <w:color w:val="auto"/>
              </w:rPr>
              <w:t>A flat charge of twenty five</w:t>
            </w:r>
          </w:p>
        </w:tc>
        <w:tc>
          <w:tcPr>
            <w:tcW w:w="0" w:type="dxa"/>
            <w:vAlign w:val="bottom"/>
          </w:tcPr>
          <w:p>
            <w:pPr>
              <w:spacing w:after="0"/>
              <w:rPr>
                <w:sz w:val="1"/>
                <w:szCs w:val="1"/>
                <w:color w:val="auto"/>
              </w:rPr>
            </w:pPr>
          </w:p>
        </w:tc>
      </w:tr>
      <w:tr>
        <w:trPr>
          <w:trHeight w:val="415"/>
        </w:trPr>
        <w:tc>
          <w:tcPr>
            <w:tcW w:w="120" w:type="dxa"/>
            <w:vAlign w:val="bottom"/>
            <w:tcBorders>
              <w:left w:val="single" w:sz="8" w:color="auto"/>
            </w:tcBorders>
          </w:tcPr>
          <w:p>
            <w:pPr>
              <w:spacing w:after="0"/>
              <w:rPr>
                <w:sz w:val="24"/>
                <w:szCs w:val="24"/>
                <w:color w:val="auto"/>
              </w:rPr>
            </w:pPr>
          </w:p>
        </w:tc>
        <w:tc>
          <w:tcPr>
            <w:tcW w:w="242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4"/>
                <w:szCs w:val="24"/>
                <w:color w:val="auto"/>
              </w:rPr>
              <w:t>ten crore rupees</w:t>
            </w:r>
          </w:p>
        </w:tc>
        <w:tc>
          <w:tcPr>
            <w:tcW w:w="60" w:type="dxa"/>
            <w:vAlign w:val="bottom"/>
          </w:tcPr>
          <w:p>
            <w:pPr>
              <w:spacing w:after="0"/>
              <w:rPr>
                <w:sz w:val="24"/>
                <w:szCs w:val="24"/>
                <w:color w:val="auto"/>
              </w:rPr>
            </w:pPr>
          </w:p>
        </w:tc>
        <w:tc>
          <w:tcPr>
            <w:tcW w:w="2620" w:type="dxa"/>
            <w:vAlign w:val="bottom"/>
            <w:tcBorders>
              <w:right w:val="single" w:sz="8" w:color="auto"/>
            </w:tcBorders>
            <w:gridSpan w:val="2"/>
          </w:tcPr>
          <w:p>
            <w:pPr>
              <w:ind w:left="20"/>
              <w:spacing w:after="0"/>
              <w:rPr>
                <w:sz w:val="20"/>
                <w:szCs w:val="20"/>
                <w:color w:val="auto"/>
              </w:rPr>
            </w:pPr>
            <w:r>
              <w:rPr>
                <w:rFonts w:ascii="Times New Roman" w:cs="Times New Roman" w:eastAsia="Times New Roman" w:hAnsi="Times New Roman"/>
                <w:sz w:val="24"/>
                <w:szCs w:val="24"/>
                <w:color w:val="auto"/>
              </w:rPr>
              <w:t>thousand rupees</w:t>
            </w:r>
          </w:p>
        </w:tc>
        <w:tc>
          <w:tcPr>
            <w:tcW w:w="3120" w:type="dxa"/>
            <w:vAlign w:val="bottom"/>
            <w:tcBorders>
              <w:right w:val="single" w:sz="8" w:color="auto"/>
            </w:tcBorders>
            <w:gridSpan w:val="7"/>
          </w:tcPr>
          <w:p>
            <w:pPr>
              <w:ind w:left="100"/>
              <w:spacing w:after="0"/>
              <w:rPr>
                <w:sz w:val="20"/>
                <w:szCs w:val="20"/>
                <w:color w:val="auto"/>
              </w:rPr>
            </w:pPr>
            <w:r>
              <w:rPr>
                <w:rFonts w:ascii="Times New Roman" w:cs="Times New Roman" w:eastAsia="Times New Roman" w:hAnsi="Times New Roman"/>
                <w:sz w:val="24"/>
                <w:szCs w:val="24"/>
                <w:color w:val="auto"/>
              </w:rPr>
              <w:t>thousand rupees ( 25,000/-).</w:t>
            </w:r>
          </w:p>
        </w:tc>
        <w:tc>
          <w:tcPr>
            <w:tcW w:w="0" w:type="dxa"/>
            <w:vAlign w:val="bottom"/>
          </w:tcPr>
          <w:p>
            <w:pPr>
              <w:spacing w:after="0"/>
              <w:rPr>
                <w:sz w:val="1"/>
                <w:szCs w:val="1"/>
                <w:color w:val="auto"/>
              </w:rPr>
            </w:pPr>
          </w:p>
        </w:tc>
      </w:tr>
      <w:tr>
        <w:trPr>
          <w:trHeight w:val="413"/>
        </w:trPr>
        <w:tc>
          <w:tcPr>
            <w:tcW w:w="120" w:type="dxa"/>
            <w:vAlign w:val="bottom"/>
            <w:tcBorders>
              <w:left w:val="single" w:sz="8" w:color="auto"/>
            </w:tcBorders>
          </w:tcPr>
          <w:p>
            <w:pPr>
              <w:spacing w:after="0"/>
              <w:rPr>
                <w:sz w:val="24"/>
                <w:szCs w:val="24"/>
                <w:color w:val="auto"/>
              </w:rPr>
            </w:pPr>
          </w:p>
        </w:tc>
        <w:tc>
          <w:tcPr>
            <w:tcW w:w="2420" w:type="dxa"/>
            <w:vAlign w:val="bottom"/>
            <w:tcBorders>
              <w:right w:val="single" w:sz="8" w:color="auto"/>
            </w:tcBorders>
          </w:tcPr>
          <w:p>
            <w:pPr>
              <w:spacing w:after="0"/>
              <w:rPr>
                <w:sz w:val="24"/>
                <w:szCs w:val="24"/>
                <w:color w:val="auto"/>
              </w:rPr>
            </w:pPr>
          </w:p>
        </w:tc>
        <w:tc>
          <w:tcPr>
            <w:tcW w:w="60" w:type="dxa"/>
            <w:vAlign w:val="bottom"/>
          </w:tcPr>
          <w:p>
            <w:pPr>
              <w:spacing w:after="0"/>
              <w:rPr>
                <w:sz w:val="24"/>
                <w:szCs w:val="24"/>
                <w:color w:val="auto"/>
              </w:rPr>
            </w:pPr>
          </w:p>
        </w:tc>
        <w:tc>
          <w:tcPr>
            <w:tcW w:w="2620" w:type="dxa"/>
            <w:vAlign w:val="bottom"/>
            <w:tcBorders>
              <w:right w:val="single" w:sz="8" w:color="auto"/>
            </w:tcBorders>
            <w:gridSpan w:val="2"/>
          </w:tcPr>
          <w:p>
            <w:pPr>
              <w:ind w:left="20"/>
              <w:spacing w:after="0"/>
              <w:rPr>
                <w:sz w:val="20"/>
                <w:szCs w:val="20"/>
                <w:color w:val="auto"/>
              </w:rPr>
            </w:pPr>
            <w:r>
              <w:rPr>
                <w:rFonts w:ascii="Times New Roman" w:cs="Times New Roman" w:eastAsia="Times New Roman" w:hAnsi="Times New Roman"/>
                <w:sz w:val="24"/>
                <w:szCs w:val="24"/>
                <w:color w:val="auto"/>
              </w:rPr>
              <w:t>( 50,000/-).</w:t>
            </w:r>
          </w:p>
        </w:tc>
        <w:tc>
          <w:tcPr>
            <w:tcW w:w="5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48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47"/>
        </w:trPr>
        <w:tc>
          <w:tcPr>
            <w:tcW w:w="120" w:type="dxa"/>
            <w:vAlign w:val="bottom"/>
            <w:tcBorders>
              <w:left w:val="single" w:sz="8" w:color="auto"/>
              <w:bottom w:val="single" w:sz="8" w:color="auto"/>
            </w:tcBorders>
          </w:tcPr>
          <w:p>
            <w:pPr>
              <w:spacing w:after="0"/>
              <w:rPr>
                <w:sz w:val="12"/>
                <w:szCs w:val="12"/>
                <w:color w:val="auto"/>
              </w:rPr>
            </w:pPr>
          </w:p>
        </w:tc>
        <w:tc>
          <w:tcPr>
            <w:tcW w:w="2420" w:type="dxa"/>
            <w:vAlign w:val="bottom"/>
            <w:tcBorders>
              <w:bottom w:val="single" w:sz="8" w:color="auto"/>
              <w:right w:val="single" w:sz="8" w:color="auto"/>
            </w:tcBorders>
          </w:tcPr>
          <w:p>
            <w:pPr>
              <w:spacing w:after="0"/>
              <w:rPr>
                <w:sz w:val="12"/>
                <w:szCs w:val="12"/>
                <w:color w:val="auto"/>
              </w:rPr>
            </w:pPr>
          </w:p>
        </w:tc>
        <w:tc>
          <w:tcPr>
            <w:tcW w:w="60" w:type="dxa"/>
            <w:vAlign w:val="bottom"/>
            <w:tcBorders>
              <w:bottom w:val="single" w:sz="8" w:color="auto"/>
            </w:tcBorders>
          </w:tcPr>
          <w:p>
            <w:pPr>
              <w:spacing w:after="0"/>
              <w:rPr>
                <w:sz w:val="12"/>
                <w:szCs w:val="12"/>
                <w:color w:val="auto"/>
              </w:rPr>
            </w:pPr>
          </w:p>
        </w:tc>
        <w:tc>
          <w:tcPr>
            <w:tcW w:w="220" w:type="dxa"/>
            <w:vAlign w:val="bottom"/>
            <w:tcBorders>
              <w:bottom w:val="single" w:sz="8" w:color="auto"/>
            </w:tcBorders>
          </w:tcPr>
          <w:p>
            <w:pPr>
              <w:spacing w:after="0"/>
              <w:rPr>
                <w:sz w:val="12"/>
                <w:szCs w:val="12"/>
                <w:color w:val="auto"/>
              </w:rPr>
            </w:pPr>
          </w:p>
        </w:tc>
        <w:tc>
          <w:tcPr>
            <w:tcW w:w="2400" w:type="dxa"/>
            <w:vAlign w:val="bottom"/>
            <w:tcBorders>
              <w:bottom w:val="single" w:sz="8" w:color="auto"/>
              <w:right w:val="single" w:sz="8" w:color="auto"/>
            </w:tcBorders>
          </w:tcPr>
          <w:p>
            <w:pPr>
              <w:spacing w:after="0"/>
              <w:rPr>
                <w:sz w:val="12"/>
                <w:szCs w:val="12"/>
                <w:color w:val="auto"/>
              </w:rPr>
            </w:pPr>
          </w:p>
        </w:tc>
        <w:tc>
          <w:tcPr>
            <w:tcW w:w="580" w:type="dxa"/>
            <w:vAlign w:val="bottom"/>
            <w:tcBorders>
              <w:bottom w:val="single" w:sz="8" w:color="auto"/>
            </w:tcBorders>
          </w:tcPr>
          <w:p>
            <w:pPr>
              <w:spacing w:after="0"/>
              <w:rPr>
                <w:sz w:val="12"/>
                <w:szCs w:val="12"/>
                <w:color w:val="auto"/>
              </w:rPr>
            </w:pPr>
          </w:p>
        </w:tc>
        <w:tc>
          <w:tcPr>
            <w:tcW w:w="2060" w:type="dxa"/>
            <w:vAlign w:val="bottom"/>
            <w:tcBorders>
              <w:bottom w:val="single" w:sz="8" w:color="auto"/>
            </w:tcBorders>
            <w:gridSpan w:val="5"/>
          </w:tcPr>
          <w:p>
            <w:pPr>
              <w:spacing w:after="0"/>
              <w:rPr>
                <w:sz w:val="12"/>
                <w:szCs w:val="12"/>
                <w:color w:val="auto"/>
              </w:rPr>
            </w:pPr>
          </w:p>
        </w:tc>
        <w:tc>
          <w:tcPr>
            <w:tcW w:w="48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58"/>
        </w:trPr>
        <w:tc>
          <w:tcPr>
            <w:tcW w:w="120" w:type="dxa"/>
            <w:vAlign w:val="bottom"/>
            <w:tcBorders>
              <w:left w:val="single" w:sz="8" w:color="auto"/>
            </w:tcBorders>
          </w:tcPr>
          <w:p>
            <w:pPr>
              <w:spacing w:after="0"/>
              <w:rPr>
                <w:sz w:val="22"/>
                <w:szCs w:val="22"/>
                <w:color w:val="auto"/>
              </w:rPr>
            </w:pPr>
          </w:p>
        </w:tc>
        <w:tc>
          <w:tcPr>
            <w:tcW w:w="2420" w:type="dxa"/>
            <w:vAlign w:val="bottom"/>
            <w:tcBorders>
              <w:right w:val="single" w:sz="8" w:color="auto"/>
            </w:tcBorders>
          </w:tcPr>
          <w:p>
            <w:pPr>
              <w:spacing w:after="0" w:line="258" w:lineRule="exact"/>
              <w:rPr>
                <w:sz w:val="20"/>
                <w:szCs w:val="20"/>
                <w:color w:val="auto"/>
              </w:rPr>
            </w:pPr>
            <w:r>
              <w:rPr>
                <w:rFonts w:ascii="Times New Roman" w:cs="Times New Roman" w:eastAsia="Times New Roman" w:hAnsi="Times New Roman"/>
                <w:sz w:val="24"/>
                <w:szCs w:val="24"/>
                <w:color w:val="auto"/>
              </w:rPr>
              <w:t>More than ten crore</w:t>
            </w:r>
          </w:p>
        </w:tc>
        <w:tc>
          <w:tcPr>
            <w:tcW w:w="60" w:type="dxa"/>
            <w:vAlign w:val="bottom"/>
          </w:tcPr>
          <w:p>
            <w:pPr>
              <w:spacing w:after="0"/>
              <w:rPr>
                <w:sz w:val="22"/>
                <w:szCs w:val="22"/>
                <w:color w:val="auto"/>
              </w:rPr>
            </w:pPr>
          </w:p>
        </w:tc>
        <w:tc>
          <w:tcPr>
            <w:tcW w:w="2620" w:type="dxa"/>
            <w:vAlign w:val="bottom"/>
            <w:tcBorders>
              <w:right w:val="single" w:sz="8" w:color="auto"/>
            </w:tcBorders>
            <w:gridSpan w:val="2"/>
          </w:tcPr>
          <w:p>
            <w:pPr>
              <w:ind w:left="20"/>
              <w:spacing w:after="0" w:line="258" w:lineRule="exact"/>
              <w:rPr>
                <w:sz w:val="20"/>
                <w:szCs w:val="20"/>
                <w:color w:val="auto"/>
              </w:rPr>
            </w:pPr>
            <w:r>
              <w:rPr>
                <w:rFonts w:ascii="Times New Roman" w:cs="Times New Roman" w:eastAsia="Times New Roman" w:hAnsi="Times New Roman"/>
                <w:sz w:val="24"/>
                <w:szCs w:val="24"/>
                <w:color w:val="auto"/>
              </w:rPr>
              <w:t>0.05 per cent. of the issue</w:t>
            </w:r>
          </w:p>
        </w:tc>
        <w:tc>
          <w:tcPr>
            <w:tcW w:w="2640" w:type="dxa"/>
            <w:vAlign w:val="bottom"/>
            <w:gridSpan w:val="6"/>
          </w:tcPr>
          <w:p>
            <w:pPr>
              <w:ind w:left="100"/>
              <w:spacing w:after="0" w:line="258" w:lineRule="exact"/>
              <w:rPr>
                <w:sz w:val="20"/>
                <w:szCs w:val="20"/>
                <w:color w:val="auto"/>
              </w:rPr>
            </w:pPr>
            <w:r>
              <w:rPr>
                <w:rFonts w:ascii="Times New Roman" w:cs="Times New Roman" w:eastAsia="Times New Roman" w:hAnsi="Times New Roman"/>
                <w:sz w:val="24"/>
                <w:szCs w:val="24"/>
                <w:color w:val="auto"/>
                <w:w w:val="99"/>
              </w:rPr>
              <w:t>0.025 per cent of the issue</w:t>
            </w:r>
          </w:p>
        </w:tc>
        <w:tc>
          <w:tcPr>
            <w:tcW w:w="480" w:type="dxa"/>
            <w:vAlign w:val="bottom"/>
            <w:tcBorders>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413"/>
        </w:trPr>
        <w:tc>
          <w:tcPr>
            <w:tcW w:w="120" w:type="dxa"/>
            <w:vAlign w:val="bottom"/>
            <w:tcBorders>
              <w:left w:val="single" w:sz="8" w:color="auto"/>
            </w:tcBorders>
          </w:tcPr>
          <w:p>
            <w:pPr>
              <w:spacing w:after="0"/>
              <w:rPr>
                <w:sz w:val="24"/>
                <w:szCs w:val="24"/>
                <w:color w:val="auto"/>
              </w:rPr>
            </w:pPr>
          </w:p>
        </w:tc>
        <w:tc>
          <w:tcPr>
            <w:tcW w:w="242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4"/>
                <w:szCs w:val="24"/>
                <w:color w:val="auto"/>
              </w:rPr>
              <w:t>rupees</w:t>
            </w:r>
          </w:p>
        </w:tc>
        <w:tc>
          <w:tcPr>
            <w:tcW w:w="60" w:type="dxa"/>
            <w:vAlign w:val="bottom"/>
          </w:tcPr>
          <w:p>
            <w:pPr>
              <w:spacing w:after="0"/>
              <w:rPr>
                <w:sz w:val="24"/>
                <w:szCs w:val="24"/>
                <w:color w:val="auto"/>
              </w:rPr>
            </w:pPr>
          </w:p>
        </w:tc>
        <w:tc>
          <w:tcPr>
            <w:tcW w:w="2620" w:type="dxa"/>
            <w:vAlign w:val="bottom"/>
            <w:tcBorders>
              <w:right w:val="single" w:sz="8" w:color="auto"/>
            </w:tcBorders>
            <w:gridSpan w:val="2"/>
          </w:tcPr>
          <w:p>
            <w:pPr>
              <w:ind w:left="20"/>
              <w:spacing w:after="0"/>
              <w:rPr>
                <w:sz w:val="20"/>
                <w:szCs w:val="20"/>
                <w:color w:val="auto"/>
              </w:rPr>
            </w:pPr>
            <w:r>
              <w:rPr>
                <w:rFonts w:ascii="Times New Roman" w:cs="Times New Roman" w:eastAsia="Times New Roman" w:hAnsi="Times New Roman"/>
                <w:sz w:val="24"/>
                <w:szCs w:val="24"/>
                <w:color w:val="auto"/>
              </w:rPr>
              <w:t>size.</w:t>
            </w:r>
          </w:p>
        </w:tc>
        <w:tc>
          <w:tcPr>
            <w:tcW w:w="640" w:type="dxa"/>
            <w:vAlign w:val="bottom"/>
            <w:gridSpan w:val="2"/>
          </w:tcPr>
          <w:p>
            <w:pPr>
              <w:ind w:left="100"/>
              <w:spacing w:after="0"/>
              <w:rPr>
                <w:sz w:val="20"/>
                <w:szCs w:val="20"/>
                <w:color w:val="auto"/>
              </w:rPr>
            </w:pPr>
            <w:r>
              <w:rPr>
                <w:rFonts w:ascii="Times New Roman" w:cs="Times New Roman" w:eastAsia="Times New Roman" w:hAnsi="Times New Roman"/>
                <w:sz w:val="24"/>
                <w:szCs w:val="24"/>
                <w:color w:val="auto"/>
              </w:rPr>
              <w:t>size.]</w:t>
            </w:r>
          </w:p>
        </w:tc>
        <w:tc>
          <w:tcPr>
            <w:tcW w:w="48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48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47"/>
        </w:trPr>
        <w:tc>
          <w:tcPr>
            <w:tcW w:w="120" w:type="dxa"/>
            <w:vAlign w:val="bottom"/>
            <w:tcBorders>
              <w:left w:val="single" w:sz="8" w:color="auto"/>
              <w:bottom w:val="single" w:sz="8" w:color="auto"/>
            </w:tcBorders>
          </w:tcPr>
          <w:p>
            <w:pPr>
              <w:spacing w:after="0"/>
              <w:rPr>
                <w:sz w:val="12"/>
                <w:szCs w:val="12"/>
                <w:color w:val="auto"/>
              </w:rPr>
            </w:pPr>
          </w:p>
        </w:tc>
        <w:tc>
          <w:tcPr>
            <w:tcW w:w="2420" w:type="dxa"/>
            <w:vAlign w:val="bottom"/>
            <w:tcBorders>
              <w:bottom w:val="single" w:sz="8" w:color="auto"/>
              <w:right w:val="single" w:sz="8" w:color="auto"/>
            </w:tcBorders>
          </w:tcPr>
          <w:p>
            <w:pPr>
              <w:spacing w:after="0"/>
              <w:rPr>
                <w:sz w:val="12"/>
                <w:szCs w:val="12"/>
                <w:color w:val="auto"/>
              </w:rPr>
            </w:pPr>
          </w:p>
        </w:tc>
        <w:tc>
          <w:tcPr>
            <w:tcW w:w="60" w:type="dxa"/>
            <w:vAlign w:val="bottom"/>
            <w:tcBorders>
              <w:bottom w:val="single" w:sz="8" w:color="auto"/>
            </w:tcBorders>
          </w:tcPr>
          <w:p>
            <w:pPr>
              <w:spacing w:after="0"/>
              <w:rPr>
                <w:sz w:val="12"/>
                <w:szCs w:val="12"/>
                <w:color w:val="auto"/>
              </w:rPr>
            </w:pPr>
          </w:p>
        </w:tc>
        <w:tc>
          <w:tcPr>
            <w:tcW w:w="220" w:type="dxa"/>
            <w:vAlign w:val="bottom"/>
            <w:tcBorders>
              <w:bottom w:val="single" w:sz="8" w:color="auto"/>
            </w:tcBorders>
          </w:tcPr>
          <w:p>
            <w:pPr>
              <w:spacing w:after="0"/>
              <w:rPr>
                <w:sz w:val="12"/>
                <w:szCs w:val="12"/>
                <w:color w:val="auto"/>
              </w:rPr>
            </w:pPr>
          </w:p>
        </w:tc>
        <w:tc>
          <w:tcPr>
            <w:tcW w:w="2400" w:type="dxa"/>
            <w:vAlign w:val="bottom"/>
            <w:tcBorders>
              <w:bottom w:val="single" w:sz="8" w:color="auto"/>
              <w:right w:val="single" w:sz="8" w:color="auto"/>
            </w:tcBorders>
          </w:tcPr>
          <w:p>
            <w:pPr>
              <w:spacing w:after="0"/>
              <w:rPr>
                <w:sz w:val="12"/>
                <w:szCs w:val="12"/>
                <w:color w:val="auto"/>
              </w:rPr>
            </w:pPr>
          </w:p>
        </w:tc>
        <w:tc>
          <w:tcPr>
            <w:tcW w:w="580" w:type="dxa"/>
            <w:vAlign w:val="bottom"/>
            <w:tcBorders>
              <w:bottom w:val="single" w:sz="8" w:color="auto"/>
            </w:tcBorders>
          </w:tcPr>
          <w:p>
            <w:pPr>
              <w:spacing w:after="0"/>
              <w:rPr>
                <w:sz w:val="12"/>
                <w:szCs w:val="12"/>
                <w:color w:val="auto"/>
              </w:rPr>
            </w:pPr>
          </w:p>
        </w:tc>
        <w:tc>
          <w:tcPr>
            <w:tcW w:w="60" w:type="dxa"/>
            <w:vAlign w:val="bottom"/>
            <w:tcBorders>
              <w:bottom w:val="single" w:sz="8" w:color="auto"/>
            </w:tcBorders>
          </w:tcPr>
          <w:p>
            <w:pPr>
              <w:spacing w:after="0"/>
              <w:rPr>
                <w:sz w:val="12"/>
                <w:szCs w:val="12"/>
                <w:color w:val="auto"/>
              </w:rPr>
            </w:pPr>
          </w:p>
        </w:tc>
        <w:tc>
          <w:tcPr>
            <w:tcW w:w="2480" w:type="dxa"/>
            <w:vAlign w:val="bottom"/>
            <w:tcBorders>
              <w:bottom w:val="single" w:sz="8" w:color="auto"/>
              <w:right w:val="single" w:sz="8" w:color="auto"/>
            </w:tcBorders>
            <w:gridSpan w:val="5"/>
          </w:tcPr>
          <w:p>
            <w:pPr>
              <w:spacing w:after="0"/>
              <w:rPr>
                <w:sz w:val="12"/>
                <w:szCs w:val="12"/>
                <w:color w:val="auto"/>
              </w:rPr>
            </w:pPr>
          </w:p>
        </w:tc>
        <w:tc>
          <w:tcPr>
            <w:tcW w:w="0" w:type="dxa"/>
            <w:vAlign w:val="bottom"/>
          </w:tcPr>
          <w:p>
            <w:pPr>
              <w:spacing w:after="0"/>
              <w:rPr>
                <w:sz w:val="1"/>
                <w:szCs w:val="1"/>
                <w:color w:val="auto"/>
              </w:rPr>
            </w:pPr>
          </w:p>
        </w:tc>
      </w:tr>
      <w:tr>
        <w:trPr>
          <w:trHeight w:val="818"/>
        </w:trPr>
        <w:tc>
          <w:tcPr>
            <w:tcW w:w="120" w:type="dxa"/>
            <w:vAlign w:val="bottom"/>
          </w:tcPr>
          <w:p>
            <w:pPr>
              <w:spacing w:after="0"/>
              <w:rPr>
                <w:sz w:val="24"/>
                <w:szCs w:val="24"/>
                <w:color w:val="auto"/>
              </w:rPr>
            </w:pPr>
          </w:p>
        </w:tc>
        <w:tc>
          <w:tcPr>
            <w:tcW w:w="2480" w:type="dxa"/>
            <w:vAlign w:val="bottom"/>
            <w:tcBorders>
              <w:bottom w:val="single" w:sz="8" w:color="auto"/>
            </w:tcBorders>
            <w:gridSpan w:val="2"/>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2400" w:type="dxa"/>
            <w:vAlign w:val="bottom"/>
            <w:tcBorders>
              <w:bottom w:val="single" w:sz="8" w:color="auto"/>
            </w:tcBorders>
          </w:tcPr>
          <w:p>
            <w:pPr>
              <w:spacing w:after="0"/>
              <w:rPr>
                <w:sz w:val="24"/>
                <w:szCs w:val="24"/>
                <w:color w:val="auto"/>
              </w:rPr>
            </w:pPr>
          </w:p>
        </w:tc>
        <w:tc>
          <w:tcPr>
            <w:tcW w:w="58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2480" w:type="dxa"/>
            <w:vAlign w:val="bottom"/>
            <w:tcBorders>
              <w:bottom w:val="single" w:sz="8" w:color="auto"/>
            </w:tcBorders>
            <w:gridSpan w:val="5"/>
          </w:tcPr>
          <w:p>
            <w:pPr>
              <w:spacing w:after="0"/>
              <w:rPr>
                <w:sz w:val="24"/>
                <w:szCs w:val="24"/>
                <w:color w:val="auto"/>
              </w:rPr>
            </w:pPr>
          </w:p>
        </w:tc>
        <w:tc>
          <w:tcPr>
            <w:tcW w:w="0" w:type="dxa"/>
            <w:vAlign w:val="bottom"/>
          </w:tcPr>
          <w:p>
            <w:pPr>
              <w:spacing w:after="0"/>
              <w:rPr>
                <w:sz w:val="1"/>
                <w:szCs w:val="1"/>
                <w:color w:val="auto"/>
              </w:rPr>
            </w:pPr>
          </w:p>
        </w:tc>
      </w:tr>
      <w:tr>
        <w:trPr>
          <w:trHeight w:val="273"/>
        </w:trPr>
        <w:tc>
          <w:tcPr>
            <w:tcW w:w="120" w:type="dxa"/>
            <w:vAlign w:val="bottom"/>
            <w:tcBorders>
              <w:right w:val="single" w:sz="8" w:color="auto"/>
            </w:tcBorders>
          </w:tcPr>
          <w:p>
            <w:pPr>
              <w:spacing w:after="0"/>
              <w:rPr>
                <w:sz w:val="23"/>
                <w:szCs w:val="23"/>
                <w:color w:val="auto"/>
              </w:rPr>
            </w:pPr>
          </w:p>
        </w:tc>
        <w:tc>
          <w:tcPr>
            <w:tcW w:w="2480" w:type="dxa"/>
            <w:vAlign w:val="bottom"/>
            <w:gridSpan w:val="2"/>
          </w:tcPr>
          <w:p>
            <w:pPr>
              <w:ind w:left="100"/>
              <w:spacing w:after="0" w:line="272" w:lineRule="exact"/>
              <w:rPr>
                <w:sz w:val="20"/>
                <w:szCs w:val="20"/>
                <w:color w:val="auto"/>
              </w:rPr>
            </w:pPr>
            <w:r>
              <w:rPr>
                <w:rFonts w:ascii="Times New Roman" w:cs="Times New Roman" w:eastAsia="Times New Roman" w:hAnsi="Times New Roman"/>
                <w:sz w:val="31"/>
                <w:szCs w:val="31"/>
                <w:b w:val="1"/>
                <w:bCs w:val="1"/>
                <w:color w:val="auto"/>
                <w:vertAlign w:val="superscript"/>
              </w:rPr>
              <w:t>107</w:t>
            </w:r>
            <w:r>
              <w:rPr>
                <w:rFonts w:ascii="Times New Roman" w:cs="Times New Roman" w:eastAsia="Times New Roman" w:hAnsi="Times New Roman"/>
                <w:sz w:val="23"/>
                <w:szCs w:val="23"/>
                <w:b w:val="1"/>
                <w:bCs w:val="1"/>
                <w:color w:val="auto"/>
              </w:rPr>
              <w:t>[Size of the issue,</w:t>
            </w:r>
          </w:p>
        </w:tc>
        <w:tc>
          <w:tcPr>
            <w:tcW w:w="220" w:type="dxa"/>
            <w:vAlign w:val="bottom"/>
            <w:tcBorders>
              <w:right w:val="single" w:sz="8" w:color="auto"/>
            </w:tcBorders>
          </w:tcPr>
          <w:p>
            <w:pPr>
              <w:spacing w:after="0"/>
              <w:rPr>
                <w:sz w:val="23"/>
                <w:szCs w:val="23"/>
                <w:color w:val="auto"/>
              </w:rPr>
            </w:pPr>
          </w:p>
        </w:tc>
        <w:tc>
          <w:tcPr>
            <w:tcW w:w="2400" w:type="dxa"/>
            <w:vAlign w:val="bottom"/>
          </w:tcPr>
          <w:p>
            <w:pPr>
              <w:ind w:left="100"/>
              <w:spacing w:after="0" w:line="264" w:lineRule="exact"/>
              <w:rPr>
                <w:sz w:val="20"/>
                <w:szCs w:val="20"/>
                <w:color w:val="auto"/>
              </w:rPr>
            </w:pPr>
            <w:r>
              <w:rPr>
                <w:rFonts w:ascii="Times New Roman" w:cs="Times New Roman" w:eastAsia="Times New Roman" w:hAnsi="Times New Roman"/>
                <w:sz w:val="24"/>
                <w:szCs w:val="24"/>
                <w:b w:val="1"/>
                <w:bCs w:val="1"/>
                <w:color w:val="auto"/>
              </w:rPr>
              <w:t>Amount / Rate of fees</w:t>
            </w:r>
          </w:p>
        </w:tc>
        <w:tc>
          <w:tcPr>
            <w:tcW w:w="580" w:type="dxa"/>
            <w:vAlign w:val="bottom"/>
            <w:tcBorders>
              <w:right w:val="single" w:sz="8" w:color="auto"/>
            </w:tcBorders>
          </w:tcPr>
          <w:p>
            <w:pPr>
              <w:spacing w:after="0"/>
              <w:rPr>
                <w:sz w:val="23"/>
                <w:szCs w:val="23"/>
                <w:color w:val="auto"/>
              </w:rPr>
            </w:pPr>
          </w:p>
        </w:tc>
        <w:tc>
          <w:tcPr>
            <w:tcW w:w="60" w:type="dxa"/>
            <w:vAlign w:val="bottom"/>
          </w:tcPr>
          <w:p>
            <w:pPr>
              <w:spacing w:after="0"/>
              <w:rPr>
                <w:sz w:val="23"/>
                <w:szCs w:val="23"/>
                <w:color w:val="auto"/>
              </w:rPr>
            </w:pPr>
          </w:p>
        </w:tc>
        <w:tc>
          <w:tcPr>
            <w:tcW w:w="2480" w:type="dxa"/>
            <w:vAlign w:val="bottom"/>
            <w:tcBorders>
              <w:right w:val="single" w:sz="8" w:color="auto"/>
            </w:tcBorders>
            <w:gridSpan w:val="5"/>
          </w:tcPr>
          <w:p>
            <w:pPr>
              <w:ind w:left="20"/>
              <w:spacing w:after="0" w:line="264" w:lineRule="exact"/>
              <w:rPr>
                <w:sz w:val="20"/>
                <w:szCs w:val="20"/>
                <w:color w:val="auto"/>
              </w:rPr>
            </w:pPr>
            <w:r>
              <w:rPr>
                <w:rFonts w:ascii="Times New Roman" w:cs="Times New Roman" w:eastAsia="Times New Roman" w:hAnsi="Times New Roman"/>
                <w:sz w:val="24"/>
                <w:szCs w:val="24"/>
                <w:b w:val="1"/>
                <w:bCs w:val="1"/>
                <w:color w:val="auto"/>
              </w:rPr>
              <w:t>Amount / Rate of fees</w:t>
            </w:r>
          </w:p>
        </w:tc>
        <w:tc>
          <w:tcPr>
            <w:tcW w:w="0" w:type="dxa"/>
            <w:vAlign w:val="bottom"/>
          </w:tcPr>
          <w:p>
            <w:pPr>
              <w:spacing w:after="0"/>
              <w:rPr>
                <w:sz w:val="1"/>
                <w:szCs w:val="1"/>
                <w:color w:val="auto"/>
              </w:rPr>
            </w:pPr>
          </w:p>
        </w:tc>
      </w:tr>
      <w:tr>
        <w:trPr>
          <w:trHeight w:val="264"/>
        </w:trPr>
        <w:tc>
          <w:tcPr>
            <w:tcW w:w="120" w:type="dxa"/>
            <w:vAlign w:val="bottom"/>
            <w:tcBorders>
              <w:right w:val="single" w:sz="8" w:color="auto"/>
            </w:tcBorders>
          </w:tcPr>
          <w:p>
            <w:pPr>
              <w:spacing w:after="0"/>
              <w:rPr>
                <w:sz w:val="22"/>
                <w:szCs w:val="22"/>
                <w:color w:val="auto"/>
              </w:rPr>
            </w:pPr>
          </w:p>
        </w:tc>
        <w:tc>
          <w:tcPr>
            <w:tcW w:w="2480" w:type="dxa"/>
            <w:vAlign w:val="bottom"/>
            <w:gridSpan w:val="2"/>
            <w:vMerge w:val="restart"/>
          </w:tcPr>
          <w:p>
            <w:pPr>
              <w:ind w:left="100"/>
              <w:spacing w:after="0"/>
              <w:rPr>
                <w:sz w:val="20"/>
                <w:szCs w:val="20"/>
                <w:color w:val="auto"/>
              </w:rPr>
            </w:pPr>
            <w:r>
              <w:rPr>
                <w:rFonts w:ascii="Times New Roman" w:cs="Times New Roman" w:eastAsia="Times New Roman" w:hAnsi="Times New Roman"/>
                <w:sz w:val="24"/>
                <w:szCs w:val="24"/>
                <w:b w:val="1"/>
                <w:bCs w:val="1"/>
                <w:color w:val="auto"/>
              </w:rPr>
              <w:t>including intended</w:t>
            </w:r>
          </w:p>
        </w:tc>
        <w:tc>
          <w:tcPr>
            <w:tcW w:w="220" w:type="dxa"/>
            <w:vAlign w:val="bottom"/>
            <w:tcBorders>
              <w:right w:val="single" w:sz="8" w:color="auto"/>
            </w:tcBorders>
          </w:tcPr>
          <w:p>
            <w:pPr>
              <w:spacing w:after="0"/>
              <w:rPr>
                <w:sz w:val="22"/>
                <w:szCs w:val="22"/>
                <w:color w:val="auto"/>
              </w:rPr>
            </w:pPr>
          </w:p>
        </w:tc>
        <w:tc>
          <w:tcPr>
            <w:tcW w:w="2400" w:type="dxa"/>
            <w:vAlign w:val="bottom"/>
          </w:tcPr>
          <w:p>
            <w:pPr>
              <w:spacing w:after="0"/>
              <w:rPr>
                <w:sz w:val="22"/>
                <w:szCs w:val="22"/>
                <w:color w:val="auto"/>
              </w:rPr>
            </w:pPr>
          </w:p>
        </w:tc>
        <w:tc>
          <w:tcPr>
            <w:tcW w:w="580" w:type="dxa"/>
            <w:vAlign w:val="bottom"/>
            <w:tcBorders>
              <w:right w:val="single" w:sz="8" w:color="auto"/>
            </w:tcBorders>
          </w:tcPr>
          <w:p>
            <w:pPr>
              <w:spacing w:after="0"/>
              <w:rPr>
                <w:sz w:val="22"/>
                <w:szCs w:val="22"/>
                <w:color w:val="auto"/>
              </w:rPr>
            </w:pPr>
          </w:p>
        </w:tc>
        <w:tc>
          <w:tcPr>
            <w:tcW w:w="60" w:type="dxa"/>
            <w:vAlign w:val="bottom"/>
          </w:tcPr>
          <w:p>
            <w:pPr>
              <w:spacing w:after="0"/>
              <w:rPr>
                <w:sz w:val="22"/>
                <w:szCs w:val="22"/>
                <w:color w:val="auto"/>
              </w:rPr>
            </w:pPr>
          </w:p>
        </w:tc>
        <w:tc>
          <w:tcPr>
            <w:tcW w:w="480" w:type="dxa"/>
            <w:vAlign w:val="bottom"/>
          </w:tcPr>
          <w:p>
            <w:pPr>
              <w:ind w:left="20"/>
              <w:spacing w:after="0" w:line="264" w:lineRule="exact"/>
              <w:rPr>
                <w:sz w:val="20"/>
                <w:szCs w:val="20"/>
                <w:color w:val="auto"/>
              </w:rPr>
            </w:pPr>
            <w:r>
              <w:rPr>
                <w:rFonts w:ascii="Times New Roman" w:cs="Times New Roman" w:eastAsia="Times New Roman" w:hAnsi="Times New Roman"/>
                <w:sz w:val="24"/>
                <w:szCs w:val="24"/>
                <w:b w:val="1"/>
                <w:bCs w:val="1"/>
                <w:color w:val="auto"/>
              </w:rPr>
              <w:t>for</w:t>
            </w:r>
          </w:p>
        </w:tc>
        <w:tc>
          <w:tcPr>
            <w:tcW w:w="560" w:type="dxa"/>
            <w:vAlign w:val="bottom"/>
          </w:tcPr>
          <w:p>
            <w:pPr>
              <w:ind w:left="20"/>
              <w:spacing w:after="0" w:line="264" w:lineRule="exact"/>
              <w:rPr>
                <w:sz w:val="20"/>
                <w:szCs w:val="20"/>
                <w:color w:val="auto"/>
              </w:rPr>
            </w:pPr>
            <w:r>
              <w:rPr>
                <w:rFonts w:ascii="Times New Roman" w:cs="Times New Roman" w:eastAsia="Times New Roman" w:hAnsi="Times New Roman"/>
                <w:sz w:val="24"/>
                <w:szCs w:val="24"/>
                <w:b w:val="1"/>
                <w:bCs w:val="1"/>
                <w:color w:val="auto"/>
                <w:w w:val="97"/>
              </w:rPr>
              <w:t>filing</w:t>
            </w:r>
          </w:p>
        </w:tc>
        <w:tc>
          <w:tcPr>
            <w:tcW w:w="120" w:type="dxa"/>
            <w:vAlign w:val="bottom"/>
          </w:tcPr>
          <w:p>
            <w:pPr>
              <w:spacing w:after="0"/>
              <w:rPr>
                <w:sz w:val="22"/>
                <w:szCs w:val="22"/>
                <w:color w:val="auto"/>
              </w:rPr>
            </w:pPr>
          </w:p>
        </w:tc>
        <w:tc>
          <w:tcPr>
            <w:tcW w:w="840" w:type="dxa"/>
            <w:vAlign w:val="bottom"/>
          </w:tcPr>
          <w:p>
            <w:pPr>
              <w:ind w:left="20"/>
              <w:spacing w:after="0" w:line="264" w:lineRule="exact"/>
              <w:rPr>
                <w:sz w:val="20"/>
                <w:szCs w:val="20"/>
                <w:color w:val="auto"/>
              </w:rPr>
            </w:pPr>
            <w:r>
              <w:rPr>
                <w:rFonts w:ascii="Times New Roman" w:cs="Times New Roman" w:eastAsia="Times New Roman" w:hAnsi="Times New Roman"/>
                <w:sz w:val="24"/>
                <w:szCs w:val="24"/>
                <w:b w:val="1"/>
                <w:bCs w:val="1"/>
                <w:color w:val="auto"/>
              </w:rPr>
              <w:t>within</w:t>
            </w:r>
          </w:p>
        </w:tc>
        <w:tc>
          <w:tcPr>
            <w:tcW w:w="480" w:type="dxa"/>
            <w:vAlign w:val="bottom"/>
            <w:tcBorders>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b w:val="1"/>
                <w:bCs w:val="1"/>
                <w:color w:val="auto"/>
                <w:w w:val="94"/>
              </w:rPr>
              <w:t>one</w:t>
            </w:r>
          </w:p>
        </w:tc>
        <w:tc>
          <w:tcPr>
            <w:tcW w:w="0" w:type="dxa"/>
            <w:vAlign w:val="bottom"/>
          </w:tcPr>
          <w:p>
            <w:pPr>
              <w:spacing w:after="0"/>
              <w:rPr>
                <w:sz w:val="1"/>
                <w:szCs w:val="1"/>
                <w:color w:val="auto"/>
              </w:rPr>
            </w:pPr>
          </w:p>
        </w:tc>
      </w:tr>
      <w:tr>
        <w:trPr>
          <w:trHeight w:val="142"/>
        </w:trPr>
        <w:tc>
          <w:tcPr>
            <w:tcW w:w="120" w:type="dxa"/>
            <w:vAlign w:val="bottom"/>
            <w:tcBorders>
              <w:right w:val="single" w:sz="8" w:color="auto"/>
            </w:tcBorders>
          </w:tcPr>
          <w:p>
            <w:pPr>
              <w:spacing w:after="0"/>
              <w:rPr>
                <w:sz w:val="12"/>
                <w:szCs w:val="12"/>
                <w:color w:val="auto"/>
              </w:rPr>
            </w:pPr>
          </w:p>
        </w:tc>
        <w:tc>
          <w:tcPr>
            <w:tcW w:w="2480" w:type="dxa"/>
            <w:vAlign w:val="bottom"/>
            <w:gridSpan w:val="2"/>
            <w:vMerge w:val="continue"/>
          </w:tcPr>
          <w:p>
            <w:pPr>
              <w:spacing w:after="0"/>
              <w:rPr>
                <w:sz w:val="12"/>
                <w:szCs w:val="12"/>
                <w:color w:val="auto"/>
              </w:rPr>
            </w:pPr>
          </w:p>
        </w:tc>
        <w:tc>
          <w:tcPr>
            <w:tcW w:w="220" w:type="dxa"/>
            <w:vAlign w:val="bottom"/>
            <w:tcBorders>
              <w:right w:val="single" w:sz="8" w:color="auto"/>
            </w:tcBorders>
          </w:tcPr>
          <w:p>
            <w:pPr>
              <w:spacing w:after="0"/>
              <w:rPr>
                <w:sz w:val="12"/>
                <w:szCs w:val="12"/>
                <w:color w:val="auto"/>
              </w:rPr>
            </w:pPr>
          </w:p>
        </w:tc>
        <w:tc>
          <w:tcPr>
            <w:tcW w:w="2400" w:type="dxa"/>
            <w:vAlign w:val="bottom"/>
          </w:tcPr>
          <w:p>
            <w:pPr>
              <w:spacing w:after="0"/>
              <w:rPr>
                <w:sz w:val="12"/>
                <w:szCs w:val="12"/>
                <w:color w:val="auto"/>
              </w:rPr>
            </w:pPr>
          </w:p>
        </w:tc>
        <w:tc>
          <w:tcPr>
            <w:tcW w:w="580" w:type="dxa"/>
            <w:vAlign w:val="bottom"/>
            <w:tcBorders>
              <w:right w:val="single" w:sz="8" w:color="auto"/>
            </w:tcBorders>
          </w:tcPr>
          <w:p>
            <w:pPr>
              <w:spacing w:after="0"/>
              <w:rPr>
                <w:sz w:val="12"/>
                <w:szCs w:val="12"/>
                <w:color w:val="auto"/>
              </w:rPr>
            </w:pPr>
          </w:p>
        </w:tc>
        <w:tc>
          <w:tcPr>
            <w:tcW w:w="60" w:type="dxa"/>
            <w:vAlign w:val="bottom"/>
          </w:tcPr>
          <w:p>
            <w:pPr>
              <w:spacing w:after="0"/>
              <w:rPr>
                <w:sz w:val="12"/>
                <w:szCs w:val="12"/>
                <w:color w:val="auto"/>
              </w:rPr>
            </w:pPr>
          </w:p>
        </w:tc>
        <w:tc>
          <w:tcPr>
            <w:tcW w:w="480" w:type="dxa"/>
            <w:vAlign w:val="bottom"/>
            <w:vMerge w:val="restart"/>
          </w:tcPr>
          <w:p>
            <w:pPr>
              <w:ind w:left="20"/>
              <w:spacing w:after="0"/>
              <w:rPr>
                <w:sz w:val="20"/>
                <w:szCs w:val="20"/>
                <w:color w:val="auto"/>
              </w:rPr>
            </w:pPr>
            <w:r>
              <w:rPr>
                <w:rFonts w:ascii="Times New Roman" w:cs="Times New Roman" w:eastAsia="Times New Roman" w:hAnsi="Times New Roman"/>
                <w:sz w:val="24"/>
                <w:szCs w:val="24"/>
                <w:b w:val="1"/>
                <w:bCs w:val="1"/>
                <w:color w:val="auto"/>
                <w:w w:val="96"/>
              </w:rPr>
              <w:t>year</w:t>
            </w:r>
          </w:p>
        </w:tc>
        <w:tc>
          <w:tcPr>
            <w:tcW w:w="680" w:type="dxa"/>
            <w:vAlign w:val="bottom"/>
            <w:gridSpan w:val="2"/>
            <w:vMerge w:val="restart"/>
          </w:tcPr>
          <w:p>
            <w:pPr>
              <w:ind w:left="180"/>
              <w:spacing w:after="0"/>
              <w:rPr>
                <w:sz w:val="20"/>
                <w:szCs w:val="20"/>
                <w:color w:val="auto"/>
              </w:rPr>
            </w:pPr>
            <w:r>
              <w:rPr>
                <w:rFonts w:ascii="Times New Roman" w:cs="Times New Roman" w:eastAsia="Times New Roman" w:hAnsi="Times New Roman"/>
                <w:sz w:val="24"/>
                <w:szCs w:val="24"/>
                <w:b w:val="1"/>
                <w:bCs w:val="1"/>
                <w:color w:val="auto"/>
                <w:w w:val="97"/>
              </w:rPr>
              <w:t>after</w:t>
            </w:r>
          </w:p>
        </w:tc>
        <w:tc>
          <w:tcPr>
            <w:tcW w:w="840" w:type="dxa"/>
            <w:vAlign w:val="bottom"/>
            <w:vMerge w:val="restart"/>
          </w:tcPr>
          <w:p>
            <w:pPr>
              <w:ind w:left="180"/>
              <w:spacing w:after="0"/>
              <w:rPr>
                <w:sz w:val="20"/>
                <w:szCs w:val="20"/>
                <w:color w:val="auto"/>
              </w:rPr>
            </w:pPr>
            <w:r>
              <w:rPr>
                <w:rFonts w:ascii="Times New Roman" w:cs="Times New Roman" w:eastAsia="Times New Roman" w:hAnsi="Times New Roman"/>
                <w:sz w:val="24"/>
                <w:szCs w:val="24"/>
                <w:b w:val="1"/>
                <w:bCs w:val="1"/>
                <w:color w:val="auto"/>
                <w:w w:val="97"/>
              </w:rPr>
              <w:t>expiry</w:t>
            </w:r>
          </w:p>
        </w:tc>
        <w:tc>
          <w:tcPr>
            <w:tcW w:w="480" w:type="dxa"/>
            <w:vAlign w:val="bottom"/>
            <w:tcBorders>
              <w:right w:val="single" w:sz="8" w:color="auto"/>
            </w:tcBorders>
            <w:vMerge w:val="restart"/>
          </w:tcPr>
          <w:p>
            <w:pPr>
              <w:jc w:val="right"/>
              <w:spacing w:after="0"/>
              <w:rPr>
                <w:sz w:val="20"/>
                <w:szCs w:val="20"/>
                <w:color w:val="auto"/>
              </w:rPr>
            </w:pPr>
            <w:r>
              <w:rPr>
                <w:rFonts w:ascii="Times New Roman" w:cs="Times New Roman" w:eastAsia="Times New Roman" w:hAnsi="Times New Roman"/>
                <w:sz w:val="24"/>
                <w:szCs w:val="24"/>
                <w:b w:val="1"/>
                <w:bCs w:val="1"/>
                <w:color w:val="auto"/>
              </w:rPr>
              <w:t>of</w:t>
            </w:r>
          </w:p>
        </w:tc>
        <w:tc>
          <w:tcPr>
            <w:tcW w:w="0" w:type="dxa"/>
            <w:vAlign w:val="bottom"/>
          </w:tcPr>
          <w:p>
            <w:pPr>
              <w:spacing w:after="0"/>
              <w:rPr>
                <w:sz w:val="1"/>
                <w:szCs w:val="1"/>
                <w:color w:val="auto"/>
              </w:rPr>
            </w:pPr>
          </w:p>
        </w:tc>
      </w:tr>
      <w:tr>
        <w:trPr>
          <w:trHeight w:val="134"/>
        </w:trPr>
        <w:tc>
          <w:tcPr>
            <w:tcW w:w="120" w:type="dxa"/>
            <w:vAlign w:val="bottom"/>
            <w:tcBorders>
              <w:right w:val="single" w:sz="8" w:color="auto"/>
            </w:tcBorders>
          </w:tcPr>
          <w:p>
            <w:pPr>
              <w:spacing w:after="0"/>
              <w:rPr>
                <w:sz w:val="11"/>
                <w:szCs w:val="11"/>
                <w:color w:val="auto"/>
              </w:rPr>
            </w:pPr>
          </w:p>
        </w:tc>
        <w:tc>
          <w:tcPr>
            <w:tcW w:w="24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220" w:type="dxa"/>
            <w:vAlign w:val="bottom"/>
            <w:tcBorders>
              <w:right w:val="single" w:sz="8" w:color="auto"/>
            </w:tcBorders>
          </w:tcPr>
          <w:p>
            <w:pPr>
              <w:spacing w:after="0"/>
              <w:rPr>
                <w:sz w:val="11"/>
                <w:szCs w:val="11"/>
                <w:color w:val="auto"/>
              </w:rPr>
            </w:pPr>
          </w:p>
        </w:tc>
        <w:tc>
          <w:tcPr>
            <w:tcW w:w="2400" w:type="dxa"/>
            <w:vAlign w:val="bottom"/>
          </w:tcPr>
          <w:p>
            <w:pPr>
              <w:spacing w:after="0"/>
              <w:rPr>
                <w:sz w:val="11"/>
                <w:szCs w:val="11"/>
                <w:color w:val="auto"/>
              </w:rPr>
            </w:pPr>
          </w:p>
        </w:tc>
        <w:tc>
          <w:tcPr>
            <w:tcW w:w="580" w:type="dxa"/>
            <w:vAlign w:val="bottom"/>
            <w:tcBorders>
              <w:right w:val="single" w:sz="8" w:color="auto"/>
            </w:tcBorders>
          </w:tcPr>
          <w:p>
            <w:pPr>
              <w:spacing w:after="0"/>
              <w:rPr>
                <w:sz w:val="11"/>
                <w:szCs w:val="11"/>
                <w:color w:val="auto"/>
              </w:rPr>
            </w:pPr>
          </w:p>
        </w:tc>
        <w:tc>
          <w:tcPr>
            <w:tcW w:w="60" w:type="dxa"/>
            <w:vAlign w:val="bottom"/>
          </w:tcPr>
          <w:p>
            <w:pPr>
              <w:spacing w:after="0"/>
              <w:rPr>
                <w:sz w:val="11"/>
                <w:szCs w:val="11"/>
                <w:color w:val="auto"/>
              </w:rPr>
            </w:pPr>
          </w:p>
        </w:tc>
        <w:tc>
          <w:tcPr>
            <w:tcW w:w="480" w:type="dxa"/>
            <w:vAlign w:val="bottom"/>
            <w:vMerge w:val="continue"/>
          </w:tcPr>
          <w:p>
            <w:pPr>
              <w:spacing w:after="0"/>
              <w:rPr>
                <w:sz w:val="11"/>
                <w:szCs w:val="11"/>
                <w:color w:val="auto"/>
              </w:rPr>
            </w:pPr>
          </w:p>
        </w:tc>
        <w:tc>
          <w:tcPr>
            <w:tcW w:w="680" w:type="dxa"/>
            <w:vAlign w:val="bottom"/>
            <w:gridSpan w:val="2"/>
            <w:vMerge w:val="continue"/>
          </w:tcPr>
          <w:p>
            <w:pPr>
              <w:spacing w:after="0"/>
              <w:rPr>
                <w:sz w:val="11"/>
                <w:szCs w:val="11"/>
                <w:color w:val="auto"/>
              </w:rPr>
            </w:pPr>
          </w:p>
        </w:tc>
        <w:tc>
          <w:tcPr>
            <w:tcW w:w="840" w:type="dxa"/>
            <w:vAlign w:val="bottom"/>
            <w:vMerge w:val="continue"/>
          </w:tcPr>
          <w:p>
            <w:pPr>
              <w:spacing w:after="0"/>
              <w:rPr>
                <w:sz w:val="11"/>
                <w:szCs w:val="11"/>
                <w:color w:val="auto"/>
              </w:rPr>
            </w:pPr>
          </w:p>
        </w:tc>
        <w:tc>
          <w:tcPr>
            <w:tcW w:w="480" w:type="dxa"/>
            <w:vAlign w:val="bottom"/>
            <w:tcBorders>
              <w:right w:val="single" w:sz="8" w:color="auto"/>
            </w:tcBorders>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278"/>
        </w:trPr>
        <w:tc>
          <w:tcPr>
            <w:tcW w:w="120" w:type="dxa"/>
            <w:vAlign w:val="bottom"/>
            <w:tcBorders>
              <w:right w:val="single" w:sz="8" w:color="auto"/>
            </w:tcBorders>
          </w:tcPr>
          <w:p>
            <w:pPr>
              <w:spacing w:after="0"/>
              <w:rPr>
                <w:sz w:val="24"/>
                <w:szCs w:val="24"/>
                <w:color w:val="auto"/>
              </w:rPr>
            </w:pPr>
          </w:p>
        </w:tc>
        <w:tc>
          <w:tcPr>
            <w:tcW w:w="2480" w:type="dxa"/>
            <w:vAlign w:val="bottom"/>
            <w:gridSpan w:val="2"/>
          </w:tcPr>
          <w:p>
            <w:pPr>
              <w:ind w:left="100"/>
              <w:spacing w:after="0"/>
              <w:rPr>
                <w:sz w:val="20"/>
                <w:szCs w:val="20"/>
                <w:color w:val="auto"/>
              </w:rPr>
            </w:pPr>
            <w:r>
              <w:rPr>
                <w:rFonts w:ascii="Times New Roman" w:cs="Times New Roman" w:eastAsia="Times New Roman" w:hAnsi="Times New Roman"/>
                <w:sz w:val="24"/>
                <w:szCs w:val="24"/>
                <w:b w:val="1"/>
                <w:bCs w:val="1"/>
                <w:color w:val="auto"/>
              </w:rPr>
              <w:t>retention of</w:t>
            </w:r>
          </w:p>
        </w:tc>
        <w:tc>
          <w:tcPr>
            <w:tcW w:w="220" w:type="dxa"/>
            <w:vAlign w:val="bottom"/>
            <w:tcBorders>
              <w:right w:val="single" w:sz="8" w:color="auto"/>
            </w:tcBorders>
          </w:tcPr>
          <w:p>
            <w:pPr>
              <w:spacing w:after="0"/>
              <w:rPr>
                <w:sz w:val="24"/>
                <w:szCs w:val="24"/>
                <w:color w:val="auto"/>
              </w:rPr>
            </w:pPr>
          </w:p>
        </w:tc>
        <w:tc>
          <w:tcPr>
            <w:tcW w:w="2400" w:type="dxa"/>
            <w:vAlign w:val="bottom"/>
          </w:tcPr>
          <w:p>
            <w:pPr>
              <w:spacing w:after="0"/>
              <w:rPr>
                <w:sz w:val="24"/>
                <w:szCs w:val="24"/>
                <w:color w:val="auto"/>
              </w:rPr>
            </w:pPr>
          </w:p>
        </w:tc>
        <w:tc>
          <w:tcPr>
            <w:tcW w:w="580" w:type="dxa"/>
            <w:vAlign w:val="bottom"/>
            <w:tcBorders>
              <w:right w:val="single" w:sz="8" w:color="auto"/>
            </w:tcBorders>
          </w:tcPr>
          <w:p>
            <w:pPr>
              <w:spacing w:after="0"/>
              <w:rPr>
                <w:sz w:val="24"/>
                <w:szCs w:val="24"/>
                <w:color w:val="auto"/>
              </w:rPr>
            </w:pPr>
          </w:p>
        </w:tc>
        <w:tc>
          <w:tcPr>
            <w:tcW w:w="60" w:type="dxa"/>
            <w:vAlign w:val="bottom"/>
          </w:tcPr>
          <w:p>
            <w:pPr>
              <w:spacing w:after="0"/>
              <w:rPr>
                <w:sz w:val="24"/>
                <w:szCs w:val="24"/>
                <w:color w:val="auto"/>
              </w:rPr>
            </w:pPr>
          </w:p>
        </w:tc>
        <w:tc>
          <w:tcPr>
            <w:tcW w:w="1040" w:type="dxa"/>
            <w:vAlign w:val="bottom"/>
            <w:gridSpan w:val="2"/>
          </w:tcPr>
          <w:p>
            <w:pPr>
              <w:ind w:left="20"/>
              <w:spacing w:after="0"/>
              <w:rPr>
                <w:sz w:val="20"/>
                <w:szCs w:val="20"/>
                <w:color w:val="auto"/>
              </w:rPr>
            </w:pPr>
            <w:r>
              <w:rPr>
                <w:rFonts w:ascii="Times New Roman" w:cs="Times New Roman" w:eastAsia="Times New Roman" w:hAnsi="Times New Roman"/>
                <w:sz w:val="24"/>
                <w:szCs w:val="24"/>
                <w:b w:val="1"/>
                <w:bCs w:val="1"/>
                <w:color w:val="auto"/>
              </w:rPr>
              <w:t>SEBI</w:t>
            </w:r>
          </w:p>
        </w:tc>
        <w:tc>
          <w:tcPr>
            <w:tcW w:w="1440" w:type="dxa"/>
            <w:vAlign w:val="bottom"/>
            <w:tcBorders>
              <w:right w:val="single" w:sz="8" w:color="auto"/>
            </w:tcBorders>
            <w:gridSpan w:val="3"/>
          </w:tcPr>
          <w:p>
            <w:pPr>
              <w:jc w:val="right"/>
              <w:spacing w:after="0"/>
              <w:rPr>
                <w:sz w:val="20"/>
                <w:szCs w:val="20"/>
                <w:color w:val="auto"/>
              </w:rPr>
            </w:pPr>
            <w:r>
              <w:rPr>
                <w:rFonts w:ascii="Times New Roman" w:cs="Times New Roman" w:eastAsia="Times New Roman" w:hAnsi="Times New Roman"/>
                <w:sz w:val="24"/>
                <w:szCs w:val="24"/>
                <w:b w:val="1"/>
                <w:bCs w:val="1"/>
                <w:color w:val="auto"/>
              </w:rPr>
              <w:t>Observation</w:t>
            </w:r>
          </w:p>
        </w:tc>
        <w:tc>
          <w:tcPr>
            <w:tcW w:w="0" w:type="dxa"/>
            <w:vAlign w:val="bottom"/>
          </w:tcPr>
          <w:p>
            <w:pPr>
              <w:spacing w:after="0"/>
              <w:rPr>
                <w:sz w:val="1"/>
                <w:szCs w:val="1"/>
                <w:color w:val="auto"/>
              </w:rPr>
            </w:pPr>
          </w:p>
        </w:tc>
      </w:tr>
      <w:tr>
        <w:trPr>
          <w:trHeight w:val="274"/>
        </w:trPr>
        <w:tc>
          <w:tcPr>
            <w:tcW w:w="120" w:type="dxa"/>
            <w:vAlign w:val="bottom"/>
            <w:tcBorders>
              <w:right w:val="single" w:sz="8" w:color="auto"/>
            </w:tcBorders>
          </w:tcPr>
          <w:p>
            <w:pPr>
              <w:spacing w:after="0"/>
              <w:rPr>
                <w:sz w:val="23"/>
                <w:szCs w:val="23"/>
                <w:color w:val="auto"/>
              </w:rPr>
            </w:pPr>
          </w:p>
        </w:tc>
        <w:tc>
          <w:tcPr>
            <w:tcW w:w="2480" w:type="dxa"/>
            <w:vAlign w:val="bottom"/>
            <w:gridSpan w:val="2"/>
            <w:vMerge w:val="restart"/>
          </w:tcPr>
          <w:p>
            <w:pPr>
              <w:ind w:left="100"/>
              <w:spacing w:after="0"/>
              <w:rPr>
                <w:sz w:val="20"/>
                <w:szCs w:val="20"/>
                <w:color w:val="auto"/>
              </w:rPr>
            </w:pPr>
            <w:r>
              <w:rPr>
                <w:rFonts w:ascii="Times New Roman" w:cs="Times New Roman" w:eastAsia="Times New Roman" w:hAnsi="Times New Roman"/>
                <w:sz w:val="24"/>
                <w:szCs w:val="24"/>
                <w:b w:val="1"/>
                <w:bCs w:val="1"/>
                <w:color w:val="auto"/>
              </w:rPr>
              <w:t>oversubscription</w:t>
            </w:r>
          </w:p>
        </w:tc>
        <w:tc>
          <w:tcPr>
            <w:tcW w:w="220" w:type="dxa"/>
            <w:vAlign w:val="bottom"/>
            <w:tcBorders>
              <w:right w:val="single" w:sz="8" w:color="auto"/>
            </w:tcBorders>
          </w:tcPr>
          <w:p>
            <w:pPr>
              <w:spacing w:after="0"/>
              <w:rPr>
                <w:sz w:val="23"/>
                <w:szCs w:val="23"/>
                <w:color w:val="auto"/>
              </w:rPr>
            </w:pPr>
          </w:p>
        </w:tc>
        <w:tc>
          <w:tcPr>
            <w:tcW w:w="2400" w:type="dxa"/>
            <w:vAlign w:val="bottom"/>
          </w:tcPr>
          <w:p>
            <w:pPr>
              <w:spacing w:after="0"/>
              <w:rPr>
                <w:sz w:val="23"/>
                <w:szCs w:val="23"/>
                <w:color w:val="auto"/>
              </w:rPr>
            </w:pPr>
          </w:p>
        </w:tc>
        <w:tc>
          <w:tcPr>
            <w:tcW w:w="580" w:type="dxa"/>
            <w:vAlign w:val="bottom"/>
            <w:tcBorders>
              <w:right w:val="single" w:sz="8" w:color="auto"/>
            </w:tcBorders>
          </w:tcPr>
          <w:p>
            <w:pPr>
              <w:spacing w:after="0"/>
              <w:rPr>
                <w:sz w:val="23"/>
                <w:szCs w:val="23"/>
                <w:color w:val="auto"/>
              </w:rPr>
            </w:pPr>
          </w:p>
        </w:tc>
        <w:tc>
          <w:tcPr>
            <w:tcW w:w="60" w:type="dxa"/>
            <w:vAlign w:val="bottom"/>
          </w:tcPr>
          <w:p>
            <w:pPr>
              <w:spacing w:after="0"/>
              <w:rPr>
                <w:sz w:val="23"/>
                <w:szCs w:val="23"/>
                <w:color w:val="auto"/>
              </w:rPr>
            </w:pPr>
          </w:p>
        </w:tc>
        <w:tc>
          <w:tcPr>
            <w:tcW w:w="1040" w:type="dxa"/>
            <w:vAlign w:val="bottom"/>
            <w:gridSpan w:val="2"/>
          </w:tcPr>
          <w:p>
            <w:pPr>
              <w:ind w:left="20"/>
              <w:spacing w:after="0" w:line="273" w:lineRule="exact"/>
              <w:rPr>
                <w:sz w:val="20"/>
                <w:szCs w:val="20"/>
                <w:color w:val="auto"/>
              </w:rPr>
            </w:pPr>
            <w:r>
              <w:rPr>
                <w:rFonts w:ascii="Times New Roman" w:cs="Times New Roman" w:eastAsia="Times New Roman" w:hAnsi="Times New Roman"/>
                <w:sz w:val="24"/>
                <w:szCs w:val="24"/>
                <w:b w:val="1"/>
                <w:bCs w:val="1"/>
                <w:color w:val="auto"/>
              </w:rPr>
              <w:t>letter</w:t>
            </w:r>
          </w:p>
        </w:tc>
        <w:tc>
          <w:tcPr>
            <w:tcW w:w="120" w:type="dxa"/>
            <w:vAlign w:val="bottom"/>
          </w:tcPr>
          <w:p>
            <w:pPr>
              <w:spacing w:after="0"/>
              <w:rPr>
                <w:sz w:val="23"/>
                <w:szCs w:val="23"/>
                <w:color w:val="auto"/>
              </w:rPr>
            </w:pPr>
          </w:p>
        </w:tc>
        <w:tc>
          <w:tcPr>
            <w:tcW w:w="840" w:type="dxa"/>
            <w:vAlign w:val="bottom"/>
          </w:tcPr>
          <w:p>
            <w:pPr>
              <w:spacing w:after="0"/>
              <w:rPr>
                <w:sz w:val="23"/>
                <w:szCs w:val="23"/>
                <w:color w:val="auto"/>
              </w:rPr>
            </w:pPr>
          </w:p>
        </w:tc>
        <w:tc>
          <w:tcPr>
            <w:tcW w:w="480" w:type="dxa"/>
            <w:vAlign w:val="bottom"/>
            <w:tcBorders>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142"/>
        </w:trPr>
        <w:tc>
          <w:tcPr>
            <w:tcW w:w="120" w:type="dxa"/>
            <w:vAlign w:val="bottom"/>
            <w:tcBorders>
              <w:right w:val="single" w:sz="8" w:color="auto"/>
            </w:tcBorders>
          </w:tcPr>
          <w:p>
            <w:pPr>
              <w:spacing w:after="0"/>
              <w:rPr>
                <w:sz w:val="12"/>
                <w:szCs w:val="12"/>
                <w:color w:val="auto"/>
              </w:rPr>
            </w:pPr>
          </w:p>
        </w:tc>
        <w:tc>
          <w:tcPr>
            <w:tcW w:w="2480" w:type="dxa"/>
            <w:vAlign w:val="bottom"/>
            <w:gridSpan w:val="2"/>
            <w:vMerge w:val="continue"/>
          </w:tcPr>
          <w:p>
            <w:pPr>
              <w:spacing w:after="0"/>
              <w:rPr>
                <w:sz w:val="12"/>
                <w:szCs w:val="12"/>
                <w:color w:val="auto"/>
              </w:rPr>
            </w:pPr>
          </w:p>
        </w:tc>
        <w:tc>
          <w:tcPr>
            <w:tcW w:w="220" w:type="dxa"/>
            <w:vAlign w:val="bottom"/>
            <w:tcBorders>
              <w:right w:val="single" w:sz="8" w:color="auto"/>
            </w:tcBorders>
          </w:tcPr>
          <w:p>
            <w:pPr>
              <w:spacing w:after="0"/>
              <w:rPr>
                <w:sz w:val="12"/>
                <w:szCs w:val="12"/>
                <w:color w:val="auto"/>
              </w:rPr>
            </w:pPr>
          </w:p>
        </w:tc>
        <w:tc>
          <w:tcPr>
            <w:tcW w:w="2400" w:type="dxa"/>
            <w:vAlign w:val="bottom"/>
          </w:tcPr>
          <w:p>
            <w:pPr>
              <w:spacing w:after="0"/>
              <w:rPr>
                <w:sz w:val="12"/>
                <w:szCs w:val="12"/>
                <w:color w:val="auto"/>
              </w:rPr>
            </w:pPr>
          </w:p>
        </w:tc>
        <w:tc>
          <w:tcPr>
            <w:tcW w:w="580" w:type="dxa"/>
            <w:vAlign w:val="bottom"/>
            <w:tcBorders>
              <w:right w:val="single" w:sz="8" w:color="auto"/>
            </w:tcBorders>
          </w:tcPr>
          <w:p>
            <w:pPr>
              <w:spacing w:after="0"/>
              <w:rPr>
                <w:sz w:val="12"/>
                <w:szCs w:val="12"/>
                <w:color w:val="auto"/>
              </w:rPr>
            </w:pPr>
          </w:p>
        </w:tc>
        <w:tc>
          <w:tcPr>
            <w:tcW w:w="60" w:type="dxa"/>
            <w:vAlign w:val="bottom"/>
          </w:tcPr>
          <w:p>
            <w:pPr>
              <w:spacing w:after="0"/>
              <w:rPr>
                <w:sz w:val="12"/>
                <w:szCs w:val="12"/>
                <w:color w:val="auto"/>
              </w:rPr>
            </w:pPr>
          </w:p>
        </w:tc>
        <w:tc>
          <w:tcPr>
            <w:tcW w:w="48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840" w:type="dxa"/>
            <w:vAlign w:val="bottom"/>
          </w:tcPr>
          <w:p>
            <w:pPr>
              <w:spacing w:after="0"/>
              <w:rPr>
                <w:sz w:val="12"/>
                <w:szCs w:val="12"/>
                <w:color w:val="auto"/>
              </w:rPr>
            </w:pPr>
          </w:p>
        </w:tc>
        <w:tc>
          <w:tcPr>
            <w:tcW w:w="480" w:type="dxa"/>
            <w:vAlign w:val="bottom"/>
            <w:tcBorders>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40"/>
        </w:trPr>
        <w:tc>
          <w:tcPr>
            <w:tcW w:w="120" w:type="dxa"/>
            <w:vAlign w:val="bottom"/>
            <w:tcBorders>
              <w:right w:val="single" w:sz="8" w:color="auto"/>
            </w:tcBorders>
          </w:tcPr>
          <w:p>
            <w:pPr>
              <w:spacing w:after="0"/>
              <w:rPr>
                <w:sz w:val="12"/>
                <w:szCs w:val="12"/>
                <w:color w:val="auto"/>
              </w:rPr>
            </w:pPr>
          </w:p>
        </w:tc>
        <w:tc>
          <w:tcPr>
            <w:tcW w:w="2480" w:type="dxa"/>
            <w:vAlign w:val="bottom"/>
            <w:tcBorders>
              <w:bottom w:val="single" w:sz="8" w:color="auto"/>
            </w:tcBorders>
            <w:gridSpan w:val="2"/>
          </w:tcPr>
          <w:p>
            <w:pPr>
              <w:spacing w:after="0"/>
              <w:rPr>
                <w:sz w:val="12"/>
                <w:szCs w:val="12"/>
                <w:color w:val="auto"/>
              </w:rPr>
            </w:pPr>
          </w:p>
        </w:tc>
        <w:tc>
          <w:tcPr>
            <w:tcW w:w="220" w:type="dxa"/>
            <w:vAlign w:val="bottom"/>
            <w:tcBorders>
              <w:bottom w:val="single" w:sz="8" w:color="auto"/>
              <w:right w:val="single" w:sz="8" w:color="auto"/>
            </w:tcBorders>
          </w:tcPr>
          <w:p>
            <w:pPr>
              <w:spacing w:after="0"/>
              <w:rPr>
                <w:sz w:val="12"/>
                <w:szCs w:val="12"/>
                <w:color w:val="auto"/>
              </w:rPr>
            </w:pPr>
          </w:p>
        </w:tc>
        <w:tc>
          <w:tcPr>
            <w:tcW w:w="2980" w:type="dxa"/>
            <w:vAlign w:val="bottom"/>
            <w:tcBorders>
              <w:bottom w:val="single" w:sz="8" w:color="auto"/>
              <w:right w:val="single" w:sz="8" w:color="auto"/>
            </w:tcBorders>
            <w:gridSpan w:val="2"/>
          </w:tcPr>
          <w:p>
            <w:pPr>
              <w:spacing w:after="0"/>
              <w:rPr>
                <w:sz w:val="12"/>
                <w:szCs w:val="12"/>
                <w:color w:val="auto"/>
              </w:rPr>
            </w:pPr>
          </w:p>
        </w:tc>
        <w:tc>
          <w:tcPr>
            <w:tcW w:w="60" w:type="dxa"/>
            <w:vAlign w:val="bottom"/>
            <w:tcBorders>
              <w:bottom w:val="single" w:sz="8" w:color="auto"/>
            </w:tcBorders>
          </w:tcPr>
          <w:p>
            <w:pPr>
              <w:spacing w:after="0"/>
              <w:rPr>
                <w:sz w:val="12"/>
                <w:szCs w:val="12"/>
                <w:color w:val="auto"/>
              </w:rPr>
            </w:pPr>
          </w:p>
        </w:tc>
        <w:tc>
          <w:tcPr>
            <w:tcW w:w="2480" w:type="dxa"/>
            <w:vAlign w:val="bottom"/>
            <w:tcBorders>
              <w:bottom w:val="single" w:sz="8" w:color="auto"/>
              <w:right w:val="single" w:sz="8" w:color="auto"/>
            </w:tcBorders>
            <w:gridSpan w:val="5"/>
          </w:tcPr>
          <w:p>
            <w:pPr>
              <w:spacing w:after="0"/>
              <w:rPr>
                <w:sz w:val="12"/>
                <w:szCs w:val="12"/>
                <w:color w:val="auto"/>
              </w:rPr>
            </w:pPr>
          </w:p>
        </w:tc>
        <w:tc>
          <w:tcPr>
            <w:tcW w:w="0" w:type="dxa"/>
            <w:vAlign w:val="bottom"/>
          </w:tcPr>
          <w:p>
            <w:pPr>
              <w:spacing w:after="0"/>
              <w:rPr>
                <w:sz w:val="1"/>
                <w:szCs w:val="1"/>
                <w:color w:val="auto"/>
              </w:rPr>
            </w:pPr>
          </w:p>
        </w:tc>
      </w:tr>
      <w:tr>
        <w:trPr>
          <w:trHeight w:val="258"/>
        </w:trPr>
        <w:tc>
          <w:tcPr>
            <w:tcW w:w="120" w:type="dxa"/>
            <w:vAlign w:val="bottom"/>
            <w:tcBorders>
              <w:right w:val="single" w:sz="8" w:color="auto"/>
            </w:tcBorders>
          </w:tcPr>
          <w:p>
            <w:pPr>
              <w:spacing w:after="0"/>
              <w:rPr>
                <w:sz w:val="22"/>
                <w:szCs w:val="22"/>
                <w:color w:val="auto"/>
              </w:rPr>
            </w:pPr>
          </w:p>
        </w:tc>
        <w:tc>
          <w:tcPr>
            <w:tcW w:w="2480" w:type="dxa"/>
            <w:vAlign w:val="bottom"/>
            <w:gridSpan w:val="2"/>
          </w:tcPr>
          <w:p>
            <w:pPr>
              <w:ind w:left="100"/>
              <w:spacing w:after="0" w:line="258" w:lineRule="exact"/>
              <w:rPr>
                <w:sz w:val="20"/>
                <w:szCs w:val="20"/>
                <w:color w:val="auto"/>
              </w:rPr>
            </w:pPr>
            <w:r>
              <w:rPr>
                <w:rFonts w:ascii="Times New Roman" w:cs="Times New Roman" w:eastAsia="Times New Roman" w:hAnsi="Times New Roman"/>
                <w:sz w:val="24"/>
                <w:szCs w:val="24"/>
                <w:color w:val="auto"/>
              </w:rPr>
              <w:t>Less than or equal to ten</w:t>
            </w:r>
          </w:p>
        </w:tc>
        <w:tc>
          <w:tcPr>
            <w:tcW w:w="220" w:type="dxa"/>
            <w:vAlign w:val="bottom"/>
            <w:tcBorders>
              <w:right w:val="single" w:sz="8" w:color="auto"/>
            </w:tcBorders>
          </w:tcPr>
          <w:p>
            <w:pPr>
              <w:spacing w:after="0"/>
              <w:rPr>
                <w:sz w:val="22"/>
                <w:szCs w:val="22"/>
                <w:color w:val="auto"/>
              </w:rPr>
            </w:pPr>
          </w:p>
        </w:tc>
        <w:tc>
          <w:tcPr>
            <w:tcW w:w="2980" w:type="dxa"/>
            <w:vAlign w:val="bottom"/>
            <w:tcBorders>
              <w:right w:val="single" w:sz="8" w:color="auto"/>
            </w:tcBorders>
            <w:gridSpan w:val="2"/>
          </w:tcPr>
          <w:p>
            <w:pPr>
              <w:ind w:left="100"/>
              <w:spacing w:after="0" w:line="258" w:lineRule="exact"/>
              <w:rPr>
                <w:sz w:val="20"/>
                <w:szCs w:val="20"/>
                <w:color w:val="auto"/>
              </w:rPr>
            </w:pPr>
            <w:r>
              <w:rPr>
                <w:rFonts w:ascii="Times New Roman" w:cs="Times New Roman" w:eastAsia="Times New Roman" w:hAnsi="Times New Roman"/>
                <w:sz w:val="24"/>
                <w:szCs w:val="24"/>
                <w:color w:val="auto"/>
              </w:rPr>
              <w:t>A flat charge of twenty five</w:t>
            </w:r>
          </w:p>
        </w:tc>
        <w:tc>
          <w:tcPr>
            <w:tcW w:w="60" w:type="dxa"/>
            <w:vAlign w:val="bottom"/>
          </w:tcPr>
          <w:p>
            <w:pPr>
              <w:spacing w:after="0"/>
              <w:rPr>
                <w:sz w:val="22"/>
                <w:szCs w:val="22"/>
                <w:color w:val="auto"/>
              </w:rPr>
            </w:pPr>
          </w:p>
        </w:tc>
        <w:tc>
          <w:tcPr>
            <w:tcW w:w="2480" w:type="dxa"/>
            <w:vAlign w:val="bottom"/>
            <w:tcBorders>
              <w:right w:val="single" w:sz="8" w:color="auto"/>
            </w:tcBorders>
            <w:gridSpan w:val="5"/>
          </w:tcPr>
          <w:p>
            <w:pPr>
              <w:ind w:left="20"/>
              <w:spacing w:after="0" w:line="258" w:lineRule="exact"/>
              <w:rPr>
                <w:sz w:val="20"/>
                <w:szCs w:val="20"/>
                <w:color w:val="auto"/>
              </w:rPr>
            </w:pPr>
            <w:r>
              <w:rPr>
                <w:rFonts w:ascii="Times New Roman" w:cs="Times New Roman" w:eastAsia="Times New Roman" w:hAnsi="Times New Roman"/>
                <w:sz w:val="24"/>
                <w:szCs w:val="24"/>
                <w:color w:val="auto"/>
              </w:rPr>
              <w:t>A flat charge of twelve</w:t>
            </w:r>
          </w:p>
        </w:tc>
        <w:tc>
          <w:tcPr>
            <w:tcW w:w="0" w:type="dxa"/>
            <w:vAlign w:val="bottom"/>
          </w:tcPr>
          <w:p>
            <w:pPr>
              <w:spacing w:after="0"/>
              <w:rPr>
                <w:sz w:val="1"/>
                <w:szCs w:val="1"/>
                <w:color w:val="auto"/>
              </w:rPr>
            </w:pPr>
          </w:p>
        </w:tc>
      </w:tr>
      <w:tr>
        <w:trPr>
          <w:trHeight w:val="274"/>
        </w:trPr>
        <w:tc>
          <w:tcPr>
            <w:tcW w:w="120" w:type="dxa"/>
            <w:vAlign w:val="bottom"/>
            <w:tcBorders>
              <w:right w:val="single" w:sz="8" w:color="auto"/>
            </w:tcBorders>
          </w:tcPr>
          <w:p>
            <w:pPr>
              <w:spacing w:after="0"/>
              <w:rPr>
                <w:sz w:val="23"/>
                <w:szCs w:val="23"/>
                <w:color w:val="auto"/>
              </w:rPr>
            </w:pPr>
          </w:p>
        </w:tc>
        <w:tc>
          <w:tcPr>
            <w:tcW w:w="2480" w:type="dxa"/>
            <w:vAlign w:val="bottom"/>
            <w:gridSpan w:val="2"/>
            <w:vMerge w:val="restart"/>
          </w:tcPr>
          <w:p>
            <w:pPr>
              <w:ind w:left="100"/>
              <w:spacing w:after="0"/>
              <w:rPr>
                <w:sz w:val="20"/>
                <w:szCs w:val="20"/>
                <w:color w:val="auto"/>
              </w:rPr>
            </w:pPr>
            <w:r>
              <w:rPr>
                <w:rFonts w:ascii="Times New Roman" w:cs="Times New Roman" w:eastAsia="Times New Roman" w:hAnsi="Times New Roman"/>
                <w:sz w:val="24"/>
                <w:szCs w:val="24"/>
                <w:color w:val="auto"/>
              </w:rPr>
              <w:t>crore rupees</w:t>
            </w:r>
            <w:r>
              <w:rPr>
                <w:rFonts w:ascii="Times New Roman" w:cs="Times New Roman" w:eastAsia="Times New Roman" w:hAnsi="Times New Roman"/>
                <w:sz w:val="32"/>
                <w:szCs w:val="32"/>
                <w:color w:val="auto"/>
                <w:vertAlign w:val="superscript"/>
              </w:rPr>
              <w:t>#</w:t>
            </w:r>
          </w:p>
        </w:tc>
        <w:tc>
          <w:tcPr>
            <w:tcW w:w="220" w:type="dxa"/>
            <w:vAlign w:val="bottom"/>
            <w:tcBorders>
              <w:right w:val="single" w:sz="8" w:color="auto"/>
            </w:tcBorders>
          </w:tcPr>
          <w:p>
            <w:pPr>
              <w:spacing w:after="0"/>
              <w:rPr>
                <w:sz w:val="23"/>
                <w:szCs w:val="23"/>
                <w:color w:val="auto"/>
              </w:rPr>
            </w:pPr>
          </w:p>
        </w:tc>
        <w:tc>
          <w:tcPr>
            <w:tcW w:w="2400" w:type="dxa"/>
            <w:vAlign w:val="bottom"/>
            <w:vMerge w:val="restart"/>
          </w:tcPr>
          <w:p>
            <w:pPr>
              <w:ind w:left="100"/>
              <w:spacing w:after="0"/>
              <w:rPr>
                <w:sz w:val="20"/>
                <w:szCs w:val="20"/>
                <w:color w:val="auto"/>
              </w:rPr>
            </w:pPr>
            <w:r>
              <w:rPr>
                <w:rFonts w:ascii="Times New Roman" w:cs="Times New Roman" w:eastAsia="Times New Roman" w:hAnsi="Times New Roman"/>
                <w:sz w:val="24"/>
                <w:szCs w:val="24"/>
                <w:color w:val="auto"/>
              </w:rPr>
              <w:t>thousand rupees</w:t>
            </w:r>
          </w:p>
        </w:tc>
        <w:tc>
          <w:tcPr>
            <w:tcW w:w="580" w:type="dxa"/>
            <w:vAlign w:val="bottom"/>
            <w:tcBorders>
              <w:right w:val="single" w:sz="8" w:color="auto"/>
            </w:tcBorders>
          </w:tcPr>
          <w:p>
            <w:pPr>
              <w:spacing w:after="0"/>
              <w:rPr>
                <w:sz w:val="23"/>
                <w:szCs w:val="23"/>
                <w:color w:val="auto"/>
              </w:rPr>
            </w:pPr>
          </w:p>
        </w:tc>
        <w:tc>
          <w:tcPr>
            <w:tcW w:w="60" w:type="dxa"/>
            <w:vAlign w:val="bottom"/>
          </w:tcPr>
          <w:p>
            <w:pPr>
              <w:spacing w:after="0"/>
              <w:rPr>
                <w:sz w:val="23"/>
                <w:szCs w:val="23"/>
                <w:color w:val="auto"/>
              </w:rPr>
            </w:pPr>
          </w:p>
        </w:tc>
        <w:tc>
          <w:tcPr>
            <w:tcW w:w="1040" w:type="dxa"/>
            <w:vAlign w:val="bottom"/>
            <w:gridSpan w:val="2"/>
          </w:tcPr>
          <w:p>
            <w:pPr>
              <w:ind w:left="20"/>
              <w:spacing w:after="0" w:line="273" w:lineRule="exact"/>
              <w:rPr>
                <w:sz w:val="20"/>
                <w:szCs w:val="20"/>
                <w:color w:val="auto"/>
              </w:rPr>
            </w:pPr>
            <w:r>
              <w:rPr>
                <w:rFonts w:ascii="Times New Roman" w:cs="Times New Roman" w:eastAsia="Times New Roman" w:hAnsi="Times New Roman"/>
                <w:sz w:val="24"/>
                <w:szCs w:val="24"/>
                <w:color w:val="auto"/>
              </w:rPr>
              <w:t>thousand</w:t>
            </w:r>
          </w:p>
        </w:tc>
        <w:tc>
          <w:tcPr>
            <w:tcW w:w="1440" w:type="dxa"/>
            <w:vAlign w:val="bottom"/>
            <w:tcBorders>
              <w:right w:val="single" w:sz="8" w:color="auto"/>
            </w:tcBorders>
            <w:gridSpan w:val="3"/>
          </w:tcPr>
          <w:p>
            <w:pPr>
              <w:jc w:val="right"/>
              <w:spacing w:after="0" w:line="273" w:lineRule="exact"/>
              <w:rPr>
                <w:sz w:val="20"/>
                <w:szCs w:val="20"/>
                <w:color w:val="auto"/>
              </w:rPr>
            </w:pPr>
            <w:r>
              <w:rPr>
                <w:rFonts w:ascii="Times New Roman" w:cs="Times New Roman" w:eastAsia="Times New Roman" w:hAnsi="Times New Roman"/>
                <w:sz w:val="24"/>
                <w:szCs w:val="24"/>
                <w:color w:val="auto"/>
              </w:rPr>
              <w:t>five  hundred</w:t>
            </w:r>
          </w:p>
        </w:tc>
        <w:tc>
          <w:tcPr>
            <w:tcW w:w="0" w:type="dxa"/>
            <w:vAlign w:val="bottom"/>
          </w:tcPr>
          <w:p>
            <w:pPr>
              <w:spacing w:after="0"/>
              <w:rPr>
                <w:sz w:val="1"/>
                <w:szCs w:val="1"/>
                <w:color w:val="auto"/>
              </w:rPr>
            </w:pPr>
          </w:p>
        </w:tc>
      </w:tr>
      <w:tr>
        <w:trPr>
          <w:trHeight w:val="226"/>
        </w:trPr>
        <w:tc>
          <w:tcPr>
            <w:tcW w:w="120" w:type="dxa"/>
            <w:vAlign w:val="bottom"/>
            <w:tcBorders>
              <w:right w:val="single" w:sz="8" w:color="auto"/>
            </w:tcBorders>
          </w:tcPr>
          <w:p>
            <w:pPr>
              <w:spacing w:after="0"/>
              <w:rPr>
                <w:sz w:val="19"/>
                <w:szCs w:val="19"/>
                <w:color w:val="auto"/>
              </w:rPr>
            </w:pPr>
          </w:p>
        </w:tc>
        <w:tc>
          <w:tcPr>
            <w:tcW w:w="2480" w:type="dxa"/>
            <w:vAlign w:val="bottom"/>
            <w:gridSpan w:val="2"/>
            <w:vMerge w:val="continue"/>
          </w:tcPr>
          <w:p>
            <w:pPr>
              <w:spacing w:after="0"/>
              <w:rPr>
                <w:sz w:val="19"/>
                <w:szCs w:val="19"/>
                <w:color w:val="auto"/>
              </w:rPr>
            </w:pPr>
          </w:p>
        </w:tc>
        <w:tc>
          <w:tcPr>
            <w:tcW w:w="220" w:type="dxa"/>
            <w:vAlign w:val="bottom"/>
            <w:tcBorders>
              <w:right w:val="single" w:sz="8" w:color="auto"/>
            </w:tcBorders>
          </w:tcPr>
          <w:p>
            <w:pPr>
              <w:spacing w:after="0"/>
              <w:rPr>
                <w:sz w:val="19"/>
                <w:szCs w:val="19"/>
                <w:color w:val="auto"/>
              </w:rPr>
            </w:pPr>
          </w:p>
        </w:tc>
        <w:tc>
          <w:tcPr>
            <w:tcW w:w="2400" w:type="dxa"/>
            <w:vAlign w:val="bottom"/>
            <w:vMerge w:val="continue"/>
          </w:tcPr>
          <w:p>
            <w:pPr>
              <w:spacing w:after="0"/>
              <w:rPr>
                <w:sz w:val="19"/>
                <w:szCs w:val="19"/>
                <w:color w:val="auto"/>
              </w:rPr>
            </w:pPr>
          </w:p>
        </w:tc>
        <w:tc>
          <w:tcPr>
            <w:tcW w:w="580" w:type="dxa"/>
            <w:vAlign w:val="bottom"/>
            <w:tcBorders>
              <w:right w:val="single" w:sz="8" w:color="auto"/>
            </w:tcBorders>
          </w:tcPr>
          <w:p>
            <w:pPr>
              <w:spacing w:after="0"/>
              <w:rPr>
                <w:sz w:val="19"/>
                <w:szCs w:val="19"/>
                <w:color w:val="auto"/>
              </w:rPr>
            </w:pPr>
          </w:p>
        </w:tc>
        <w:tc>
          <w:tcPr>
            <w:tcW w:w="60" w:type="dxa"/>
            <w:vAlign w:val="bottom"/>
          </w:tcPr>
          <w:p>
            <w:pPr>
              <w:spacing w:after="0"/>
              <w:rPr>
                <w:sz w:val="19"/>
                <w:szCs w:val="19"/>
                <w:color w:val="auto"/>
              </w:rPr>
            </w:pPr>
          </w:p>
        </w:tc>
        <w:tc>
          <w:tcPr>
            <w:tcW w:w="2000" w:type="dxa"/>
            <w:vAlign w:val="bottom"/>
            <w:gridSpan w:val="4"/>
            <w:vMerge w:val="restart"/>
          </w:tcPr>
          <w:p>
            <w:pPr>
              <w:ind w:left="20"/>
              <w:spacing w:after="0"/>
              <w:rPr>
                <w:sz w:val="20"/>
                <w:szCs w:val="20"/>
                <w:color w:val="auto"/>
              </w:rPr>
            </w:pPr>
            <w:r>
              <w:rPr>
                <w:rFonts w:ascii="Times New Roman" w:cs="Times New Roman" w:eastAsia="Times New Roman" w:hAnsi="Times New Roman"/>
                <w:sz w:val="24"/>
                <w:szCs w:val="24"/>
                <w:color w:val="auto"/>
              </w:rPr>
              <w:t>rupees (12,500/-).</w:t>
            </w:r>
          </w:p>
        </w:tc>
        <w:tc>
          <w:tcPr>
            <w:tcW w:w="480" w:type="dxa"/>
            <w:vAlign w:val="bottom"/>
            <w:tcBorders>
              <w:right w:val="single" w:sz="8" w:color="auto"/>
            </w:tcBorders>
          </w:tcPr>
          <w:p>
            <w:pPr>
              <w:spacing w:after="0"/>
              <w:rPr>
                <w:sz w:val="19"/>
                <w:szCs w:val="19"/>
                <w:color w:val="auto"/>
              </w:rPr>
            </w:pPr>
          </w:p>
        </w:tc>
        <w:tc>
          <w:tcPr>
            <w:tcW w:w="0" w:type="dxa"/>
            <w:vAlign w:val="bottom"/>
          </w:tcPr>
          <w:p>
            <w:pPr>
              <w:spacing w:after="0"/>
              <w:rPr>
                <w:sz w:val="1"/>
                <w:szCs w:val="1"/>
                <w:color w:val="auto"/>
              </w:rPr>
            </w:pPr>
          </w:p>
        </w:tc>
      </w:tr>
      <w:tr>
        <w:trPr>
          <w:trHeight w:val="50"/>
        </w:trPr>
        <w:tc>
          <w:tcPr>
            <w:tcW w:w="120" w:type="dxa"/>
            <w:vAlign w:val="bottom"/>
            <w:tcBorders>
              <w:right w:val="single" w:sz="8" w:color="auto"/>
            </w:tcBorders>
          </w:tcPr>
          <w:p>
            <w:pPr>
              <w:spacing w:after="0"/>
              <w:rPr>
                <w:sz w:val="4"/>
                <w:szCs w:val="4"/>
                <w:color w:val="auto"/>
              </w:rPr>
            </w:pPr>
          </w:p>
        </w:tc>
        <w:tc>
          <w:tcPr>
            <w:tcW w:w="2420" w:type="dxa"/>
            <w:vAlign w:val="bottom"/>
          </w:tcPr>
          <w:p>
            <w:pPr>
              <w:spacing w:after="0"/>
              <w:rPr>
                <w:sz w:val="4"/>
                <w:szCs w:val="4"/>
                <w:color w:val="auto"/>
              </w:rPr>
            </w:pPr>
          </w:p>
        </w:tc>
        <w:tc>
          <w:tcPr>
            <w:tcW w:w="60" w:type="dxa"/>
            <w:vAlign w:val="bottom"/>
          </w:tcPr>
          <w:p>
            <w:pPr>
              <w:spacing w:after="0"/>
              <w:rPr>
                <w:sz w:val="4"/>
                <w:szCs w:val="4"/>
                <w:color w:val="auto"/>
              </w:rPr>
            </w:pPr>
          </w:p>
        </w:tc>
        <w:tc>
          <w:tcPr>
            <w:tcW w:w="220" w:type="dxa"/>
            <w:vAlign w:val="bottom"/>
            <w:tcBorders>
              <w:right w:val="single" w:sz="8" w:color="auto"/>
            </w:tcBorders>
          </w:tcPr>
          <w:p>
            <w:pPr>
              <w:spacing w:after="0"/>
              <w:rPr>
                <w:sz w:val="4"/>
                <w:szCs w:val="4"/>
                <w:color w:val="auto"/>
              </w:rPr>
            </w:pPr>
          </w:p>
        </w:tc>
        <w:tc>
          <w:tcPr>
            <w:tcW w:w="2400" w:type="dxa"/>
            <w:vAlign w:val="bottom"/>
          </w:tcPr>
          <w:p>
            <w:pPr>
              <w:spacing w:after="0"/>
              <w:rPr>
                <w:sz w:val="4"/>
                <w:szCs w:val="4"/>
                <w:color w:val="auto"/>
              </w:rPr>
            </w:pPr>
          </w:p>
        </w:tc>
        <w:tc>
          <w:tcPr>
            <w:tcW w:w="580" w:type="dxa"/>
            <w:vAlign w:val="bottom"/>
            <w:tcBorders>
              <w:right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2000" w:type="dxa"/>
            <w:vAlign w:val="bottom"/>
            <w:gridSpan w:val="4"/>
            <w:vMerge w:val="continue"/>
          </w:tcPr>
          <w:p>
            <w:pPr>
              <w:spacing w:after="0"/>
              <w:rPr>
                <w:sz w:val="4"/>
                <w:szCs w:val="4"/>
                <w:color w:val="auto"/>
              </w:rPr>
            </w:pPr>
          </w:p>
        </w:tc>
        <w:tc>
          <w:tcPr>
            <w:tcW w:w="480" w:type="dxa"/>
            <w:vAlign w:val="bottom"/>
            <w:tcBorders>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78"/>
        </w:trPr>
        <w:tc>
          <w:tcPr>
            <w:tcW w:w="120" w:type="dxa"/>
            <w:vAlign w:val="bottom"/>
            <w:tcBorders>
              <w:right w:val="single" w:sz="8" w:color="auto"/>
            </w:tcBorders>
          </w:tcPr>
          <w:p>
            <w:pPr>
              <w:spacing w:after="0"/>
              <w:rPr>
                <w:sz w:val="24"/>
                <w:szCs w:val="24"/>
                <w:color w:val="auto"/>
              </w:rPr>
            </w:pPr>
          </w:p>
        </w:tc>
        <w:tc>
          <w:tcPr>
            <w:tcW w:w="24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20" w:type="dxa"/>
            <w:vAlign w:val="bottom"/>
            <w:tcBorders>
              <w:right w:val="single" w:sz="8" w:color="auto"/>
            </w:tcBorders>
          </w:tcPr>
          <w:p>
            <w:pPr>
              <w:spacing w:after="0"/>
              <w:rPr>
                <w:sz w:val="24"/>
                <w:szCs w:val="24"/>
                <w:color w:val="auto"/>
              </w:rPr>
            </w:pPr>
          </w:p>
        </w:tc>
        <w:tc>
          <w:tcPr>
            <w:tcW w:w="240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(25,000/-).</w:t>
            </w:r>
          </w:p>
        </w:tc>
        <w:tc>
          <w:tcPr>
            <w:tcW w:w="580" w:type="dxa"/>
            <w:vAlign w:val="bottom"/>
            <w:tcBorders>
              <w:right w:val="single" w:sz="8" w:color="auto"/>
            </w:tcBorders>
          </w:tcPr>
          <w:p>
            <w:pPr>
              <w:spacing w:after="0"/>
              <w:rPr>
                <w:sz w:val="24"/>
                <w:szCs w:val="24"/>
                <w:color w:val="auto"/>
              </w:rPr>
            </w:pPr>
          </w:p>
        </w:tc>
        <w:tc>
          <w:tcPr>
            <w:tcW w:w="6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48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47"/>
        </w:trPr>
        <w:tc>
          <w:tcPr>
            <w:tcW w:w="120" w:type="dxa"/>
            <w:vAlign w:val="bottom"/>
            <w:tcBorders>
              <w:right w:val="single" w:sz="8" w:color="auto"/>
            </w:tcBorders>
          </w:tcPr>
          <w:p>
            <w:pPr>
              <w:spacing w:after="0"/>
              <w:rPr>
                <w:sz w:val="12"/>
                <w:szCs w:val="12"/>
                <w:color w:val="auto"/>
              </w:rPr>
            </w:pPr>
          </w:p>
        </w:tc>
        <w:tc>
          <w:tcPr>
            <w:tcW w:w="2480" w:type="dxa"/>
            <w:vAlign w:val="bottom"/>
            <w:tcBorders>
              <w:bottom w:val="single" w:sz="8" w:color="auto"/>
            </w:tcBorders>
            <w:gridSpan w:val="2"/>
          </w:tcPr>
          <w:p>
            <w:pPr>
              <w:spacing w:after="0"/>
              <w:rPr>
                <w:sz w:val="12"/>
                <w:szCs w:val="12"/>
                <w:color w:val="auto"/>
              </w:rPr>
            </w:pPr>
          </w:p>
        </w:tc>
        <w:tc>
          <w:tcPr>
            <w:tcW w:w="220" w:type="dxa"/>
            <w:vAlign w:val="bottom"/>
            <w:tcBorders>
              <w:bottom w:val="single" w:sz="8" w:color="auto"/>
              <w:right w:val="single" w:sz="8" w:color="auto"/>
            </w:tcBorders>
          </w:tcPr>
          <w:p>
            <w:pPr>
              <w:spacing w:after="0"/>
              <w:rPr>
                <w:sz w:val="12"/>
                <w:szCs w:val="12"/>
                <w:color w:val="auto"/>
              </w:rPr>
            </w:pPr>
          </w:p>
        </w:tc>
        <w:tc>
          <w:tcPr>
            <w:tcW w:w="2980" w:type="dxa"/>
            <w:vAlign w:val="bottom"/>
            <w:tcBorders>
              <w:bottom w:val="single" w:sz="8" w:color="auto"/>
              <w:right w:val="single" w:sz="8" w:color="auto"/>
            </w:tcBorders>
            <w:gridSpan w:val="2"/>
          </w:tcPr>
          <w:p>
            <w:pPr>
              <w:spacing w:after="0"/>
              <w:rPr>
                <w:sz w:val="12"/>
                <w:szCs w:val="12"/>
                <w:color w:val="auto"/>
              </w:rPr>
            </w:pPr>
          </w:p>
        </w:tc>
        <w:tc>
          <w:tcPr>
            <w:tcW w:w="60" w:type="dxa"/>
            <w:vAlign w:val="bottom"/>
            <w:tcBorders>
              <w:bottom w:val="single" w:sz="8" w:color="auto"/>
            </w:tcBorders>
          </w:tcPr>
          <w:p>
            <w:pPr>
              <w:spacing w:after="0"/>
              <w:rPr>
                <w:sz w:val="12"/>
                <w:szCs w:val="12"/>
                <w:color w:val="auto"/>
              </w:rPr>
            </w:pPr>
          </w:p>
        </w:tc>
        <w:tc>
          <w:tcPr>
            <w:tcW w:w="1160" w:type="dxa"/>
            <w:vAlign w:val="bottom"/>
            <w:tcBorders>
              <w:bottom w:val="single" w:sz="8" w:color="auto"/>
            </w:tcBorders>
            <w:gridSpan w:val="3"/>
          </w:tcPr>
          <w:p>
            <w:pPr>
              <w:spacing w:after="0"/>
              <w:rPr>
                <w:sz w:val="12"/>
                <w:szCs w:val="12"/>
                <w:color w:val="auto"/>
              </w:rPr>
            </w:pPr>
          </w:p>
        </w:tc>
        <w:tc>
          <w:tcPr>
            <w:tcW w:w="840" w:type="dxa"/>
            <w:vAlign w:val="bottom"/>
            <w:tcBorders>
              <w:bottom w:val="single" w:sz="8" w:color="auto"/>
            </w:tcBorders>
          </w:tcPr>
          <w:p>
            <w:pPr>
              <w:spacing w:after="0"/>
              <w:rPr>
                <w:sz w:val="12"/>
                <w:szCs w:val="12"/>
                <w:color w:val="auto"/>
              </w:rPr>
            </w:pPr>
          </w:p>
        </w:tc>
        <w:tc>
          <w:tcPr>
            <w:tcW w:w="48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58"/>
        </w:trPr>
        <w:tc>
          <w:tcPr>
            <w:tcW w:w="120" w:type="dxa"/>
            <w:vAlign w:val="bottom"/>
            <w:tcBorders>
              <w:right w:val="single" w:sz="8" w:color="auto"/>
            </w:tcBorders>
          </w:tcPr>
          <w:p>
            <w:pPr>
              <w:spacing w:after="0"/>
              <w:rPr>
                <w:sz w:val="22"/>
                <w:szCs w:val="22"/>
                <w:color w:val="auto"/>
              </w:rPr>
            </w:pPr>
          </w:p>
        </w:tc>
        <w:tc>
          <w:tcPr>
            <w:tcW w:w="2480" w:type="dxa"/>
            <w:vAlign w:val="bottom"/>
            <w:gridSpan w:val="2"/>
          </w:tcPr>
          <w:p>
            <w:pPr>
              <w:ind w:left="100"/>
              <w:spacing w:after="0" w:line="258" w:lineRule="exact"/>
              <w:rPr>
                <w:sz w:val="20"/>
                <w:szCs w:val="20"/>
                <w:color w:val="auto"/>
              </w:rPr>
            </w:pPr>
            <w:r>
              <w:rPr>
                <w:rFonts w:ascii="Times New Roman" w:cs="Times New Roman" w:eastAsia="Times New Roman" w:hAnsi="Times New Roman"/>
                <w:sz w:val="24"/>
                <w:szCs w:val="24"/>
                <w:color w:val="auto"/>
              </w:rPr>
              <w:t>More than ten crore</w:t>
            </w:r>
          </w:p>
        </w:tc>
        <w:tc>
          <w:tcPr>
            <w:tcW w:w="220" w:type="dxa"/>
            <w:vAlign w:val="bottom"/>
            <w:tcBorders>
              <w:right w:val="single" w:sz="8" w:color="auto"/>
            </w:tcBorders>
          </w:tcPr>
          <w:p>
            <w:pPr>
              <w:spacing w:after="0"/>
              <w:rPr>
                <w:sz w:val="22"/>
                <w:szCs w:val="22"/>
                <w:color w:val="auto"/>
              </w:rPr>
            </w:pPr>
          </w:p>
        </w:tc>
        <w:tc>
          <w:tcPr>
            <w:tcW w:w="2980" w:type="dxa"/>
            <w:vAlign w:val="bottom"/>
            <w:tcBorders>
              <w:right w:val="single" w:sz="8" w:color="auto"/>
            </w:tcBorders>
            <w:gridSpan w:val="2"/>
          </w:tcPr>
          <w:p>
            <w:pPr>
              <w:ind w:left="100"/>
              <w:spacing w:after="0" w:line="258" w:lineRule="exact"/>
              <w:rPr>
                <w:sz w:val="20"/>
                <w:szCs w:val="20"/>
                <w:color w:val="auto"/>
              </w:rPr>
            </w:pPr>
            <w:r>
              <w:rPr>
                <w:rFonts w:ascii="Times New Roman" w:cs="Times New Roman" w:eastAsia="Times New Roman" w:hAnsi="Times New Roman"/>
                <w:sz w:val="24"/>
                <w:szCs w:val="24"/>
                <w:color w:val="auto"/>
              </w:rPr>
              <w:t>0.025 per cent. of the issue</w:t>
            </w:r>
          </w:p>
        </w:tc>
        <w:tc>
          <w:tcPr>
            <w:tcW w:w="60" w:type="dxa"/>
            <w:vAlign w:val="bottom"/>
          </w:tcPr>
          <w:p>
            <w:pPr>
              <w:spacing w:after="0"/>
              <w:rPr>
                <w:sz w:val="22"/>
                <w:szCs w:val="22"/>
                <w:color w:val="auto"/>
              </w:rPr>
            </w:pPr>
          </w:p>
        </w:tc>
        <w:tc>
          <w:tcPr>
            <w:tcW w:w="1160" w:type="dxa"/>
            <w:vAlign w:val="bottom"/>
            <w:gridSpan w:val="3"/>
          </w:tcPr>
          <w:p>
            <w:pPr>
              <w:ind w:left="20"/>
              <w:spacing w:after="0" w:line="258" w:lineRule="exact"/>
              <w:rPr>
                <w:sz w:val="20"/>
                <w:szCs w:val="20"/>
                <w:color w:val="auto"/>
              </w:rPr>
            </w:pPr>
            <w:r>
              <w:rPr>
                <w:rFonts w:ascii="Times New Roman" w:cs="Times New Roman" w:eastAsia="Times New Roman" w:hAnsi="Times New Roman"/>
                <w:sz w:val="24"/>
                <w:szCs w:val="24"/>
                <w:color w:val="auto"/>
              </w:rPr>
              <w:t>0.0125 per</w:t>
            </w:r>
          </w:p>
        </w:tc>
        <w:tc>
          <w:tcPr>
            <w:tcW w:w="840" w:type="dxa"/>
            <w:vAlign w:val="bottom"/>
          </w:tcPr>
          <w:p>
            <w:pPr>
              <w:ind w:left="80"/>
              <w:spacing w:after="0" w:line="258" w:lineRule="exact"/>
              <w:rPr>
                <w:sz w:val="20"/>
                <w:szCs w:val="20"/>
                <w:color w:val="auto"/>
              </w:rPr>
            </w:pPr>
            <w:r>
              <w:rPr>
                <w:rFonts w:ascii="Times New Roman" w:cs="Times New Roman" w:eastAsia="Times New Roman" w:hAnsi="Times New Roman"/>
                <w:sz w:val="24"/>
                <w:szCs w:val="24"/>
                <w:color w:val="auto"/>
              </w:rPr>
              <w:t>cent of</w:t>
            </w:r>
          </w:p>
        </w:tc>
        <w:tc>
          <w:tcPr>
            <w:tcW w:w="48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the</w:t>
            </w:r>
          </w:p>
        </w:tc>
        <w:tc>
          <w:tcPr>
            <w:tcW w:w="0" w:type="dxa"/>
            <w:vAlign w:val="bottom"/>
          </w:tcPr>
          <w:p>
            <w:pPr>
              <w:spacing w:after="0"/>
              <w:rPr>
                <w:sz w:val="1"/>
                <w:szCs w:val="1"/>
                <w:color w:val="auto"/>
              </w:rPr>
            </w:pPr>
          </w:p>
        </w:tc>
      </w:tr>
      <w:tr>
        <w:trPr>
          <w:trHeight w:val="274"/>
        </w:trPr>
        <w:tc>
          <w:tcPr>
            <w:tcW w:w="120" w:type="dxa"/>
            <w:vAlign w:val="bottom"/>
            <w:tcBorders>
              <w:right w:val="single" w:sz="8" w:color="auto"/>
            </w:tcBorders>
          </w:tcPr>
          <w:p>
            <w:pPr>
              <w:spacing w:after="0"/>
              <w:rPr>
                <w:sz w:val="23"/>
                <w:szCs w:val="23"/>
                <w:color w:val="auto"/>
              </w:rPr>
            </w:pPr>
          </w:p>
        </w:tc>
        <w:tc>
          <w:tcPr>
            <w:tcW w:w="2480" w:type="dxa"/>
            <w:vAlign w:val="bottom"/>
            <w:gridSpan w:val="2"/>
            <w:vMerge w:val="restart"/>
          </w:tcPr>
          <w:p>
            <w:pPr>
              <w:ind w:left="100"/>
              <w:spacing w:after="0"/>
              <w:rPr>
                <w:sz w:val="20"/>
                <w:szCs w:val="20"/>
                <w:color w:val="auto"/>
              </w:rPr>
            </w:pPr>
            <w:r>
              <w:rPr>
                <w:rFonts w:ascii="Times New Roman" w:cs="Times New Roman" w:eastAsia="Times New Roman" w:hAnsi="Times New Roman"/>
                <w:sz w:val="24"/>
                <w:szCs w:val="24"/>
                <w:color w:val="auto"/>
              </w:rPr>
              <w:t>rupees</w:t>
            </w:r>
            <w:r>
              <w:rPr>
                <w:rFonts w:ascii="Times New Roman" w:cs="Times New Roman" w:eastAsia="Times New Roman" w:hAnsi="Times New Roman"/>
                <w:sz w:val="32"/>
                <w:szCs w:val="32"/>
                <w:color w:val="auto"/>
                <w:vertAlign w:val="superscript"/>
              </w:rPr>
              <w:t>#</w:t>
            </w:r>
          </w:p>
        </w:tc>
        <w:tc>
          <w:tcPr>
            <w:tcW w:w="220" w:type="dxa"/>
            <w:vAlign w:val="bottom"/>
            <w:tcBorders>
              <w:right w:val="single" w:sz="8" w:color="auto"/>
            </w:tcBorders>
          </w:tcPr>
          <w:p>
            <w:pPr>
              <w:spacing w:after="0"/>
              <w:rPr>
                <w:sz w:val="23"/>
                <w:szCs w:val="23"/>
                <w:color w:val="auto"/>
              </w:rPr>
            </w:pPr>
          </w:p>
        </w:tc>
        <w:tc>
          <w:tcPr>
            <w:tcW w:w="2400" w:type="dxa"/>
            <w:vAlign w:val="bottom"/>
            <w:vMerge w:val="restart"/>
          </w:tcPr>
          <w:p>
            <w:pPr>
              <w:ind w:left="100"/>
              <w:spacing w:after="0"/>
              <w:rPr>
                <w:sz w:val="20"/>
                <w:szCs w:val="20"/>
                <w:color w:val="auto"/>
              </w:rPr>
            </w:pPr>
            <w:r>
              <w:rPr>
                <w:rFonts w:ascii="Times New Roman" w:cs="Times New Roman" w:eastAsia="Times New Roman" w:hAnsi="Times New Roman"/>
                <w:sz w:val="24"/>
                <w:szCs w:val="24"/>
                <w:color w:val="auto"/>
              </w:rPr>
              <w:t>size.</w:t>
            </w:r>
          </w:p>
        </w:tc>
        <w:tc>
          <w:tcPr>
            <w:tcW w:w="580" w:type="dxa"/>
            <w:vAlign w:val="bottom"/>
            <w:tcBorders>
              <w:right w:val="single" w:sz="8" w:color="auto"/>
            </w:tcBorders>
          </w:tcPr>
          <w:p>
            <w:pPr>
              <w:spacing w:after="0"/>
              <w:rPr>
                <w:sz w:val="23"/>
                <w:szCs w:val="23"/>
                <w:color w:val="auto"/>
              </w:rPr>
            </w:pPr>
          </w:p>
        </w:tc>
        <w:tc>
          <w:tcPr>
            <w:tcW w:w="60" w:type="dxa"/>
            <w:vAlign w:val="bottom"/>
          </w:tcPr>
          <w:p>
            <w:pPr>
              <w:spacing w:after="0"/>
              <w:rPr>
                <w:sz w:val="23"/>
                <w:szCs w:val="23"/>
                <w:color w:val="auto"/>
              </w:rPr>
            </w:pPr>
          </w:p>
        </w:tc>
        <w:tc>
          <w:tcPr>
            <w:tcW w:w="1160" w:type="dxa"/>
            <w:vAlign w:val="bottom"/>
            <w:gridSpan w:val="3"/>
          </w:tcPr>
          <w:p>
            <w:pPr>
              <w:ind w:left="20"/>
              <w:spacing w:after="0" w:line="273" w:lineRule="exact"/>
              <w:rPr>
                <w:sz w:val="20"/>
                <w:szCs w:val="20"/>
                <w:color w:val="auto"/>
              </w:rPr>
            </w:pPr>
            <w:r>
              <w:rPr>
                <w:rFonts w:ascii="Times New Roman" w:cs="Times New Roman" w:eastAsia="Times New Roman" w:hAnsi="Times New Roman"/>
                <w:sz w:val="24"/>
                <w:szCs w:val="24"/>
                <w:color w:val="auto"/>
              </w:rPr>
              <w:t>issue size.]</w:t>
            </w:r>
          </w:p>
        </w:tc>
        <w:tc>
          <w:tcPr>
            <w:tcW w:w="840" w:type="dxa"/>
            <w:vAlign w:val="bottom"/>
          </w:tcPr>
          <w:p>
            <w:pPr>
              <w:spacing w:after="0"/>
              <w:rPr>
                <w:sz w:val="23"/>
                <w:szCs w:val="23"/>
                <w:color w:val="auto"/>
              </w:rPr>
            </w:pPr>
          </w:p>
        </w:tc>
        <w:tc>
          <w:tcPr>
            <w:tcW w:w="480" w:type="dxa"/>
            <w:vAlign w:val="bottom"/>
            <w:tcBorders>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37"/>
        </w:trPr>
        <w:tc>
          <w:tcPr>
            <w:tcW w:w="120" w:type="dxa"/>
            <w:vAlign w:val="bottom"/>
            <w:tcBorders>
              <w:right w:val="single" w:sz="8" w:color="auto"/>
            </w:tcBorders>
          </w:tcPr>
          <w:p>
            <w:pPr>
              <w:spacing w:after="0"/>
              <w:rPr>
                <w:sz w:val="20"/>
                <w:szCs w:val="20"/>
                <w:color w:val="auto"/>
              </w:rPr>
            </w:pPr>
          </w:p>
        </w:tc>
        <w:tc>
          <w:tcPr>
            <w:tcW w:w="2480" w:type="dxa"/>
            <w:vAlign w:val="bottom"/>
            <w:gridSpan w:val="2"/>
            <w:vMerge w:val="continue"/>
          </w:tcPr>
          <w:p>
            <w:pPr>
              <w:spacing w:after="0"/>
              <w:rPr>
                <w:sz w:val="20"/>
                <w:szCs w:val="20"/>
                <w:color w:val="auto"/>
              </w:rPr>
            </w:pPr>
          </w:p>
        </w:tc>
        <w:tc>
          <w:tcPr>
            <w:tcW w:w="220" w:type="dxa"/>
            <w:vAlign w:val="bottom"/>
            <w:tcBorders>
              <w:right w:val="single" w:sz="8" w:color="auto"/>
            </w:tcBorders>
          </w:tcPr>
          <w:p>
            <w:pPr>
              <w:spacing w:after="0"/>
              <w:rPr>
                <w:sz w:val="20"/>
                <w:szCs w:val="20"/>
                <w:color w:val="auto"/>
              </w:rPr>
            </w:pPr>
          </w:p>
        </w:tc>
        <w:tc>
          <w:tcPr>
            <w:tcW w:w="2400" w:type="dxa"/>
            <w:vAlign w:val="bottom"/>
            <w:vMerge w:val="continue"/>
          </w:tcPr>
          <w:p>
            <w:pPr>
              <w:spacing w:after="0"/>
              <w:rPr>
                <w:sz w:val="20"/>
                <w:szCs w:val="20"/>
                <w:color w:val="auto"/>
              </w:rPr>
            </w:pPr>
          </w:p>
        </w:tc>
        <w:tc>
          <w:tcPr>
            <w:tcW w:w="580" w:type="dxa"/>
            <w:vAlign w:val="bottom"/>
            <w:tcBorders>
              <w:right w:val="single" w:sz="8" w:color="auto"/>
            </w:tcBorders>
          </w:tcPr>
          <w:p>
            <w:pPr>
              <w:spacing w:after="0"/>
              <w:rPr>
                <w:sz w:val="20"/>
                <w:szCs w:val="20"/>
                <w:color w:val="auto"/>
              </w:rPr>
            </w:pPr>
          </w:p>
        </w:tc>
        <w:tc>
          <w:tcPr>
            <w:tcW w:w="60" w:type="dxa"/>
            <w:vAlign w:val="bottom"/>
          </w:tcPr>
          <w:p>
            <w:pPr>
              <w:spacing w:after="0"/>
              <w:rPr>
                <w:sz w:val="20"/>
                <w:szCs w:val="20"/>
                <w:color w:val="auto"/>
              </w:rPr>
            </w:pPr>
          </w:p>
        </w:tc>
        <w:tc>
          <w:tcPr>
            <w:tcW w:w="480" w:type="dxa"/>
            <w:vAlign w:val="bottom"/>
          </w:tcPr>
          <w:p>
            <w:pPr>
              <w:spacing w:after="0"/>
              <w:rPr>
                <w:sz w:val="20"/>
                <w:szCs w:val="20"/>
                <w:color w:val="auto"/>
              </w:rPr>
            </w:pPr>
          </w:p>
        </w:tc>
        <w:tc>
          <w:tcPr>
            <w:tcW w:w="56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840" w:type="dxa"/>
            <w:vAlign w:val="bottom"/>
          </w:tcPr>
          <w:p>
            <w:pPr>
              <w:spacing w:after="0"/>
              <w:rPr>
                <w:sz w:val="20"/>
                <w:szCs w:val="20"/>
                <w:color w:val="auto"/>
              </w:rPr>
            </w:pPr>
          </w:p>
        </w:tc>
        <w:tc>
          <w:tcPr>
            <w:tcW w:w="48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49"/>
        </w:trPr>
        <w:tc>
          <w:tcPr>
            <w:tcW w:w="120" w:type="dxa"/>
            <w:vAlign w:val="bottom"/>
            <w:tcBorders>
              <w:right w:val="single" w:sz="8" w:color="auto"/>
            </w:tcBorders>
          </w:tcPr>
          <w:p>
            <w:pPr>
              <w:spacing w:after="0"/>
              <w:rPr>
                <w:sz w:val="4"/>
                <w:szCs w:val="4"/>
                <w:color w:val="auto"/>
              </w:rPr>
            </w:pPr>
          </w:p>
        </w:tc>
        <w:tc>
          <w:tcPr>
            <w:tcW w:w="2700" w:type="dxa"/>
            <w:vAlign w:val="bottom"/>
            <w:tcBorders>
              <w:bottom w:val="single" w:sz="8" w:color="auto"/>
              <w:right w:val="single" w:sz="8" w:color="auto"/>
            </w:tcBorders>
            <w:gridSpan w:val="3"/>
          </w:tcPr>
          <w:p>
            <w:pPr>
              <w:spacing w:after="0"/>
              <w:rPr>
                <w:sz w:val="4"/>
                <w:szCs w:val="4"/>
                <w:color w:val="auto"/>
              </w:rPr>
            </w:pPr>
          </w:p>
        </w:tc>
        <w:tc>
          <w:tcPr>
            <w:tcW w:w="2980" w:type="dxa"/>
            <w:vAlign w:val="bottom"/>
            <w:tcBorders>
              <w:bottom w:val="single" w:sz="8" w:color="auto"/>
              <w:right w:val="single" w:sz="8" w:color="auto"/>
            </w:tcBorders>
            <w:gridSpan w:val="2"/>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560" w:type="dxa"/>
            <w:vAlign w:val="bottom"/>
            <w:tcBorders>
              <w:bottom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840" w:type="dxa"/>
            <w:vAlign w:val="bottom"/>
            <w:tcBorders>
              <w:bottom w:val="single" w:sz="8" w:color="auto"/>
            </w:tcBorders>
          </w:tcPr>
          <w:p>
            <w:pPr>
              <w:spacing w:after="0"/>
              <w:rPr>
                <w:sz w:val="4"/>
                <w:szCs w:val="4"/>
                <w:color w:val="auto"/>
              </w:rPr>
            </w:pPr>
          </w:p>
        </w:tc>
        <w:tc>
          <w:tcPr>
            <w:tcW w:w="48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12"/>
        </w:trPr>
        <w:tc>
          <w:tcPr>
            <w:tcW w:w="120" w:type="dxa"/>
            <w:vAlign w:val="bottom"/>
            <w:tcBorders>
              <w:right w:val="single" w:sz="8" w:color="auto"/>
            </w:tcBorders>
          </w:tcPr>
          <w:p>
            <w:pPr>
              <w:spacing w:after="0"/>
              <w:rPr>
                <w:sz w:val="18"/>
                <w:szCs w:val="18"/>
                <w:color w:val="auto"/>
              </w:rPr>
            </w:pPr>
          </w:p>
        </w:tc>
        <w:tc>
          <w:tcPr>
            <w:tcW w:w="5740" w:type="dxa"/>
            <w:vAlign w:val="bottom"/>
            <w:gridSpan w:val="6"/>
          </w:tcPr>
          <w:p>
            <w:pPr>
              <w:ind w:left="100"/>
              <w:spacing w:after="0" w:line="211" w:lineRule="exact"/>
              <w:rPr>
                <w:sz w:val="20"/>
                <w:szCs w:val="20"/>
                <w:color w:val="auto"/>
              </w:rPr>
            </w:pPr>
            <w:r>
              <w:rPr>
                <w:rFonts w:ascii="Times New Roman" w:cs="Times New Roman" w:eastAsia="Times New Roman" w:hAnsi="Times New Roman"/>
                <w:sz w:val="20"/>
                <w:szCs w:val="20"/>
                <w:color w:val="auto"/>
              </w:rPr>
              <w:t># to be read as twenty-five crores with effect from April 21, 2020</w:t>
            </w:r>
          </w:p>
        </w:tc>
        <w:tc>
          <w:tcPr>
            <w:tcW w:w="480" w:type="dxa"/>
            <w:vAlign w:val="bottom"/>
          </w:tcPr>
          <w:p>
            <w:pPr>
              <w:spacing w:after="0"/>
              <w:rPr>
                <w:sz w:val="18"/>
                <w:szCs w:val="18"/>
                <w:color w:val="auto"/>
              </w:rPr>
            </w:pPr>
          </w:p>
        </w:tc>
        <w:tc>
          <w:tcPr>
            <w:tcW w:w="56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840" w:type="dxa"/>
            <w:vAlign w:val="bottom"/>
          </w:tcPr>
          <w:p>
            <w:pPr>
              <w:spacing w:after="0"/>
              <w:rPr>
                <w:sz w:val="18"/>
                <w:szCs w:val="18"/>
                <w:color w:val="auto"/>
              </w:rPr>
            </w:pPr>
          </w:p>
        </w:tc>
        <w:tc>
          <w:tcPr>
            <w:tcW w:w="480" w:type="dxa"/>
            <w:vAlign w:val="bottom"/>
            <w:tcBorders>
              <w:right w:val="single" w:sz="8" w:color="auto"/>
            </w:tcBorders>
          </w:tcPr>
          <w:p>
            <w:pPr>
              <w:spacing w:after="0"/>
              <w:rPr>
                <w:sz w:val="18"/>
                <w:szCs w:val="18"/>
                <w:color w:val="auto"/>
              </w:rPr>
            </w:pPr>
          </w:p>
        </w:tc>
        <w:tc>
          <w:tcPr>
            <w:tcW w:w="0" w:type="dxa"/>
            <w:vAlign w:val="bottom"/>
          </w:tcPr>
          <w:p>
            <w:pPr>
              <w:spacing w:after="0"/>
              <w:rPr>
                <w:sz w:val="1"/>
                <w:szCs w:val="1"/>
                <w:color w:val="auto"/>
              </w:rPr>
            </w:pPr>
          </w:p>
        </w:tc>
      </w:tr>
      <w:tr>
        <w:trPr>
          <w:trHeight w:val="469"/>
        </w:trPr>
        <w:tc>
          <w:tcPr>
            <w:tcW w:w="120" w:type="dxa"/>
            <w:vAlign w:val="bottom"/>
            <w:tcBorders>
              <w:right w:val="single" w:sz="8" w:color="auto"/>
            </w:tcBorders>
          </w:tcPr>
          <w:p>
            <w:pPr>
              <w:spacing w:after="0"/>
              <w:rPr>
                <w:sz w:val="24"/>
                <w:szCs w:val="24"/>
                <w:color w:val="auto"/>
              </w:rPr>
            </w:pPr>
          </w:p>
        </w:tc>
        <w:tc>
          <w:tcPr>
            <w:tcW w:w="242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2400" w:type="dxa"/>
            <w:vAlign w:val="bottom"/>
            <w:tcBorders>
              <w:bottom w:val="single" w:sz="8" w:color="auto"/>
            </w:tcBorders>
          </w:tcPr>
          <w:p>
            <w:pPr>
              <w:spacing w:after="0"/>
              <w:rPr>
                <w:sz w:val="24"/>
                <w:szCs w:val="24"/>
                <w:color w:val="auto"/>
              </w:rPr>
            </w:pPr>
          </w:p>
        </w:tc>
        <w:tc>
          <w:tcPr>
            <w:tcW w:w="58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480" w:type="dxa"/>
            <w:vAlign w:val="bottom"/>
            <w:tcBorders>
              <w:bottom w:val="single" w:sz="8" w:color="auto"/>
            </w:tcBorders>
          </w:tcPr>
          <w:p>
            <w:pPr>
              <w:spacing w:after="0"/>
              <w:rPr>
                <w:sz w:val="24"/>
                <w:szCs w:val="24"/>
                <w:color w:val="auto"/>
              </w:rPr>
            </w:pPr>
          </w:p>
        </w:tc>
        <w:tc>
          <w:tcPr>
            <w:tcW w:w="56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840" w:type="dxa"/>
            <w:vAlign w:val="bottom"/>
            <w:tcBorders>
              <w:bottom w:val="single" w:sz="8" w:color="auto"/>
            </w:tcBorders>
          </w:tcPr>
          <w:p>
            <w:pPr>
              <w:spacing w:after="0"/>
              <w:rPr>
                <w:sz w:val="24"/>
                <w:szCs w:val="24"/>
                <w:color w:val="auto"/>
              </w:rPr>
            </w:pPr>
          </w:p>
        </w:tc>
        <w:tc>
          <w:tcPr>
            <w:tcW w:w="48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2459990</wp:posOffset>
            </wp:positionH>
            <wp:positionV relativeFrom="paragraph">
              <wp:posOffset>-4149090</wp:posOffset>
            </wp:positionV>
            <wp:extent cx="55880" cy="1238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extLst>
                    </a:blip>
                    <a:srcRect/>
                    <a:stretch>
                      <a:fillRect/>
                    </a:stretch>
                  </pic:blipFill>
                  <pic:spPr bwMode="auto">
                    <a:xfrm>
                      <a:off x="0" y="0"/>
                      <a:ext cx="55880" cy="123825"/>
                    </a:xfrm>
                    <a:prstGeom prst="rect">
                      <a:avLst/>
                    </a:prstGeom>
                    <a:noFill/>
                  </pic:spPr>
                </pic:pic>
              </a:graphicData>
            </a:graphic>
          </wp:anchor>
        </w:drawing>
        <w:drawing>
          <wp:anchor simplePos="0" relativeHeight="251657728" behindDoc="1" locked="0" layoutInCell="0" allowOverlap="1">
            <wp:simplePos x="0" y="0"/>
            <wp:positionH relativeFrom="column">
              <wp:posOffset>5193665</wp:posOffset>
            </wp:positionH>
            <wp:positionV relativeFrom="paragraph">
              <wp:posOffset>-4411345</wp:posOffset>
            </wp:positionV>
            <wp:extent cx="56515" cy="1238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extLst>
                    </a:blip>
                    <a:srcRect/>
                    <a:stretch>
                      <a:fillRect/>
                    </a:stretch>
                  </pic:blipFill>
                  <pic:spPr bwMode="auto">
                    <a:xfrm>
                      <a:off x="0" y="0"/>
                      <a:ext cx="56515" cy="1238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ind w:left="248" w:hanging="248"/>
        <w:spacing w:after="0"/>
        <w:tabs>
          <w:tab w:leader="none" w:pos="248" w:val="left"/>
        </w:tabs>
        <w:numPr>
          <w:ilvl w:val="0"/>
          <w:numId w:val="731"/>
        </w:numPr>
        <w:rPr>
          <w:rFonts w:ascii="Times New Roman" w:cs="Times New Roman" w:eastAsia="Times New Roman" w:hAnsi="Times New Roman"/>
          <w:sz w:val="24"/>
          <w:szCs w:val="24"/>
          <w:color w:val="auto"/>
          <w:vertAlign w:val="superscript"/>
        </w:rPr>
      </w:pPr>
      <w:r>
        <w:rPr>
          <w:rFonts w:ascii="Times New Roman" w:cs="Times New Roman" w:eastAsia="Times New Roman" w:hAnsi="Times New Roman"/>
          <w:sz w:val="18"/>
          <w:szCs w:val="18"/>
          <w:color w:val="auto"/>
        </w:rPr>
        <w:t>Inserted by the Securities and Exchange Board of India (Payment of Fees) (Amendment) Regulations, 2019 w-e-f-</w:t>
      </w:r>
    </w:p>
    <w:p>
      <w:pPr>
        <w:spacing w:after="0" w:line="19" w:lineRule="exact"/>
        <w:rPr>
          <w:rFonts w:ascii="Times New Roman" w:cs="Times New Roman" w:eastAsia="Times New Roman" w:hAnsi="Times New Roman"/>
          <w:sz w:val="24"/>
          <w:szCs w:val="24"/>
          <w:color w:val="auto"/>
          <w:vertAlign w:val="superscript"/>
        </w:rPr>
      </w:pPr>
    </w:p>
    <w:p>
      <w:pPr>
        <w:ind w:left="248" w:hanging="248"/>
        <w:spacing w:after="0" w:line="231" w:lineRule="auto"/>
        <w:tabs>
          <w:tab w:leader="none" w:pos="248" w:val="left"/>
        </w:tabs>
        <w:numPr>
          <w:ilvl w:val="0"/>
          <w:numId w:val="732"/>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04.2019.</w:t>
      </w:r>
    </w:p>
    <w:p>
      <w:pPr>
        <w:spacing w:after="0" w:line="12" w:lineRule="exact"/>
        <w:rPr>
          <w:rFonts w:ascii="Times New Roman" w:cs="Times New Roman" w:eastAsia="Times New Roman" w:hAnsi="Times New Roman"/>
          <w:sz w:val="19"/>
          <w:szCs w:val="19"/>
          <w:color w:val="auto"/>
        </w:rPr>
      </w:pPr>
    </w:p>
    <w:p>
      <w:pPr>
        <w:ind w:left="8" w:right="40" w:hanging="8"/>
        <w:spacing w:after="0" w:line="213" w:lineRule="auto"/>
        <w:tabs>
          <w:tab w:leader="none" w:pos="255" w:val="left"/>
        </w:tabs>
        <w:numPr>
          <w:ilvl w:val="0"/>
          <w:numId w:val="733"/>
        </w:numPr>
        <w:rPr>
          <w:rFonts w:ascii="Times New Roman" w:cs="Times New Roman" w:eastAsia="Times New Roman" w:hAnsi="Times New Roman"/>
          <w:sz w:val="25"/>
          <w:szCs w:val="25"/>
          <w:color w:val="auto"/>
          <w:vertAlign w:val="superscript"/>
        </w:rPr>
      </w:pPr>
      <w:r>
        <w:rPr>
          <w:rFonts w:ascii="Times New Roman" w:cs="Times New Roman" w:eastAsia="Times New Roman" w:hAnsi="Times New Roman"/>
          <w:sz w:val="19"/>
          <w:szCs w:val="19"/>
          <w:color w:val="auto"/>
        </w:rPr>
        <w:t>Inserted by the Securities and Exchange Board of India (Payment of Fees) (Amendment) Regulations, 2020 for the period from 01.06.2020 to 31.12.2020.</w:t>
      </w:r>
    </w:p>
    <w:p>
      <w:pPr>
        <w:spacing w:after="0" w:line="299" w:lineRule="exact"/>
        <w:rPr>
          <w:sz w:val="20"/>
          <w:szCs w:val="20"/>
          <w:color w:val="auto"/>
        </w:rPr>
      </w:pPr>
    </w:p>
    <w:p>
      <w:pPr>
        <w:jc w:val="center"/>
        <w:ind w:right="32"/>
        <w:spacing w:after="0"/>
        <w:rPr>
          <w:sz w:val="20"/>
          <w:szCs w:val="20"/>
          <w:color w:val="auto"/>
        </w:rPr>
      </w:pPr>
      <w:r>
        <w:rPr>
          <w:rFonts w:ascii="Times New Roman" w:cs="Times New Roman" w:eastAsia="Times New Roman" w:hAnsi="Times New Roman"/>
          <w:sz w:val="24"/>
          <w:szCs w:val="24"/>
          <w:color w:val="auto"/>
        </w:rPr>
        <w:t>180</w:t>
      </w:r>
    </w:p>
    <w:p>
      <w:pPr>
        <w:sectPr>
          <w:pgSz w:w="11900" w:h="16836" w:orient="portrait"/>
          <w:cols w:equalWidth="0" w:num="1">
            <w:col w:w="9508"/>
          </w:cols>
          <w:pgMar w:left="1152" w:top="1440" w:right="1244" w:bottom="103" w:gutter="0" w:footer="0" w:header="0"/>
        </w:sectPr>
      </w:pPr>
    </w:p>
    <w:bookmarkStart w:id="180" w:name="page181"/>
    <w:bookmarkEnd w:id="180"/>
    <w:p>
      <w:pPr>
        <w:spacing w:after="0" w:line="118" w:lineRule="exact"/>
        <w:rPr>
          <w:sz w:val="20"/>
          <w:szCs w:val="20"/>
          <w:color w:val="auto"/>
        </w:rPr>
      </w:pPr>
    </w:p>
    <w:tbl>
      <w:tblPr>
        <w:tblLayout w:type="fixed"/>
        <w:tblInd w:w="568" w:type="dxa"/>
        <w:tblCellMar>
          <w:top w:w="0" w:type="dxa"/>
          <w:left w:w="0" w:type="dxa"/>
          <w:bottom w:w="0" w:type="dxa"/>
          <w:right w:w="0" w:type="dxa"/>
        </w:tblCellMar>
      </w:tblPr>
      <w:tr>
        <w:trPr>
          <w:trHeight w:val="280"/>
        </w:trPr>
        <w:tc>
          <w:tcPr>
            <w:tcW w:w="420" w:type="dxa"/>
            <w:vAlign w:val="bottom"/>
          </w:tcPr>
          <w:p>
            <w:pPr>
              <w:spacing w:after="0"/>
              <w:rPr>
                <w:sz w:val="20"/>
                <w:szCs w:val="20"/>
                <w:color w:val="auto"/>
              </w:rPr>
            </w:pPr>
            <w:r>
              <w:rPr>
                <w:rFonts w:ascii="Calibri" w:cs="Calibri" w:eastAsia="Calibri" w:hAnsi="Calibri"/>
                <w:sz w:val="22"/>
                <w:szCs w:val="22"/>
                <w:color w:val="auto"/>
              </w:rPr>
              <w:t>(c)</w:t>
            </w:r>
          </w:p>
        </w:tc>
        <w:tc>
          <w:tcPr>
            <w:tcW w:w="3800" w:type="dxa"/>
            <w:vAlign w:val="bottom"/>
            <w:gridSpan w:val="2"/>
          </w:tcPr>
          <w:p>
            <w:pPr>
              <w:ind w:left="160"/>
              <w:spacing w:after="0"/>
              <w:rPr>
                <w:sz w:val="20"/>
                <w:szCs w:val="20"/>
                <w:color w:val="auto"/>
              </w:rPr>
            </w:pPr>
            <w:r>
              <w:rPr>
                <w:rFonts w:ascii="Times New Roman" w:cs="Times New Roman" w:eastAsia="Times New Roman" w:hAnsi="Times New Roman"/>
                <w:sz w:val="24"/>
                <w:szCs w:val="24"/>
                <w:b w:val="1"/>
                <w:bCs w:val="1"/>
                <w:color w:val="auto"/>
              </w:rPr>
              <w:t>Listing without a public issue</w:t>
            </w:r>
            <w:r>
              <w:rPr>
                <w:rFonts w:ascii="Times New Roman" w:cs="Times New Roman" w:eastAsia="Times New Roman" w:hAnsi="Times New Roman"/>
                <w:sz w:val="24"/>
                <w:szCs w:val="24"/>
                <w:color w:val="auto"/>
              </w:rPr>
              <w:t>:</w:t>
            </w:r>
          </w:p>
        </w:tc>
        <w:tc>
          <w:tcPr>
            <w:tcW w:w="4860" w:type="dxa"/>
            <w:vAlign w:val="bottom"/>
          </w:tcPr>
          <w:p>
            <w:pPr>
              <w:spacing w:after="0"/>
              <w:rPr>
                <w:sz w:val="24"/>
                <w:szCs w:val="24"/>
                <w:color w:val="auto"/>
              </w:rPr>
            </w:pPr>
          </w:p>
        </w:tc>
      </w:tr>
      <w:tr>
        <w:trPr>
          <w:trHeight w:val="556"/>
        </w:trPr>
        <w:tc>
          <w:tcPr>
            <w:tcW w:w="4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3600" w:type="dxa"/>
            <w:vAlign w:val="bottom"/>
            <w:tcBorders>
              <w:bottom w:val="single" w:sz="8" w:color="auto"/>
            </w:tcBorders>
          </w:tcPr>
          <w:p>
            <w:pPr>
              <w:spacing w:after="0"/>
              <w:rPr>
                <w:sz w:val="24"/>
                <w:szCs w:val="24"/>
                <w:color w:val="auto"/>
              </w:rPr>
            </w:pPr>
          </w:p>
        </w:tc>
        <w:tc>
          <w:tcPr>
            <w:tcW w:w="4860" w:type="dxa"/>
            <w:vAlign w:val="bottom"/>
            <w:tcBorders>
              <w:bottom w:val="single" w:sz="8" w:color="auto"/>
            </w:tcBorders>
          </w:tcPr>
          <w:p>
            <w:pPr>
              <w:spacing w:after="0"/>
              <w:rPr>
                <w:sz w:val="24"/>
                <w:szCs w:val="24"/>
                <w:color w:val="auto"/>
              </w:rPr>
            </w:pPr>
          </w:p>
        </w:tc>
      </w:tr>
      <w:tr>
        <w:trPr>
          <w:trHeight w:val="265"/>
        </w:trPr>
        <w:tc>
          <w:tcPr>
            <w:tcW w:w="420" w:type="dxa"/>
            <w:vAlign w:val="bottom"/>
          </w:tcPr>
          <w:p>
            <w:pPr>
              <w:spacing w:after="0"/>
              <w:rPr>
                <w:sz w:val="23"/>
                <w:szCs w:val="23"/>
                <w:color w:val="auto"/>
              </w:rPr>
            </w:pPr>
          </w:p>
        </w:tc>
        <w:tc>
          <w:tcPr>
            <w:tcW w:w="200" w:type="dxa"/>
            <w:vAlign w:val="bottom"/>
            <w:tcBorders>
              <w:right w:val="single" w:sz="8" w:color="auto"/>
            </w:tcBorders>
          </w:tcPr>
          <w:p>
            <w:pPr>
              <w:spacing w:after="0"/>
              <w:rPr>
                <w:sz w:val="23"/>
                <w:szCs w:val="23"/>
                <w:color w:val="auto"/>
              </w:rPr>
            </w:pPr>
          </w:p>
        </w:tc>
        <w:tc>
          <w:tcPr>
            <w:tcW w:w="3600" w:type="dxa"/>
            <w:vAlign w:val="bottom"/>
            <w:tcBorders>
              <w:right w:val="single" w:sz="8" w:color="auto"/>
            </w:tcBorders>
          </w:tcPr>
          <w:p>
            <w:pPr>
              <w:ind w:left="360"/>
              <w:spacing w:after="0" w:line="265" w:lineRule="exact"/>
              <w:rPr>
                <w:sz w:val="20"/>
                <w:szCs w:val="20"/>
                <w:color w:val="auto"/>
              </w:rPr>
            </w:pPr>
            <w:r>
              <w:rPr>
                <w:rFonts w:ascii="Times New Roman" w:cs="Times New Roman" w:eastAsia="Times New Roman" w:hAnsi="Times New Roman"/>
                <w:sz w:val="24"/>
                <w:szCs w:val="24"/>
                <w:b w:val="1"/>
                <w:bCs w:val="1"/>
                <w:color w:val="auto"/>
              </w:rPr>
              <w:t>Paid-up capital of the entity</w:t>
            </w:r>
          </w:p>
        </w:tc>
        <w:tc>
          <w:tcPr>
            <w:tcW w:w="4860" w:type="dxa"/>
            <w:vAlign w:val="bottom"/>
            <w:tcBorders>
              <w:right w:val="single" w:sz="8" w:color="auto"/>
            </w:tcBorders>
          </w:tcPr>
          <w:p>
            <w:pPr>
              <w:ind w:left="1300"/>
              <w:spacing w:after="0" w:line="265" w:lineRule="exact"/>
              <w:rPr>
                <w:sz w:val="20"/>
                <w:szCs w:val="20"/>
                <w:color w:val="auto"/>
              </w:rPr>
            </w:pPr>
            <w:r>
              <w:rPr>
                <w:rFonts w:ascii="Times New Roman" w:cs="Times New Roman" w:eastAsia="Times New Roman" w:hAnsi="Times New Roman"/>
                <w:sz w:val="24"/>
                <w:szCs w:val="24"/>
                <w:b w:val="1"/>
                <w:bCs w:val="1"/>
                <w:color w:val="auto"/>
              </w:rPr>
              <w:t>Amount / Rate of fees</w:t>
            </w:r>
          </w:p>
        </w:tc>
      </w:tr>
      <w:tr>
        <w:trPr>
          <w:trHeight w:val="555"/>
        </w:trPr>
        <w:tc>
          <w:tcPr>
            <w:tcW w:w="420" w:type="dxa"/>
            <w:vAlign w:val="bottom"/>
          </w:tcPr>
          <w:p>
            <w:pPr>
              <w:spacing w:after="0"/>
              <w:rPr>
                <w:sz w:val="24"/>
                <w:szCs w:val="24"/>
                <w:color w:val="auto"/>
              </w:rPr>
            </w:pPr>
          </w:p>
        </w:tc>
        <w:tc>
          <w:tcPr>
            <w:tcW w:w="200" w:type="dxa"/>
            <w:vAlign w:val="bottom"/>
            <w:tcBorders>
              <w:right w:val="single" w:sz="8" w:color="auto"/>
            </w:tcBorders>
          </w:tcPr>
          <w:p>
            <w:pPr>
              <w:spacing w:after="0"/>
              <w:rPr>
                <w:sz w:val="24"/>
                <w:szCs w:val="24"/>
                <w:color w:val="auto"/>
              </w:rPr>
            </w:pPr>
          </w:p>
        </w:tc>
        <w:tc>
          <w:tcPr>
            <w:tcW w:w="3600" w:type="dxa"/>
            <w:vAlign w:val="bottom"/>
            <w:tcBorders>
              <w:bottom w:val="single" w:sz="8" w:color="auto"/>
              <w:right w:val="single" w:sz="8" w:color="auto"/>
            </w:tcBorders>
          </w:tcPr>
          <w:p>
            <w:pPr>
              <w:spacing w:after="0"/>
              <w:rPr>
                <w:sz w:val="24"/>
                <w:szCs w:val="24"/>
                <w:color w:val="auto"/>
              </w:rPr>
            </w:pPr>
          </w:p>
        </w:tc>
        <w:tc>
          <w:tcPr>
            <w:tcW w:w="4860" w:type="dxa"/>
            <w:vAlign w:val="bottom"/>
            <w:tcBorders>
              <w:bottom w:val="single" w:sz="8" w:color="auto"/>
              <w:right w:val="single" w:sz="8" w:color="auto"/>
            </w:tcBorders>
          </w:tcPr>
          <w:p>
            <w:pPr>
              <w:spacing w:after="0"/>
              <w:rPr>
                <w:sz w:val="24"/>
                <w:szCs w:val="24"/>
                <w:color w:val="auto"/>
              </w:rPr>
            </w:pPr>
          </w:p>
        </w:tc>
      </w:tr>
      <w:tr>
        <w:trPr>
          <w:trHeight w:val="258"/>
        </w:trPr>
        <w:tc>
          <w:tcPr>
            <w:tcW w:w="420" w:type="dxa"/>
            <w:vAlign w:val="bottom"/>
          </w:tcPr>
          <w:p>
            <w:pPr>
              <w:spacing w:after="0"/>
              <w:rPr>
                <w:sz w:val="22"/>
                <w:szCs w:val="22"/>
                <w:color w:val="auto"/>
              </w:rPr>
            </w:pPr>
          </w:p>
        </w:tc>
        <w:tc>
          <w:tcPr>
            <w:tcW w:w="200" w:type="dxa"/>
            <w:vAlign w:val="bottom"/>
            <w:tcBorders>
              <w:right w:val="single" w:sz="8" w:color="auto"/>
            </w:tcBorders>
          </w:tcPr>
          <w:p>
            <w:pPr>
              <w:spacing w:after="0"/>
              <w:rPr>
                <w:sz w:val="22"/>
                <w:szCs w:val="22"/>
                <w:color w:val="auto"/>
              </w:rPr>
            </w:pPr>
          </w:p>
        </w:tc>
        <w:tc>
          <w:tcPr>
            <w:tcW w:w="3600" w:type="dxa"/>
            <w:vAlign w:val="bottom"/>
            <w:tcBorders>
              <w:right w:val="single" w:sz="8" w:color="auto"/>
            </w:tcBorders>
          </w:tcPr>
          <w:p>
            <w:pPr>
              <w:ind w:left="80"/>
              <w:spacing w:after="0" w:line="258" w:lineRule="exact"/>
              <w:rPr>
                <w:sz w:val="20"/>
                <w:szCs w:val="20"/>
                <w:color w:val="auto"/>
              </w:rPr>
            </w:pPr>
            <w:r>
              <w:rPr>
                <w:rFonts w:ascii="Times New Roman" w:cs="Times New Roman" w:eastAsia="Times New Roman" w:hAnsi="Times New Roman"/>
                <w:sz w:val="24"/>
                <w:szCs w:val="24"/>
                <w:color w:val="auto"/>
              </w:rPr>
              <w:t>Less than or equal to ten crore</w:t>
            </w:r>
          </w:p>
        </w:tc>
        <w:tc>
          <w:tcPr>
            <w:tcW w:w="4860" w:type="dxa"/>
            <w:vAlign w:val="bottom"/>
            <w:tcBorders>
              <w:right w:val="single" w:sz="8" w:color="auto"/>
            </w:tcBorders>
          </w:tcPr>
          <w:p>
            <w:pPr>
              <w:ind w:left="100"/>
              <w:spacing w:after="0" w:line="258" w:lineRule="exact"/>
              <w:rPr>
                <w:sz w:val="20"/>
                <w:szCs w:val="20"/>
                <w:color w:val="auto"/>
              </w:rPr>
            </w:pPr>
            <w:r>
              <w:rPr>
                <w:rFonts w:ascii="Times New Roman" w:cs="Times New Roman" w:eastAsia="Times New Roman" w:hAnsi="Times New Roman"/>
                <w:sz w:val="24"/>
                <w:szCs w:val="24"/>
                <w:color w:val="auto"/>
              </w:rPr>
              <w:t>A flat charge of one lakh rupees</w:t>
            </w:r>
          </w:p>
        </w:tc>
      </w:tr>
      <w:tr>
        <w:trPr>
          <w:trHeight w:val="413"/>
        </w:trPr>
        <w:tc>
          <w:tcPr>
            <w:tcW w:w="420" w:type="dxa"/>
            <w:vAlign w:val="bottom"/>
          </w:tcPr>
          <w:p>
            <w:pPr>
              <w:spacing w:after="0"/>
              <w:rPr>
                <w:sz w:val="24"/>
                <w:szCs w:val="24"/>
                <w:color w:val="auto"/>
              </w:rPr>
            </w:pPr>
          </w:p>
        </w:tc>
        <w:tc>
          <w:tcPr>
            <w:tcW w:w="200" w:type="dxa"/>
            <w:vAlign w:val="bottom"/>
            <w:tcBorders>
              <w:right w:val="single" w:sz="8" w:color="auto"/>
            </w:tcBorders>
          </w:tcPr>
          <w:p>
            <w:pPr>
              <w:spacing w:after="0"/>
              <w:rPr>
                <w:sz w:val="24"/>
                <w:szCs w:val="24"/>
                <w:color w:val="auto"/>
              </w:rPr>
            </w:pPr>
          </w:p>
        </w:tc>
        <w:tc>
          <w:tcPr>
            <w:tcW w:w="360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rupees.</w:t>
            </w:r>
          </w:p>
        </w:tc>
        <w:tc>
          <w:tcPr>
            <w:tcW w:w="486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( 1,00,000/-).</w:t>
            </w:r>
          </w:p>
        </w:tc>
      </w:tr>
      <w:tr>
        <w:trPr>
          <w:trHeight w:val="147"/>
        </w:trPr>
        <w:tc>
          <w:tcPr>
            <w:tcW w:w="420" w:type="dxa"/>
            <w:vAlign w:val="bottom"/>
          </w:tcPr>
          <w:p>
            <w:pPr>
              <w:spacing w:after="0"/>
              <w:rPr>
                <w:sz w:val="12"/>
                <w:szCs w:val="12"/>
                <w:color w:val="auto"/>
              </w:rPr>
            </w:pPr>
          </w:p>
        </w:tc>
        <w:tc>
          <w:tcPr>
            <w:tcW w:w="200" w:type="dxa"/>
            <w:vAlign w:val="bottom"/>
            <w:tcBorders>
              <w:right w:val="single" w:sz="8" w:color="auto"/>
            </w:tcBorders>
          </w:tcPr>
          <w:p>
            <w:pPr>
              <w:spacing w:after="0"/>
              <w:rPr>
                <w:sz w:val="12"/>
                <w:szCs w:val="12"/>
                <w:color w:val="auto"/>
              </w:rPr>
            </w:pPr>
          </w:p>
        </w:tc>
        <w:tc>
          <w:tcPr>
            <w:tcW w:w="3600" w:type="dxa"/>
            <w:vAlign w:val="bottom"/>
            <w:tcBorders>
              <w:bottom w:val="single" w:sz="8" w:color="auto"/>
              <w:right w:val="single" w:sz="8" w:color="auto"/>
            </w:tcBorders>
          </w:tcPr>
          <w:p>
            <w:pPr>
              <w:spacing w:after="0"/>
              <w:rPr>
                <w:sz w:val="12"/>
                <w:szCs w:val="12"/>
                <w:color w:val="auto"/>
              </w:rPr>
            </w:pPr>
          </w:p>
        </w:tc>
        <w:tc>
          <w:tcPr>
            <w:tcW w:w="4860" w:type="dxa"/>
            <w:vAlign w:val="bottom"/>
            <w:tcBorders>
              <w:bottom w:val="single" w:sz="8" w:color="auto"/>
              <w:right w:val="single" w:sz="8" w:color="auto"/>
            </w:tcBorders>
          </w:tcPr>
          <w:p>
            <w:pPr>
              <w:spacing w:after="0"/>
              <w:rPr>
                <w:sz w:val="12"/>
                <w:szCs w:val="12"/>
                <w:color w:val="auto"/>
              </w:rPr>
            </w:pPr>
          </w:p>
        </w:tc>
      </w:tr>
      <w:tr>
        <w:trPr>
          <w:trHeight w:val="258"/>
        </w:trPr>
        <w:tc>
          <w:tcPr>
            <w:tcW w:w="420" w:type="dxa"/>
            <w:vAlign w:val="bottom"/>
          </w:tcPr>
          <w:p>
            <w:pPr>
              <w:spacing w:after="0"/>
              <w:rPr>
                <w:sz w:val="22"/>
                <w:szCs w:val="22"/>
                <w:color w:val="auto"/>
              </w:rPr>
            </w:pPr>
          </w:p>
        </w:tc>
        <w:tc>
          <w:tcPr>
            <w:tcW w:w="200" w:type="dxa"/>
            <w:vAlign w:val="bottom"/>
            <w:tcBorders>
              <w:right w:val="single" w:sz="8" w:color="auto"/>
            </w:tcBorders>
          </w:tcPr>
          <w:p>
            <w:pPr>
              <w:spacing w:after="0"/>
              <w:rPr>
                <w:sz w:val="22"/>
                <w:szCs w:val="22"/>
                <w:color w:val="auto"/>
              </w:rPr>
            </w:pPr>
          </w:p>
        </w:tc>
        <w:tc>
          <w:tcPr>
            <w:tcW w:w="3600" w:type="dxa"/>
            <w:vAlign w:val="bottom"/>
            <w:tcBorders>
              <w:right w:val="single" w:sz="8" w:color="auto"/>
            </w:tcBorders>
          </w:tcPr>
          <w:p>
            <w:pPr>
              <w:ind w:left="80"/>
              <w:spacing w:after="0" w:line="258" w:lineRule="exact"/>
              <w:rPr>
                <w:sz w:val="20"/>
                <w:szCs w:val="20"/>
                <w:color w:val="auto"/>
              </w:rPr>
            </w:pPr>
            <w:r>
              <w:rPr>
                <w:rFonts w:ascii="Times New Roman" w:cs="Times New Roman" w:eastAsia="Times New Roman" w:hAnsi="Times New Roman"/>
                <w:sz w:val="24"/>
                <w:szCs w:val="24"/>
                <w:color w:val="auto"/>
              </w:rPr>
              <w:t>More than ten crore rupees, but</w:t>
            </w:r>
          </w:p>
        </w:tc>
        <w:tc>
          <w:tcPr>
            <w:tcW w:w="4860" w:type="dxa"/>
            <w:vAlign w:val="bottom"/>
            <w:tcBorders>
              <w:right w:val="single" w:sz="8" w:color="auto"/>
            </w:tcBorders>
          </w:tcPr>
          <w:p>
            <w:pPr>
              <w:ind w:left="100"/>
              <w:spacing w:after="0" w:line="258" w:lineRule="exact"/>
              <w:rPr>
                <w:sz w:val="20"/>
                <w:szCs w:val="20"/>
                <w:color w:val="auto"/>
              </w:rPr>
            </w:pPr>
            <w:r>
              <w:rPr>
                <w:rFonts w:ascii="Times New Roman" w:cs="Times New Roman" w:eastAsia="Times New Roman" w:hAnsi="Times New Roman"/>
                <w:sz w:val="24"/>
                <w:szCs w:val="24"/>
                <w:color w:val="auto"/>
              </w:rPr>
              <w:t>0.1 per cent. of the paid-up capital</w:t>
            </w:r>
          </w:p>
        </w:tc>
      </w:tr>
      <w:tr>
        <w:trPr>
          <w:trHeight w:val="413"/>
        </w:trPr>
        <w:tc>
          <w:tcPr>
            <w:tcW w:w="420" w:type="dxa"/>
            <w:vAlign w:val="bottom"/>
          </w:tcPr>
          <w:p>
            <w:pPr>
              <w:spacing w:after="0"/>
              <w:rPr>
                <w:sz w:val="24"/>
                <w:szCs w:val="24"/>
                <w:color w:val="auto"/>
              </w:rPr>
            </w:pPr>
          </w:p>
        </w:tc>
        <w:tc>
          <w:tcPr>
            <w:tcW w:w="200" w:type="dxa"/>
            <w:vAlign w:val="bottom"/>
            <w:tcBorders>
              <w:right w:val="single" w:sz="8" w:color="auto"/>
            </w:tcBorders>
          </w:tcPr>
          <w:p>
            <w:pPr>
              <w:spacing w:after="0"/>
              <w:rPr>
                <w:sz w:val="24"/>
                <w:szCs w:val="24"/>
                <w:color w:val="auto"/>
              </w:rPr>
            </w:pPr>
          </w:p>
        </w:tc>
        <w:tc>
          <w:tcPr>
            <w:tcW w:w="360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less than or equal to five thousand</w:t>
            </w:r>
          </w:p>
        </w:tc>
        <w:tc>
          <w:tcPr>
            <w:tcW w:w="4860" w:type="dxa"/>
            <w:vAlign w:val="bottom"/>
            <w:tcBorders>
              <w:right w:val="single" w:sz="8" w:color="auto"/>
            </w:tcBorders>
          </w:tcPr>
          <w:p>
            <w:pPr>
              <w:spacing w:after="0"/>
              <w:rPr>
                <w:sz w:val="24"/>
                <w:szCs w:val="24"/>
                <w:color w:val="auto"/>
              </w:rPr>
            </w:pPr>
          </w:p>
        </w:tc>
      </w:tr>
      <w:tr>
        <w:trPr>
          <w:trHeight w:val="415"/>
        </w:trPr>
        <w:tc>
          <w:tcPr>
            <w:tcW w:w="420" w:type="dxa"/>
            <w:vAlign w:val="bottom"/>
          </w:tcPr>
          <w:p>
            <w:pPr>
              <w:spacing w:after="0"/>
              <w:rPr>
                <w:sz w:val="24"/>
                <w:szCs w:val="24"/>
                <w:color w:val="auto"/>
              </w:rPr>
            </w:pPr>
          </w:p>
        </w:tc>
        <w:tc>
          <w:tcPr>
            <w:tcW w:w="200" w:type="dxa"/>
            <w:vAlign w:val="bottom"/>
            <w:tcBorders>
              <w:right w:val="single" w:sz="8" w:color="auto"/>
            </w:tcBorders>
          </w:tcPr>
          <w:p>
            <w:pPr>
              <w:spacing w:after="0"/>
              <w:rPr>
                <w:sz w:val="24"/>
                <w:szCs w:val="24"/>
                <w:color w:val="auto"/>
              </w:rPr>
            </w:pPr>
          </w:p>
        </w:tc>
        <w:tc>
          <w:tcPr>
            <w:tcW w:w="360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crore rupees.</w:t>
            </w:r>
          </w:p>
        </w:tc>
        <w:tc>
          <w:tcPr>
            <w:tcW w:w="4860" w:type="dxa"/>
            <w:vAlign w:val="bottom"/>
            <w:tcBorders>
              <w:right w:val="single" w:sz="8" w:color="auto"/>
            </w:tcBorders>
          </w:tcPr>
          <w:p>
            <w:pPr>
              <w:spacing w:after="0"/>
              <w:rPr>
                <w:sz w:val="24"/>
                <w:szCs w:val="24"/>
                <w:color w:val="auto"/>
              </w:rPr>
            </w:pPr>
          </w:p>
        </w:tc>
      </w:tr>
      <w:tr>
        <w:trPr>
          <w:trHeight w:val="144"/>
        </w:trPr>
        <w:tc>
          <w:tcPr>
            <w:tcW w:w="420" w:type="dxa"/>
            <w:vAlign w:val="bottom"/>
          </w:tcPr>
          <w:p>
            <w:pPr>
              <w:spacing w:after="0"/>
              <w:rPr>
                <w:sz w:val="12"/>
                <w:szCs w:val="12"/>
                <w:color w:val="auto"/>
              </w:rPr>
            </w:pPr>
          </w:p>
        </w:tc>
        <w:tc>
          <w:tcPr>
            <w:tcW w:w="200" w:type="dxa"/>
            <w:vAlign w:val="bottom"/>
            <w:tcBorders>
              <w:right w:val="single" w:sz="8" w:color="auto"/>
            </w:tcBorders>
          </w:tcPr>
          <w:p>
            <w:pPr>
              <w:spacing w:after="0"/>
              <w:rPr>
                <w:sz w:val="12"/>
                <w:szCs w:val="12"/>
                <w:color w:val="auto"/>
              </w:rPr>
            </w:pPr>
          </w:p>
        </w:tc>
        <w:tc>
          <w:tcPr>
            <w:tcW w:w="3600" w:type="dxa"/>
            <w:vAlign w:val="bottom"/>
            <w:tcBorders>
              <w:bottom w:val="single" w:sz="8" w:color="auto"/>
              <w:right w:val="single" w:sz="8" w:color="auto"/>
            </w:tcBorders>
          </w:tcPr>
          <w:p>
            <w:pPr>
              <w:spacing w:after="0"/>
              <w:rPr>
                <w:sz w:val="12"/>
                <w:szCs w:val="12"/>
                <w:color w:val="auto"/>
              </w:rPr>
            </w:pPr>
          </w:p>
        </w:tc>
        <w:tc>
          <w:tcPr>
            <w:tcW w:w="4860" w:type="dxa"/>
            <w:vAlign w:val="bottom"/>
            <w:tcBorders>
              <w:bottom w:val="single" w:sz="8" w:color="auto"/>
              <w:right w:val="single" w:sz="8" w:color="auto"/>
            </w:tcBorders>
          </w:tcPr>
          <w:p>
            <w:pPr>
              <w:spacing w:after="0"/>
              <w:rPr>
                <w:sz w:val="12"/>
                <w:szCs w:val="12"/>
                <w:color w:val="auto"/>
              </w:rPr>
            </w:pPr>
          </w:p>
        </w:tc>
      </w:tr>
      <w:tr>
        <w:trPr>
          <w:trHeight w:val="260"/>
        </w:trPr>
        <w:tc>
          <w:tcPr>
            <w:tcW w:w="420" w:type="dxa"/>
            <w:vAlign w:val="bottom"/>
          </w:tcPr>
          <w:p>
            <w:pPr>
              <w:spacing w:after="0"/>
              <w:rPr>
                <w:sz w:val="22"/>
                <w:szCs w:val="22"/>
                <w:color w:val="auto"/>
              </w:rPr>
            </w:pPr>
          </w:p>
        </w:tc>
        <w:tc>
          <w:tcPr>
            <w:tcW w:w="200" w:type="dxa"/>
            <w:vAlign w:val="bottom"/>
            <w:tcBorders>
              <w:right w:val="single" w:sz="8" w:color="auto"/>
            </w:tcBorders>
          </w:tcPr>
          <w:p>
            <w:pPr>
              <w:spacing w:after="0"/>
              <w:rPr>
                <w:sz w:val="22"/>
                <w:szCs w:val="22"/>
                <w:color w:val="auto"/>
              </w:rPr>
            </w:pPr>
          </w:p>
        </w:tc>
        <w:tc>
          <w:tcPr>
            <w:tcW w:w="3600" w:type="dxa"/>
            <w:vAlign w:val="bottom"/>
            <w:tcBorders>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More than five thousand crore</w:t>
            </w:r>
          </w:p>
        </w:tc>
        <w:tc>
          <w:tcPr>
            <w:tcW w:w="4860" w:type="dxa"/>
            <w:vAlign w:val="bottom"/>
            <w:tcBorders>
              <w:right w:val="single" w:sz="8" w:color="auto"/>
            </w:tcBorders>
          </w:tcPr>
          <w:p>
            <w:pPr>
              <w:ind w:left="100"/>
              <w:spacing w:after="0" w:line="260" w:lineRule="exact"/>
              <w:rPr>
                <w:sz w:val="20"/>
                <w:szCs w:val="20"/>
                <w:color w:val="auto"/>
              </w:rPr>
            </w:pPr>
            <w:r>
              <w:rPr>
                <w:rFonts w:ascii="Times New Roman" w:cs="Times New Roman" w:eastAsia="Times New Roman" w:hAnsi="Times New Roman"/>
                <w:sz w:val="24"/>
                <w:szCs w:val="24"/>
                <w:color w:val="auto"/>
              </w:rPr>
              <w:t>Five crore rupees ( 5,00,00,000/-) plus 0.025</w:t>
            </w:r>
          </w:p>
        </w:tc>
      </w:tr>
      <w:tr>
        <w:trPr>
          <w:trHeight w:val="413"/>
        </w:trPr>
        <w:tc>
          <w:tcPr>
            <w:tcW w:w="420" w:type="dxa"/>
            <w:vAlign w:val="bottom"/>
          </w:tcPr>
          <w:p>
            <w:pPr>
              <w:spacing w:after="0"/>
              <w:rPr>
                <w:sz w:val="24"/>
                <w:szCs w:val="24"/>
                <w:color w:val="auto"/>
              </w:rPr>
            </w:pPr>
          </w:p>
        </w:tc>
        <w:tc>
          <w:tcPr>
            <w:tcW w:w="200" w:type="dxa"/>
            <w:vAlign w:val="bottom"/>
            <w:tcBorders>
              <w:right w:val="single" w:sz="8" w:color="auto"/>
            </w:tcBorders>
          </w:tcPr>
          <w:p>
            <w:pPr>
              <w:spacing w:after="0"/>
              <w:rPr>
                <w:sz w:val="24"/>
                <w:szCs w:val="24"/>
                <w:color w:val="auto"/>
              </w:rPr>
            </w:pPr>
          </w:p>
        </w:tc>
        <w:tc>
          <w:tcPr>
            <w:tcW w:w="36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rupees.</w:t>
            </w:r>
          </w:p>
        </w:tc>
        <w:tc>
          <w:tcPr>
            <w:tcW w:w="486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per cent. of the portion of the paid-up capital in</w:t>
            </w:r>
          </w:p>
        </w:tc>
      </w:tr>
      <w:tr>
        <w:trPr>
          <w:trHeight w:val="413"/>
        </w:trPr>
        <w:tc>
          <w:tcPr>
            <w:tcW w:w="420" w:type="dxa"/>
            <w:vAlign w:val="bottom"/>
          </w:tcPr>
          <w:p>
            <w:pPr>
              <w:spacing w:after="0"/>
              <w:rPr>
                <w:sz w:val="24"/>
                <w:szCs w:val="24"/>
                <w:color w:val="auto"/>
              </w:rPr>
            </w:pPr>
          </w:p>
        </w:tc>
        <w:tc>
          <w:tcPr>
            <w:tcW w:w="200" w:type="dxa"/>
            <w:vAlign w:val="bottom"/>
            <w:tcBorders>
              <w:right w:val="single" w:sz="8" w:color="auto"/>
            </w:tcBorders>
          </w:tcPr>
          <w:p>
            <w:pPr>
              <w:spacing w:after="0"/>
              <w:rPr>
                <w:sz w:val="24"/>
                <w:szCs w:val="24"/>
                <w:color w:val="auto"/>
              </w:rPr>
            </w:pPr>
          </w:p>
        </w:tc>
        <w:tc>
          <w:tcPr>
            <w:tcW w:w="3600" w:type="dxa"/>
            <w:vAlign w:val="bottom"/>
            <w:tcBorders>
              <w:right w:val="single" w:sz="8" w:color="auto"/>
            </w:tcBorders>
          </w:tcPr>
          <w:p>
            <w:pPr>
              <w:spacing w:after="0"/>
              <w:rPr>
                <w:sz w:val="24"/>
                <w:szCs w:val="24"/>
                <w:color w:val="auto"/>
              </w:rPr>
            </w:pPr>
          </w:p>
        </w:tc>
        <w:tc>
          <w:tcPr>
            <w:tcW w:w="486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excess of five thousand crore rupees</w:t>
            </w:r>
          </w:p>
        </w:tc>
      </w:tr>
      <w:tr>
        <w:trPr>
          <w:trHeight w:val="415"/>
        </w:trPr>
        <w:tc>
          <w:tcPr>
            <w:tcW w:w="420" w:type="dxa"/>
            <w:vAlign w:val="bottom"/>
          </w:tcPr>
          <w:p>
            <w:pPr>
              <w:spacing w:after="0"/>
              <w:rPr>
                <w:sz w:val="24"/>
                <w:szCs w:val="24"/>
                <w:color w:val="auto"/>
              </w:rPr>
            </w:pPr>
          </w:p>
        </w:tc>
        <w:tc>
          <w:tcPr>
            <w:tcW w:w="200" w:type="dxa"/>
            <w:vAlign w:val="bottom"/>
            <w:tcBorders>
              <w:right w:val="single" w:sz="8" w:color="auto"/>
            </w:tcBorders>
          </w:tcPr>
          <w:p>
            <w:pPr>
              <w:spacing w:after="0"/>
              <w:rPr>
                <w:sz w:val="24"/>
                <w:szCs w:val="24"/>
                <w:color w:val="auto"/>
              </w:rPr>
            </w:pPr>
          </w:p>
        </w:tc>
        <w:tc>
          <w:tcPr>
            <w:tcW w:w="3600" w:type="dxa"/>
            <w:vAlign w:val="bottom"/>
            <w:tcBorders>
              <w:right w:val="single" w:sz="8" w:color="auto"/>
            </w:tcBorders>
          </w:tcPr>
          <w:p>
            <w:pPr>
              <w:spacing w:after="0"/>
              <w:rPr>
                <w:sz w:val="24"/>
                <w:szCs w:val="24"/>
                <w:color w:val="auto"/>
              </w:rPr>
            </w:pPr>
          </w:p>
        </w:tc>
        <w:tc>
          <w:tcPr>
            <w:tcW w:w="486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( 5000,00,00,000/-).</w:t>
            </w:r>
          </w:p>
        </w:tc>
      </w:tr>
      <w:tr>
        <w:trPr>
          <w:trHeight w:val="147"/>
        </w:trPr>
        <w:tc>
          <w:tcPr>
            <w:tcW w:w="420" w:type="dxa"/>
            <w:vAlign w:val="bottom"/>
          </w:tcPr>
          <w:p>
            <w:pPr>
              <w:spacing w:after="0"/>
              <w:rPr>
                <w:sz w:val="12"/>
                <w:szCs w:val="12"/>
                <w:color w:val="auto"/>
              </w:rPr>
            </w:pPr>
          </w:p>
        </w:tc>
        <w:tc>
          <w:tcPr>
            <w:tcW w:w="200" w:type="dxa"/>
            <w:vAlign w:val="bottom"/>
            <w:tcBorders>
              <w:right w:val="single" w:sz="8" w:color="auto"/>
            </w:tcBorders>
          </w:tcPr>
          <w:p>
            <w:pPr>
              <w:spacing w:after="0"/>
              <w:rPr>
                <w:sz w:val="12"/>
                <w:szCs w:val="12"/>
                <w:color w:val="auto"/>
              </w:rPr>
            </w:pPr>
          </w:p>
        </w:tc>
        <w:tc>
          <w:tcPr>
            <w:tcW w:w="3600" w:type="dxa"/>
            <w:vAlign w:val="bottom"/>
            <w:tcBorders>
              <w:bottom w:val="single" w:sz="8" w:color="auto"/>
              <w:right w:val="single" w:sz="8" w:color="auto"/>
            </w:tcBorders>
          </w:tcPr>
          <w:p>
            <w:pPr>
              <w:spacing w:after="0"/>
              <w:rPr>
                <w:sz w:val="12"/>
                <w:szCs w:val="12"/>
                <w:color w:val="auto"/>
              </w:rPr>
            </w:pPr>
          </w:p>
        </w:tc>
        <w:tc>
          <w:tcPr>
            <w:tcW w:w="4860" w:type="dxa"/>
            <w:vAlign w:val="bottom"/>
            <w:tcBorders>
              <w:bottom w:val="single" w:sz="8" w:color="auto"/>
              <w:right w:val="single" w:sz="8" w:color="auto"/>
            </w:tcBorders>
          </w:tcPr>
          <w:p>
            <w:pPr>
              <w:spacing w:after="0"/>
              <w:rPr>
                <w:sz w:val="12"/>
                <w:szCs w:val="12"/>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3148330</wp:posOffset>
            </wp:positionH>
            <wp:positionV relativeFrom="paragraph">
              <wp:posOffset>-2107565</wp:posOffset>
            </wp:positionV>
            <wp:extent cx="56515" cy="1238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extLst>
                    </a:blip>
                    <a:srcRect/>
                    <a:stretch>
                      <a:fillRect/>
                    </a:stretch>
                  </pic:blipFill>
                  <pic:spPr bwMode="auto">
                    <a:xfrm>
                      <a:off x="0" y="0"/>
                      <a:ext cx="56515" cy="123825"/>
                    </a:xfrm>
                    <a:prstGeom prst="rect">
                      <a:avLst/>
                    </a:prstGeom>
                    <a:noFill/>
                  </pic:spPr>
                </pic:pic>
              </a:graphicData>
            </a:graphic>
          </wp:anchor>
        </w:drawing>
        <w:drawing>
          <wp:anchor simplePos="0" relativeHeight="251657728" behindDoc="1" locked="0" layoutInCell="0" allowOverlap="1">
            <wp:simplePos x="0" y="0"/>
            <wp:positionH relativeFrom="column">
              <wp:posOffset>4245610</wp:posOffset>
            </wp:positionH>
            <wp:positionV relativeFrom="paragraph">
              <wp:posOffset>-1042035</wp:posOffset>
            </wp:positionV>
            <wp:extent cx="56515" cy="1231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extLst>
                    </a:blip>
                    <a:srcRect/>
                    <a:stretch>
                      <a:fillRect/>
                    </a:stretch>
                  </pic:blipFill>
                  <pic:spPr bwMode="auto">
                    <a:xfrm>
                      <a:off x="0" y="0"/>
                      <a:ext cx="56515" cy="123190"/>
                    </a:xfrm>
                    <a:prstGeom prst="rect">
                      <a:avLst/>
                    </a:prstGeom>
                    <a:noFill/>
                  </pic:spPr>
                </pic:pic>
              </a:graphicData>
            </a:graphic>
          </wp:anchor>
        </w:drawing>
        <w:drawing>
          <wp:anchor simplePos="0" relativeHeight="251657728" behindDoc="1" locked="0" layoutInCell="0" allowOverlap="1">
            <wp:simplePos x="0" y="0"/>
            <wp:positionH relativeFrom="column">
              <wp:posOffset>3148330</wp:posOffset>
            </wp:positionH>
            <wp:positionV relativeFrom="paragraph">
              <wp:posOffset>-254000</wp:posOffset>
            </wp:positionV>
            <wp:extent cx="56515" cy="1231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extLst>
                    </a:blip>
                    <a:srcRect/>
                    <a:stretch>
                      <a:fillRect/>
                    </a:stretch>
                  </pic:blipFill>
                  <pic:spPr bwMode="auto">
                    <a:xfrm>
                      <a:off x="0" y="0"/>
                      <a:ext cx="56515" cy="1231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ind w:left="1148" w:hanging="572"/>
        <w:spacing w:after="0"/>
        <w:tabs>
          <w:tab w:leader="none" w:pos="1148" w:val="left"/>
        </w:tabs>
        <w:numPr>
          <w:ilvl w:val="0"/>
          <w:numId w:val="734"/>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Updation of an offer document</w:t>
      </w:r>
      <w:r>
        <w:rPr>
          <w:rFonts w:ascii="Times New Roman" w:cs="Times New Roman" w:eastAsia="Times New Roman" w:hAnsi="Times New Roman"/>
          <w:sz w:val="24"/>
          <w:szCs w:val="24"/>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740410</wp:posOffset>
                </wp:positionH>
                <wp:positionV relativeFrom="paragraph">
                  <wp:posOffset>358140</wp:posOffset>
                </wp:positionV>
                <wp:extent cx="5379720"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7972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8.3pt,28.2pt" to="481.9pt,28.2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740410</wp:posOffset>
                </wp:positionH>
                <wp:positionV relativeFrom="paragraph">
                  <wp:posOffset>889635</wp:posOffset>
                </wp:positionV>
                <wp:extent cx="5379720"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7972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8.3pt,70.05pt" to="481.9pt,70.0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743585</wp:posOffset>
                </wp:positionH>
                <wp:positionV relativeFrom="paragraph">
                  <wp:posOffset>354965</wp:posOffset>
                </wp:positionV>
                <wp:extent cx="0" cy="2121535"/>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12153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8.55pt,27.95pt" to="58.55pt,19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3030220</wp:posOffset>
                </wp:positionH>
                <wp:positionV relativeFrom="paragraph">
                  <wp:posOffset>354965</wp:posOffset>
                </wp:positionV>
                <wp:extent cx="0" cy="2121535"/>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12153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8.6pt,27.95pt" to="238.6pt,19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6116955</wp:posOffset>
                </wp:positionH>
                <wp:positionV relativeFrom="paragraph">
                  <wp:posOffset>354965</wp:posOffset>
                </wp:positionV>
                <wp:extent cx="0" cy="2121535"/>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12153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1.65pt,27.95pt" to="481.65pt,195pt" o:allowincell="f" strokecolor="#000000" strokeweight="0.48pt"/>
            </w:pict>
          </mc:Fallback>
        </mc:AlternateContent>
      </w:r>
    </w:p>
    <w:p>
      <w:pPr>
        <w:spacing w:after="0" w:line="200" w:lineRule="exact"/>
        <w:rPr>
          <w:sz w:val="20"/>
          <w:szCs w:val="20"/>
          <w:color w:val="auto"/>
        </w:rPr>
      </w:pPr>
    </w:p>
    <w:p>
      <w:pPr>
        <w:spacing w:after="0" w:line="346" w:lineRule="exact"/>
        <w:rPr>
          <w:sz w:val="20"/>
          <w:szCs w:val="20"/>
          <w:color w:val="auto"/>
        </w:rPr>
      </w:pPr>
    </w:p>
    <w:p>
      <w:pPr>
        <w:ind w:left="6088"/>
        <w:spacing w:after="0"/>
        <w:rPr>
          <w:sz w:val="20"/>
          <w:szCs w:val="20"/>
          <w:color w:val="auto"/>
        </w:rPr>
      </w:pPr>
      <w:r>
        <w:rPr>
          <w:rFonts w:ascii="Times New Roman" w:cs="Times New Roman" w:eastAsia="Times New Roman" w:hAnsi="Times New Roman"/>
          <w:sz w:val="24"/>
          <w:szCs w:val="24"/>
          <w:b w:val="1"/>
          <w:bCs w:val="1"/>
          <w:color w:val="auto"/>
        </w:rPr>
        <w:t>Amount / Rate of fees</w:t>
      </w:r>
    </w:p>
    <w:p>
      <w:pPr>
        <w:spacing w:after="0" w:line="200" w:lineRule="exact"/>
        <w:rPr>
          <w:sz w:val="20"/>
          <w:szCs w:val="20"/>
          <w:color w:val="auto"/>
        </w:rPr>
      </w:pPr>
    </w:p>
    <w:p>
      <w:pPr>
        <w:spacing w:after="0" w:line="369" w:lineRule="exact"/>
        <w:rPr>
          <w:sz w:val="20"/>
          <w:szCs w:val="20"/>
          <w:color w:val="auto"/>
        </w:rPr>
      </w:pPr>
    </w:p>
    <w:p>
      <w:pPr>
        <w:jc w:val="both"/>
        <w:ind w:left="1288" w:right="120"/>
        <w:spacing w:after="0" w:line="323" w:lineRule="auto"/>
        <w:rPr>
          <w:sz w:val="20"/>
          <w:szCs w:val="20"/>
          <w:color w:val="auto"/>
        </w:rPr>
      </w:pPr>
      <w:r>
        <w:rPr>
          <w:rFonts w:ascii="Times New Roman" w:cs="Times New Roman" w:eastAsia="Times New Roman" w:hAnsi="Times New Roman"/>
          <w:sz w:val="24"/>
          <w:szCs w:val="24"/>
          <w:color w:val="auto"/>
        </w:rPr>
        <w:t xml:space="preserve">Where updations or changes are Ten thousand rupees (`10,000/-) for updations made in any of the sections or changes per section, subject to total fee not specified in Para 2 of </w:t>
      </w:r>
      <w:r>
        <w:rPr>
          <w:rFonts w:ascii="Times New Roman" w:cs="Times New Roman" w:eastAsia="Times New Roman" w:hAnsi="Times New Roman"/>
          <w:sz w:val="24"/>
          <w:szCs w:val="24"/>
          <w:b w:val="1"/>
          <w:bCs w:val="1"/>
          <w:color w:val="auto"/>
        </w:rPr>
        <w:t>Schedule</w:t>
      </w:r>
      <w:r>
        <w:rPr>
          <w:rFonts w:ascii="Times New Roman" w:cs="Times New Roman" w:eastAsia="Times New Roman" w:hAnsi="Times New Roman"/>
          <w:sz w:val="24"/>
          <w:szCs w:val="24"/>
          <w:color w:val="auto"/>
        </w:rPr>
        <w:t xml:space="preserve"> exceeding one fourth (1/4</w:t>
      </w:r>
      <w:r>
        <w:rPr>
          <w:rFonts w:ascii="Times New Roman" w:cs="Times New Roman" w:eastAsia="Times New Roman" w:hAnsi="Times New Roman"/>
          <w:sz w:val="32"/>
          <w:szCs w:val="32"/>
          <w:color w:val="auto"/>
          <w:vertAlign w:val="superscript"/>
        </w:rPr>
        <w:t>th</w:t>
      </w:r>
      <w:r>
        <w:rPr>
          <w:rFonts w:ascii="Times New Roman" w:cs="Times New Roman" w:eastAsia="Times New Roman" w:hAnsi="Times New Roman"/>
          <w:sz w:val="24"/>
          <w:szCs w:val="24"/>
          <w:color w:val="auto"/>
        </w:rPr>
        <w:t>) of the filing fees</w:t>
      </w:r>
    </w:p>
    <w:p>
      <w:pPr>
        <w:spacing w:after="0" w:line="3" w:lineRule="exact"/>
        <w:rPr>
          <w:sz w:val="20"/>
          <w:szCs w:val="20"/>
          <w:color w:val="auto"/>
        </w:rPr>
      </w:pPr>
    </w:p>
    <w:p>
      <w:pPr>
        <w:jc w:val="both"/>
        <w:ind w:left="4888" w:right="120" w:hanging="3600"/>
        <w:spacing w:after="0" w:line="354" w:lineRule="auto"/>
        <w:tabs>
          <w:tab w:leader="none" w:pos="4867" w:val="left"/>
        </w:tabs>
        <w:rPr>
          <w:sz w:val="20"/>
          <w:szCs w:val="20"/>
          <w:color w:val="auto"/>
        </w:rPr>
      </w:pPr>
      <w:r>
        <w:rPr>
          <w:rFonts w:ascii="Times New Roman" w:cs="Times New Roman" w:eastAsia="Times New Roman" w:hAnsi="Times New Roman"/>
          <w:sz w:val="24"/>
          <w:szCs w:val="24"/>
          <w:b w:val="1"/>
          <w:bCs w:val="1"/>
          <w:color w:val="auto"/>
        </w:rPr>
        <w:t xml:space="preserve">XVI </w:t>
      </w:r>
      <w:r>
        <w:rPr>
          <w:rFonts w:ascii="Times New Roman" w:cs="Times New Roman" w:eastAsia="Times New Roman" w:hAnsi="Times New Roman"/>
          <w:sz w:val="24"/>
          <w:szCs w:val="24"/>
          <w:color w:val="auto"/>
        </w:rPr>
        <w:t>of these regulations</w:t>
      </w:r>
      <w:r>
        <w:rPr>
          <w:sz w:val="20"/>
          <w:szCs w:val="20"/>
          <w:color w:val="auto"/>
        </w:rPr>
        <w:tab/>
      </w:r>
      <w:r>
        <w:rPr>
          <w:rFonts w:ascii="Times New Roman" w:cs="Times New Roman" w:eastAsia="Times New Roman" w:hAnsi="Times New Roman"/>
          <w:sz w:val="24"/>
          <w:szCs w:val="24"/>
          <w:color w:val="auto"/>
        </w:rPr>
        <w:t>paid at the time of filing the draft document with the Board or fifty thousand rupees (` 50,000/-), whichever is higher.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740410</wp:posOffset>
                </wp:positionH>
                <wp:positionV relativeFrom="paragraph">
                  <wp:posOffset>13970</wp:posOffset>
                </wp:positionV>
                <wp:extent cx="5379720"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7972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8.3pt,1.1pt" to="481.9pt,1.1pt" o:allowincell="f" strokecolor="#000000" strokeweight="0.48pt"/>
            </w:pict>
          </mc:Fallback>
        </mc:AlternateContent>
      </w:r>
    </w:p>
    <w:p>
      <w:pPr>
        <w:spacing w:after="0" w:line="200" w:lineRule="exact"/>
        <w:rPr>
          <w:sz w:val="20"/>
          <w:szCs w:val="20"/>
          <w:color w:val="auto"/>
        </w:rPr>
      </w:pPr>
    </w:p>
    <w:p>
      <w:pPr>
        <w:spacing w:after="0" w:line="21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NOTES</w:t>
      </w:r>
    </w:p>
    <w:p>
      <w:pPr>
        <w:spacing w:after="0" w:line="200" w:lineRule="exact"/>
        <w:rPr>
          <w:sz w:val="20"/>
          <w:szCs w:val="20"/>
          <w:color w:val="auto"/>
        </w:rPr>
      </w:pPr>
    </w:p>
    <w:p>
      <w:pPr>
        <w:spacing w:after="0" w:line="359" w:lineRule="exact"/>
        <w:rPr>
          <w:sz w:val="20"/>
          <w:szCs w:val="20"/>
          <w:color w:val="auto"/>
        </w:rPr>
      </w:pPr>
    </w:p>
    <w:p>
      <w:pPr>
        <w:jc w:val="both"/>
        <w:ind w:left="568" w:right="180" w:hanging="568"/>
        <w:spacing w:after="0" w:line="354" w:lineRule="auto"/>
        <w:tabs>
          <w:tab w:leader="none" w:pos="568" w:val="left"/>
        </w:tabs>
        <w:numPr>
          <w:ilvl w:val="0"/>
          <w:numId w:val="73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Where the issue size is not determinable at the time of submission of the draft offer document or the offer document in case of a fast track issue, the issuer shall pay fees mentioned at para (2), based on the estimated issue size.</w:t>
      </w:r>
    </w:p>
    <w:p>
      <w:pPr>
        <w:spacing w:after="0" w:line="200" w:lineRule="exact"/>
        <w:rPr>
          <w:rFonts w:ascii="Times New Roman" w:cs="Times New Roman" w:eastAsia="Times New Roman" w:hAnsi="Times New Roman"/>
          <w:sz w:val="24"/>
          <w:szCs w:val="24"/>
          <w:color w:val="auto"/>
        </w:rPr>
      </w:pPr>
    </w:p>
    <w:p>
      <w:pPr>
        <w:spacing w:after="0" w:line="222"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73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issue size estimated by the issuer differs from the eventual issue size and thereby:–</w:t>
      </w: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jc w:val="center"/>
        <w:ind w:right="172"/>
        <w:spacing w:after="0"/>
        <w:rPr>
          <w:sz w:val="20"/>
          <w:szCs w:val="20"/>
          <w:color w:val="auto"/>
        </w:rPr>
      </w:pPr>
      <w:r>
        <w:rPr>
          <w:rFonts w:ascii="Times New Roman" w:cs="Times New Roman" w:eastAsia="Times New Roman" w:hAnsi="Times New Roman"/>
          <w:sz w:val="24"/>
          <w:szCs w:val="24"/>
          <w:color w:val="auto"/>
        </w:rPr>
        <w:t>181</w:t>
      </w:r>
    </w:p>
    <w:p>
      <w:pPr>
        <w:sectPr>
          <w:pgSz w:w="11900" w:h="16836" w:orient="portrait"/>
          <w:cols w:equalWidth="0" w:num="1">
            <w:col w:w="9648"/>
          </w:cols>
          <w:pgMar w:left="1152" w:top="1440" w:right="1104" w:bottom="103" w:gutter="0" w:footer="0" w:header="0"/>
        </w:sectPr>
      </w:pPr>
    </w:p>
    <w:bookmarkStart w:id="181" w:name="page182"/>
    <w:bookmarkEnd w:id="181"/>
    <w:p>
      <w:pPr>
        <w:ind w:left="1148" w:hanging="572"/>
        <w:spacing w:after="0" w:line="348" w:lineRule="auto"/>
        <w:tabs>
          <w:tab w:leader="none" w:pos="1148" w:val="left"/>
        </w:tabs>
        <w:numPr>
          <w:ilvl w:val="0"/>
          <w:numId w:val="7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fees paid by the issuer is deficient, the balance fee shall be paid by the issuer within seven days of finalisation of the basis of allotment; or</w:t>
      </w:r>
    </w:p>
    <w:p>
      <w:pPr>
        <w:spacing w:after="0" w:line="28" w:lineRule="exact"/>
        <w:rPr>
          <w:rFonts w:ascii="Times New Roman" w:cs="Times New Roman" w:eastAsia="Times New Roman" w:hAnsi="Times New Roman"/>
          <w:sz w:val="24"/>
          <w:szCs w:val="24"/>
          <w:color w:val="auto"/>
        </w:rPr>
      </w:pPr>
    </w:p>
    <w:p>
      <w:pPr>
        <w:ind w:left="1148" w:hanging="572"/>
        <w:spacing w:after="0" w:line="348" w:lineRule="auto"/>
        <w:tabs>
          <w:tab w:leader="none" w:pos="1148" w:val="left"/>
        </w:tabs>
        <w:numPr>
          <w:ilvl w:val="0"/>
          <w:numId w:val="7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fees paid by the issuer is in excess, excess fee shall be refunded by the Board to the issuer.</w:t>
      </w:r>
    </w:p>
    <w:p>
      <w:pPr>
        <w:spacing w:after="0" w:line="200" w:lineRule="exact"/>
        <w:rPr>
          <w:sz w:val="20"/>
          <w:szCs w:val="20"/>
          <w:color w:val="auto"/>
        </w:rPr>
      </w:pPr>
    </w:p>
    <w:p>
      <w:pPr>
        <w:spacing w:after="0" w:line="245" w:lineRule="exact"/>
        <w:rPr>
          <w:sz w:val="20"/>
          <w:szCs w:val="20"/>
          <w:color w:val="auto"/>
        </w:rPr>
      </w:pPr>
    </w:p>
    <w:p>
      <w:pPr>
        <w:jc w:val="center"/>
        <w:ind w:left="1160" w:right="800"/>
        <w:spacing w:after="0" w:line="350" w:lineRule="auto"/>
        <w:rPr>
          <w:sz w:val="20"/>
          <w:szCs w:val="20"/>
          <w:color w:val="auto"/>
        </w:rPr>
      </w:pPr>
      <w:r>
        <w:rPr>
          <w:rFonts w:ascii="Times New Roman" w:cs="Times New Roman" w:eastAsia="Times New Roman" w:hAnsi="Times New Roman"/>
          <w:sz w:val="24"/>
          <w:szCs w:val="24"/>
          <w:b w:val="1"/>
          <w:bCs w:val="1"/>
          <w:color w:val="auto"/>
        </w:rPr>
        <w:t>SCHEDULE IV – FILING OF OFFER DOCUMENTS WITH THE BOARD [See regulations: 25(1), 71(1), 123(1), 186(1)]</w:t>
      </w:r>
    </w:p>
    <w:p>
      <w:pPr>
        <w:spacing w:after="0" w:line="200" w:lineRule="exact"/>
        <w:rPr>
          <w:sz w:val="20"/>
          <w:szCs w:val="20"/>
          <w:color w:val="auto"/>
        </w:rPr>
      </w:pPr>
    </w:p>
    <w:p>
      <w:pPr>
        <w:spacing w:after="0" w:line="234" w:lineRule="exact"/>
        <w:rPr>
          <w:sz w:val="20"/>
          <w:szCs w:val="20"/>
          <w:color w:val="auto"/>
        </w:rPr>
      </w:pPr>
    </w:p>
    <w:p>
      <w:pPr>
        <w:jc w:val="both"/>
        <w:ind w:left="8"/>
        <w:spacing w:after="0" w:line="356" w:lineRule="auto"/>
        <w:rPr>
          <w:sz w:val="20"/>
          <w:szCs w:val="20"/>
          <w:color w:val="auto"/>
        </w:rPr>
      </w:pPr>
      <w:r>
        <w:rPr>
          <w:rFonts w:ascii="Times New Roman" w:cs="Times New Roman" w:eastAsia="Times New Roman" w:hAnsi="Times New Roman"/>
          <w:sz w:val="24"/>
          <w:szCs w:val="24"/>
          <w:color w:val="auto"/>
        </w:rPr>
        <w:t>Draft offer documents/ letters of offer/ offer documents shall be filed by the lead manager(s) with the relevant office of the Board under the jurisdiction of which the registered office of the issuer company is located, based on the estimated issue size as may be specified by the Board from time to time.</w:t>
      </w:r>
    </w:p>
    <w:p>
      <w:pPr>
        <w:spacing w:after="0" w:line="200" w:lineRule="exact"/>
        <w:rPr>
          <w:sz w:val="20"/>
          <w:szCs w:val="20"/>
          <w:color w:val="auto"/>
        </w:rPr>
      </w:pPr>
    </w:p>
    <w:p>
      <w:pPr>
        <w:spacing w:after="0" w:line="236" w:lineRule="exact"/>
        <w:rPr>
          <w:sz w:val="20"/>
          <w:szCs w:val="20"/>
          <w:color w:val="auto"/>
        </w:rPr>
      </w:pPr>
    </w:p>
    <w:p>
      <w:pPr>
        <w:jc w:val="center"/>
        <w:ind w:left="1160" w:right="120"/>
        <w:spacing w:after="0" w:line="354" w:lineRule="auto"/>
        <w:rPr>
          <w:sz w:val="20"/>
          <w:szCs w:val="20"/>
          <w:color w:val="auto"/>
        </w:rPr>
      </w:pPr>
      <w:r>
        <w:rPr>
          <w:rFonts w:ascii="Times New Roman" w:cs="Times New Roman" w:eastAsia="Times New Roman" w:hAnsi="Times New Roman"/>
          <w:sz w:val="24"/>
          <w:szCs w:val="24"/>
          <w:b w:val="1"/>
          <w:bCs w:val="1"/>
          <w:color w:val="auto"/>
        </w:rPr>
        <w:t>SCHEDULE V - FORMATS OF DUE DILIGENCE CERTIFICATES Form A - Format of due diligence certificate to be given by the lead manager(s) along with draft offer document or draft letter of offer</w:t>
      </w:r>
    </w:p>
    <w:p>
      <w:pPr>
        <w:spacing w:after="0" w:line="200" w:lineRule="exact"/>
        <w:rPr>
          <w:sz w:val="20"/>
          <w:szCs w:val="20"/>
          <w:color w:val="auto"/>
        </w:rPr>
      </w:pPr>
    </w:p>
    <w:p>
      <w:pPr>
        <w:spacing w:after="0" w:line="223"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[See regulations 25(2)(b), 71(2)(b), 100(2)(a), 123(2)(b), 156(2)(a) and 247(2)]</w:t>
      </w:r>
    </w:p>
    <w:p>
      <w:pPr>
        <w:spacing w:after="0" w:line="200" w:lineRule="exact"/>
        <w:rPr>
          <w:sz w:val="20"/>
          <w:szCs w:val="20"/>
          <w:color w:val="auto"/>
        </w:rPr>
      </w:pPr>
    </w:p>
    <w:p>
      <w:pPr>
        <w:spacing w:after="0" w:line="35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To,</w:t>
      </w:r>
    </w:p>
    <w:p>
      <w:pPr>
        <w:spacing w:after="0" w:line="139"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Securities and Exchange Board of India</w:t>
      </w:r>
    </w:p>
    <w:p>
      <w:pPr>
        <w:spacing w:after="0" w:line="200" w:lineRule="exact"/>
        <w:rPr>
          <w:sz w:val="20"/>
          <w:szCs w:val="20"/>
          <w:color w:val="auto"/>
        </w:rPr>
      </w:pPr>
    </w:p>
    <w:p>
      <w:pPr>
        <w:spacing w:after="0" w:line="34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Dear Sirs,</w:t>
      </w:r>
    </w:p>
    <w:p>
      <w:pPr>
        <w:spacing w:after="0" w:line="200" w:lineRule="exact"/>
        <w:rPr>
          <w:sz w:val="20"/>
          <w:szCs w:val="20"/>
          <w:color w:val="auto"/>
        </w:rPr>
      </w:pPr>
    </w:p>
    <w:p>
      <w:pPr>
        <w:spacing w:after="0" w:line="357" w:lineRule="exact"/>
        <w:rPr>
          <w:sz w:val="20"/>
          <w:szCs w:val="20"/>
          <w:color w:val="auto"/>
        </w:rPr>
      </w:pPr>
    </w:p>
    <w:p>
      <w:pPr>
        <w:ind w:left="228"/>
        <w:spacing w:after="0"/>
        <w:rPr>
          <w:sz w:val="20"/>
          <w:szCs w:val="20"/>
          <w:color w:val="auto"/>
        </w:rPr>
      </w:pPr>
      <w:r>
        <w:rPr>
          <w:rFonts w:ascii="Times New Roman" w:cs="Times New Roman" w:eastAsia="Times New Roman" w:hAnsi="Times New Roman"/>
          <w:sz w:val="24"/>
          <w:szCs w:val="24"/>
          <w:b w:val="1"/>
          <w:bCs w:val="1"/>
          <w:color w:val="auto"/>
        </w:rPr>
        <w:t>Sub.: Public/Rights Issue of ………………… by………………………. (Name of the issuer)</w:t>
      </w:r>
    </w:p>
    <w:p>
      <w:pPr>
        <w:spacing w:after="0" w:line="200" w:lineRule="exact"/>
        <w:rPr>
          <w:sz w:val="20"/>
          <w:szCs w:val="20"/>
          <w:color w:val="auto"/>
        </w:rPr>
      </w:pPr>
    </w:p>
    <w:p>
      <w:pPr>
        <w:spacing w:after="0" w:line="34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We confirm that:</w:t>
      </w:r>
    </w:p>
    <w:p>
      <w:pPr>
        <w:spacing w:after="0" w:line="200" w:lineRule="exact"/>
        <w:rPr>
          <w:sz w:val="20"/>
          <w:szCs w:val="20"/>
          <w:color w:val="auto"/>
        </w:rPr>
      </w:pPr>
    </w:p>
    <w:p>
      <w:pPr>
        <w:spacing w:after="0" w:line="364" w:lineRule="exact"/>
        <w:rPr>
          <w:sz w:val="20"/>
          <w:szCs w:val="20"/>
          <w:color w:val="auto"/>
        </w:rPr>
      </w:pPr>
    </w:p>
    <w:p>
      <w:pPr>
        <w:jc w:val="both"/>
        <w:ind w:left="568" w:hanging="568"/>
        <w:spacing w:after="0" w:line="354" w:lineRule="auto"/>
        <w:tabs>
          <w:tab w:leader="none" w:pos="568" w:val="left"/>
        </w:tabs>
        <w:numPr>
          <w:ilvl w:val="0"/>
          <w:numId w:val="73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We have examined various documents including those relating to litigation, including commercial disputes, patent disputes, disputes with collaborators, etc. and other material while finalising the offer document of the subject issue;</w:t>
      </w:r>
    </w:p>
    <w:p>
      <w:pPr>
        <w:spacing w:after="0" w:line="20" w:lineRule="exact"/>
        <w:rPr>
          <w:rFonts w:ascii="Times New Roman" w:cs="Times New Roman" w:eastAsia="Times New Roman" w:hAnsi="Times New Roman"/>
          <w:sz w:val="24"/>
          <w:szCs w:val="24"/>
          <w:color w:val="auto"/>
        </w:rPr>
      </w:pPr>
    </w:p>
    <w:p>
      <w:pPr>
        <w:jc w:val="both"/>
        <w:ind w:left="568" w:hanging="568"/>
        <w:spacing w:after="0" w:line="356" w:lineRule="auto"/>
        <w:tabs>
          <w:tab w:leader="none" w:pos="568" w:val="left"/>
        </w:tabs>
        <w:numPr>
          <w:ilvl w:val="0"/>
          <w:numId w:val="73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On the basis of such examination and discussions with the issuer, its directors and other officers, other agencies, and independent verification of the statements concerning the objects of the issue, price justification, contents of the documents and other papers furnished by the issuer, we confirm that:</w:t>
      </w:r>
    </w:p>
    <w:p>
      <w:pPr>
        <w:spacing w:after="0" w:line="263"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182</w:t>
      </w:r>
    </w:p>
    <w:p>
      <w:pPr>
        <w:sectPr>
          <w:pgSz w:w="11900" w:h="16836" w:orient="portrait"/>
          <w:cols w:equalWidth="0" w:num="1">
            <w:col w:w="9468"/>
          </w:cols>
          <w:pgMar w:left="1152" w:top="1156" w:right="1284" w:bottom="103" w:gutter="0" w:footer="0" w:header="0"/>
        </w:sectPr>
      </w:pPr>
    </w:p>
    <w:bookmarkStart w:id="182" w:name="page183"/>
    <w:bookmarkEnd w:id="182"/>
    <w:p>
      <w:pPr>
        <w:ind w:left="1148" w:hanging="572"/>
        <w:spacing w:after="0" w:line="348" w:lineRule="auto"/>
        <w:tabs>
          <w:tab w:leader="none" w:pos="1148" w:val="left"/>
        </w:tabs>
        <w:numPr>
          <w:ilvl w:val="1"/>
          <w:numId w:val="73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draft offer document/ draft letter of offer filed with the Board is in conformity with the documents, materials and papers which are material to the issue;</w:t>
      </w:r>
    </w:p>
    <w:p>
      <w:pPr>
        <w:spacing w:after="0" w:line="28" w:lineRule="exact"/>
        <w:rPr>
          <w:rFonts w:ascii="Times New Roman" w:cs="Times New Roman" w:eastAsia="Times New Roman" w:hAnsi="Times New Roman"/>
          <w:sz w:val="24"/>
          <w:szCs w:val="24"/>
          <w:color w:val="auto"/>
        </w:rPr>
      </w:pPr>
    </w:p>
    <w:p>
      <w:pPr>
        <w:jc w:val="both"/>
        <w:ind w:left="1148" w:hanging="572"/>
        <w:spacing w:after="0" w:line="354" w:lineRule="auto"/>
        <w:tabs>
          <w:tab w:leader="none" w:pos="1148" w:val="left"/>
        </w:tabs>
        <w:numPr>
          <w:ilvl w:val="1"/>
          <w:numId w:val="73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all material legal requirements relating to the issue as specified by the Board, the Central Government and any other competent authority in this behalf have been duly complied with; and</w:t>
      </w:r>
    </w:p>
    <w:p>
      <w:pPr>
        <w:spacing w:after="0" w:line="19" w:lineRule="exact"/>
        <w:rPr>
          <w:rFonts w:ascii="Times New Roman" w:cs="Times New Roman" w:eastAsia="Times New Roman" w:hAnsi="Times New Roman"/>
          <w:sz w:val="24"/>
          <w:szCs w:val="24"/>
          <w:color w:val="auto"/>
        </w:rPr>
      </w:pPr>
    </w:p>
    <w:p>
      <w:pPr>
        <w:jc w:val="both"/>
        <w:ind w:left="1148" w:hanging="572"/>
        <w:spacing w:after="0" w:line="375" w:lineRule="auto"/>
        <w:tabs>
          <w:tab w:leader="none" w:pos="1148" w:val="left"/>
        </w:tabs>
        <w:numPr>
          <w:ilvl w:val="1"/>
          <w:numId w:val="738"/>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the material disclosures made in the draft offer document/draft letter of offer are true and adequate to enable the investors to make a well informed decision as to the investment in the proposed issue and such disclosures are in accordance with the requirements of the Companies Act, 2013, these regulations and other applicable legal requirements.</w:t>
      </w:r>
    </w:p>
    <w:p>
      <w:pPr>
        <w:spacing w:after="0" w:line="3" w:lineRule="exact"/>
        <w:rPr>
          <w:rFonts w:ascii="Times New Roman" w:cs="Times New Roman" w:eastAsia="Times New Roman" w:hAnsi="Times New Roman"/>
          <w:sz w:val="23"/>
          <w:szCs w:val="23"/>
          <w:color w:val="auto"/>
        </w:rPr>
      </w:pPr>
    </w:p>
    <w:p>
      <w:pPr>
        <w:ind w:left="568" w:hanging="568"/>
        <w:spacing w:after="0" w:line="350" w:lineRule="auto"/>
        <w:tabs>
          <w:tab w:leader="none" w:pos="568" w:val="left"/>
        </w:tabs>
        <w:numPr>
          <w:ilvl w:val="0"/>
          <w:numId w:val="73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Besides ourselves, all intermediaries named in the draft offer document/ draft letter of offer are registered with the Board and that till date, such registration is valid.</w:t>
      </w:r>
    </w:p>
    <w:p>
      <w:pPr>
        <w:spacing w:after="0" w:line="23" w:lineRule="exact"/>
        <w:rPr>
          <w:rFonts w:ascii="Times New Roman" w:cs="Times New Roman" w:eastAsia="Times New Roman" w:hAnsi="Times New Roman"/>
          <w:sz w:val="24"/>
          <w:szCs w:val="24"/>
          <w:color w:val="auto"/>
        </w:rPr>
      </w:pPr>
    </w:p>
    <w:p>
      <w:pPr>
        <w:ind w:left="568" w:hanging="568"/>
        <w:spacing w:after="0" w:line="350" w:lineRule="auto"/>
        <w:tabs>
          <w:tab w:leader="none" w:pos="568" w:val="left"/>
        </w:tabs>
        <w:numPr>
          <w:ilvl w:val="0"/>
          <w:numId w:val="73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We have satisfied ourselves about the capability of the underwriters to fulfil their underwriting commitments.</w:t>
      </w:r>
    </w:p>
    <w:p>
      <w:pPr>
        <w:spacing w:after="0" w:line="23" w:lineRule="exact"/>
        <w:rPr>
          <w:rFonts w:ascii="Times New Roman" w:cs="Times New Roman" w:eastAsia="Times New Roman" w:hAnsi="Times New Roman"/>
          <w:sz w:val="24"/>
          <w:szCs w:val="24"/>
          <w:color w:val="auto"/>
        </w:rPr>
      </w:pPr>
    </w:p>
    <w:p>
      <w:pPr>
        <w:jc w:val="both"/>
        <w:ind w:left="568" w:hanging="568"/>
        <w:spacing w:after="0" w:line="358" w:lineRule="auto"/>
        <w:tabs>
          <w:tab w:leader="none" w:pos="568" w:val="left"/>
        </w:tabs>
        <w:numPr>
          <w:ilvl w:val="0"/>
          <w:numId w:val="73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Written consent from the promoters has been obtained for inclusion of their specified securities as part of the promoters’ contribution subject to lock-in and the specified securities proposed to form part of the promoters’ contribution subject to lock-in shall not be disposed or sold or transferred by the promoters during the period starting from the date of filing the draft offer document/ draft letter of offer with the Board till the date of commencement of lock-in period as stated in the draft offer document/ draft letter of offer.</w:t>
      </w:r>
    </w:p>
    <w:p>
      <w:pPr>
        <w:spacing w:after="0" w:line="14" w:lineRule="exact"/>
        <w:rPr>
          <w:rFonts w:ascii="Times New Roman" w:cs="Times New Roman" w:eastAsia="Times New Roman" w:hAnsi="Times New Roman"/>
          <w:sz w:val="24"/>
          <w:szCs w:val="24"/>
          <w:color w:val="auto"/>
        </w:rPr>
      </w:pPr>
    </w:p>
    <w:p>
      <w:pPr>
        <w:jc w:val="both"/>
        <w:ind w:left="568" w:hanging="568"/>
        <w:spacing w:after="0" w:line="354" w:lineRule="auto"/>
        <w:tabs>
          <w:tab w:leader="none" w:pos="568" w:val="left"/>
        </w:tabs>
        <w:numPr>
          <w:ilvl w:val="0"/>
          <w:numId w:val="73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All applicable provisions of these regulations, which relate to specified securities ineligible for computation of promoters’ contribution, have been and shall be duly complied with and appropriate disclosures as to compliance with the said regulation(s) have been made in the</w:t>
      </w:r>
    </w:p>
    <w:p>
      <w:pPr>
        <w:spacing w:after="0" w:line="10" w:lineRule="exact"/>
        <w:rPr>
          <w:sz w:val="20"/>
          <w:szCs w:val="20"/>
          <w:color w:val="auto"/>
        </w:rPr>
      </w:pPr>
    </w:p>
    <w:p>
      <w:pPr>
        <w:ind w:left="568"/>
        <w:spacing w:after="0"/>
        <w:rPr>
          <w:sz w:val="20"/>
          <w:szCs w:val="20"/>
          <w:color w:val="auto"/>
        </w:rPr>
      </w:pPr>
      <w:r>
        <w:rPr>
          <w:rFonts w:ascii="Times New Roman" w:cs="Times New Roman" w:eastAsia="Times New Roman" w:hAnsi="Times New Roman"/>
          <w:sz w:val="24"/>
          <w:szCs w:val="24"/>
          <w:color w:val="auto"/>
        </w:rPr>
        <w:t>draft offer document.</w:t>
      </w:r>
    </w:p>
    <w:p>
      <w:pPr>
        <w:spacing w:after="0" w:line="150" w:lineRule="exact"/>
        <w:rPr>
          <w:sz w:val="20"/>
          <w:szCs w:val="20"/>
          <w:color w:val="auto"/>
        </w:rPr>
      </w:pPr>
    </w:p>
    <w:p>
      <w:pPr>
        <w:jc w:val="both"/>
        <w:ind w:left="568" w:hanging="559"/>
        <w:spacing w:after="0" w:line="358" w:lineRule="auto"/>
        <w:tabs>
          <w:tab w:leader="none" w:pos="547" w:val="left"/>
        </w:tabs>
        <w:rPr>
          <w:sz w:val="20"/>
          <w:szCs w:val="20"/>
          <w:color w:val="auto"/>
        </w:rPr>
      </w:pPr>
      <w:r>
        <w:rPr>
          <w:rFonts w:ascii="Times New Roman" w:cs="Times New Roman" w:eastAsia="Times New Roman" w:hAnsi="Times New Roman"/>
          <w:sz w:val="24"/>
          <w:szCs w:val="24"/>
          <w:color w:val="auto"/>
        </w:rPr>
        <w:t>(7)</w:t>
        <w:tab/>
        <w:t>All applicable provisions of these regulations which relate to receipt of promoters’’ contribution prior to opening of the issue , shall be complied with. Arrangements have been made to ensure that the promoters’ contribution shall be received at least one day before the opening of the issue and that the auditors’ certificate to this effect shall be duly submitted to the Board. We further confirm that arrangements have been made to ensure that the promoters’ contribution shall be kept in an escrow account with a scheduled commercial bank and shall be released to the issuer along with the proceeds of the issue.</w:t>
      </w:r>
    </w:p>
    <w:p>
      <w:pPr>
        <w:spacing w:after="0" w:line="18" w:lineRule="exact"/>
        <w:rPr>
          <w:sz w:val="20"/>
          <w:szCs w:val="20"/>
          <w:color w:val="auto"/>
        </w:rPr>
      </w:pPr>
    </w:p>
    <w:p>
      <w:pPr>
        <w:jc w:val="both"/>
        <w:ind w:left="568" w:hanging="568"/>
        <w:spacing w:after="0" w:line="356" w:lineRule="auto"/>
        <w:tabs>
          <w:tab w:leader="none" w:pos="568" w:val="left"/>
        </w:tabs>
        <w:numPr>
          <w:ilvl w:val="0"/>
          <w:numId w:val="74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Necessary arrangements shall be made to ensure that the monies received pursuant to the issue are credited or transferred to in a separate bank account as per the provisions of sub-section (3) of section 40 of the Companies Act, 2013 and that such monies shall be released by the said bank only after permission is obtained from all the stock exchanges, and that the</w:t>
      </w: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183</w:t>
      </w:r>
    </w:p>
    <w:p>
      <w:pPr>
        <w:sectPr>
          <w:pgSz w:w="11900" w:h="16836" w:orient="portrait"/>
          <w:cols w:equalWidth="0" w:num="1">
            <w:col w:w="9468"/>
          </w:cols>
          <w:pgMar w:left="1152" w:top="1156" w:right="1284" w:bottom="103" w:gutter="0" w:footer="0" w:header="0"/>
        </w:sectPr>
      </w:pPr>
    </w:p>
    <w:bookmarkStart w:id="183" w:name="page184"/>
    <w:bookmarkEnd w:id="183"/>
    <w:p>
      <w:pPr>
        <w:ind w:left="568"/>
        <w:spacing w:after="0" w:line="348" w:lineRule="auto"/>
        <w:rPr>
          <w:sz w:val="20"/>
          <w:szCs w:val="20"/>
          <w:color w:val="auto"/>
        </w:rPr>
      </w:pPr>
      <w:r>
        <w:rPr>
          <w:rFonts w:ascii="Times New Roman" w:cs="Times New Roman" w:eastAsia="Times New Roman" w:hAnsi="Times New Roman"/>
          <w:sz w:val="24"/>
          <w:szCs w:val="24"/>
          <w:color w:val="auto"/>
        </w:rPr>
        <w:t>agreement entered into between the bankers to the issue and the issuer specifically contains this condition.</w:t>
      </w:r>
    </w:p>
    <w:p>
      <w:pPr>
        <w:spacing w:after="0" w:line="28" w:lineRule="exact"/>
        <w:rPr>
          <w:sz w:val="20"/>
          <w:szCs w:val="20"/>
          <w:color w:val="auto"/>
        </w:rPr>
      </w:pPr>
    </w:p>
    <w:p>
      <w:pPr>
        <w:jc w:val="both"/>
        <w:ind w:left="568" w:hanging="568"/>
        <w:spacing w:after="0" w:line="348" w:lineRule="auto"/>
        <w:tabs>
          <w:tab w:leader="none" w:pos="568" w:val="left"/>
        </w:tabs>
        <w:numPr>
          <w:ilvl w:val="0"/>
          <w:numId w:val="74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existing business as well as any new business of the issuer for which the funds are being raised fall within the ‘main objects’ in the object clause of the Memorandum of</w:t>
      </w:r>
    </w:p>
    <w:p>
      <w:pPr>
        <w:spacing w:after="0" w:line="27" w:lineRule="exact"/>
        <w:rPr>
          <w:rFonts w:ascii="Times New Roman" w:cs="Times New Roman" w:eastAsia="Times New Roman" w:hAnsi="Times New Roman"/>
          <w:sz w:val="24"/>
          <w:szCs w:val="24"/>
          <w:color w:val="auto"/>
        </w:rPr>
      </w:pPr>
    </w:p>
    <w:p>
      <w:pPr>
        <w:ind w:left="568"/>
        <w:spacing w:after="0" w:line="348"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Association or other charter of the issuer and that the activities which have been carried in the last ten years are valid in terms of the object clause of the Memorandum of Association.</w:t>
      </w:r>
    </w:p>
    <w:p>
      <w:pPr>
        <w:spacing w:after="0" w:line="8" w:lineRule="exact"/>
        <w:rPr>
          <w:sz w:val="20"/>
          <w:szCs w:val="20"/>
          <w:color w:val="auto"/>
        </w:rPr>
      </w:pPr>
    </w:p>
    <w:p>
      <w:pPr>
        <w:ind w:left="8"/>
        <w:spacing w:after="0"/>
        <w:rPr>
          <w:sz w:val="20"/>
          <w:szCs w:val="20"/>
          <w:color w:val="auto"/>
        </w:rPr>
      </w:pPr>
      <w:r>
        <w:rPr>
          <w:rFonts w:ascii="Times New Roman" w:cs="Times New Roman" w:eastAsia="Times New Roman" w:hAnsi="Times New Roman"/>
          <w:sz w:val="32"/>
          <w:szCs w:val="32"/>
          <w:color w:val="auto"/>
          <w:vertAlign w:val="superscript"/>
        </w:rPr>
        <w:t>108</w:t>
      </w:r>
      <w:r>
        <w:rPr>
          <w:rFonts w:ascii="Times New Roman" w:cs="Times New Roman" w:eastAsia="Times New Roman" w:hAnsi="Times New Roman"/>
          <w:sz w:val="24"/>
          <w:szCs w:val="24"/>
          <w:color w:val="auto"/>
        </w:rPr>
        <w:t>[****]</w:t>
      </w:r>
    </w:p>
    <w:p>
      <w:pPr>
        <w:spacing w:after="0" w:line="45" w:lineRule="exact"/>
        <w:rPr>
          <w:sz w:val="20"/>
          <w:szCs w:val="20"/>
          <w:color w:val="auto"/>
        </w:rPr>
      </w:pPr>
    </w:p>
    <w:p>
      <w:pPr>
        <w:ind w:left="8"/>
        <w:spacing w:after="0"/>
        <w:rPr>
          <w:sz w:val="20"/>
          <w:szCs w:val="20"/>
          <w:color w:val="auto"/>
        </w:rPr>
      </w:pPr>
      <w:r>
        <w:rPr>
          <w:rFonts w:ascii="Times New Roman" w:cs="Times New Roman" w:eastAsia="Times New Roman" w:hAnsi="Times New Roman"/>
          <w:sz w:val="32"/>
          <w:szCs w:val="32"/>
          <w:color w:val="auto"/>
          <w:vertAlign w:val="superscript"/>
        </w:rPr>
        <w:t>109</w:t>
      </w:r>
      <w:r>
        <w:rPr>
          <w:rFonts w:ascii="Times New Roman" w:cs="Times New Roman" w:eastAsia="Times New Roman" w:hAnsi="Times New Roman"/>
          <w:sz w:val="24"/>
          <w:szCs w:val="24"/>
          <w:color w:val="auto"/>
        </w:rPr>
        <w:t>[(10)] Following disclosures have been made in the draft offer document/ draft letter of offer:</w:t>
      </w:r>
    </w:p>
    <w:p>
      <w:pPr>
        <w:spacing w:after="0" w:line="56" w:lineRule="exact"/>
        <w:rPr>
          <w:sz w:val="20"/>
          <w:szCs w:val="20"/>
          <w:color w:val="auto"/>
        </w:rPr>
      </w:pPr>
    </w:p>
    <w:p>
      <w:pPr>
        <w:ind w:left="1148" w:hanging="572"/>
        <w:spacing w:after="0"/>
        <w:tabs>
          <w:tab w:leader="none" w:pos="1148" w:val="left"/>
        </w:tabs>
        <w:numPr>
          <w:ilvl w:val="0"/>
          <w:numId w:val="74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  undertaking  from  the  issuer  that  at  any given  time,  there  shall  be  only one</w:t>
      </w:r>
    </w:p>
    <w:p>
      <w:pPr>
        <w:spacing w:after="0" w:line="129" w:lineRule="exact"/>
        <w:rPr>
          <w:rFonts w:ascii="Times New Roman" w:cs="Times New Roman" w:eastAsia="Times New Roman" w:hAnsi="Times New Roman"/>
          <w:sz w:val="24"/>
          <w:szCs w:val="24"/>
          <w:color w:val="auto"/>
        </w:rPr>
      </w:pPr>
    </w:p>
    <w:p>
      <w:pPr>
        <w:ind w:left="1148"/>
        <w:spacing w:after="0" w:line="287"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denomination for the equity shares of the issuer </w:t>
      </w:r>
      <w:r>
        <w:rPr>
          <w:rFonts w:ascii="Times New Roman" w:cs="Times New Roman" w:eastAsia="Times New Roman" w:hAnsi="Times New Roman"/>
          <w:sz w:val="32"/>
          <w:szCs w:val="32"/>
          <w:color w:val="auto"/>
          <w:vertAlign w:val="superscript"/>
        </w:rPr>
        <w:t>110</w:t>
      </w:r>
      <w:r>
        <w:rPr>
          <w:rFonts w:ascii="Times New Roman" w:cs="Times New Roman" w:eastAsia="Times New Roman" w:hAnsi="Times New Roman"/>
          <w:sz w:val="24"/>
          <w:szCs w:val="24"/>
          <w:color w:val="auto"/>
        </w:rPr>
        <w:t>[, excluding SR equity shares, where an issuer has outstanding SR equity shares], and</w:t>
      </w:r>
    </w:p>
    <w:p>
      <w:pPr>
        <w:spacing w:after="0" w:line="65"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0"/>
          <w:numId w:val="74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 undertaking from the issuer that it shall comply with all disclosure and accounting</w:t>
      </w:r>
    </w:p>
    <w:p>
      <w:pPr>
        <w:spacing w:after="0" w:line="139" w:lineRule="exact"/>
        <w:rPr>
          <w:sz w:val="20"/>
          <w:szCs w:val="20"/>
          <w:color w:val="auto"/>
        </w:rPr>
      </w:pPr>
    </w:p>
    <w:p>
      <w:pPr>
        <w:ind w:left="1148"/>
        <w:spacing w:after="0"/>
        <w:rPr>
          <w:sz w:val="20"/>
          <w:szCs w:val="20"/>
          <w:color w:val="auto"/>
        </w:rPr>
      </w:pPr>
      <w:r>
        <w:rPr>
          <w:rFonts w:ascii="Times New Roman" w:cs="Times New Roman" w:eastAsia="Times New Roman" w:hAnsi="Times New Roman"/>
          <w:sz w:val="24"/>
          <w:szCs w:val="24"/>
          <w:color w:val="auto"/>
        </w:rPr>
        <w:t>norms specified by the Board.</w:t>
      </w:r>
    </w:p>
    <w:p>
      <w:pPr>
        <w:spacing w:after="0" w:line="129" w:lineRule="exact"/>
        <w:rPr>
          <w:sz w:val="20"/>
          <w:szCs w:val="20"/>
          <w:color w:val="auto"/>
        </w:rPr>
      </w:pPr>
    </w:p>
    <w:p>
      <w:pPr>
        <w:jc w:val="both"/>
        <w:ind w:left="8"/>
        <w:spacing w:after="0" w:line="311" w:lineRule="auto"/>
        <w:rPr>
          <w:sz w:val="20"/>
          <w:szCs w:val="20"/>
          <w:color w:val="auto"/>
        </w:rPr>
      </w:pPr>
      <w:r>
        <w:rPr>
          <w:rFonts w:ascii="Times New Roman" w:cs="Times New Roman" w:eastAsia="Times New Roman" w:hAnsi="Times New Roman"/>
          <w:sz w:val="32"/>
          <w:szCs w:val="32"/>
          <w:color w:val="auto"/>
          <w:vertAlign w:val="superscript"/>
        </w:rPr>
        <w:t>111</w:t>
      </w:r>
      <w:r>
        <w:rPr>
          <w:rFonts w:ascii="Times New Roman" w:cs="Times New Roman" w:eastAsia="Times New Roman" w:hAnsi="Times New Roman"/>
          <w:sz w:val="24"/>
          <w:szCs w:val="24"/>
          <w:color w:val="auto"/>
        </w:rPr>
        <w:t>[(11)] We shall comply with the regulations pertaining to advertisements in terms of the Securities and Exchange Board of India (Issue of Capital and Disclosure Requirements) Regulations, 2018.</w:t>
      </w:r>
    </w:p>
    <w:p>
      <w:pPr>
        <w:spacing w:after="0" w:line="52" w:lineRule="exact"/>
        <w:rPr>
          <w:sz w:val="20"/>
          <w:szCs w:val="20"/>
          <w:color w:val="auto"/>
        </w:rPr>
      </w:pPr>
    </w:p>
    <w:p>
      <w:pPr>
        <w:jc w:val="both"/>
        <w:ind w:left="8"/>
        <w:spacing w:after="0" w:line="285" w:lineRule="auto"/>
        <w:rPr>
          <w:sz w:val="20"/>
          <w:szCs w:val="20"/>
          <w:color w:val="auto"/>
        </w:rPr>
      </w:pPr>
      <w:r>
        <w:rPr>
          <w:rFonts w:ascii="Times New Roman" w:cs="Times New Roman" w:eastAsia="Times New Roman" w:hAnsi="Times New Roman"/>
          <w:sz w:val="32"/>
          <w:szCs w:val="32"/>
          <w:color w:val="auto"/>
          <w:vertAlign w:val="superscript"/>
        </w:rPr>
        <w:t>112</w:t>
      </w:r>
      <w:r>
        <w:rPr>
          <w:rFonts w:ascii="Times New Roman" w:cs="Times New Roman" w:eastAsia="Times New Roman" w:hAnsi="Times New Roman"/>
          <w:sz w:val="24"/>
          <w:szCs w:val="24"/>
          <w:color w:val="auto"/>
        </w:rPr>
        <w:t xml:space="preserve">[(12)] If applicable, the entity is eligible to list on the </w:t>
      </w:r>
      <w:r>
        <w:rPr>
          <w:rFonts w:ascii="Times New Roman" w:cs="Times New Roman" w:eastAsia="Times New Roman" w:hAnsi="Times New Roman"/>
          <w:sz w:val="32"/>
          <w:szCs w:val="32"/>
          <w:color w:val="auto"/>
          <w:vertAlign w:val="superscript"/>
        </w:rPr>
        <w:t>113</w:t>
      </w:r>
      <w:r>
        <w:rPr>
          <w:rFonts w:ascii="Times New Roman" w:cs="Times New Roman" w:eastAsia="Times New Roman" w:hAnsi="Times New Roman"/>
          <w:sz w:val="24"/>
          <w:szCs w:val="24"/>
          <w:color w:val="auto"/>
        </w:rPr>
        <w:t>[innovators growth platform] in terms of the provisions of Chapter X of these regulations.</w:t>
      </w:r>
    </w:p>
    <w:p>
      <w:pPr>
        <w:spacing w:after="0" w:line="63" w:lineRule="exact"/>
        <w:rPr>
          <w:sz w:val="20"/>
          <w:szCs w:val="20"/>
          <w:color w:val="auto"/>
        </w:rPr>
      </w:pPr>
    </w:p>
    <w:p>
      <w:pPr>
        <w:ind w:left="568"/>
        <w:spacing w:after="0"/>
        <w:rPr>
          <w:sz w:val="20"/>
          <w:szCs w:val="20"/>
          <w:color w:val="auto"/>
        </w:rPr>
      </w:pPr>
      <w:r>
        <w:rPr>
          <w:rFonts w:ascii="Times New Roman" w:cs="Times New Roman" w:eastAsia="Times New Roman" w:hAnsi="Times New Roman"/>
          <w:sz w:val="32"/>
          <w:szCs w:val="32"/>
          <w:color w:val="auto"/>
          <w:vertAlign w:val="superscript"/>
        </w:rPr>
        <w:t>114</w:t>
      </w:r>
      <w:r>
        <w:rPr>
          <w:rFonts w:ascii="Times New Roman" w:cs="Times New Roman" w:eastAsia="Times New Roman" w:hAnsi="Times New Roman"/>
          <w:sz w:val="24"/>
          <w:szCs w:val="24"/>
          <w:color w:val="auto"/>
        </w:rPr>
        <w:t>{[****]}</w:t>
      </w:r>
    </w:p>
    <w:p>
      <w:pPr>
        <w:spacing w:after="0" w:line="65" w:lineRule="exact"/>
        <w:rPr>
          <w:sz w:val="20"/>
          <w:szCs w:val="20"/>
          <w:color w:val="auto"/>
        </w:rPr>
      </w:pPr>
    </w:p>
    <w:p>
      <w:pPr>
        <w:jc w:val="both"/>
        <w:ind w:left="8"/>
        <w:spacing w:after="0" w:line="356" w:lineRule="auto"/>
        <w:rPr>
          <w:sz w:val="20"/>
          <w:szCs w:val="20"/>
          <w:color w:val="auto"/>
        </w:rPr>
      </w:pPr>
      <w:r>
        <w:rPr>
          <w:rFonts w:ascii="Times New Roman" w:cs="Times New Roman" w:eastAsia="Times New Roman" w:hAnsi="Times New Roman"/>
          <w:sz w:val="24"/>
          <w:szCs w:val="24"/>
          <w:color w:val="auto"/>
        </w:rPr>
        <w:t>We enclose a note explaining the process of due diligence that has been exercised by us including in relation to the business of the issuer, the risks in relation to the business, experience of the promoters and that the related party transactions entered into for the period disclosed in the offer document have been entered into by the issuer in accordance with applicable laws.</w:t>
      </w:r>
    </w:p>
    <w:p>
      <w:pPr>
        <w:spacing w:after="0" w:line="200" w:lineRule="exact"/>
        <w:rPr>
          <w:sz w:val="20"/>
          <w:szCs w:val="20"/>
          <w:color w:val="auto"/>
        </w:rPr>
      </w:pPr>
    </w:p>
    <w:p>
      <w:pPr>
        <w:spacing w:after="0" w:line="317" w:lineRule="exact"/>
        <w:rPr>
          <w:sz w:val="20"/>
          <w:szCs w:val="20"/>
          <w:color w:val="auto"/>
        </w:rPr>
      </w:pPr>
    </w:p>
    <w:p>
      <w:pPr>
        <w:ind w:left="248" w:hanging="248"/>
        <w:spacing w:after="0"/>
        <w:tabs>
          <w:tab w:leader="none" w:pos="248" w:val="left"/>
        </w:tabs>
        <w:numPr>
          <w:ilvl w:val="0"/>
          <w:numId w:val="743"/>
        </w:numPr>
        <w:rPr>
          <w:rFonts w:ascii="Times New Roman" w:cs="Times New Roman" w:eastAsia="Times New Roman" w:hAnsi="Times New Roman"/>
          <w:sz w:val="24"/>
          <w:szCs w:val="24"/>
          <w:color w:val="auto"/>
          <w:vertAlign w:val="superscript"/>
        </w:rPr>
      </w:pPr>
      <w:r>
        <w:rPr>
          <w:rFonts w:ascii="Times New Roman" w:cs="Times New Roman" w:eastAsia="Times New Roman" w:hAnsi="Times New Roman"/>
          <w:sz w:val="18"/>
          <w:szCs w:val="18"/>
          <w:color w:val="auto"/>
        </w:rPr>
        <w:t>Omitted by the SEBI (Issue of Capital and Disclosure Requirements) (Sixth Amendment) Regulations, 2019 w.e.f.</w:t>
      </w:r>
    </w:p>
    <w:p>
      <w:pPr>
        <w:spacing w:after="0" w:line="19" w:lineRule="exact"/>
        <w:rPr>
          <w:rFonts w:ascii="Times New Roman" w:cs="Times New Roman" w:eastAsia="Times New Roman" w:hAnsi="Times New Roman"/>
          <w:sz w:val="24"/>
          <w:szCs w:val="24"/>
          <w:color w:val="auto"/>
          <w:vertAlign w:val="superscript"/>
        </w:rPr>
      </w:pPr>
    </w:p>
    <w:p>
      <w:pPr>
        <w:ind w:left="248" w:hanging="248"/>
        <w:spacing w:after="0" w:line="231" w:lineRule="auto"/>
        <w:tabs>
          <w:tab w:leader="none" w:pos="248" w:val="left"/>
        </w:tabs>
        <w:numPr>
          <w:ilvl w:val="0"/>
          <w:numId w:val="744"/>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12.2019. Prior to its omission, clause (10) read as follows,-</w:t>
      </w:r>
    </w:p>
    <w:p>
      <w:pPr>
        <w:spacing w:after="0" w:line="12" w:lineRule="exact"/>
        <w:rPr>
          <w:rFonts w:ascii="Times New Roman" w:cs="Times New Roman" w:eastAsia="Times New Roman" w:hAnsi="Times New Roman"/>
          <w:sz w:val="19"/>
          <w:szCs w:val="19"/>
          <w:color w:val="auto"/>
        </w:rPr>
      </w:pPr>
    </w:p>
    <w:p>
      <w:pPr>
        <w:ind w:left="728" w:right="20"/>
        <w:spacing w:after="0" w:line="233" w:lineRule="auto"/>
        <w:rPr>
          <w:rFonts w:ascii="Times New Roman" w:cs="Times New Roman" w:eastAsia="Times New Roman" w:hAnsi="Times New Roman"/>
          <w:sz w:val="19"/>
          <w:szCs w:val="19"/>
          <w:color w:val="auto"/>
        </w:rPr>
      </w:pPr>
      <w:r>
        <w:rPr>
          <w:rFonts w:ascii="Times New Roman" w:cs="Times New Roman" w:eastAsia="Times New Roman" w:hAnsi="Times New Roman"/>
          <w:sz w:val="20"/>
          <w:szCs w:val="20"/>
          <w:color w:val="auto"/>
        </w:rPr>
        <w:t>“(10) In case of a rights issue disclosure has been made in the draft letter of offer that investors shall be given an option to receive the shares in demat or physical mode”</w:t>
      </w:r>
    </w:p>
    <w:p>
      <w:pPr>
        <w:spacing w:after="0" w:line="11" w:lineRule="exact"/>
        <w:rPr>
          <w:rFonts w:ascii="Times New Roman" w:cs="Times New Roman" w:eastAsia="Times New Roman" w:hAnsi="Times New Roman"/>
          <w:sz w:val="19"/>
          <w:szCs w:val="19"/>
          <w:color w:val="auto"/>
        </w:rPr>
      </w:pPr>
    </w:p>
    <w:p>
      <w:pPr>
        <w:ind w:left="8" w:hanging="8"/>
        <w:spacing w:after="0" w:line="203" w:lineRule="auto"/>
        <w:tabs>
          <w:tab w:leader="none" w:pos="312" w:val="left"/>
        </w:tabs>
        <w:numPr>
          <w:ilvl w:val="0"/>
          <w:numId w:val="745"/>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Clause 11 re-numbered by the SEBI (Issue of Capital and Disclosure Requirements) (Sixth Amendment) Regulations, 2019 w.e.f. 26.12.2019.</w:t>
      </w:r>
    </w:p>
    <w:p>
      <w:pPr>
        <w:spacing w:after="0" w:line="13" w:lineRule="exact"/>
        <w:rPr>
          <w:rFonts w:ascii="Times New Roman" w:cs="Times New Roman" w:eastAsia="Times New Roman" w:hAnsi="Times New Roman"/>
          <w:sz w:val="26"/>
          <w:szCs w:val="26"/>
          <w:color w:val="auto"/>
          <w:vertAlign w:val="superscript"/>
        </w:rPr>
      </w:pPr>
    </w:p>
    <w:p>
      <w:pPr>
        <w:ind w:left="8" w:hanging="8"/>
        <w:spacing w:after="0" w:line="203" w:lineRule="auto"/>
        <w:tabs>
          <w:tab w:leader="none" w:pos="291" w:val="left"/>
        </w:tabs>
        <w:numPr>
          <w:ilvl w:val="0"/>
          <w:numId w:val="745"/>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Inserted by the SEBI (Issue of Capital and Disclosure Requirements) (Third Amendment) Regulations, 2019 w.e.f.29.07.2019.</w:t>
      </w:r>
    </w:p>
    <w:p>
      <w:pPr>
        <w:spacing w:after="0" w:line="13" w:lineRule="exact"/>
        <w:rPr>
          <w:rFonts w:ascii="Times New Roman" w:cs="Times New Roman" w:eastAsia="Times New Roman" w:hAnsi="Times New Roman"/>
          <w:sz w:val="26"/>
          <w:szCs w:val="26"/>
          <w:color w:val="auto"/>
          <w:vertAlign w:val="superscript"/>
        </w:rPr>
      </w:pPr>
    </w:p>
    <w:p>
      <w:pPr>
        <w:ind w:left="8" w:hanging="8"/>
        <w:spacing w:after="0" w:line="202" w:lineRule="auto"/>
        <w:tabs>
          <w:tab w:leader="none" w:pos="312" w:val="left"/>
        </w:tabs>
        <w:numPr>
          <w:ilvl w:val="0"/>
          <w:numId w:val="745"/>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Clause 12 re-numbered by the SEBI (Issue of Capital and Disclosure Requirements) (Sixth Amendment) Regulations, 2019 w.e.f. 26.12.2019.</w:t>
      </w:r>
    </w:p>
    <w:p>
      <w:pPr>
        <w:spacing w:after="0" w:line="13" w:lineRule="exact"/>
        <w:rPr>
          <w:rFonts w:ascii="Times New Roman" w:cs="Times New Roman" w:eastAsia="Times New Roman" w:hAnsi="Times New Roman"/>
          <w:sz w:val="26"/>
          <w:szCs w:val="26"/>
          <w:color w:val="auto"/>
          <w:vertAlign w:val="superscript"/>
        </w:rPr>
      </w:pPr>
    </w:p>
    <w:p>
      <w:pPr>
        <w:ind w:left="8" w:hanging="8"/>
        <w:spacing w:after="0" w:line="203" w:lineRule="auto"/>
        <w:tabs>
          <w:tab w:leader="none" w:pos="312" w:val="left"/>
        </w:tabs>
        <w:numPr>
          <w:ilvl w:val="0"/>
          <w:numId w:val="745"/>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Clause 11 re-numbered by the SEBI (Issue of Capital and Disclosure Requirements) (Sixth Amendment) Regulations, 2019 w.e.f. 26.12.2019.</w:t>
      </w:r>
    </w:p>
    <w:p>
      <w:pPr>
        <w:spacing w:after="0" w:line="13" w:lineRule="exact"/>
        <w:rPr>
          <w:rFonts w:ascii="Times New Roman" w:cs="Times New Roman" w:eastAsia="Times New Roman" w:hAnsi="Times New Roman"/>
          <w:sz w:val="26"/>
          <w:szCs w:val="26"/>
          <w:color w:val="auto"/>
          <w:vertAlign w:val="superscript"/>
        </w:rPr>
      </w:pPr>
    </w:p>
    <w:p>
      <w:pPr>
        <w:jc w:val="both"/>
        <w:ind w:left="8" w:hanging="8"/>
        <w:spacing w:after="0" w:line="214" w:lineRule="auto"/>
        <w:tabs>
          <w:tab w:leader="none" w:pos="300" w:val="left"/>
        </w:tabs>
        <w:numPr>
          <w:ilvl w:val="0"/>
          <w:numId w:val="745"/>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Securities and Exchange Board of India (Issue of Capital and Disclosure Requirements) (Second Amendment) Regulations, 2019, w-e-f 05.04.2019. Prior to its substitution, it read as “institutional trading platform”.</w:t>
      </w:r>
    </w:p>
    <w:p>
      <w:pPr>
        <w:ind w:left="248" w:hanging="248"/>
        <w:spacing w:after="0" w:line="200" w:lineRule="auto"/>
        <w:tabs>
          <w:tab w:leader="none" w:pos="248" w:val="left"/>
        </w:tabs>
        <w:numPr>
          <w:ilvl w:val="0"/>
          <w:numId w:val="745"/>
        </w:numPr>
        <w:rPr>
          <w:rFonts w:ascii="Times New Roman" w:cs="Times New Roman" w:eastAsia="Times New Roman" w:hAnsi="Times New Roman"/>
          <w:sz w:val="24"/>
          <w:szCs w:val="24"/>
          <w:color w:val="auto"/>
          <w:vertAlign w:val="superscript"/>
        </w:rPr>
      </w:pPr>
      <w:r>
        <w:rPr>
          <w:rFonts w:ascii="Times New Roman" w:cs="Times New Roman" w:eastAsia="Times New Roman" w:hAnsi="Times New Roman"/>
          <w:sz w:val="18"/>
          <w:szCs w:val="18"/>
          <w:color w:val="auto"/>
        </w:rPr>
        <w:t>Omitted by the SEBI (Issue of Capital and Disclosure Requirements) (Sixth Amendment) Regulations, 2019 w.e.f.</w:t>
      </w:r>
    </w:p>
    <w:p>
      <w:pPr>
        <w:spacing w:after="0" w:line="19" w:lineRule="exact"/>
        <w:rPr>
          <w:rFonts w:ascii="Times New Roman" w:cs="Times New Roman" w:eastAsia="Times New Roman" w:hAnsi="Times New Roman"/>
          <w:sz w:val="24"/>
          <w:szCs w:val="24"/>
          <w:color w:val="auto"/>
          <w:vertAlign w:val="superscript"/>
        </w:rPr>
      </w:pPr>
    </w:p>
    <w:p>
      <w:pPr>
        <w:ind w:left="248" w:hanging="248"/>
        <w:spacing w:after="0" w:line="231" w:lineRule="auto"/>
        <w:tabs>
          <w:tab w:leader="none" w:pos="248" w:val="left"/>
        </w:tabs>
        <w:numPr>
          <w:ilvl w:val="0"/>
          <w:numId w:val="746"/>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12.2019. Prior to its omission, the omitted provison read as follows,-</w:t>
      </w:r>
    </w:p>
    <w:p>
      <w:pPr>
        <w:spacing w:after="0" w:line="12" w:lineRule="exact"/>
        <w:rPr>
          <w:rFonts w:ascii="Times New Roman" w:cs="Times New Roman" w:eastAsia="Times New Roman" w:hAnsi="Times New Roman"/>
          <w:sz w:val="19"/>
          <w:szCs w:val="19"/>
          <w:color w:val="auto"/>
        </w:rPr>
      </w:pPr>
    </w:p>
    <w:p>
      <w:pPr>
        <w:ind w:left="568"/>
        <w:spacing w:after="0" w:line="234" w:lineRule="auto"/>
        <w:rPr>
          <w:rFonts w:ascii="Times New Roman" w:cs="Times New Roman" w:eastAsia="Times New Roman" w:hAnsi="Times New Roman"/>
          <w:sz w:val="19"/>
          <w:szCs w:val="19"/>
          <w:color w:val="auto"/>
        </w:rPr>
      </w:pPr>
      <w:r>
        <w:rPr>
          <w:rFonts w:ascii="Times New Roman" w:cs="Times New Roman" w:eastAsia="Times New Roman" w:hAnsi="Times New Roman"/>
          <w:sz w:val="20"/>
          <w:szCs w:val="20"/>
          <w:color w:val="auto"/>
        </w:rPr>
        <w:t>“[*The option to receive physical security certificates in a rights issue shall be available only for a period of six months from the date of coming into force of these regulations.]”</w:t>
      </w:r>
    </w:p>
    <w:p>
      <w:pPr>
        <w:spacing w:after="0" w:line="29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184</w:t>
      </w:r>
    </w:p>
    <w:p>
      <w:pPr>
        <w:sectPr>
          <w:pgSz w:w="11900" w:h="16836" w:orient="portrait"/>
          <w:cols w:equalWidth="0" w:num="1">
            <w:col w:w="9468"/>
          </w:cols>
          <w:pgMar w:left="1152" w:top="1156" w:right="1284" w:bottom="103" w:gutter="0" w:footer="0" w:header="0"/>
        </w:sectPr>
      </w:pPr>
    </w:p>
    <w:bookmarkStart w:id="184" w:name="page185"/>
    <w:bookmarkEnd w:id="184"/>
    <w:p>
      <w:pPr>
        <w:spacing w:after="0" w:line="130" w:lineRule="exact"/>
        <w:rPr>
          <w:sz w:val="20"/>
          <w:szCs w:val="20"/>
          <w:color w:val="auto"/>
        </w:rPr>
      </w:pPr>
    </w:p>
    <w:p>
      <w:pPr>
        <w:jc w:val="both"/>
        <w:ind w:left="8"/>
        <w:spacing w:after="0" w:line="356" w:lineRule="auto"/>
        <w:rPr>
          <w:sz w:val="20"/>
          <w:szCs w:val="20"/>
          <w:color w:val="auto"/>
        </w:rPr>
      </w:pPr>
      <w:r>
        <w:rPr>
          <w:rFonts w:ascii="Times New Roman" w:cs="Times New Roman" w:eastAsia="Times New Roman" w:hAnsi="Times New Roman"/>
          <w:sz w:val="24"/>
          <w:szCs w:val="24"/>
          <w:color w:val="auto"/>
        </w:rPr>
        <w:t>We enclose a checklist confirming regulation-wise compliance with the applicable provisions of these regulations, containing details such as the regulation number, its text, the status of compliance, page number of the draft offer document/ draft letter of offer where the regulation has been complied with and our comments, if any.</w:t>
      </w:r>
    </w:p>
    <w:p>
      <w:pPr>
        <w:sectPr>
          <w:pgSz w:w="11900" w:h="16836" w:orient="portrait"/>
          <w:cols w:equalWidth="0" w:num="1">
            <w:col w:w="9468"/>
          </w:cols>
          <w:pgMar w:left="1152" w:top="1440" w:right="1284" w:bottom="103" w:gutter="0" w:footer="0" w:header="0"/>
        </w:sectPr>
      </w:pPr>
    </w:p>
    <w:p>
      <w:pPr>
        <w:spacing w:after="0" w:line="200" w:lineRule="exact"/>
        <w:rPr>
          <w:sz w:val="20"/>
          <w:szCs w:val="20"/>
          <w:color w:val="auto"/>
        </w:rPr>
      </w:pPr>
    </w:p>
    <w:p>
      <w:pPr>
        <w:spacing w:after="0" w:line="238" w:lineRule="exact"/>
        <w:rPr>
          <w:sz w:val="20"/>
          <w:szCs w:val="20"/>
          <w:color w:val="auto"/>
        </w:rPr>
      </w:pPr>
    </w:p>
    <w:p>
      <w:pPr>
        <w:ind w:left="108"/>
        <w:spacing w:after="0"/>
        <w:rPr>
          <w:sz w:val="20"/>
          <w:szCs w:val="20"/>
          <w:color w:val="auto"/>
        </w:rPr>
      </w:pPr>
      <w:r>
        <w:rPr>
          <w:rFonts w:ascii="Times New Roman" w:cs="Times New Roman" w:eastAsia="Times New Roman" w:hAnsi="Times New Roman"/>
          <w:sz w:val="23"/>
          <w:szCs w:val="23"/>
          <w:b w:val="1"/>
          <w:bCs w:val="1"/>
          <w:color w:val="auto"/>
        </w:rPr>
        <w:t>Place:</w:t>
      </w:r>
    </w:p>
    <w:p>
      <w:pPr>
        <w:spacing w:after="0" w:line="137" w:lineRule="exact"/>
        <w:rPr>
          <w:sz w:val="20"/>
          <w:szCs w:val="20"/>
          <w:color w:val="auto"/>
        </w:rPr>
      </w:pPr>
    </w:p>
    <w:p>
      <w:pPr>
        <w:ind w:left="108"/>
        <w:spacing w:after="0"/>
        <w:rPr>
          <w:sz w:val="20"/>
          <w:szCs w:val="20"/>
          <w:color w:val="auto"/>
        </w:rPr>
      </w:pPr>
      <w:r>
        <w:rPr>
          <w:rFonts w:ascii="Times New Roman" w:cs="Times New Roman" w:eastAsia="Times New Roman" w:hAnsi="Times New Roman"/>
          <w:sz w:val="24"/>
          <w:szCs w:val="24"/>
          <w:b w:val="1"/>
          <w:bCs w:val="1"/>
          <w:color w:val="auto"/>
        </w:rPr>
        <w:t>Date: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18"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3"/>
          <w:szCs w:val="23"/>
          <w:b w:val="1"/>
          <w:bCs w:val="1"/>
          <w:color w:val="auto"/>
        </w:rPr>
        <w:t>Lead Manager(s) to the Issue</w:t>
      </w:r>
    </w:p>
    <w:p>
      <w:pPr>
        <w:spacing w:after="0" w:line="137"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4"/>
          <w:szCs w:val="24"/>
          <w:b w:val="1"/>
          <w:bCs w:val="1"/>
          <w:color w:val="auto"/>
        </w:rPr>
        <w:t>with Official Seal(s)</w:t>
      </w:r>
    </w:p>
    <w:p>
      <w:pPr>
        <w:spacing w:after="0" w:line="200" w:lineRule="exact"/>
        <w:rPr>
          <w:sz w:val="20"/>
          <w:szCs w:val="20"/>
          <w:color w:val="auto"/>
        </w:rPr>
      </w:pPr>
    </w:p>
    <w:p>
      <w:pPr>
        <w:sectPr>
          <w:pgSz w:w="11900" w:h="16836" w:orient="portrait"/>
          <w:cols w:equalWidth="0" w:num="2">
            <w:col w:w="5848" w:space="720"/>
            <w:col w:w="2900"/>
          </w:cols>
          <w:pgMar w:left="1152" w:top="1440" w:right="1284" w:bottom="103" w:gutter="0" w:footer="0" w:header="0"/>
          <w:type w:val="continuous"/>
        </w:sectPr>
      </w:pPr>
    </w:p>
    <w:p>
      <w:pPr>
        <w:spacing w:after="0" w:line="35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Note:</w:t>
      </w:r>
    </w:p>
    <w:p>
      <w:pPr>
        <w:spacing w:after="0" w:line="134"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The requirements in items 5, 6, 7 are not applicable in case of a rights issue.</w:t>
      </w:r>
    </w:p>
    <w:p>
      <w:pPr>
        <w:spacing w:after="0" w:line="200" w:lineRule="exact"/>
        <w:rPr>
          <w:sz w:val="20"/>
          <w:szCs w:val="20"/>
          <w:color w:val="auto"/>
        </w:rPr>
      </w:pPr>
    </w:p>
    <w:p>
      <w:pPr>
        <w:spacing w:after="0" w:line="369" w:lineRule="exact"/>
        <w:rPr>
          <w:sz w:val="20"/>
          <w:szCs w:val="20"/>
          <w:color w:val="auto"/>
        </w:rPr>
      </w:pPr>
    </w:p>
    <w:p>
      <w:pPr>
        <w:jc w:val="center"/>
        <w:ind w:left="1160" w:right="40"/>
        <w:spacing w:after="0" w:line="348" w:lineRule="auto"/>
        <w:rPr>
          <w:sz w:val="20"/>
          <w:szCs w:val="20"/>
          <w:color w:val="auto"/>
        </w:rPr>
      </w:pPr>
      <w:r>
        <w:rPr>
          <w:rFonts w:ascii="Times New Roman" w:cs="Times New Roman" w:eastAsia="Times New Roman" w:hAnsi="Times New Roman"/>
          <w:sz w:val="24"/>
          <w:szCs w:val="24"/>
          <w:b w:val="1"/>
          <w:bCs w:val="1"/>
          <w:color w:val="auto"/>
        </w:rPr>
        <w:t>Form B - Format of due diligence certificate to be given by the debenture trustee along with draft offer document</w:t>
      </w:r>
    </w:p>
    <w:p>
      <w:pPr>
        <w:spacing w:after="0" w:line="200" w:lineRule="exact"/>
        <w:rPr>
          <w:sz w:val="20"/>
          <w:szCs w:val="20"/>
          <w:color w:val="auto"/>
        </w:rPr>
      </w:pPr>
    </w:p>
    <w:p>
      <w:pPr>
        <w:spacing w:after="0" w:line="228"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[See regulations 25(2)(c), 71(2)(c), 100(2)(b), 123(2)(c) and 156(2)(b)]</w:t>
      </w:r>
    </w:p>
    <w:p>
      <w:pPr>
        <w:spacing w:after="0" w:line="200" w:lineRule="exact"/>
        <w:rPr>
          <w:sz w:val="20"/>
          <w:szCs w:val="20"/>
          <w:color w:val="auto"/>
        </w:rPr>
      </w:pPr>
    </w:p>
    <w:p>
      <w:pPr>
        <w:spacing w:after="0" w:line="35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To,</w:t>
      </w:r>
    </w:p>
    <w:p>
      <w:pPr>
        <w:spacing w:after="0" w:line="139"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Securities and Exchange Board of India</w:t>
      </w:r>
    </w:p>
    <w:p>
      <w:pPr>
        <w:spacing w:after="0" w:line="200" w:lineRule="exact"/>
        <w:rPr>
          <w:sz w:val="20"/>
          <w:szCs w:val="20"/>
          <w:color w:val="auto"/>
        </w:rPr>
      </w:pPr>
    </w:p>
    <w:p>
      <w:pPr>
        <w:spacing w:after="0" w:line="34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Dear Sirs,</w:t>
      </w:r>
    </w:p>
    <w:p>
      <w:pPr>
        <w:spacing w:after="0" w:line="200" w:lineRule="exact"/>
        <w:rPr>
          <w:sz w:val="20"/>
          <w:szCs w:val="20"/>
          <w:color w:val="auto"/>
        </w:rPr>
      </w:pPr>
    </w:p>
    <w:p>
      <w:pPr>
        <w:spacing w:after="0" w:line="36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3"/>
          <w:szCs w:val="23"/>
          <w:b w:val="1"/>
          <w:bCs w:val="1"/>
          <w:color w:val="auto"/>
        </w:rPr>
        <w:t>Sub.: Public/Rights Issue of ……………………. by ……………………….. (Name of the issuer)</w:t>
      </w:r>
    </w:p>
    <w:p>
      <w:pPr>
        <w:spacing w:after="0" w:line="200" w:lineRule="exact"/>
        <w:rPr>
          <w:sz w:val="20"/>
          <w:szCs w:val="20"/>
          <w:color w:val="auto"/>
        </w:rPr>
      </w:pPr>
    </w:p>
    <w:p>
      <w:pPr>
        <w:spacing w:after="0" w:line="34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We confirm that:</w:t>
      </w:r>
    </w:p>
    <w:p>
      <w:pPr>
        <w:spacing w:after="0" w:line="200" w:lineRule="exact"/>
        <w:rPr>
          <w:sz w:val="20"/>
          <w:szCs w:val="20"/>
          <w:color w:val="auto"/>
        </w:rPr>
      </w:pPr>
    </w:p>
    <w:p>
      <w:pPr>
        <w:spacing w:after="0" w:line="352" w:lineRule="exact"/>
        <w:rPr>
          <w:sz w:val="20"/>
          <w:szCs w:val="20"/>
          <w:color w:val="auto"/>
        </w:rPr>
      </w:pPr>
    </w:p>
    <w:p>
      <w:pPr>
        <w:ind w:left="568" w:hanging="568"/>
        <w:spacing w:after="0"/>
        <w:tabs>
          <w:tab w:leader="none" w:pos="568" w:val="left"/>
        </w:tabs>
        <w:numPr>
          <w:ilvl w:val="0"/>
          <w:numId w:val="7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We have examined all relevant documents pertaining to the said issue.</w:t>
      </w:r>
    </w:p>
    <w:p>
      <w:pPr>
        <w:spacing w:after="0" w:line="136"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7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We have examined the relevant documents pertaining to the security to be created.</w:t>
      </w:r>
    </w:p>
    <w:p>
      <w:pPr>
        <w:spacing w:after="0" w:line="151" w:lineRule="exact"/>
        <w:rPr>
          <w:rFonts w:ascii="Times New Roman" w:cs="Times New Roman" w:eastAsia="Times New Roman" w:hAnsi="Times New Roman"/>
          <w:sz w:val="24"/>
          <w:szCs w:val="24"/>
          <w:color w:val="auto"/>
        </w:rPr>
      </w:pPr>
    </w:p>
    <w:p>
      <w:pPr>
        <w:jc w:val="both"/>
        <w:ind w:left="568" w:hanging="568"/>
        <w:spacing w:after="0" w:line="354" w:lineRule="auto"/>
        <w:tabs>
          <w:tab w:leader="none" w:pos="568" w:val="left"/>
        </w:tabs>
        <w:numPr>
          <w:ilvl w:val="0"/>
          <w:numId w:val="7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On the basis of discussions with the issuer, its directors and other officers, other agencies/intermediaries and on examination and independent verification of the various relevant documents, we confirm that:</w:t>
      </w:r>
    </w:p>
    <w:p>
      <w:pPr>
        <w:spacing w:after="0" w:line="20" w:lineRule="exact"/>
        <w:rPr>
          <w:rFonts w:ascii="Times New Roman" w:cs="Times New Roman" w:eastAsia="Times New Roman" w:hAnsi="Times New Roman"/>
          <w:sz w:val="24"/>
          <w:szCs w:val="24"/>
          <w:color w:val="auto"/>
        </w:rPr>
      </w:pPr>
    </w:p>
    <w:p>
      <w:pPr>
        <w:jc w:val="both"/>
        <w:ind w:left="1148" w:hanging="572"/>
        <w:spacing w:after="0" w:line="354" w:lineRule="auto"/>
        <w:tabs>
          <w:tab w:leader="none" w:pos="1148" w:val="left"/>
        </w:tabs>
        <w:numPr>
          <w:ilvl w:val="1"/>
          <w:numId w:val="7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has made adequate provisions for and/or has taken steps to provide for adequate security or asset cover for the secured convertible debt instruments to be issued.</w:t>
      </w: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185</w:t>
      </w:r>
    </w:p>
    <w:p>
      <w:pPr>
        <w:sectPr>
          <w:pgSz w:w="11900" w:h="16836" w:orient="portrait"/>
          <w:cols w:equalWidth="0" w:num="1">
            <w:col w:w="9468"/>
          </w:cols>
          <w:pgMar w:left="1152" w:top="1440" w:right="1284" w:bottom="103" w:gutter="0" w:footer="0" w:header="0"/>
          <w:type w:val="continuous"/>
        </w:sectPr>
      </w:pPr>
    </w:p>
    <w:bookmarkStart w:id="185" w:name="page186"/>
    <w:bookmarkEnd w:id="185"/>
    <w:p>
      <w:pPr>
        <w:ind w:left="1148" w:hanging="572"/>
        <w:spacing w:after="0" w:line="348" w:lineRule="auto"/>
        <w:tabs>
          <w:tab w:leader="none" w:pos="1148" w:val="left"/>
        </w:tabs>
        <w:numPr>
          <w:ilvl w:val="1"/>
          <w:numId w:val="74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has obtained the permissions or consents necessary for creating security on the property as second charge or pari pasu charge (wherever applicable)</w:t>
      </w:r>
    </w:p>
    <w:p>
      <w:pPr>
        <w:spacing w:after="0" w:line="15"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74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has made all relevant disclosures about the security or asset cover.</w:t>
      </w:r>
    </w:p>
    <w:p>
      <w:pPr>
        <w:spacing w:after="0" w:line="149" w:lineRule="exact"/>
        <w:rPr>
          <w:rFonts w:ascii="Times New Roman" w:cs="Times New Roman" w:eastAsia="Times New Roman" w:hAnsi="Times New Roman"/>
          <w:sz w:val="24"/>
          <w:szCs w:val="24"/>
          <w:color w:val="auto"/>
        </w:rPr>
      </w:pPr>
    </w:p>
    <w:p>
      <w:pPr>
        <w:ind w:left="1148" w:hanging="572"/>
        <w:spacing w:after="0" w:line="350" w:lineRule="auto"/>
        <w:tabs>
          <w:tab w:leader="none" w:pos="1148" w:val="left"/>
        </w:tabs>
        <w:numPr>
          <w:ilvl w:val="1"/>
          <w:numId w:val="74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has made all relevant disclosures about its continuing obligations towards the holders of convertible debt instruments.</w:t>
      </w:r>
    </w:p>
    <w:p>
      <w:pPr>
        <w:spacing w:after="0" w:line="23" w:lineRule="exact"/>
        <w:rPr>
          <w:rFonts w:ascii="Times New Roman" w:cs="Times New Roman" w:eastAsia="Times New Roman" w:hAnsi="Times New Roman"/>
          <w:sz w:val="24"/>
          <w:szCs w:val="24"/>
          <w:color w:val="auto"/>
        </w:rPr>
      </w:pPr>
    </w:p>
    <w:p>
      <w:pPr>
        <w:jc w:val="both"/>
        <w:ind w:left="1168" w:hanging="575"/>
        <w:spacing w:after="0" w:line="354" w:lineRule="auto"/>
        <w:tabs>
          <w:tab w:leader="none" w:pos="1168" w:val="left"/>
        </w:tabs>
        <w:numPr>
          <w:ilvl w:val="2"/>
          <w:numId w:val="74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All disclosures made in the draft prospectus/letter of offer with respect to the convertible debt instruments are true, fair and adequate to enable the investors to make a well informed decision as to the investment in the proposed issue.</w:t>
      </w:r>
    </w:p>
    <w:p>
      <w:pPr>
        <w:spacing w:after="0" w:line="10"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74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We have satisfied ourselves about the ability of the issuer to service the debt securities.</w:t>
      </w:r>
    </w:p>
    <w:p>
      <w:pPr>
        <w:sectPr>
          <w:pgSz w:w="11900" w:h="16836" w:orient="portrait"/>
          <w:cols w:equalWidth="0" w:num="1">
            <w:col w:w="9468"/>
          </w:cols>
          <w:pgMar w:left="1152" w:top="1156" w:right="1284" w:bottom="103"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ind w:left="108"/>
        <w:spacing w:after="0"/>
        <w:rPr>
          <w:sz w:val="20"/>
          <w:szCs w:val="20"/>
          <w:color w:val="auto"/>
        </w:rPr>
      </w:pPr>
      <w:r>
        <w:rPr>
          <w:rFonts w:ascii="Times New Roman" w:cs="Times New Roman" w:eastAsia="Times New Roman" w:hAnsi="Times New Roman"/>
          <w:sz w:val="23"/>
          <w:szCs w:val="23"/>
          <w:b w:val="1"/>
          <w:bCs w:val="1"/>
          <w:color w:val="auto"/>
        </w:rPr>
        <w:t>Place: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b w:val="1"/>
          <w:bCs w:val="1"/>
          <w:color w:val="auto"/>
        </w:rPr>
        <w:t>Debenture Trustee to the Issue</w:t>
      </w:r>
    </w:p>
    <w:p>
      <w:pPr>
        <w:spacing w:after="0" w:line="137" w:lineRule="exact"/>
        <w:rPr>
          <w:sz w:val="20"/>
          <w:szCs w:val="20"/>
          <w:color w:val="auto"/>
        </w:rPr>
      </w:pPr>
    </w:p>
    <w:p>
      <w:pPr>
        <w:sectPr>
          <w:pgSz w:w="11900" w:h="16836" w:orient="portrait"/>
          <w:cols w:equalWidth="0" w:num="2">
            <w:col w:w="5608" w:space="720"/>
            <w:col w:w="3140"/>
          </w:cols>
          <w:pgMar w:left="1152" w:top="1156" w:right="1284" w:bottom="103" w:gutter="0" w:footer="0" w:header="0"/>
          <w:type w:val="continuous"/>
        </w:sectPr>
      </w:pPr>
    </w:p>
    <w:p>
      <w:pPr>
        <w:spacing w:after="0" w:line="11" w:lineRule="exact"/>
        <w:rPr>
          <w:sz w:val="20"/>
          <w:szCs w:val="20"/>
          <w:color w:val="auto"/>
        </w:rPr>
      </w:pPr>
    </w:p>
    <w:p>
      <w:pPr>
        <w:ind w:left="108"/>
        <w:spacing w:after="0"/>
        <w:rPr>
          <w:sz w:val="20"/>
          <w:szCs w:val="20"/>
          <w:color w:val="auto"/>
        </w:rPr>
      </w:pPr>
      <w:r>
        <w:rPr>
          <w:rFonts w:ascii="Times New Roman" w:cs="Times New Roman" w:eastAsia="Times New Roman" w:hAnsi="Times New Roman"/>
          <w:sz w:val="23"/>
          <w:szCs w:val="23"/>
          <w:b w:val="1"/>
          <w:bCs w:val="1"/>
          <w:color w:val="auto"/>
        </w:rPr>
        <w:t>Date:</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Times New Roman" w:cs="Times New Roman" w:eastAsia="Times New Roman" w:hAnsi="Times New Roman"/>
          <w:sz w:val="24"/>
          <w:szCs w:val="24"/>
          <w:b w:val="1"/>
          <w:bCs w:val="1"/>
          <w:color w:val="auto"/>
        </w:rPr>
        <w:t>with Official Seal</w:t>
      </w:r>
    </w:p>
    <w:p>
      <w:pPr>
        <w:spacing w:after="0" w:line="200" w:lineRule="exact"/>
        <w:rPr>
          <w:sz w:val="20"/>
          <w:szCs w:val="20"/>
          <w:color w:val="auto"/>
        </w:rPr>
      </w:pPr>
    </w:p>
    <w:p>
      <w:pPr>
        <w:sectPr>
          <w:pgSz w:w="11900" w:h="16836" w:orient="portrait"/>
          <w:cols w:equalWidth="0" w:num="2">
            <w:col w:w="6968" w:space="720"/>
            <w:col w:w="1780"/>
          </w:cols>
          <w:pgMar w:left="1152" w:top="1156" w:right="1284" w:bottom="103" w:gutter="0" w:footer="0" w:header="0"/>
          <w:type w:val="continuous"/>
        </w:sectPr>
      </w:pPr>
    </w:p>
    <w:p>
      <w:pPr>
        <w:spacing w:after="0" w:line="359" w:lineRule="exact"/>
        <w:rPr>
          <w:sz w:val="20"/>
          <w:szCs w:val="20"/>
          <w:color w:val="auto"/>
        </w:rPr>
      </w:pPr>
    </w:p>
    <w:p>
      <w:pPr>
        <w:jc w:val="both"/>
        <w:ind w:left="8"/>
        <w:spacing w:after="0" w:line="354" w:lineRule="auto"/>
        <w:rPr>
          <w:sz w:val="20"/>
          <w:szCs w:val="20"/>
          <w:color w:val="auto"/>
        </w:rPr>
      </w:pPr>
      <w:r>
        <w:rPr>
          <w:rFonts w:ascii="Times New Roman" w:cs="Times New Roman" w:eastAsia="Times New Roman" w:hAnsi="Times New Roman"/>
          <w:sz w:val="24"/>
          <w:szCs w:val="24"/>
          <w:b w:val="1"/>
          <w:bCs w:val="1"/>
          <w:color w:val="auto"/>
        </w:rPr>
        <w:t xml:space="preserve">Note: </w:t>
      </w:r>
      <w:r>
        <w:rPr>
          <w:rFonts w:ascii="Times New Roman" w:cs="Times New Roman" w:eastAsia="Times New Roman" w:hAnsi="Times New Roman"/>
          <w:sz w:val="24"/>
          <w:szCs w:val="24"/>
          <w:color w:val="auto"/>
        </w:rPr>
        <w:t>With respect to the issue of unsecured convertible debt instruments, the debenture trustee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shall not be required to certify the requirements stated in item 2 and sub-item (a), (b) and (c) of item 3 above.</w:t>
      </w:r>
    </w:p>
    <w:p>
      <w:pPr>
        <w:spacing w:after="0" w:line="200" w:lineRule="exact"/>
        <w:rPr>
          <w:sz w:val="20"/>
          <w:szCs w:val="20"/>
          <w:color w:val="auto"/>
        </w:rPr>
      </w:pPr>
    </w:p>
    <w:p>
      <w:pPr>
        <w:spacing w:after="0" w:line="228"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Form C - Format of due diligence certificate to be given by the lead manager(s) at the time</w:t>
      </w:r>
    </w:p>
    <w:p>
      <w:pPr>
        <w:spacing w:after="0" w:line="13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of filing offer document/filing letter of offer</w:t>
      </w:r>
    </w:p>
    <w:p>
      <w:pPr>
        <w:spacing w:after="0" w:line="137"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[See regulation25(9)(b), 71(7)(b) and 123(9)(b)]</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To,</w:t>
      </w:r>
    </w:p>
    <w:p>
      <w:pPr>
        <w:spacing w:after="0" w:line="13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Securities and Exchange Board of India</w:t>
      </w:r>
    </w:p>
    <w:p>
      <w:pPr>
        <w:spacing w:after="0" w:line="200" w:lineRule="exact"/>
        <w:rPr>
          <w:sz w:val="20"/>
          <w:szCs w:val="20"/>
          <w:color w:val="auto"/>
        </w:rPr>
      </w:pPr>
    </w:p>
    <w:p>
      <w:pPr>
        <w:spacing w:after="0" w:line="34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Dear Sirs,</w:t>
      </w:r>
    </w:p>
    <w:p>
      <w:pPr>
        <w:spacing w:after="0" w:line="200" w:lineRule="exact"/>
        <w:rPr>
          <w:sz w:val="20"/>
          <w:szCs w:val="20"/>
          <w:color w:val="auto"/>
        </w:rPr>
      </w:pPr>
    </w:p>
    <w:p>
      <w:pPr>
        <w:spacing w:after="0" w:line="35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Sub.: Public/Rights Issue of ……………….. by ……………………… (Name of the issuer)</w:t>
      </w:r>
    </w:p>
    <w:p>
      <w:pPr>
        <w:spacing w:after="0" w:line="200" w:lineRule="exact"/>
        <w:rPr>
          <w:sz w:val="20"/>
          <w:szCs w:val="20"/>
          <w:color w:val="auto"/>
        </w:rPr>
      </w:pPr>
    </w:p>
    <w:p>
      <w:pPr>
        <w:spacing w:after="0" w:line="34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We confirm that:</w:t>
      </w:r>
    </w:p>
    <w:p>
      <w:pPr>
        <w:spacing w:after="0" w:line="200" w:lineRule="exact"/>
        <w:rPr>
          <w:sz w:val="20"/>
          <w:szCs w:val="20"/>
          <w:color w:val="auto"/>
        </w:rPr>
      </w:pPr>
    </w:p>
    <w:p>
      <w:pPr>
        <w:spacing w:after="0" w:line="364" w:lineRule="exact"/>
        <w:rPr>
          <w:sz w:val="20"/>
          <w:szCs w:val="20"/>
          <w:color w:val="auto"/>
        </w:rPr>
      </w:pPr>
    </w:p>
    <w:p>
      <w:pPr>
        <w:jc w:val="both"/>
        <w:ind w:left="568" w:hanging="568"/>
        <w:spacing w:after="0" w:line="350" w:lineRule="auto"/>
        <w:tabs>
          <w:tab w:leader="none" w:pos="568" w:val="left"/>
        </w:tabs>
        <w:numPr>
          <w:ilvl w:val="0"/>
          <w:numId w:val="75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offer document (in case of a public issue) filed with the Registrar of Companies / letter of offer (in case of a rights issue) filed with the designated stock exchange on …. (date) was</w:t>
      </w:r>
    </w:p>
    <w:p>
      <w:pPr>
        <w:spacing w:after="0" w:line="268"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186</w:t>
      </w:r>
    </w:p>
    <w:p>
      <w:pPr>
        <w:sectPr>
          <w:pgSz w:w="11900" w:h="16836" w:orient="portrait"/>
          <w:cols w:equalWidth="0" w:num="1">
            <w:col w:w="9468"/>
          </w:cols>
          <w:pgMar w:left="1152" w:top="1156" w:right="1284" w:bottom="103" w:gutter="0" w:footer="0" w:header="0"/>
          <w:type w:val="continuous"/>
        </w:sectPr>
      </w:pPr>
    </w:p>
    <w:bookmarkStart w:id="186" w:name="page187"/>
    <w:bookmarkEnd w:id="186"/>
    <w:p>
      <w:pPr>
        <w:ind w:left="568" w:right="20"/>
        <w:spacing w:after="0" w:line="348" w:lineRule="auto"/>
        <w:rPr>
          <w:sz w:val="20"/>
          <w:szCs w:val="20"/>
          <w:color w:val="auto"/>
        </w:rPr>
      </w:pPr>
      <w:r>
        <w:rPr>
          <w:rFonts w:ascii="Times New Roman" w:cs="Times New Roman" w:eastAsia="Times New Roman" w:hAnsi="Times New Roman"/>
          <w:sz w:val="24"/>
          <w:szCs w:val="24"/>
          <w:color w:val="auto"/>
        </w:rPr>
        <w:t>suitably updated under intimation to the Board and that the said offer document or letter of offer contains all the material disclosures in respect of the issuer as on the said date.</w:t>
      </w:r>
    </w:p>
    <w:p>
      <w:pPr>
        <w:spacing w:after="0" w:line="28" w:lineRule="exact"/>
        <w:rPr>
          <w:sz w:val="20"/>
          <w:szCs w:val="20"/>
          <w:color w:val="auto"/>
        </w:rPr>
      </w:pPr>
    </w:p>
    <w:p>
      <w:pPr>
        <w:jc w:val="both"/>
        <w:ind w:left="568" w:right="20" w:hanging="568"/>
        <w:spacing w:after="0" w:line="354" w:lineRule="auto"/>
        <w:tabs>
          <w:tab w:leader="none" w:pos="568" w:val="left"/>
        </w:tabs>
        <w:numPr>
          <w:ilvl w:val="0"/>
          <w:numId w:val="75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registrations of all intermediaries named in the offer document or letter of offer are valid as on date and that none of these intermediaries have been debarred from functioning by any regulatory authority.</w:t>
      </w:r>
    </w:p>
    <w:p>
      <w:pPr>
        <w:spacing w:after="0" w:line="19" w:lineRule="exact"/>
        <w:rPr>
          <w:rFonts w:ascii="Times New Roman" w:cs="Times New Roman" w:eastAsia="Times New Roman" w:hAnsi="Times New Roman"/>
          <w:sz w:val="24"/>
          <w:szCs w:val="24"/>
          <w:color w:val="auto"/>
        </w:rPr>
      </w:pPr>
    </w:p>
    <w:p>
      <w:pPr>
        <w:ind w:left="568" w:right="20" w:hanging="568"/>
        <w:spacing w:after="0" w:line="350" w:lineRule="auto"/>
        <w:tabs>
          <w:tab w:leader="none" w:pos="568" w:val="left"/>
        </w:tabs>
        <w:numPr>
          <w:ilvl w:val="0"/>
          <w:numId w:val="75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Written consent from the promoter(s) has been obtained for inclusion of their securities as part of promoters’ contribution, subject to lock-in.</w:t>
      </w:r>
    </w:p>
    <w:p>
      <w:pPr>
        <w:spacing w:after="0" w:line="23" w:lineRule="exact"/>
        <w:rPr>
          <w:rFonts w:ascii="Times New Roman" w:cs="Times New Roman" w:eastAsia="Times New Roman" w:hAnsi="Times New Roman"/>
          <w:sz w:val="24"/>
          <w:szCs w:val="24"/>
          <w:color w:val="auto"/>
        </w:rPr>
      </w:pPr>
    </w:p>
    <w:p>
      <w:pPr>
        <w:jc w:val="both"/>
        <w:ind w:left="568" w:hanging="568"/>
        <w:spacing w:after="0" w:line="354" w:lineRule="auto"/>
        <w:tabs>
          <w:tab w:leader="none" w:pos="568" w:val="left"/>
        </w:tabs>
        <w:numPr>
          <w:ilvl w:val="0"/>
          <w:numId w:val="75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securities proposed to form part of the promoters’ contribution and subject to lock-in, have not been disposed or sold or transferred by the promoters during the period starting from the date of filing the draft offer document with the Board till date.</w:t>
      </w:r>
    </w:p>
    <w:p>
      <w:pPr>
        <w:spacing w:after="0" w:line="22" w:lineRule="exact"/>
        <w:rPr>
          <w:rFonts w:ascii="Times New Roman" w:cs="Times New Roman" w:eastAsia="Times New Roman" w:hAnsi="Times New Roman"/>
          <w:sz w:val="24"/>
          <w:szCs w:val="24"/>
          <w:color w:val="auto"/>
        </w:rPr>
      </w:pPr>
    </w:p>
    <w:p>
      <w:pPr>
        <w:ind w:left="568" w:right="20" w:hanging="568"/>
        <w:spacing w:after="0" w:line="348" w:lineRule="auto"/>
        <w:tabs>
          <w:tab w:leader="none" w:pos="568" w:val="left"/>
        </w:tabs>
        <w:numPr>
          <w:ilvl w:val="0"/>
          <w:numId w:val="75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Agreements have been entered into with the depositories for dematerialisation of the securities of the issuer.</w:t>
      </w:r>
    </w:p>
    <w:p>
      <w:pPr>
        <w:sectPr>
          <w:pgSz w:w="11900" w:h="16836" w:orient="portrait"/>
          <w:cols w:equalWidth="0" w:num="1">
            <w:col w:w="9488"/>
          </w:cols>
          <w:pgMar w:left="1152" w:top="1156" w:right="1264" w:bottom="103"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ind w:left="108"/>
        <w:spacing w:after="0"/>
        <w:rPr>
          <w:sz w:val="20"/>
          <w:szCs w:val="20"/>
          <w:color w:val="auto"/>
        </w:rPr>
      </w:pPr>
      <w:r>
        <w:rPr>
          <w:rFonts w:ascii="Times New Roman" w:cs="Times New Roman" w:eastAsia="Times New Roman" w:hAnsi="Times New Roman"/>
          <w:sz w:val="23"/>
          <w:szCs w:val="23"/>
          <w:b w:val="1"/>
          <w:bCs w:val="1"/>
          <w:color w:val="auto"/>
        </w:rPr>
        <w:t>Place:</w:t>
      </w:r>
    </w:p>
    <w:p>
      <w:pPr>
        <w:spacing w:after="0" w:line="137" w:lineRule="exact"/>
        <w:rPr>
          <w:sz w:val="20"/>
          <w:szCs w:val="20"/>
          <w:color w:val="auto"/>
        </w:rPr>
      </w:pPr>
    </w:p>
    <w:p>
      <w:pPr>
        <w:ind w:left="108"/>
        <w:spacing w:after="0"/>
        <w:rPr>
          <w:sz w:val="20"/>
          <w:szCs w:val="20"/>
          <w:color w:val="auto"/>
        </w:rPr>
      </w:pPr>
      <w:r>
        <w:rPr>
          <w:rFonts w:ascii="Times New Roman" w:cs="Times New Roman" w:eastAsia="Times New Roman" w:hAnsi="Times New Roman"/>
          <w:sz w:val="24"/>
          <w:szCs w:val="24"/>
          <w:b w:val="1"/>
          <w:bCs w:val="1"/>
          <w:color w:val="auto"/>
        </w:rPr>
        <w:t>Date: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jc w:val="right"/>
        <w:ind w:right="20"/>
        <w:spacing w:after="0"/>
        <w:rPr>
          <w:sz w:val="20"/>
          <w:szCs w:val="20"/>
          <w:color w:val="auto"/>
        </w:rPr>
      </w:pPr>
      <w:r>
        <w:rPr>
          <w:rFonts w:ascii="Times New Roman" w:cs="Times New Roman" w:eastAsia="Times New Roman" w:hAnsi="Times New Roman"/>
          <w:sz w:val="23"/>
          <w:szCs w:val="23"/>
          <w:b w:val="1"/>
          <w:bCs w:val="1"/>
          <w:color w:val="auto"/>
        </w:rPr>
        <w:t>Lead Manager(s) to the Issue</w:t>
      </w:r>
    </w:p>
    <w:p>
      <w:pPr>
        <w:spacing w:after="0" w:line="137" w:lineRule="exact"/>
        <w:rPr>
          <w:sz w:val="20"/>
          <w:szCs w:val="20"/>
          <w:color w:val="auto"/>
        </w:rPr>
      </w:pPr>
    </w:p>
    <w:p>
      <w:pPr>
        <w:jc w:val="right"/>
        <w:ind w:right="20"/>
        <w:spacing w:after="0"/>
        <w:rPr>
          <w:sz w:val="20"/>
          <w:szCs w:val="20"/>
          <w:color w:val="auto"/>
        </w:rPr>
      </w:pPr>
      <w:r>
        <w:rPr>
          <w:rFonts w:ascii="Times New Roman" w:cs="Times New Roman" w:eastAsia="Times New Roman" w:hAnsi="Times New Roman"/>
          <w:sz w:val="24"/>
          <w:szCs w:val="24"/>
          <w:b w:val="1"/>
          <w:bCs w:val="1"/>
          <w:color w:val="auto"/>
        </w:rPr>
        <w:t>with Official Seal(s)</w:t>
      </w:r>
    </w:p>
    <w:p>
      <w:pPr>
        <w:spacing w:after="0" w:line="200" w:lineRule="exact"/>
        <w:rPr>
          <w:sz w:val="20"/>
          <w:szCs w:val="20"/>
          <w:color w:val="auto"/>
        </w:rPr>
      </w:pPr>
    </w:p>
    <w:p>
      <w:pPr>
        <w:sectPr>
          <w:pgSz w:w="11900" w:h="16836" w:orient="portrait"/>
          <w:cols w:equalWidth="0" w:num="2">
            <w:col w:w="5848" w:space="720"/>
            <w:col w:w="2920"/>
          </w:cols>
          <w:pgMar w:left="1152" w:top="1156" w:right="1264" w:bottom="103"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 xml:space="preserve">Note: </w:t>
      </w:r>
      <w:r>
        <w:rPr>
          <w:rFonts w:ascii="Times New Roman" w:cs="Times New Roman" w:eastAsia="Times New Roman" w:hAnsi="Times New Roman"/>
          <w:sz w:val="24"/>
          <w:szCs w:val="24"/>
          <w:color w:val="auto"/>
        </w:rPr>
        <w:t>The requirements in items 3 and 4 above are not applicable in case of a rights issue.</w:t>
      </w:r>
    </w:p>
    <w:p>
      <w:pPr>
        <w:spacing w:after="0" w:line="142" w:lineRule="exact"/>
        <w:rPr>
          <w:sz w:val="20"/>
          <w:szCs w:val="20"/>
          <w:color w:val="auto"/>
        </w:rPr>
      </w:pPr>
    </w:p>
    <w:p>
      <w:pPr>
        <w:ind w:left="68"/>
        <w:spacing w:after="0"/>
        <w:rPr>
          <w:sz w:val="20"/>
          <w:szCs w:val="20"/>
          <w:color w:val="auto"/>
        </w:rPr>
      </w:pPr>
      <w:r>
        <w:rPr>
          <w:rFonts w:ascii="Times New Roman" w:cs="Times New Roman" w:eastAsia="Times New Roman" w:hAnsi="Times New Roman"/>
          <w:sz w:val="24"/>
          <w:szCs w:val="24"/>
          <w:b w:val="1"/>
          <w:bCs w:val="1"/>
          <w:color w:val="auto"/>
        </w:rPr>
        <w:t>Form D - Format of due diligence certificate to be given by the lead manager(s) in the event</w:t>
      </w:r>
    </w:p>
    <w:p>
      <w:pPr>
        <w:spacing w:after="0" w:line="139" w:lineRule="exact"/>
        <w:rPr>
          <w:sz w:val="20"/>
          <w:szCs w:val="20"/>
          <w:color w:val="auto"/>
        </w:rPr>
      </w:pPr>
    </w:p>
    <w:p>
      <w:pPr>
        <w:ind w:left="1248"/>
        <w:spacing w:after="0"/>
        <w:rPr>
          <w:sz w:val="20"/>
          <w:szCs w:val="20"/>
          <w:color w:val="auto"/>
        </w:rPr>
      </w:pPr>
      <w:r>
        <w:rPr>
          <w:rFonts w:ascii="Times New Roman" w:cs="Times New Roman" w:eastAsia="Times New Roman" w:hAnsi="Times New Roman"/>
          <w:sz w:val="24"/>
          <w:szCs w:val="24"/>
          <w:b w:val="1"/>
          <w:bCs w:val="1"/>
          <w:color w:val="auto"/>
        </w:rPr>
        <w:t>of disclosure of material events after the filing of the offer document</w:t>
      </w:r>
    </w:p>
    <w:p>
      <w:pPr>
        <w:spacing w:after="0" w:line="137" w:lineRule="exact"/>
        <w:rPr>
          <w:sz w:val="20"/>
          <w:szCs w:val="20"/>
          <w:color w:val="auto"/>
        </w:rPr>
      </w:pPr>
    </w:p>
    <w:p>
      <w:pPr>
        <w:ind w:left="1928"/>
        <w:spacing w:after="0"/>
        <w:rPr>
          <w:sz w:val="20"/>
          <w:szCs w:val="20"/>
          <w:color w:val="auto"/>
        </w:rPr>
      </w:pPr>
      <w:r>
        <w:rPr>
          <w:rFonts w:ascii="Times New Roman" w:cs="Times New Roman" w:eastAsia="Times New Roman" w:hAnsi="Times New Roman"/>
          <w:sz w:val="24"/>
          <w:szCs w:val="24"/>
          <w:b w:val="1"/>
          <w:bCs w:val="1"/>
          <w:color w:val="auto"/>
        </w:rPr>
        <w:t>[See regulation 25(9)(e), 71(7)(c), 123(9)(e) and 186(3)(e)]</w:t>
      </w:r>
    </w:p>
    <w:p>
      <w:pPr>
        <w:spacing w:after="0" w:line="200" w:lineRule="exact"/>
        <w:rPr>
          <w:sz w:val="20"/>
          <w:szCs w:val="20"/>
          <w:color w:val="auto"/>
        </w:rPr>
      </w:pPr>
    </w:p>
    <w:p>
      <w:pPr>
        <w:spacing w:after="0" w:line="35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To,</w:t>
      </w:r>
    </w:p>
    <w:p>
      <w:pPr>
        <w:spacing w:after="0" w:line="139"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Securities and Exchange Board of India</w:t>
      </w:r>
    </w:p>
    <w:p>
      <w:pPr>
        <w:spacing w:after="0" w:line="200" w:lineRule="exact"/>
        <w:rPr>
          <w:sz w:val="20"/>
          <w:szCs w:val="20"/>
          <w:color w:val="auto"/>
        </w:rPr>
      </w:pPr>
    </w:p>
    <w:p>
      <w:pPr>
        <w:spacing w:after="0" w:line="34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Dear Sirs,</w:t>
      </w:r>
    </w:p>
    <w:p>
      <w:pPr>
        <w:spacing w:after="0" w:line="200" w:lineRule="exact"/>
        <w:rPr>
          <w:sz w:val="20"/>
          <w:szCs w:val="20"/>
          <w:color w:val="auto"/>
        </w:rPr>
      </w:pPr>
    </w:p>
    <w:p>
      <w:pPr>
        <w:spacing w:after="0" w:line="35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Sub.: Public/Rights Issue of …………………….. by ……………………. (Name of the issuer)</w:t>
      </w:r>
    </w:p>
    <w:p>
      <w:pPr>
        <w:spacing w:after="0" w:line="200" w:lineRule="exact"/>
        <w:rPr>
          <w:sz w:val="20"/>
          <w:szCs w:val="20"/>
          <w:color w:val="auto"/>
        </w:rPr>
      </w:pPr>
    </w:p>
    <w:p>
      <w:pPr>
        <w:spacing w:after="0" w:line="359" w:lineRule="exact"/>
        <w:rPr>
          <w:sz w:val="20"/>
          <w:szCs w:val="20"/>
          <w:color w:val="auto"/>
        </w:rPr>
      </w:pPr>
    </w:p>
    <w:p>
      <w:pPr>
        <w:jc w:val="both"/>
        <w:ind w:left="8" w:right="20"/>
        <w:spacing w:after="0" w:line="375" w:lineRule="auto"/>
        <w:rPr>
          <w:sz w:val="20"/>
          <w:szCs w:val="20"/>
          <w:color w:val="auto"/>
        </w:rPr>
      </w:pPr>
      <w:r>
        <w:rPr>
          <w:rFonts w:ascii="Times New Roman" w:cs="Times New Roman" w:eastAsia="Times New Roman" w:hAnsi="Times New Roman"/>
          <w:sz w:val="23"/>
          <w:szCs w:val="23"/>
          <w:color w:val="auto"/>
        </w:rPr>
        <w:t>We confirm that all material disclosures in respect of the issuer as on date have been made through the offer document (in case of a public issue) filed with the Registrar of Companies / letter of offer (in case of a rights issue) filed with the designated stock exchange on ….. (date) read with</w:t>
      </w:r>
    </w:p>
    <w:p>
      <w:pPr>
        <w:ind w:left="8"/>
        <w:spacing w:after="0" w:line="230" w:lineRule="auto"/>
        <w:rPr>
          <w:sz w:val="20"/>
          <w:szCs w:val="20"/>
          <w:color w:val="auto"/>
        </w:rPr>
      </w:pPr>
      <w:r>
        <w:rPr>
          <w:rFonts w:ascii="Times New Roman" w:cs="Times New Roman" w:eastAsia="Times New Roman" w:hAnsi="Times New Roman"/>
          <w:sz w:val="24"/>
          <w:szCs w:val="24"/>
          <w:color w:val="auto"/>
        </w:rPr>
        <w:t>subsequent amendments/ public notice dated …...... (Copy of the advertisement enclosed).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jc w:val="center"/>
        <w:ind w:right="12"/>
        <w:spacing w:after="0"/>
        <w:rPr>
          <w:sz w:val="20"/>
          <w:szCs w:val="20"/>
          <w:color w:val="auto"/>
        </w:rPr>
      </w:pPr>
      <w:r>
        <w:rPr>
          <w:rFonts w:ascii="Times New Roman" w:cs="Times New Roman" w:eastAsia="Times New Roman" w:hAnsi="Times New Roman"/>
          <w:sz w:val="24"/>
          <w:szCs w:val="24"/>
          <w:color w:val="auto"/>
        </w:rPr>
        <w:t>187</w:t>
      </w:r>
    </w:p>
    <w:p>
      <w:pPr>
        <w:sectPr>
          <w:pgSz w:w="11900" w:h="16836" w:orient="portrait"/>
          <w:cols w:equalWidth="0" w:num="1">
            <w:col w:w="9488"/>
          </w:cols>
          <w:pgMar w:left="1152" w:top="1156" w:right="1264" w:bottom="103" w:gutter="0" w:footer="0" w:header="0"/>
          <w:type w:val="continuous"/>
        </w:sectPr>
      </w:pPr>
    </w:p>
    <w:bookmarkStart w:id="187" w:name="page188"/>
    <w:bookmarkEnd w:id="187"/>
    <w:p>
      <w:pPr>
        <w:spacing w:after="0" w:line="200" w:lineRule="exact"/>
        <w:rPr>
          <w:sz w:val="20"/>
          <w:szCs w:val="20"/>
          <w:color w:val="auto"/>
        </w:rPr>
      </w:pPr>
    </w:p>
    <w:p>
      <w:pPr>
        <w:spacing w:after="0" w:line="349" w:lineRule="exact"/>
        <w:rPr>
          <w:sz w:val="20"/>
          <w:szCs w:val="20"/>
          <w:color w:val="auto"/>
        </w:rPr>
      </w:pPr>
    </w:p>
    <w:p>
      <w:pPr>
        <w:ind w:left="108"/>
        <w:spacing w:after="0"/>
        <w:rPr>
          <w:sz w:val="20"/>
          <w:szCs w:val="20"/>
          <w:color w:val="auto"/>
        </w:rPr>
      </w:pPr>
      <w:r>
        <w:rPr>
          <w:rFonts w:ascii="Times New Roman" w:cs="Times New Roman" w:eastAsia="Times New Roman" w:hAnsi="Times New Roman"/>
          <w:sz w:val="23"/>
          <w:szCs w:val="23"/>
          <w:b w:val="1"/>
          <w:bCs w:val="1"/>
          <w:color w:val="auto"/>
        </w:rPr>
        <w:t>Place:</w:t>
      </w:r>
    </w:p>
    <w:p>
      <w:pPr>
        <w:spacing w:after="0" w:line="137" w:lineRule="exact"/>
        <w:rPr>
          <w:sz w:val="20"/>
          <w:szCs w:val="20"/>
          <w:color w:val="auto"/>
        </w:rPr>
      </w:pPr>
    </w:p>
    <w:p>
      <w:pPr>
        <w:ind w:left="108"/>
        <w:spacing w:after="0"/>
        <w:rPr>
          <w:sz w:val="20"/>
          <w:szCs w:val="20"/>
          <w:color w:val="auto"/>
        </w:rPr>
      </w:pPr>
      <w:r>
        <w:rPr>
          <w:rFonts w:ascii="Times New Roman" w:cs="Times New Roman" w:eastAsia="Times New Roman" w:hAnsi="Times New Roman"/>
          <w:sz w:val="24"/>
          <w:szCs w:val="24"/>
          <w:b w:val="1"/>
          <w:bCs w:val="1"/>
          <w:color w:val="auto"/>
        </w:rPr>
        <w:t>Date: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29"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3"/>
          <w:szCs w:val="23"/>
          <w:b w:val="1"/>
          <w:bCs w:val="1"/>
          <w:color w:val="auto"/>
        </w:rPr>
        <w:t>Lead Manager(s) to the Issue</w:t>
      </w:r>
    </w:p>
    <w:p>
      <w:pPr>
        <w:spacing w:after="0" w:line="137"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4"/>
          <w:szCs w:val="24"/>
          <w:b w:val="1"/>
          <w:bCs w:val="1"/>
          <w:color w:val="auto"/>
        </w:rPr>
        <w:t>with Official Seal(s)</w:t>
      </w:r>
    </w:p>
    <w:p>
      <w:pPr>
        <w:spacing w:after="0" w:line="200" w:lineRule="exact"/>
        <w:rPr>
          <w:sz w:val="20"/>
          <w:szCs w:val="20"/>
          <w:color w:val="auto"/>
        </w:rPr>
      </w:pPr>
    </w:p>
    <w:p>
      <w:pPr>
        <w:sectPr>
          <w:pgSz w:w="11900" w:h="16836" w:orient="portrait"/>
          <w:cols w:equalWidth="0" w:num="2">
            <w:col w:w="5848" w:space="720"/>
            <w:col w:w="2900"/>
          </w:cols>
          <w:pgMar w:left="1152" w:top="1440" w:right="1284" w:bottom="103"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jc w:val="center"/>
        <w:ind w:right="12"/>
        <w:spacing w:after="0" w:line="354" w:lineRule="auto"/>
        <w:rPr>
          <w:sz w:val="20"/>
          <w:szCs w:val="20"/>
          <w:color w:val="auto"/>
        </w:rPr>
      </w:pPr>
      <w:r>
        <w:rPr>
          <w:rFonts w:ascii="Times New Roman" w:cs="Times New Roman" w:eastAsia="Times New Roman" w:hAnsi="Times New Roman"/>
          <w:sz w:val="24"/>
          <w:szCs w:val="24"/>
          <w:b w:val="1"/>
          <w:bCs w:val="1"/>
          <w:color w:val="auto"/>
        </w:rPr>
        <w:t>Form E - Additional confirmations/ certification to be given by the lead manager(s) in the due diligence certificate to be given along with the offer document/ letter of offer for a fast track issue</w:t>
      </w:r>
    </w:p>
    <w:p>
      <w:pPr>
        <w:spacing w:after="0" w:line="8"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[See regulation 100(2)(a) and 156(2)(a)]</w:t>
      </w:r>
    </w:p>
    <w:p>
      <w:pPr>
        <w:spacing w:after="0" w:line="200" w:lineRule="exact"/>
        <w:rPr>
          <w:sz w:val="20"/>
          <w:szCs w:val="20"/>
          <w:color w:val="auto"/>
        </w:rPr>
      </w:pPr>
    </w:p>
    <w:p>
      <w:pPr>
        <w:spacing w:after="0" w:line="35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To,</w:t>
      </w:r>
    </w:p>
    <w:p>
      <w:pPr>
        <w:spacing w:after="0" w:line="139"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Securities and Exchange Board of India</w:t>
      </w:r>
    </w:p>
    <w:p>
      <w:pPr>
        <w:spacing w:after="0" w:line="200" w:lineRule="exact"/>
        <w:rPr>
          <w:sz w:val="20"/>
          <w:szCs w:val="20"/>
          <w:color w:val="auto"/>
        </w:rPr>
      </w:pPr>
    </w:p>
    <w:p>
      <w:pPr>
        <w:spacing w:after="0" w:line="34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Dear Sirs,</w:t>
      </w:r>
    </w:p>
    <w:p>
      <w:pPr>
        <w:spacing w:after="0" w:line="200" w:lineRule="exact"/>
        <w:rPr>
          <w:sz w:val="20"/>
          <w:szCs w:val="20"/>
          <w:color w:val="auto"/>
        </w:rPr>
      </w:pPr>
    </w:p>
    <w:p>
      <w:pPr>
        <w:spacing w:after="0" w:line="35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Sub.: Public/Rights Issue of …………………….. by ……………………. (Name of the issuer)</w:t>
      </w:r>
    </w:p>
    <w:p>
      <w:pPr>
        <w:spacing w:after="0" w:line="200" w:lineRule="exact"/>
        <w:rPr>
          <w:sz w:val="20"/>
          <w:szCs w:val="20"/>
          <w:color w:val="auto"/>
        </w:rPr>
      </w:pPr>
    </w:p>
    <w:p>
      <w:pPr>
        <w:spacing w:after="0" w:line="34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We confirm that:</w:t>
      </w:r>
    </w:p>
    <w:p>
      <w:pPr>
        <w:spacing w:after="0" w:line="200" w:lineRule="exact"/>
        <w:rPr>
          <w:sz w:val="20"/>
          <w:szCs w:val="20"/>
          <w:color w:val="auto"/>
        </w:rPr>
      </w:pPr>
    </w:p>
    <w:p>
      <w:pPr>
        <w:spacing w:after="0" w:line="364" w:lineRule="exact"/>
        <w:rPr>
          <w:sz w:val="20"/>
          <w:szCs w:val="20"/>
          <w:color w:val="auto"/>
        </w:rPr>
      </w:pPr>
    </w:p>
    <w:p>
      <w:pPr>
        <w:jc w:val="both"/>
        <w:ind w:left="568" w:hanging="568"/>
        <w:spacing w:after="0" w:line="354" w:lineRule="auto"/>
        <w:tabs>
          <w:tab w:leader="none" w:pos="568" w:val="left"/>
        </w:tabs>
        <w:numPr>
          <w:ilvl w:val="0"/>
          <w:numId w:val="75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None of the intermediaries named in the offer document (in case of a public issue)/letter of offer (in case of a rights issue) have been debarred from functioning by any regulatory authority.</w:t>
      </w:r>
    </w:p>
    <w:p>
      <w:pPr>
        <w:spacing w:after="0" w:line="20" w:lineRule="exact"/>
        <w:rPr>
          <w:rFonts w:ascii="Times New Roman" w:cs="Times New Roman" w:eastAsia="Times New Roman" w:hAnsi="Times New Roman"/>
          <w:sz w:val="24"/>
          <w:szCs w:val="24"/>
          <w:color w:val="auto"/>
        </w:rPr>
      </w:pPr>
    </w:p>
    <w:p>
      <w:pPr>
        <w:jc w:val="both"/>
        <w:ind w:left="568" w:hanging="568"/>
        <w:spacing w:after="0" w:line="356" w:lineRule="auto"/>
        <w:tabs>
          <w:tab w:leader="none" w:pos="568" w:val="left"/>
        </w:tabs>
        <w:numPr>
          <w:ilvl w:val="0"/>
          <w:numId w:val="75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is eligible to make a fast track issue in terms of (regulation 99 in case of rights issues and regulation 155 in case of further public offers, as applicable) of these regulations. The fulfilment of the eligibility criteria as specified in that regulation by the issuer has also been disclosed in the offer document/letter of offer.</w:t>
      </w:r>
    </w:p>
    <w:p>
      <w:pPr>
        <w:spacing w:after="0" w:line="18" w:lineRule="exact"/>
        <w:rPr>
          <w:rFonts w:ascii="Times New Roman" w:cs="Times New Roman" w:eastAsia="Times New Roman" w:hAnsi="Times New Roman"/>
          <w:sz w:val="24"/>
          <w:szCs w:val="24"/>
          <w:color w:val="auto"/>
        </w:rPr>
      </w:pPr>
    </w:p>
    <w:p>
      <w:pPr>
        <w:ind w:left="568" w:hanging="568"/>
        <w:spacing w:after="0" w:line="350" w:lineRule="auto"/>
        <w:tabs>
          <w:tab w:leader="none" w:pos="568" w:val="left"/>
        </w:tabs>
        <w:numPr>
          <w:ilvl w:val="0"/>
          <w:numId w:val="75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abridged prospectus/abridged letter of offer contains all disclosures as specified in these regulations.</w:t>
      </w:r>
    </w:p>
    <w:p>
      <w:pPr>
        <w:spacing w:after="0" w:line="23" w:lineRule="exact"/>
        <w:rPr>
          <w:rFonts w:ascii="Times New Roman" w:cs="Times New Roman" w:eastAsia="Times New Roman" w:hAnsi="Times New Roman"/>
          <w:sz w:val="24"/>
          <w:szCs w:val="24"/>
          <w:color w:val="auto"/>
        </w:rPr>
      </w:pPr>
    </w:p>
    <w:p>
      <w:pPr>
        <w:jc w:val="both"/>
        <w:ind w:left="568" w:hanging="568"/>
        <w:spacing w:after="0" w:line="358" w:lineRule="auto"/>
        <w:tabs>
          <w:tab w:leader="none" w:pos="568" w:val="left"/>
        </w:tabs>
        <w:numPr>
          <w:ilvl w:val="0"/>
          <w:numId w:val="75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All material disclosures in respect of the issuer have been made in the offer document/letter of offer and certify that any material development in the issuer or relating to the issue up to the commencement of listing and trading of the specified securities offered through this issue shall be informed through public notices/advertisements in all those newspapers in which pre-issue advertisement and advertisement for opening or closure of the issue have been given.</w:t>
      </w:r>
    </w:p>
    <w:p>
      <w:pPr>
        <w:spacing w:after="0" w:line="25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188</w:t>
      </w:r>
    </w:p>
    <w:p>
      <w:pPr>
        <w:sectPr>
          <w:pgSz w:w="11900" w:h="16836" w:orient="portrait"/>
          <w:cols w:equalWidth="0" w:num="1">
            <w:col w:w="9468"/>
          </w:cols>
          <w:pgMar w:left="1152" w:top="1440" w:right="1284" w:bottom="103" w:gutter="0" w:footer="0" w:header="0"/>
          <w:type w:val="continuous"/>
        </w:sectPr>
      </w:pPr>
    </w:p>
    <w:bookmarkStart w:id="188" w:name="page189"/>
    <w:bookmarkEnd w:id="188"/>
    <w:p>
      <w:pPr>
        <w:ind w:left="568" w:hanging="568"/>
        <w:spacing w:after="0" w:line="348" w:lineRule="auto"/>
        <w:tabs>
          <w:tab w:leader="none" w:pos="568" w:val="left"/>
        </w:tabs>
        <w:numPr>
          <w:ilvl w:val="0"/>
          <w:numId w:val="75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Agreements have been entered into with the depositories for dematerialisation of the specified securities of the issuer.</w:t>
      </w:r>
    </w:p>
    <w:p>
      <w:pPr>
        <w:sectPr>
          <w:pgSz w:w="11900" w:h="16836" w:orient="portrait"/>
          <w:cols w:equalWidth="0" w:num="1">
            <w:col w:w="9468"/>
          </w:cols>
          <w:pgMar w:left="1152" w:top="1156" w:right="1284" w:bottom="103"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ind w:left="108"/>
        <w:spacing w:after="0"/>
        <w:rPr>
          <w:sz w:val="20"/>
          <w:szCs w:val="20"/>
          <w:color w:val="auto"/>
        </w:rPr>
      </w:pPr>
      <w:r>
        <w:rPr>
          <w:rFonts w:ascii="Times New Roman" w:cs="Times New Roman" w:eastAsia="Times New Roman" w:hAnsi="Times New Roman"/>
          <w:sz w:val="23"/>
          <w:szCs w:val="23"/>
          <w:b w:val="1"/>
          <w:bCs w:val="1"/>
          <w:color w:val="auto"/>
        </w:rPr>
        <w:t>Place:</w:t>
      </w:r>
    </w:p>
    <w:p>
      <w:pPr>
        <w:spacing w:after="0" w:line="137" w:lineRule="exact"/>
        <w:rPr>
          <w:sz w:val="20"/>
          <w:szCs w:val="20"/>
          <w:color w:val="auto"/>
        </w:rPr>
      </w:pPr>
    </w:p>
    <w:p>
      <w:pPr>
        <w:ind w:left="108"/>
        <w:spacing w:after="0"/>
        <w:rPr>
          <w:sz w:val="20"/>
          <w:szCs w:val="20"/>
          <w:color w:val="auto"/>
        </w:rPr>
      </w:pPr>
      <w:r>
        <w:rPr>
          <w:rFonts w:ascii="Times New Roman" w:cs="Times New Roman" w:eastAsia="Times New Roman" w:hAnsi="Times New Roman"/>
          <w:sz w:val="24"/>
          <w:szCs w:val="24"/>
          <w:b w:val="1"/>
          <w:bCs w:val="1"/>
          <w:color w:val="auto"/>
        </w:rPr>
        <w:t>Date: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3"/>
          <w:szCs w:val="23"/>
          <w:b w:val="1"/>
          <w:bCs w:val="1"/>
          <w:color w:val="auto"/>
        </w:rPr>
        <w:t>Lead Manager(s) to the Issue</w:t>
      </w:r>
    </w:p>
    <w:p>
      <w:pPr>
        <w:spacing w:after="0" w:line="137"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4"/>
          <w:szCs w:val="24"/>
          <w:b w:val="1"/>
          <w:bCs w:val="1"/>
          <w:color w:val="auto"/>
        </w:rPr>
        <w:t>with Official Seal(s)</w:t>
      </w:r>
    </w:p>
    <w:p>
      <w:pPr>
        <w:spacing w:after="0" w:line="200" w:lineRule="exact"/>
        <w:rPr>
          <w:sz w:val="20"/>
          <w:szCs w:val="20"/>
          <w:color w:val="auto"/>
        </w:rPr>
      </w:pPr>
    </w:p>
    <w:p>
      <w:pPr>
        <w:sectPr>
          <w:pgSz w:w="11900" w:h="16836" w:orient="portrait"/>
          <w:cols w:equalWidth="0" w:num="2">
            <w:col w:w="5848" w:space="720"/>
            <w:col w:w="2900"/>
          </w:cols>
          <w:pgMar w:left="1152" w:top="1156" w:right="1284" w:bottom="103"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Form F - Format of due diligence certificate to be given by the lead manager(s) along with</w:t>
      </w:r>
    </w:p>
    <w:p>
      <w:pPr>
        <w:spacing w:after="0" w:line="137"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the final post-issue report</w:t>
      </w:r>
    </w:p>
    <w:p>
      <w:pPr>
        <w:spacing w:after="0" w:line="13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[See regulation 151, 210 and 277]</w:t>
      </w:r>
    </w:p>
    <w:p>
      <w:pPr>
        <w:spacing w:after="0" w:line="200" w:lineRule="exact"/>
        <w:rPr>
          <w:sz w:val="20"/>
          <w:szCs w:val="20"/>
          <w:color w:val="auto"/>
        </w:rPr>
      </w:pPr>
    </w:p>
    <w:p>
      <w:pPr>
        <w:spacing w:after="0" w:line="35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To,</w:t>
      </w:r>
    </w:p>
    <w:p>
      <w:pPr>
        <w:spacing w:after="0" w:line="13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Securities and Exchange Board of India</w:t>
      </w:r>
    </w:p>
    <w:p>
      <w:pPr>
        <w:spacing w:after="0" w:line="200" w:lineRule="exact"/>
        <w:rPr>
          <w:sz w:val="20"/>
          <w:szCs w:val="20"/>
          <w:color w:val="auto"/>
        </w:rPr>
      </w:pPr>
    </w:p>
    <w:p>
      <w:pPr>
        <w:spacing w:after="0" w:line="34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Dear Sirs,</w:t>
      </w:r>
    </w:p>
    <w:p>
      <w:pPr>
        <w:spacing w:after="0" w:line="200" w:lineRule="exact"/>
        <w:rPr>
          <w:sz w:val="20"/>
          <w:szCs w:val="20"/>
          <w:color w:val="auto"/>
        </w:rPr>
      </w:pPr>
    </w:p>
    <w:p>
      <w:pPr>
        <w:spacing w:after="0" w:line="35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Sub.: Public issue of …………………… by ……………………… (Name of issuer)</w:t>
      </w:r>
    </w:p>
    <w:p>
      <w:pPr>
        <w:spacing w:after="0" w:line="200" w:lineRule="exact"/>
        <w:rPr>
          <w:sz w:val="20"/>
          <w:szCs w:val="20"/>
          <w:color w:val="auto"/>
        </w:rPr>
      </w:pPr>
    </w:p>
    <w:p>
      <w:pPr>
        <w:spacing w:after="0" w:line="34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We confirm that:</w:t>
      </w:r>
    </w:p>
    <w:p>
      <w:pPr>
        <w:spacing w:after="0" w:line="200" w:lineRule="exact"/>
        <w:rPr>
          <w:sz w:val="20"/>
          <w:szCs w:val="20"/>
          <w:color w:val="auto"/>
        </w:rPr>
      </w:pPr>
    </w:p>
    <w:p>
      <w:pPr>
        <w:spacing w:after="0" w:line="364" w:lineRule="exact"/>
        <w:rPr>
          <w:sz w:val="20"/>
          <w:szCs w:val="20"/>
          <w:color w:val="auto"/>
        </w:rPr>
      </w:pPr>
    </w:p>
    <w:p>
      <w:pPr>
        <w:jc w:val="both"/>
        <w:ind w:left="368" w:hanging="368"/>
        <w:spacing w:after="0" w:line="357" w:lineRule="auto"/>
        <w:tabs>
          <w:tab w:leader="none" w:pos="368" w:val="left"/>
        </w:tabs>
        <w:numPr>
          <w:ilvl w:val="0"/>
          <w:numId w:val="75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certificates in respect of locked-in specified securities have been stamped ‘not transferable’ indicating the period of non-transferability and for locked-in specified securities in dematerialised form, non-transferability details have been provided to the depositories and the details of lock-in have been provided, before the listing of the specified securities, to all the stock exchanges.</w:t>
      </w:r>
    </w:p>
    <w:p>
      <w:pPr>
        <w:spacing w:after="0" w:line="19" w:lineRule="exact"/>
        <w:rPr>
          <w:rFonts w:ascii="Times New Roman" w:cs="Times New Roman" w:eastAsia="Times New Roman" w:hAnsi="Times New Roman"/>
          <w:sz w:val="24"/>
          <w:szCs w:val="24"/>
          <w:color w:val="auto"/>
        </w:rPr>
      </w:pPr>
    </w:p>
    <w:p>
      <w:pPr>
        <w:jc w:val="both"/>
        <w:ind w:left="368" w:hanging="368"/>
        <w:spacing w:after="0" w:line="354" w:lineRule="auto"/>
        <w:tabs>
          <w:tab w:leader="none" w:pos="368" w:val="left"/>
        </w:tabs>
        <w:numPr>
          <w:ilvl w:val="0"/>
          <w:numId w:val="75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specified securities included as minimum promoters’ contribution and the specified securities in excess of minimum promoters’ contribution have been locked-in in terms of these Regulations.</w:t>
      </w:r>
    </w:p>
    <w:p>
      <w:pPr>
        <w:spacing w:after="0" w:line="19" w:lineRule="exact"/>
        <w:rPr>
          <w:rFonts w:ascii="Times New Roman" w:cs="Times New Roman" w:eastAsia="Times New Roman" w:hAnsi="Times New Roman"/>
          <w:sz w:val="24"/>
          <w:szCs w:val="24"/>
          <w:color w:val="auto"/>
        </w:rPr>
      </w:pPr>
    </w:p>
    <w:p>
      <w:pPr>
        <w:ind w:left="368" w:hanging="368"/>
        <w:spacing w:after="0" w:line="350" w:lineRule="auto"/>
        <w:tabs>
          <w:tab w:leader="none" w:pos="368" w:val="left"/>
        </w:tabs>
        <w:numPr>
          <w:ilvl w:val="0"/>
          <w:numId w:val="75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provisions regarding lock-in of specified securities held by persons other than promoters have been duly complied with in accordance with these Regulations.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ind w:left="108"/>
        <w:spacing w:after="0"/>
        <w:tabs>
          <w:tab w:leader="none" w:pos="6547" w:val="left"/>
        </w:tabs>
        <w:rPr>
          <w:sz w:val="20"/>
          <w:szCs w:val="20"/>
          <w:color w:val="auto"/>
        </w:rPr>
      </w:pPr>
      <w:r>
        <w:rPr>
          <w:rFonts w:ascii="Times New Roman" w:cs="Times New Roman" w:eastAsia="Times New Roman" w:hAnsi="Times New Roman"/>
          <w:sz w:val="23"/>
          <w:szCs w:val="23"/>
          <w:b w:val="1"/>
          <w:bCs w:val="1"/>
          <w:color w:val="auto"/>
        </w:rPr>
        <w:t>Place:</w:t>
      </w:r>
      <w:r>
        <w:rPr>
          <w:sz w:val="20"/>
          <w:szCs w:val="20"/>
          <w:color w:val="auto"/>
        </w:rPr>
        <w:tab/>
      </w:r>
      <w:r>
        <w:rPr>
          <w:rFonts w:ascii="Times New Roman" w:cs="Times New Roman" w:eastAsia="Times New Roman" w:hAnsi="Times New Roman"/>
          <w:sz w:val="23"/>
          <w:szCs w:val="23"/>
          <w:b w:val="1"/>
          <w:bCs w:val="1"/>
          <w:color w:val="auto"/>
        </w:rPr>
        <w:t>Lead Manager(s) to the Issue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189</w:t>
      </w:r>
    </w:p>
    <w:p>
      <w:pPr>
        <w:sectPr>
          <w:pgSz w:w="11900" w:h="16836" w:orient="portrait"/>
          <w:cols w:equalWidth="0" w:num="1">
            <w:col w:w="9468"/>
          </w:cols>
          <w:pgMar w:left="1152" w:top="1156" w:right="1284" w:bottom="103" w:gutter="0" w:footer="0" w:header="0"/>
          <w:type w:val="continuous"/>
        </w:sectPr>
      </w:pPr>
    </w:p>
    <w:bookmarkStart w:id="189" w:name="page190"/>
    <w:bookmarkEnd w:id="189"/>
    <w:p>
      <w:pPr>
        <w:ind w:left="108"/>
        <w:spacing w:after="0"/>
        <w:tabs>
          <w:tab w:leader="none" w:pos="7427" w:val="left"/>
        </w:tabs>
        <w:rPr>
          <w:sz w:val="20"/>
          <w:szCs w:val="20"/>
          <w:color w:val="auto"/>
        </w:rPr>
      </w:pPr>
      <w:r>
        <w:rPr>
          <w:rFonts w:ascii="Times New Roman" w:cs="Times New Roman" w:eastAsia="Times New Roman" w:hAnsi="Times New Roman"/>
          <w:sz w:val="23"/>
          <w:szCs w:val="23"/>
          <w:b w:val="1"/>
          <w:bCs w:val="1"/>
          <w:color w:val="auto"/>
        </w:rPr>
        <w:t>Date:</w:t>
      </w:r>
      <w:r>
        <w:rPr>
          <w:sz w:val="20"/>
          <w:szCs w:val="20"/>
          <w:color w:val="auto"/>
        </w:rPr>
        <w:tab/>
      </w:r>
      <w:r>
        <w:rPr>
          <w:rFonts w:ascii="Times New Roman" w:cs="Times New Roman" w:eastAsia="Times New Roman" w:hAnsi="Times New Roman"/>
          <w:sz w:val="23"/>
          <w:szCs w:val="23"/>
          <w:b w:val="1"/>
          <w:bCs w:val="1"/>
          <w:color w:val="auto"/>
        </w:rPr>
        <w:t>with Official Seal(s)</w:t>
      </w:r>
    </w:p>
    <w:p>
      <w:pPr>
        <w:spacing w:after="0" w:line="200" w:lineRule="exact"/>
        <w:rPr>
          <w:sz w:val="20"/>
          <w:szCs w:val="20"/>
          <w:color w:val="auto"/>
        </w:rPr>
      </w:pPr>
    </w:p>
    <w:p>
      <w:pPr>
        <w:spacing w:after="0" w:line="365" w:lineRule="exact"/>
        <w:rPr>
          <w:sz w:val="20"/>
          <w:szCs w:val="20"/>
          <w:color w:val="auto"/>
        </w:rPr>
      </w:pPr>
    </w:p>
    <w:p>
      <w:pPr>
        <w:jc w:val="center"/>
        <w:ind w:left="1160" w:right="120"/>
        <w:spacing w:after="0" w:line="354" w:lineRule="auto"/>
        <w:rPr>
          <w:sz w:val="20"/>
          <w:szCs w:val="20"/>
          <w:color w:val="auto"/>
        </w:rPr>
      </w:pPr>
      <w:r>
        <w:rPr>
          <w:rFonts w:ascii="Times New Roman" w:cs="Times New Roman" w:eastAsia="Times New Roman" w:hAnsi="Times New Roman"/>
          <w:sz w:val="24"/>
          <w:szCs w:val="24"/>
          <w:b w:val="1"/>
          <w:bCs w:val="1"/>
          <w:color w:val="auto"/>
        </w:rPr>
        <w:t>Form G - Additional confirmations/ certification to be given by the lead manager(s) in due diligence certificate to be given along with offer document regarding issues on the SME exchanges</w:t>
      </w:r>
    </w:p>
    <w:p>
      <w:pPr>
        <w:spacing w:after="0" w:line="7"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[See regulation 247(2)]</w:t>
      </w:r>
    </w:p>
    <w:p>
      <w:pPr>
        <w:spacing w:after="0" w:line="200" w:lineRule="exact"/>
        <w:rPr>
          <w:sz w:val="20"/>
          <w:szCs w:val="20"/>
          <w:color w:val="auto"/>
        </w:rPr>
      </w:pPr>
    </w:p>
    <w:p>
      <w:pPr>
        <w:spacing w:after="0" w:line="35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To,</w:t>
      </w:r>
    </w:p>
    <w:p>
      <w:pPr>
        <w:spacing w:after="0" w:line="140"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Securities and Exchange Board of India</w:t>
      </w:r>
    </w:p>
    <w:p>
      <w:pPr>
        <w:spacing w:after="0" w:line="200" w:lineRule="exact"/>
        <w:rPr>
          <w:sz w:val="20"/>
          <w:szCs w:val="20"/>
          <w:color w:val="auto"/>
        </w:rPr>
      </w:pPr>
    </w:p>
    <w:p>
      <w:pPr>
        <w:spacing w:after="0" w:line="34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Dear Sirs,</w:t>
      </w:r>
    </w:p>
    <w:p>
      <w:pPr>
        <w:spacing w:after="0" w:line="200" w:lineRule="exact"/>
        <w:rPr>
          <w:sz w:val="20"/>
          <w:szCs w:val="20"/>
          <w:color w:val="auto"/>
        </w:rPr>
      </w:pPr>
    </w:p>
    <w:p>
      <w:pPr>
        <w:spacing w:after="0" w:line="35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Sub.: Public/Rights issue of …………………… by ……………………… (Name of issuer)</w:t>
      </w:r>
    </w:p>
    <w:p>
      <w:pPr>
        <w:spacing w:after="0" w:line="200" w:lineRule="exact"/>
        <w:rPr>
          <w:sz w:val="20"/>
          <w:szCs w:val="20"/>
          <w:color w:val="auto"/>
        </w:rPr>
      </w:pPr>
    </w:p>
    <w:p>
      <w:pPr>
        <w:spacing w:after="0" w:line="34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We confirm that:</w:t>
      </w:r>
    </w:p>
    <w:p>
      <w:pPr>
        <w:spacing w:after="0" w:line="200" w:lineRule="exact"/>
        <w:rPr>
          <w:sz w:val="20"/>
          <w:szCs w:val="20"/>
          <w:color w:val="auto"/>
        </w:rPr>
      </w:pPr>
    </w:p>
    <w:p>
      <w:pPr>
        <w:spacing w:after="0" w:line="365" w:lineRule="exact"/>
        <w:rPr>
          <w:sz w:val="20"/>
          <w:szCs w:val="20"/>
          <w:color w:val="auto"/>
        </w:rPr>
      </w:pPr>
    </w:p>
    <w:p>
      <w:pPr>
        <w:ind w:left="568" w:hanging="568"/>
        <w:spacing w:after="0" w:line="348" w:lineRule="auto"/>
        <w:tabs>
          <w:tab w:leader="none" w:pos="568" w:val="left"/>
        </w:tabs>
        <w:numPr>
          <w:ilvl w:val="0"/>
          <w:numId w:val="75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None of the intermediaries named in the offer document (in case of public issue)/letter of offer (in case of a rights issue) are debarred from functioning by any regulatory authority.</w:t>
      </w:r>
    </w:p>
    <w:p>
      <w:pPr>
        <w:spacing w:after="0" w:line="27" w:lineRule="exact"/>
        <w:rPr>
          <w:rFonts w:ascii="Times New Roman" w:cs="Times New Roman" w:eastAsia="Times New Roman" w:hAnsi="Times New Roman"/>
          <w:sz w:val="24"/>
          <w:szCs w:val="24"/>
          <w:color w:val="auto"/>
        </w:rPr>
      </w:pPr>
    </w:p>
    <w:p>
      <w:pPr>
        <w:ind w:left="568" w:hanging="568"/>
        <w:spacing w:after="0" w:line="348" w:lineRule="auto"/>
        <w:tabs>
          <w:tab w:leader="none" w:pos="568" w:val="left"/>
        </w:tabs>
        <w:numPr>
          <w:ilvl w:val="0"/>
          <w:numId w:val="75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abridged prospectus/abridged letter of offer contains all disclosures as specified in these regulations.</w:t>
      </w:r>
    </w:p>
    <w:p>
      <w:pPr>
        <w:spacing w:after="0" w:line="27" w:lineRule="exact"/>
        <w:rPr>
          <w:rFonts w:ascii="Times New Roman" w:cs="Times New Roman" w:eastAsia="Times New Roman" w:hAnsi="Times New Roman"/>
          <w:sz w:val="24"/>
          <w:szCs w:val="24"/>
          <w:color w:val="auto"/>
        </w:rPr>
      </w:pPr>
    </w:p>
    <w:p>
      <w:pPr>
        <w:jc w:val="both"/>
        <w:ind w:left="568" w:hanging="568"/>
        <w:spacing w:after="0" w:line="357" w:lineRule="auto"/>
        <w:tabs>
          <w:tab w:leader="none" w:pos="568" w:val="left"/>
        </w:tabs>
        <w:numPr>
          <w:ilvl w:val="0"/>
          <w:numId w:val="75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All material disclosures in respect of the issuer have been made in the offer document/letter of offer and that any material development in the issuer or relating to the issue up to the commencement of listing and trading of the specified securities offered through this issue shall be informed through public notices/advertisements in all those newspapers in which pre-issue advertisement and advertisement for opening or closure of the issue have been given.</w:t>
      </w:r>
    </w:p>
    <w:p>
      <w:pPr>
        <w:spacing w:after="0" w:line="21" w:lineRule="exact"/>
        <w:rPr>
          <w:rFonts w:ascii="Times New Roman" w:cs="Times New Roman" w:eastAsia="Times New Roman" w:hAnsi="Times New Roman"/>
          <w:sz w:val="24"/>
          <w:szCs w:val="24"/>
          <w:color w:val="auto"/>
        </w:rPr>
      </w:pPr>
    </w:p>
    <w:p>
      <w:pPr>
        <w:ind w:left="568" w:hanging="568"/>
        <w:spacing w:after="0" w:line="348" w:lineRule="auto"/>
        <w:tabs>
          <w:tab w:leader="none" w:pos="568" w:val="left"/>
        </w:tabs>
        <w:numPr>
          <w:ilvl w:val="0"/>
          <w:numId w:val="75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Agreements have been entered into with the depositories for dematerialisation of the specified securities of the issuer.</w:t>
      </w:r>
    </w:p>
    <w:p>
      <w:pPr>
        <w:spacing w:after="0" w:line="27" w:lineRule="exact"/>
        <w:rPr>
          <w:rFonts w:ascii="Times New Roman" w:cs="Times New Roman" w:eastAsia="Times New Roman" w:hAnsi="Times New Roman"/>
          <w:sz w:val="24"/>
          <w:szCs w:val="24"/>
          <w:color w:val="auto"/>
        </w:rPr>
      </w:pPr>
    </w:p>
    <w:p>
      <w:pPr>
        <w:ind w:left="568" w:hanging="568"/>
        <w:spacing w:after="0" w:line="348" w:lineRule="auto"/>
        <w:tabs>
          <w:tab w:leader="none" w:pos="568" w:val="left"/>
        </w:tabs>
        <w:numPr>
          <w:ilvl w:val="0"/>
          <w:numId w:val="75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underwriting and market making arrangements as per requirements of regulation 261 and 262 of these regulations have been made.</w:t>
      </w:r>
    </w:p>
    <w:p>
      <w:pPr>
        <w:spacing w:after="0" w:line="27" w:lineRule="exact"/>
        <w:rPr>
          <w:rFonts w:ascii="Times New Roman" w:cs="Times New Roman" w:eastAsia="Times New Roman" w:hAnsi="Times New Roman"/>
          <w:sz w:val="24"/>
          <w:szCs w:val="24"/>
          <w:color w:val="auto"/>
        </w:rPr>
      </w:pPr>
    </w:p>
    <w:p>
      <w:pPr>
        <w:jc w:val="both"/>
        <w:ind w:left="568" w:hanging="568"/>
        <w:spacing w:after="0" w:line="354" w:lineRule="auto"/>
        <w:tabs>
          <w:tab w:leader="none" w:pos="568" w:val="left"/>
        </w:tabs>
        <w:numPr>
          <w:ilvl w:val="0"/>
          <w:numId w:val="75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has redressed at least ninety five per cent. of the complaints received from the investors till the end of the quarter immediately preceding the month of the filing of the offer document with the Registrar of Companies or letter of offer with the SME Exchange.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190</w:t>
      </w:r>
    </w:p>
    <w:p>
      <w:pPr>
        <w:sectPr>
          <w:pgSz w:w="11900" w:h="16836" w:orient="portrait"/>
          <w:cols w:equalWidth="0" w:num="1">
            <w:col w:w="9468"/>
          </w:cols>
          <w:pgMar w:left="1152" w:top="1160" w:right="1284" w:bottom="103" w:gutter="0" w:footer="0" w:header="0"/>
        </w:sectPr>
      </w:pPr>
    </w:p>
    <w:bookmarkStart w:id="190" w:name="page191"/>
    <w:bookmarkEnd w:id="190"/>
    <w:p>
      <w:pPr>
        <w:ind w:left="108"/>
        <w:spacing w:after="0"/>
        <w:rPr>
          <w:sz w:val="20"/>
          <w:szCs w:val="20"/>
          <w:color w:val="auto"/>
        </w:rPr>
      </w:pPr>
      <w:r>
        <w:rPr>
          <w:rFonts w:ascii="Times New Roman" w:cs="Times New Roman" w:eastAsia="Times New Roman" w:hAnsi="Times New Roman"/>
          <w:sz w:val="23"/>
          <w:szCs w:val="23"/>
          <w:b w:val="1"/>
          <w:bCs w:val="1"/>
          <w:color w:val="auto"/>
        </w:rPr>
        <w:t>Place:</w:t>
      </w:r>
    </w:p>
    <w:p>
      <w:pPr>
        <w:spacing w:after="0" w:line="137" w:lineRule="exact"/>
        <w:rPr>
          <w:sz w:val="20"/>
          <w:szCs w:val="20"/>
          <w:color w:val="auto"/>
        </w:rPr>
      </w:pPr>
    </w:p>
    <w:p>
      <w:pPr>
        <w:ind w:left="108"/>
        <w:spacing w:after="0"/>
        <w:rPr>
          <w:sz w:val="20"/>
          <w:szCs w:val="20"/>
          <w:color w:val="auto"/>
        </w:rPr>
      </w:pPr>
      <w:r>
        <w:rPr>
          <w:rFonts w:ascii="Times New Roman" w:cs="Times New Roman" w:eastAsia="Times New Roman" w:hAnsi="Times New Roman"/>
          <w:sz w:val="24"/>
          <w:szCs w:val="24"/>
          <w:b w:val="1"/>
          <w:bCs w:val="1"/>
          <w:color w:val="auto"/>
        </w:rPr>
        <w:t>Date:</w:t>
      </w:r>
    </w:p>
    <w:p>
      <w:pPr>
        <w:spacing w:after="0" w:line="20" w:lineRule="exact"/>
        <w:rPr>
          <w:sz w:val="20"/>
          <w:szCs w:val="20"/>
          <w:color w:val="auto"/>
        </w:rPr>
      </w:pPr>
      <w:r>
        <w:rPr>
          <w:sz w:val="20"/>
          <w:szCs w:val="20"/>
          <w:color w:val="auto"/>
        </w:rPr>
        <w:br w:type="column"/>
      </w:r>
    </w:p>
    <w:p>
      <w:pPr>
        <w:jc w:val="right"/>
        <w:spacing w:after="0"/>
        <w:rPr>
          <w:sz w:val="20"/>
          <w:szCs w:val="20"/>
          <w:color w:val="auto"/>
        </w:rPr>
      </w:pPr>
      <w:r>
        <w:rPr>
          <w:rFonts w:ascii="Times New Roman" w:cs="Times New Roman" w:eastAsia="Times New Roman" w:hAnsi="Times New Roman"/>
          <w:sz w:val="23"/>
          <w:szCs w:val="23"/>
          <w:b w:val="1"/>
          <w:bCs w:val="1"/>
          <w:color w:val="auto"/>
        </w:rPr>
        <w:t>Lead Manager(s) to the Issue</w:t>
      </w:r>
    </w:p>
    <w:p>
      <w:pPr>
        <w:spacing w:after="0" w:line="137"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4"/>
          <w:szCs w:val="24"/>
          <w:b w:val="1"/>
          <w:bCs w:val="1"/>
          <w:color w:val="auto"/>
        </w:rPr>
        <w:t>with Official Seal(s)</w:t>
      </w:r>
    </w:p>
    <w:p>
      <w:pPr>
        <w:spacing w:after="0" w:line="200" w:lineRule="exact"/>
        <w:rPr>
          <w:sz w:val="20"/>
          <w:szCs w:val="20"/>
          <w:color w:val="auto"/>
        </w:rPr>
      </w:pPr>
    </w:p>
    <w:p>
      <w:pPr>
        <w:sectPr>
          <w:pgSz w:w="11900" w:h="16836" w:orient="portrait"/>
          <w:cols w:equalWidth="0" w:num="2">
            <w:col w:w="5848" w:space="720"/>
            <w:col w:w="2900"/>
          </w:cols>
          <w:pgMar w:left="1152" w:top="1160" w:right="1284" w:bottom="103"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jc w:val="center"/>
        <w:ind w:right="12"/>
        <w:spacing w:after="0" w:line="348" w:lineRule="auto"/>
        <w:rPr>
          <w:sz w:val="20"/>
          <w:szCs w:val="20"/>
          <w:color w:val="auto"/>
        </w:rPr>
      </w:pPr>
      <w:r>
        <w:rPr>
          <w:rFonts w:ascii="Times New Roman" w:cs="Times New Roman" w:eastAsia="Times New Roman" w:hAnsi="Times New Roman"/>
          <w:sz w:val="24"/>
          <w:szCs w:val="24"/>
          <w:b w:val="1"/>
          <w:bCs w:val="1"/>
          <w:color w:val="auto"/>
        </w:rPr>
        <w:t>Form H - Format of the due diligence certificate to be filed by the lead manager for IDR issues</w:t>
      </w:r>
    </w:p>
    <w:p>
      <w:pPr>
        <w:spacing w:after="0" w:line="200" w:lineRule="exact"/>
        <w:rPr>
          <w:sz w:val="20"/>
          <w:szCs w:val="20"/>
          <w:color w:val="auto"/>
        </w:rPr>
      </w:pPr>
    </w:p>
    <w:p>
      <w:pPr>
        <w:spacing w:after="0" w:line="228"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[See regulation [186(3)]</w:t>
      </w:r>
    </w:p>
    <w:p>
      <w:pPr>
        <w:spacing w:after="0" w:line="200" w:lineRule="exact"/>
        <w:rPr>
          <w:sz w:val="20"/>
          <w:szCs w:val="20"/>
          <w:color w:val="auto"/>
        </w:rPr>
      </w:pPr>
    </w:p>
    <w:p>
      <w:pPr>
        <w:spacing w:after="0" w:line="35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To,</w:t>
      </w:r>
    </w:p>
    <w:p>
      <w:pPr>
        <w:spacing w:after="0" w:line="139"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Securities and Exchange Board of India</w:t>
      </w:r>
    </w:p>
    <w:p>
      <w:pPr>
        <w:spacing w:after="0" w:line="200" w:lineRule="exact"/>
        <w:rPr>
          <w:sz w:val="20"/>
          <w:szCs w:val="20"/>
          <w:color w:val="auto"/>
        </w:rPr>
      </w:pPr>
    </w:p>
    <w:p>
      <w:pPr>
        <w:spacing w:after="0" w:line="34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Dear Sirs,</w:t>
      </w:r>
    </w:p>
    <w:p>
      <w:pPr>
        <w:spacing w:after="0" w:line="200" w:lineRule="exact"/>
        <w:rPr>
          <w:sz w:val="20"/>
          <w:szCs w:val="20"/>
          <w:color w:val="auto"/>
        </w:rPr>
      </w:pPr>
    </w:p>
    <w:p>
      <w:pPr>
        <w:spacing w:after="0" w:line="357" w:lineRule="exact"/>
        <w:rPr>
          <w:sz w:val="20"/>
          <w:szCs w:val="20"/>
          <w:color w:val="auto"/>
        </w:rPr>
      </w:pPr>
    </w:p>
    <w:p>
      <w:pPr>
        <w:ind w:left="388"/>
        <w:spacing w:after="0"/>
        <w:rPr>
          <w:sz w:val="20"/>
          <w:szCs w:val="20"/>
          <w:color w:val="auto"/>
        </w:rPr>
      </w:pPr>
      <w:r>
        <w:rPr>
          <w:rFonts w:ascii="Times New Roman" w:cs="Times New Roman" w:eastAsia="Times New Roman" w:hAnsi="Times New Roman"/>
          <w:sz w:val="24"/>
          <w:szCs w:val="24"/>
          <w:b w:val="1"/>
          <w:bCs w:val="1"/>
          <w:color w:val="auto"/>
        </w:rPr>
        <w:t>Sub.: Issue of ………………… (hereinafter referred to as ‘IDRs’) by …………………</w:t>
      </w:r>
    </w:p>
    <w:p>
      <w:pPr>
        <w:spacing w:after="0" w:line="137"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(hereinafter referred to as the ‘issuing company’)</w:t>
      </w:r>
    </w:p>
    <w:p>
      <w:pPr>
        <w:spacing w:after="0" w:line="200" w:lineRule="exact"/>
        <w:rPr>
          <w:sz w:val="20"/>
          <w:szCs w:val="20"/>
          <w:color w:val="auto"/>
        </w:rPr>
      </w:pPr>
    </w:p>
    <w:p>
      <w:pPr>
        <w:spacing w:after="0" w:line="34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We confirm that:</w:t>
      </w:r>
    </w:p>
    <w:p>
      <w:pPr>
        <w:spacing w:after="0" w:line="200" w:lineRule="exact"/>
        <w:rPr>
          <w:sz w:val="20"/>
          <w:szCs w:val="20"/>
          <w:color w:val="auto"/>
        </w:rPr>
      </w:pPr>
    </w:p>
    <w:p>
      <w:pPr>
        <w:spacing w:after="0" w:line="364" w:lineRule="exact"/>
        <w:rPr>
          <w:sz w:val="20"/>
          <w:szCs w:val="20"/>
          <w:color w:val="auto"/>
        </w:rPr>
      </w:pPr>
    </w:p>
    <w:p>
      <w:pPr>
        <w:jc w:val="both"/>
        <w:ind w:left="568" w:hanging="568"/>
        <w:spacing w:after="0" w:line="358" w:lineRule="auto"/>
        <w:tabs>
          <w:tab w:leader="none" w:pos="568" w:val="left"/>
        </w:tabs>
        <w:numPr>
          <w:ilvl w:val="0"/>
          <w:numId w:val="75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Draft Red Herring Prospectus (hereinafter referred to as the “DRHP”) is being filed with the Securities and Exchange Board of India (hereinafter referred to as the “Board”) in compliance with the Companies Act, 2013 and the Securities and Exchange Board of India (Issue of Capital and Disclosure Requirements) Regulations, 2018 read with the Companies (Registration of Foreign Companies) Rules, 2014 (hereinafter referred to as “the IDR Rules”), on a public basis.</w:t>
      </w:r>
    </w:p>
    <w:p>
      <w:pPr>
        <w:spacing w:after="0" w:line="14" w:lineRule="exact"/>
        <w:rPr>
          <w:rFonts w:ascii="Times New Roman" w:cs="Times New Roman" w:eastAsia="Times New Roman" w:hAnsi="Times New Roman"/>
          <w:sz w:val="24"/>
          <w:szCs w:val="24"/>
          <w:color w:val="auto"/>
        </w:rPr>
      </w:pPr>
    </w:p>
    <w:p>
      <w:pPr>
        <w:jc w:val="both"/>
        <w:ind w:left="568" w:hanging="568"/>
        <w:spacing w:after="0" w:line="354" w:lineRule="auto"/>
        <w:tabs>
          <w:tab w:leader="none" w:pos="568" w:val="left"/>
        </w:tabs>
        <w:numPr>
          <w:ilvl w:val="0"/>
          <w:numId w:val="75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We have examined the disclosures made by the issuer in the jurisdictions where its underlying equity shares are listed so as to ensure uniformity and parity of information shared with investors across different regulatory jurisdictions (hereinafter referred to as</w:t>
      </w:r>
    </w:p>
    <w:p>
      <w:pPr>
        <w:spacing w:after="0" w:line="22" w:lineRule="exact"/>
        <w:rPr>
          <w:rFonts w:ascii="Times New Roman" w:cs="Times New Roman" w:eastAsia="Times New Roman" w:hAnsi="Times New Roman"/>
          <w:sz w:val="24"/>
          <w:szCs w:val="24"/>
          <w:color w:val="auto"/>
        </w:rPr>
      </w:pPr>
    </w:p>
    <w:p>
      <w:pPr>
        <w:ind w:left="568"/>
        <w:spacing w:after="0" w:line="348"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“publicly available information”) and participated in discussions with the senior management of the issuing company for the purpose of preparing the draft offer document.</w:t>
      </w:r>
    </w:p>
    <w:p>
      <w:pPr>
        <w:spacing w:after="0" w:line="27" w:lineRule="exact"/>
        <w:rPr>
          <w:rFonts w:ascii="Times New Roman" w:cs="Times New Roman" w:eastAsia="Times New Roman" w:hAnsi="Times New Roman"/>
          <w:sz w:val="24"/>
          <w:szCs w:val="24"/>
          <w:color w:val="auto"/>
        </w:rPr>
      </w:pPr>
    </w:p>
    <w:p>
      <w:pPr>
        <w:jc w:val="both"/>
        <w:ind w:left="568" w:hanging="568"/>
        <w:spacing w:after="0" w:line="354" w:lineRule="auto"/>
        <w:tabs>
          <w:tab w:leader="none" w:pos="568" w:val="left"/>
        </w:tabs>
        <w:numPr>
          <w:ilvl w:val="0"/>
          <w:numId w:val="75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We have examined various documents including those relating to litigation, including commercial disputes, patent disputes, disputes with collaborators, etc. and other material while finalising the offer document of the subject issue.</w:t>
      </w:r>
    </w:p>
    <w:p>
      <w:pPr>
        <w:spacing w:after="0" w:line="20" w:lineRule="exact"/>
        <w:rPr>
          <w:rFonts w:ascii="Times New Roman" w:cs="Times New Roman" w:eastAsia="Times New Roman" w:hAnsi="Times New Roman"/>
          <w:sz w:val="24"/>
          <w:szCs w:val="24"/>
          <w:color w:val="auto"/>
        </w:rPr>
      </w:pPr>
    </w:p>
    <w:p>
      <w:pPr>
        <w:jc w:val="both"/>
        <w:ind w:left="568" w:hanging="568"/>
        <w:spacing w:after="0" w:line="350" w:lineRule="auto"/>
        <w:tabs>
          <w:tab w:leader="none" w:pos="568" w:val="left"/>
        </w:tabs>
        <w:numPr>
          <w:ilvl w:val="0"/>
          <w:numId w:val="75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On the basis of such examination and the discussions with the issuer, its directors and other officers, other independent agencies/ experts/ reports, and independent verification of the</w:t>
      </w:r>
    </w:p>
    <w:p>
      <w:pPr>
        <w:spacing w:after="0" w:line="268"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191</w:t>
      </w:r>
    </w:p>
    <w:p>
      <w:pPr>
        <w:sectPr>
          <w:pgSz w:w="11900" w:h="16836" w:orient="portrait"/>
          <w:cols w:equalWidth="0" w:num="1">
            <w:col w:w="9468"/>
          </w:cols>
          <w:pgMar w:left="1152" w:top="1160" w:right="1284" w:bottom="103" w:gutter="0" w:footer="0" w:header="0"/>
          <w:type w:val="continuous"/>
        </w:sectPr>
      </w:pPr>
    </w:p>
    <w:bookmarkStart w:id="191" w:name="page192"/>
    <w:bookmarkEnd w:id="191"/>
    <w:p>
      <w:pPr>
        <w:ind w:left="784"/>
        <w:spacing w:after="0" w:line="348" w:lineRule="auto"/>
        <w:rPr>
          <w:sz w:val="20"/>
          <w:szCs w:val="20"/>
          <w:color w:val="auto"/>
        </w:rPr>
      </w:pPr>
      <w:r>
        <w:rPr>
          <w:rFonts w:ascii="Times New Roman" w:cs="Times New Roman" w:eastAsia="Times New Roman" w:hAnsi="Times New Roman"/>
          <w:sz w:val="24"/>
          <w:szCs w:val="24"/>
          <w:color w:val="auto"/>
        </w:rPr>
        <w:t>statements concerning the objects of the issue, price justification, contents of the documents and other papers furnished by the issuer, we confirm that:</w:t>
      </w:r>
    </w:p>
    <w:p>
      <w:pPr>
        <w:spacing w:after="0" w:line="28" w:lineRule="exact"/>
        <w:rPr>
          <w:sz w:val="20"/>
          <w:szCs w:val="20"/>
          <w:color w:val="auto"/>
        </w:rPr>
      </w:pPr>
    </w:p>
    <w:p>
      <w:pPr>
        <w:ind w:left="1364" w:hanging="572"/>
        <w:spacing w:after="0" w:line="348" w:lineRule="auto"/>
        <w:tabs>
          <w:tab w:leader="none" w:pos="1364" w:val="left"/>
        </w:tabs>
        <w:numPr>
          <w:ilvl w:val="2"/>
          <w:numId w:val="75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draft offer document/ draft letter of offer forwarded to the Board is in conformity with the documents, materials and papers relevant to the issue;</w:t>
      </w:r>
    </w:p>
    <w:p>
      <w:pPr>
        <w:spacing w:after="0" w:line="27" w:lineRule="exact"/>
        <w:rPr>
          <w:rFonts w:ascii="Times New Roman" w:cs="Times New Roman" w:eastAsia="Times New Roman" w:hAnsi="Times New Roman"/>
          <w:sz w:val="24"/>
          <w:szCs w:val="24"/>
          <w:color w:val="auto"/>
        </w:rPr>
      </w:pPr>
    </w:p>
    <w:p>
      <w:pPr>
        <w:jc w:val="both"/>
        <w:ind w:left="1364" w:hanging="572"/>
        <w:spacing w:after="0" w:line="354" w:lineRule="auto"/>
        <w:tabs>
          <w:tab w:leader="none" w:pos="1364" w:val="left"/>
        </w:tabs>
        <w:numPr>
          <w:ilvl w:val="2"/>
          <w:numId w:val="75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requirements under the IDR Rules and these regulations and other relevant laws framed by the Board, the Government and any other competent authority in this behalf have been duly complied with; and</w:t>
      </w:r>
    </w:p>
    <w:p>
      <w:pPr>
        <w:spacing w:after="0" w:line="19" w:lineRule="exact"/>
        <w:rPr>
          <w:rFonts w:ascii="Times New Roman" w:cs="Times New Roman" w:eastAsia="Times New Roman" w:hAnsi="Times New Roman"/>
          <w:sz w:val="24"/>
          <w:szCs w:val="24"/>
          <w:color w:val="auto"/>
        </w:rPr>
      </w:pPr>
    </w:p>
    <w:p>
      <w:pPr>
        <w:jc w:val="both"/>
        <w:ind w:left="1364" w:hanging="572"/>
        <w:spacing w:after="0" w:line="357" w:lineRule="auto"/>
        <w:tabs>
          <w:tab w:leader="none" w:pos="1364" w:val="left"/>
        </w:tabs>
        <w:numPr>
          <w:ilvl w:val="2"/>
          <w:numId w:val="75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disclosures made in the draft offer document/draft letter of offer are true, fair and adequate to enable the investors to make a well informed decision as to the investment in the proposed issue and such disclosures are in accordance with the requirements of the Companies Act, 2013, IDR Rules, these regulations and other applicable legal requirements.</w:t>
      </w:r>
    </w:p>
    <w:p>
      <w:pPr>
        <w:spacing w:after="0" w:line="19" w:lineRule="exact"/>
        <w:rPr>
          <w:rFonts w:ascii="Times New Roman" w:cs="Times New Roman" w:eastAsia="Times New Roman" w:hAnsi="Times New Roman"/>
          <w:sz w:val="24"/>
          <w:szCs w:val="24"/>
          <w:color w:val="auto"/>
        </w:rPr>
      </w:pPr>
    </w:p>
    <w:p>
      <w:pPr>
        <w:ind w:left="584" w:hanging="584"/>
        <w:spacing w:after="0" w:line="348" w:lineRule="auto"/>
        <w:tabs>
          <w:tab w:leader="none" w:pos="584" w:val="left"/>
        </w:tabs>
        <w:numPr>
          <w:ilvl w:val="0"/>
          <w:numId w:val="75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Besides ourselves, all the other intermediaries named in the draft offer document/ draft letter of offer are registered with the Board and that till date, such registration is valid.</w:t>
      </w:r>
    </w:p>
    <w:p>
      <w:pPr>
        <w:spacing w:after="0" w:line="27" w:lineRule="exact"/>
        <w:rPr>
          <w:rFonts w:ascii="Times New Roman" w:cs="Times New Roman" w:eastAsia="Times New Roman" w:hAnsi="Times New Roman"/>
          <w:sz w:val="24"/>
          <w:szCs w:val="24"/>
          <w:color w:val="auto"/>
        </w:rPr>
      </w:pPr>
    </w:p>
    <w:p>
      <w:pPr>
        <w:ind w:left="584" w:hanging="584"/>
        <w:spacing w:after="0" w:line="348" w:lineRule="auto"/>
        <w:tabs>
          <w:tab w:leader="none" w:pos="584" w:val="left"/>
        </w:tabs>
        <w:numPr>
          <w:ilvl w:val="0"/>
          <w:numId w:val="75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We have satisfied ourselves about the capability of the underwriters to fulfil their underwriting commitments.</w:t>
      </w:r>
    </w:p>
    <w:p>
      <w:pPr>
        <w:spacing w:after="0" w:line="28" w:lineRule="exact"/>
        <w:rPr>
          <w:rFonts w:ascii="Times New Roman" w:cs="Times New Roman" w:eastAsia="Times New Roman" w:hAnsi="Times New Roman"/>
          <w:sz w:val="24"/>
          <w:szCs w:val="24"/>
          <w:color w:val="auto"/>
        </w:rPr>
      </w:pPr>
    </w:p>
    <w:p>
      <w:pPr>
        <w:jc w:val="both"/>
        <w:ind w:left="584" w:hanging="584"/>
        <w:spacing w:after="0" w:line="354" w:lineRule="auto"/>
        <w:tabs>
          <w:tab w:leader="none" w:pos="584" w:val="left"/>
        </w:tabs>
        <w:numPr>
          <w:ilvl w:val="0"/>
          <w:numId w:val="75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existing business as well as any new business of the issuer for which the funds are being raised fall within the ‘main objects’ in the object clause of the Memorandum of Association or other charter of the issuer.</w:t>
      </w:r>
    </w:p>
    <w:p>
      <w:pPr>
        <w:spacing w:after="0" w:line="19" w:lineRule="exact"/>
        <w:rPr>
          <w:rFonts w:ascii="Times New Roman" w:cs="Times New Roman" w:eastAsia="Times New Roman" w:hAnsi="Times New Roman"/>
          <w:sz w:val="24"/>
          <w:szCs w:val="24"/>
          <w:color w:val="auto"/>
        </w:rPr>
      </w:pPr>
    </w:p>
    <w:p>
      <w:pPr>
        <w:jc w:val="both"/>
        <w:ind w:left="584" w:hanging="584"/>
        <w:spacing w:after="0" w:line="350" w:lineRule="auto"/>
        <w:tabs>
          <w:tab w:leader="none" w:pos="584" w:val="left"/>
        </w:tabs>
        <w:numPr>
          <w:ilvl w:val="0"/>
          <w:numId w:val="75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Necessary arrangements shall be made to ensure that the monies received pursuant to the issue are credited or transferred to in a separate bank account as per the provisions of sub-section</w:t>
      </w:r>
    </w:p>
    <w:p>
      <w:pPr>
        <w:spacing w:after="0" w:line="23" w:lineRule="exact"/>
        <w:rPr>
          <w:rFonts w:ascii="Times New Roman" w:cs="Times New Roman" w:eastAsia="Times New Roman" w:hAnsi="Times New Roman"/>
          <w:sz w:val="24"/>
          <w:szCs w:val="24"/>
          <w:color w:val="auto"/>
        </w:rPr>
      </w:pPr>
    </w:p>
    <w:p>
      <w:pPr>
        <w:jc w:val="both"/>
        <w:ind w:left="584" w:hanging="8"/>
        <w:spacing w:after="0" w:line="357" w:lineRule="auto"/>
        <w:tabs>
          <w:tab w:leader="none" w:pos="946" w:val="left"/>
        </w:tabs>
        <w:numPr>
          <w:ilvl w:val="1"/>
          <w:numId w:val="75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of section 40 of the Companies Act, 2013 and that such monies shall be released by the said bank only after permission is obtained from all the stock exchanges, and that the agreement entered into between the bankers to the issue and the issuer specifically contains this condition.</w:t>
      </w:r>
    </w:p>
    <w:p>
      <w:pPr>
        <w:spacing w:after="0" w:line="14" w:lineRule="exact"/>
        <w:rPr>
          <w:rFonts w:ascii="Times New Roman" w:cs="Times New Roman" w:eastAsia="Times New Roman" w:hAnsi="Times New Roman"/>
          <w:sz w:val="24"/>
          <w:szCs w:val="24"/>
          <w:color w:val="auto"/>
        </w:rPr>
      </w:pPr>
    </w:p>
    <w:p>
      <w:pPr>
        <w:ind w:left="584" w:hanging="584"/>
        <w:spacing w:after="0" w:line="350" w:lineRule="auto"/>
        <w:tabs>
          <w:tab w:leader="none" w:pos="584" w:val="left"/>
        </w:tabs>
        <w:numPr>
          <w:ilvl w:val="0"/>
          <w:numId w:val="75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Disclosure has been made in the draft offer document that the investors shall be given an option* to receive the IDR in demat or physical mode.</w:t>
      </w:r>
    </w:p>
    <w:p>
      <w:pPr>
        <w:spacing w:after="0" w:line="23" w:lineRule="exact"/>
        <w:rPr>
          <w:rFonts w:ascii="Times New Roman" w:cs="Times New Roman" w:eastAsia="Times New Roman" w:hAnsi="Times New Roman"/>
          <w:sz w:val="24"/>
          <w:szCs w:val="24"/>
          <w:color w:val="auto"/>
        </w:rPr>
      </w:pPr>
    </w:p>
    <w:p>
      <w:pPr>
        <w:ind w:left="584"/>
        <w:spacing w:after="0" w:line="350"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option to receive physical security certificates in a rights issue shall be available only for a period of six months from the date of coming into force of these regulations.]</w:t>
      </w:r>
    </w:p>
    <w:p>
      <w:pPr>
        <w:spacing w:after="0" w:line="10" w:lineRule="exact"/>
        <w:rPr>
          <w:rFonts w:ascii="Times New Roman" w:cs="Times New Roman" w:eastAsia="Times New Roman" w:hAnsi="Times New Roman"/>
          <w:sz w:val="24"/>
          <w:szCs w:val="24"/>
          <w:color w:val="auto"/>
        </w:rPr>
      </w:pPr>
    </w:p>
    <w:p>
      <w:pPr>
        <w:ind w:left="584" w:hanging="584"/>
        <w:spacing w:after="0"/>
        <w:tabs>
          <w:tab w:leader="none" w:pos="584" w:val="left"/>
        </w:tabs>
        <w:numPr>
          <w:ilvl w:val="0"/>
          <w:numId w:val="75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Following disclosures have been made in the draft offer document/ draft letter of offer:</w:t>
      </w:r>
    </w:p>
    <w:p>
      <w:pPr>
        <w:spacing w:after="0" w:line="151" w:lineRule="exact"/>
        <w:rPr>
          <w:rFonts w:ascii="Times New Roman" w:cs="Times New Roman" w:eastAsia="Times New Roman" w:hAnsi="Times New Roman"/>
          <w:sz w:val="24"/>
          <w:szCs w:val="24"/>
          <w:color w:val="auto"/>
        </w:rPr>
      </w:pPr>
    </w:p>
    <w:p>
      <w:pPr>
        <w:ind w:left="944" w:hanging="374"/>
        <w:spacing w:after="0" w:line="348"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An undertaking from the issuer that at any given time, there shall be only one denomination for the IDR, and</w:t>
      </w:r>
    </w:p>
    <w:p>
      <w:pPr>
        <w:spacing w:after="0" w:line="28" w:lineRule="exact"/>
        <w:rPr>
          <w:rFonts w:ascii="Times New Roman" w:cs="Times New Roman" w:eastAsia="Times New Roman" w:hAnsi="Times New Roman"/>
          <w:sz w:val="24"/>
          <w:szCs w:val="24"/>
          <w:color w:val="auto"/>
        </w:rPr>
      </w:pPr>
    </w:p>
    <w:p>
      <w:pPr>
        <w:ind w:left="944" w:hanging="374"/>
        <w:spacing w:after="0" w:line="348"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 An undertaking from the issuer that it shall comply with all disclosure and accounting norms specified by the Board.</w:t>
      </w: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center"/>
        <w:ind w:right="-203"/>
        <w:spacing w:after="0"/>
        <w:rPr>
          <w:sz w:val="20"/>
          <w:szCs w:val="20"/>
          <w:color w:val="auto"/>
        </w:rPr>
      </w:pPr>
      <w:r>
        <w:rPr>
          <w:rFonts w:ascii="Times New Roman" w:cs="Times New Roman" w:eastAsia="Times New Roman" w:hAnsi="Times New Roman"/>
          <w:sz w:val="24"/>
          <w:szCs w:val="24"/>
          <w:color w:val="auto"/>
        </w:rPr>
        <w:t>192</w:t>
      </w:r>
    </w:p>
    <w:p>
      <w:pPr>
        <w:sectPr>
          <w:pgSz w:w="11900" w:h="16836" w:orient="portrait"/>
          <w:cols w:equalWidth="0" w:num="1">
            <w:col w:w="9684"/>
          </w:cols>
          <w:pgMar w:left="936" w:top="1156" w:right="1284" w:bottom="103" w:gutter="0" w:footer="0" w:header="0"/>
        </w:sectPr>
      </w:pPr>
    </w:p>
    <w:bookmarkStart w:id="192" w:name="page193"/>
    <w:bookmarkEnd w:id="192"/>
    <w:p>
      <w:pPr>
        <w:ind w:left="584" w:right="200" w:hanging="584"/>
        <w:spacing w:after="0" w:line="348" w:lineRule="auto"/>
        <w:tabs>
          <w:tab w:leader="none" w:pos="584" w:val="left"/>
        </w:tabs>
        <w:numPr>
          <w:ilvl w:val="0"/>
          <w:numId w:val="75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None of the intermediaries named in the red herring prospectus / prospectus have been debarred from functioning by any regulatory authority.</w:t>
      </w:r>
    </w:p>
    <w:p>
      <w:pPr>
        <w:spacing w:after="0" w:line="28" w:lineRule="exact"/>
        <w:rPr>
          <w:rFonts w:ascii="Times New Roman" w:cs="Times New Roman" w:eastAsia="Times New Roman" w:hAnsi="Times New Roman"/>
          <w:sz w:val="24"/>
          <w:szCs w:val="24"/>
          <w:color w:val="auto"/>
        </w:rPr>
      </w:pPr>
    </w:p>
    <w:p>
      <w:pPr>
        <w:jc w:val="both"/>
        <w:ind w:left="584" w:right="200" w:hanging="584"/>
        <w:spacing w:after="0" w:line="354" w:lineRule="auto"/>
        <w:tabs>
          <w:tab w:leader="none" w:pos="584" w:val="left"/>
        </w:tabs>
        <w:numPr>
          <w:ilvl w:val="0"/>
          <w:numId w:val="75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We enclose a note explaining the process of due diligence that has been exercised by us including in relation to the business of the issuer, the risks in relation to the business, and experience of the promoters.</w:t>
      </w:r>
    </w:p>
    <w:p>
      <w:pPr>
        <w:spacing w:after="0" w:line="19" w:lineRule="exact"/>
        <w:rPr>
          <w:rFonts w:ascii="Times New Roman" w:cs="Times New Roman" w:eastAsia="Times New Roman" w:hAnsi="Times New Roman"/>
          <w:sz w:val="24"/>
          <w:szCs w:val="24"/>
          <w:color w:val="auto"/>
        </w:rPr>
      </w:pPr>
    </w:p>
    <w:p>
      <w:pPr>
        <w:jc w:val="both"/>
        <w:ind w:left="584" w:right="200" w:hanging="584"/>
        <w:spacing w:after="0" w:line="357" w:lineRule="auto"/>
        <w:tabs>
          <w:tab w:leader="none" w:pos="584" w:val="left"/>
        </w:tabs>
        <w:numPr>
          <w:ilvl w:val="0"/>
          <w:numId w:val="75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We enclose a checklist confirming regulation-wise compliance with the applicable provisions of these regulations, containing details such as the regulation number, its text, the status of compliance, page number of the draft offer document/ draft letter of offer where the regulation has been complied with and our comments, if any.</w:t>
      </w:r>
    </w:p>
    <w:p>
      <w:pPr>
        <w:spacing w:after="0" w:line="14" w:lineRule="exact"/>
        <w:rPr>
          <w:rFonts w:ascii="Times New Roman" w:cs="Times New Roman" w:eastAsia="Times New Roman" w:hAnsi="Times New Roman"/>
          <w:sz w:val="24"/>
          <w:szCs w:val="24"/>
          <w:color w:val="auto"/>
        </w:rPr>
      </w:pPr>
    </w:p>
    <w:p>
      <w:pPr>
        <w:ind w:left="584" w:right="200" w:hanging="584"/>
        <w:spacing w:after="0" w:line="350" w:lineRule="auto"/>
        <w:tabs>
          <w:tab w:leader="none" w:pos="584" w:val="left"/>
        </w:tabs>
        <w:numPr>
          <w:ilvl w:val="0"/>
          <w:numId w:val="75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Agreements have been entered into with the depositories for dematerialisation of the IDRs of the issuer.</w:t>
      </w:r>
    </w:p>
    <w:p>
      <w:pPr>
        <w:sectPr>
          <w:pgSz w:w="11900" w:h="16836" w:orient="portrait"/>
          <w:cols w:equalWidth="0" w:num="1">
            <w:col w:w="9884"/>
          </w:cols>
          <w:pgMar w:left="936" w:top="1156" w:right="1084" w:bottom="103" w:gutter="0" w:footer="0" w:header="0"/>
        </w:sectPr>
      </w:pPr>
    </w:p>
    <w:p>
      <w:pPr>
        <w:spacing w:after="0" w:line="27" w:lineRule="exact"/>
        <w:rPr>
          <w:sz w:val="20"/>
          <w:szCs w:val="20"/>
          <w:color w:val="auto"/>
        </w:rPr>
      </w:pPr>
    </w:p>
    <w:p>
      <w:pPr>
        <w:ind w:left="324"/>
        <w:spacing w:after="0"/>
        <w:rPr>
          <w:sz w:val="20"/>
          <w:szCs w:val="20"/>
          <w:color w:val="auto"/>
        </w:rPr>
      </w:pPr>
      <w:r>
        <w:rPr>
          <w:rFonts w:ascii="Times New Roman" w:cs="Times New Roman" w:eastAsia="Times New Roman" w:hAnsi="Times New Roman"/>
          <w:sz w:val="23"/>
          <w:szCs w:val="23"/>
          <w:b w:val="1"/>
          <w:bCs w:val="1"/>
          <w:color w:val="auto"/>
        </w:rPr>
        <w:t>Place:</w:t>
      </w:r>
    </w:p>
    <w:p>
      <w:pPr>
        <w:spacing w:after="0" w:line="139" w:lineRule="exact"/>
        <w:rPr>
          <w:sz w:val="20"/>
          <w:szCs w:val="20"/>
          <w:color w:val="auto"/>
        </w:rPr>
      </w:pPr>
    </w:p>
    <w:p>
      <w:pPr>
        <w:ind w:left="324"/>
        <w:spacing w:after="0"/>
        <w:rPr>
          <w:sz w:val="20"/>
          <w:szCs w:val="20"/>
          <w:color w:val="auto"/>
        </w:rPr>
      </w:pPr>
      <w:r>
        <w:rPr>
          <w:rFonts w:ascii="Times New Roman" w:cs="Times New Roman" w:eastAsia="Times New Roman" w:hAnsi="Times New Roman"/>
          <w:sz w:val="24"/>
          <w:szCs w:val="24"/>
          <w:b w:val="1"/>
          <w:bCs w:val="1"/>
          <w:color w:val="auto"/>
        </w:rPr>
        <w:t>Date:</w:t>
      </w:r>
    </w:p>
    <w:p>
      <w:pPr>
        <w:spacing w:after="0" w:line="20" w:lineRule="exact"/>
        <w:rPr>
          <w:sz w:val="20"/>
          <w:szCs w:val="20"/>
          <w:color w:val="auto"/>
        </w:rPr>
      </w:pPr>
      <w:r>
        <w:rPr>
          <w:sz w:val="20"/>
          <w:szCs w:val="20"/>
          <w:color w:val="auto"/>
        </w:rPr>
        <w:br w:type="column"/>
      </w:r>
    </w:p>
    <w:p>
      <w:pPr>
        <w:spacing w:after="0" w:line="7"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3"/>
          <w:szCs w:val="23"/>
          <w:b w:val="1"/>
          <w:bCs w:val="1"/>
          <w:color w:val="auto"/>
        </w:rPr>
        <w:t>Lead Manager(s) to the Issue</w:t>
      </w:r>
    </w:p>
    <w:p>
      <w:pPr>
        <w:spacing w:after="0" w:line="139" w:lineRule="exact"/>
        <w:rPr>
          <w:sz w:val="20"/>
          <w:szCs w:val="20"/>
          <w:color w:val="auto"/>
        </w:rPr>
      </w:pPr>
    </w:p>
    <w:p>
      <w:pPr>
        <w:jc w:val="right"/>
        <w:ind w:right="20"/>
        <w:spacing w:after="0"/>
        <w:rPr>
          <w:sz w:val="20"/>
          <w:szCs w:val="20"/>
          <w:color w:val="auto"/>
        </w:rPr>
      </w:pPr>
      <w:r>
        <w:rPr>
          <w:rFonts w:ascii="Times New Roman" w:cs="Times New Roman" w:eastAsia="Times New Roman" w:hAnsi="Times New Roman"/>
          <w:sz w:val="24"/>
          <w:szCs w:val="24"/>
          <w:b w:val="1"/>
          <w:bCs w:val="1"/>
          <w:color w:val="auto"/>
        </w:rPr>
        <w:t>with Official Seal(s)</w:t>
      </w:r>
    </w:p>
    <w:p>
      <w:pPr>
        <w:spacing w:after="0" w:line="200" w:lineRule="exact"/>
        <w:rPr>
          <w:sz w:val="20"/>
          <w:szCs w:val="20"/>
          <w:color w:val="auto"/>
        </w:rPr>
      </w:pPr>
    </w:p>
    <w:p>
      <w:pPr>
        <w:sectPr>
          <w:pgSz w:w="11900" w:h="16836" w:orient="portrait"/>
          <w:cols w:equalWidth="0" w:num="2">
            <w:col w:w="6244" w:space="720"/>
            <w:col w:w="2920"/>
          </w:cols>
          <w:pgMar w:left="936" w:top="1156" w:right="1084" w:bottom="103"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jc w:val="center"/>
        <w:ind w:left="216" w:right="212"/>
        <w:spacing w:after="0" w:line="356" w:lineRule="auto"/>
        <w:rPr>
          <w:sz w:val="20"/>
          <w:szCs w:val="20"/>
          <w:color w:val="auto"/>
        </w:rPr>
      </w:pPr>
      <w:r>
        <w:rPr>
          <w:rFonts w:ascii="Times New Roman" w:cs="Times New Roman" w:eastAsia="Times New Roman" w:hAnsi="Times New Roman"/>
          <w:sz w:val="24"/>
          <w:szCs w:val="24"/>
          <w:b w:val="1"/>
          <w:bCs w:val="1"/>
          <w:color w:val="auto"/>
        </w:rPr>
        <w:t>SCHEDULE VI - DISCLOSURES IN THE OFFER DOCUMENT, ABRIDGED PROSPECTUS AND ABRIDGED LETTER OF OFFER [See regulations 17, 24(2)(b), 34(1), 57(1)(f), 70(2), 71(2)(d), 75, 122(2)(ii), 123(2)(d), 131(1), 153(1)(f), 186(3)(d), 218(2), 220(1)], 239, 246(2)(b), 282(1)(f), 287(2), 291]</w:t>
      </w:r>
    </w:p>
    <w:p>
      <w:pPr>
        <w:spacing w:after="0" w:line="200" w:lineRule="exact"/>
        <w:rPr>
          <w:sz w:val="20"/>
          <w:szCs w:val="20"/>
          <w:color w:val="auto"/>
        </w:rPr>
      </w:pPr>
    </w:p>
    <w:p>
      <w:pPr>
        <w:spacing w:after="0" w:line="234" w:lineRule="exact"/>
        <w:rPr>
          <w:sz w:val="20"/>
          <w:szCs w:val="20"/>
          <w:color w:val="auto"/>
        </w:rPr>
      </w:pPr>
    </w:p>
    <w:p>
      <w:pPr>
        <w:jc w:val="center"/>
        <w:ind w:left="1160" w:right="240"/>
        <w:spacing w:after="0" w:line="392" w:lineRule="auto"/>
        <w:rPr>
          <w:sz w:val="20"/>
          <w:szCs w:val="20"/>
          <w:color w:val="auto"/>
        </w:rPr>
      </w:pPr>
      <w:r>
        <w:rPr>
          <w:rFonts w:ascii="Times New Roman" w:cs="Times New Roman" w:eastAsia="Times New Roman" w:hAnsi="Times New Roman"/>
          <w:sz w:val="24"/>
          <w:szCs w:val="24"/>
          <w:b w:val="1"/>
          <w:bCs w:val="1"/>
          <w:color w:val="auto"/>
        </w:rPr>
        <w:t>Part A – Disclosures in offer document/letter of offer [See regulations17, 24(2)(b), 57(1)(f), 70(2), 122(2)(ii), 153(1)(f), 239, 246(2)(b), 282(1)(f), 287(2), 291]</w:t>
      </w: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ind w:left="224" w:right="700"/>
        <w:spacing w:after="0" w:line="348" w:lineRule="auto"/>
        <w:rPr>
          <w:sz w:val="20"/>
          <w:szCs w:val="20"/>
          <w:color w:val="auto"/>
        </w:rPr>
      </w:pPr>
      <w:r>
        <w:rPr>
          <w:rFonts w:ascii="Times New Roman" w:cs="Times New Roman" w:eastAsia="Times New Roman" w:hAnsi="Times New Roman"/>
          <w:sz w:val="24"/>
          <w:szCs w:val="24"/>
          <w:color w:val="auto"/>
        </w:rPr>
        <w:t>All disclosures specified under this Part shall be made in the draft offer document or the draft letter of offer and the offer document or the letter of offer, as applicable.</w:t>
      </w:r>
    </w:p>
    <w:p>
      <w:pPr>
        <w:spacing w:after="0" w:line="200" w:lineRule="exact"/>
        <w:rPr>
          <w:sz w:val="20"/>
          <w:szCs w:val="20"/>
          <w:color w:val="auto"/>
        </w:rPr>
      </w:pPr>
    </w:p>
    <w:p>
      <w:pPr>
        <w:spacing w:after="0" w:line="233" w:lineRule="exact"/>
        <w:rPr>
          <w:sz w:val="20"/>
          <w:szCs w:val="20"/>
          <w:color w:val="auto"/>
        </w:rPr>
      </w:pPr>
    </w:p>
    <w:p>
      <w:pPr>
        <w:ind w:left="224"/>
        <w:spacing w:after="0"/>
        <w:rPr>
          <w:sz w:val="20"/>
          <w:szCs w:val="20"/>
          <w:color w:val="auto"/>
        </w:rPr>
      </w:pPr>
      <w:r>
        <w:rPr>
          <w:rFonts w:ascii="Times New Roman" w:cs="Times New Roman" w:eastAsia="Times New Roman" w:hAnsi="Times New Roman"/>
          <w:sz w:val="24"/>
          <w:szCs w:val="24"/>
          <w:b w:val="1"/>
          <w:bCs w:val="1"/>
          <w:color w:val="auto"/>
        </w:rPr>
        <w:t>Instructions:</w:t>
      </w:r>
    </w:p>
    <w:p>
      <w:pPr>
        <w:spacing w:after="0" w:line="147" w:lineRule="exact"/>
        <w:rPr>
          <w:sz w:val="20"/>
          <w:szCs w:val="20"/>
          <w:color w:val="auto"/>
        </w:rPr>
      </w:pPr>
    </w:p>
    <w:p>
      <w:pPr>
        <w:jc w:val="both"/>
        <w:ind w:left="764" w:right="200" w:hanging="548"/>
        <w:spacing w:after="0" w:line="354" w:lineRule="auto"/>
        <w:tabs>
          <w:tab w:leader="none" w:pos="764" w:val="left"/>
        </w:tabs>
        <w:numPr>
          <w:ilvl w:val="0"/>
          <w:numId w:val="76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All information shall be relevant and updated. The source and basis of all statements and claims shall be disclosed. Terms such as “market leader”, “leading player”, etc. shall be used only if these can be substantiated by citing a proper source.</w:t>
      </w:r>
    </w:p>
    <w:p>
      <w:pPr>
        <w:spacing w:after="0" w:line="20" w:lineRule="exact"/>
        <w:rPr>
          <w:rFonts w:ascii="Times New Roman" w:cs="Times New Roman" w:eastAsia="Times New Roman" w:hAnsi="Times New Roman"/>
          <w:sz w:val="24"/>
          <w:szCs w:val="24"/>
          <w:color w:val="auto"/>
        </w:rPr>
      </w:pPr>
    </w:p>
    <w:p>
      <w:pPr>
        <w:jc w:val="both"/>
        <w:ind w:left="764" w:right="200" w:hanging="548"/>
        <w:spacing w:after="0" w:line="354" w:lineRule="auto"/>
        <w:tabs>
          <w:tab w:leader="none" w:pos="764" w:val="left"/>
        </w:tabs>
        <w:numPr>
          <w:ilvl w:val="0"/>
          <w:numId w:val="76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All blank spaces in the draft offer document shall be filled up with appropriate data before filing the offer document, as applicable, with the Registrar of Companies or filing the same with the recognised stock exchanges.</w:t>
      </w: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jc w:val="center"/>
        <w:ind w:right="-23"/>
        <w:spacing w:after="0"/>
        <w:rPr>
          <w:sz w:val="20"/>
          <w:szCs w:val="20"/>
          <w:color w:val="auto"/>
        </w:rPr>
      </w:pPr>
      <w:r>
        <w:rPr>
          <w:rFonts w:ascii="Times New Roman" w:cs="Times New Roman" w:eastAsia="Times New Roman" w:hAnsi="Times New Roman"/>
          <w:sz w:val="24"/>
          <w:szCs w:val="24"/>
          <w:color w:val="auto"/>
        </w:rPr>
        <w:t>193</w:t>
      </w:r>
    </w:p>
    <w:p>
      <w:pPr>
        <w:sectPr>
          <w:pgSz w:w="11900" w:h="16836" w:orient="portrait"/>
          <w:cols w:equalWidth="0" w:num="1">
            <w:col w:w="9884"/>
          </w:cols>
          <w:pgMar w:left="936" w:top="1156" w:right="1084" w:bottom="103" w:gutter="0" w:footer="0" w:header="0"/>
          <w:type w:val="continuous"/>
        </w:sectPr>
      </w:pPr>
    </w:p>
    <w:bookmarkStart w:id="193" w:name="page194"/>
    <w:bookmarkEnd w:id="193"/>
    <w:p>
      <w:pPr>
        <w:ind w:left="548" w:hanging="548"/>
        <w:spacing w:after="0" w:line="348" w:lineRule="auto"/>
        <w:tabs>
          <w:tab w:leader="none" w:pos="548" w:val="left"/>
        </w:tabs>
        <w:numPr>
          <w:ilvl w:val="0"/>
          <w:numId w:val="76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Simple English shall be used to enable easy understanding of the contents. Technical terms, if any, used in explaining the business of the issuer shall be clarified in simple terms.</w:t>
      </w:r>
    </w:p>
    <w:p>
      <w:pPr>
        <w:spacing w:after="0" w:line="28" w:lineRule="exact"/>
        <w:rPr>
          <w:rFonts w:ascii="Times New Roman" w:cs="Times New Roman" w:eastAsia="Times New Roman" w:hAnsi="Times New Roman"/>
          <w:sz w:val="24"/>
          <w:szCs w:val="24"/>
          <w:color w:val="auto"/>
        </w:rPr>
      </w:pPr>
    </w:p>
    <w:p>
      <w:pPr>
        <w:ind w:left="548" w:hanging="548"/>
        <w:spacing w:after="0" w:line="348" w:lineRule="auto"/>
        <w:tabs>
          <w:tab w:leader="none" w:pos="548" w:val="left"/>
        </w:tabs>
        <w:numPr>
          <w:ilvl w:val="0"/>
          <w:numId w:val="76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Wherever it is mentioned that details are given elsewhere in the document, the same shall be adequately cross-referenced by indicating the paragraph heading and page number.</w:t>
      </w:r>
    </w:p>
    <w:p>
      <w:pPr>
        <w:spacing w:after="0" w:line="15" w:lineRule="exact"/>
        <w:rPr>
          <w:rFonts w:ascii="Times New Roman" w:cs="Times New Roman" w:eastAsia="Times New Roman" w:hAnsi="Times New Roman"/>
          <w:sz w:val="24"/>
          <w:szCs w:val="24"/>
          <w:color w:val="auto"/>
        </w:rPr>
      </w:pPr>
    </w:p>
    <w:p>
      <w:pPr>
        <w:ind w:left="548" w:hanging="548"/>
        <w:spacing w:after="0"/>
        <w:tabs>
          <w:tab w:leader="none" w:pos="548" w:val="left"/>
        </w:tabs>
        <w:numPr>
          <w:ilvl w:val="0"/>
          <w:numId w:val="76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There shall be no forward-looking statements that cannot be substantiated.</w:t>
      </w:r>
    </w:p>
    <w:p>
      <w:pPr>
        <w:spacing w:after="0" w:line="149" w:lineRule="exact"/>
        <w:rPr>
          <w:rFonts w:ascii="Times New Roman" w:cs="Times New Roman" w:eastAsia="Times New Roman" w:hAnsi="Times New Roman"/>
          <w:sz w:val="24"/>
          <w:szCs w:val="24"/>
          <w:color w:val="auto"/>
        </w:rPr>
      </w:pPr>
    </w:p>
    <w:p>
      <w:pPr>
        <w:jc w:val="both"/>
        <w:ind w:left="548" w:hanging="548"/>
        <w:spacing w:after="0" w:line="354" w:lineRule="auto"/>
        <w:tabs>
          <w:tab w:leader="none" w:pos="548" w:val="left"/>
        </w:tabs>
        <w:numPr>
          <w:ilvl w:val="0"/>
          <w:numId w:val="76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Consistency shall be ensured in the style of disclosures. If first person is used, the same may be used throughout. Sentences that contain a combination of first and third persons may be avoided.</w:t>
      </w:r>
    </w:p>
    <w:p>
      <w:pPr>
        <w:spacing w:after="0" w:line="10" w:lineRule="exact"/>
        <w:rPr>
          <w:rFonts w:ascii="Times New Roman" w:cs="Times New Roman" w:eastAsia="Times New Roman" w:hAnsi="Times New Roman"/>
          <w:sz w:val="24"/>
          <w:szCs w:val="24"/>
          <w:color w:val="auto"/>
        </w:rPr>
      </w:pPr>
    </w:p>
    <w:p>
      <w:pPr>
        <w:ind w:left="548" w:hanging="548"/>
        <w:spacing w:after="0"/>
        <w:tabs>
          <w:tab w:leader="none" w:pos="548" w:val="left"/>
        </w:tabs>
        <w:numPr>
          <w:ilvl w:val="0"/>
          <w:numId w:val="76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For currency of presentation, only one standard financial unit shall be used.</w:t>
      </w:r>
    </w:p>
    <w:p>
      <w:pPr>
        <w:spacing w:after="0" w:line="200" w:lineRule="exact"/>
        <w:rPr>
          <w:sz w:val="20"/>
          <w:szCs w:val="20"/>
          <w:color w:val="auto"/>
        </w:rPr>
      </w:pPr>
    </w:p>
    <w:p>
      <w:pPr>
        <w:spacing w:after="0" w:line="35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Applicability</w:t>
      </w:r>
    </w:p>
    <w:p>
      <w:pPr>
        <w:spacing w:after="0" w:line="13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An issuer making a public issue or a rights issue of specified securities shall make disclosures</w:t>
      </w:r>
    </w:p>
    <w:p>
      <w:pPr>
        <w:spacing w:after="0" w:line="139"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specified in this Schedule.</w:t>
      </w:r>
    </w:p>
    <w:p>
      <w:pPr>
        <w:spacing w:after="0" w:line="13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Provided that:</w:t>
      </w:r>
    </w:p>
    <w:p>
      <w:pPr>
        <w:spacing w:after="0" w:line="151" w:lineRule="exact"/>
        <w:rPr>
          <w:sz w:val="20"/>
          <w:szCs w:val="20"/>
          <w:color w:val="auto"/>
        </w:rPr>
      </w:pPr>
    </w:p>
    <w:p>
      <w:pPr>
        <w:ind w:left="568" w:hanging="568"/>
        <w:spacing w:after="0" w:line="348" w:lineRule="auto"/>
        <w:tabs>
          <w:tab w:leader="none" w:pos="532" w:val="left"/>
        </w:tabs>
        <w:numPr>
          <w:ilvl w:val="0"/>
          <w:numId w:val="76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 issuer making a fast track issue may not make the disclosures specified in Part B of this Schedule.</w:t>
      </w:r>
    </w:p>
    <w:p>
      <w:pPr>
        <w:spacing w:after="0" w:line="28" w:lineRule="exact"/>
        <w:rPr>
          <w:rFonts w:ascii="Times New Roman" w:cs="Times New Roman" w:eastAsia="Times New Roman" w:hAnsi="Times New Roman"/>
          <w:sz w:val="24"/>
          <w:szCs w:val="24"/>
          <w:color w:val="auto"/>
        </w:rPr>
      </w:pPr>
    </w:p>
    <w:p>
      <w:pPr>
        <w:jc w:val="both"/>
        <w:ind w:left="568" w:hanging="568"/>
        <w:spacing w:after="0" w:line="354" w:lineRule="auto"/>
        <w:tabs>
          <w:tab w:leader="none" w:pos="532" w:val="left"/>
        </w:tabs>
        <w:numPr>
          <w:ilvl w:val="0"/>
          <w:numId w:val="76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 issuer making a further public offer of specified securities may not make the disclosures specified in Part C of this Schedule if it satisfies the conditions specified in paragraph 2 of that Part.</w:t>
      </w:r>
    </w:p>
    <w:p>
      <w:pPr>
        <w:spacing w:after="0" w:line="19" w:lineRule="exact"/>
        <w:rPr>
          <w:rFonts w:ascii="Times New Roman" w:cs="Times New Roman" w:eastAsia="Times New Roman" w:hAnsi="Times New Roman"/>
          <w:sz w:val="24"/>
          <w:szCs w:val="24"/>
          <w:color w:val="auto"/>
        </w:rPr>
      </w:pPr>
    </w:p>
    <w:p>
      <w:pPr>
        <w:ind w:left="568" w:hanging="568"/>
        <w:spacing w:after="0" w:line="350" w:lineRule="auto"/>
        <w:tabs>
          <w:tab w:leader="none" w:pos="532" w:val="left"/>
        </w:tabs>
        <w:numPr>
          <w:ilvl w:val="0"/>
          <w:numId w:val="76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 issuer making a rights issue may only make the disclosures specified in Part B of this Schedule if it satisfies the conditions specified in paragraph 1 of such Part.</w:t>
      </w:r>
    </w:p>
    <w:p>
      <w:pPr>
        <w:spacing w:after="0" w:line="200" w:lineRule="exact"/>
        <w:rPr>
          <w:sz w:val="20"/>
          <w:szCs w:val="20"/>
          <w:color w:val="auto"/>
        </w:rPr>
      </w:pPr>
    </w:p>
    <w:p>
      <w:pPr>
        <w:spacing w:after="0" w:line="238" w:lineRule="exact"/>
        <w:rPr>
          <w:sz w:val="20"/>
          <w:szCs w:val="20"/>
          <w:color w:val="auto"/>
        </w:rPr>
      </w:pPr>
    </w:p>
    <w:p>
      <w:pPr>
        <w:ind w:left="368" w:hanging="368"/>
        <w:spacing w:after="0" w:line="348" w:lineRule="auto"/>
        <w:tabs>
          <w:tab w:leader="none" w:pos="368" w:val="left"/>
        </w:tabs>
        <w:numPr>
          <w:ilvl w:val="0"/>
          <w:numId w:val="763"/>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b w:val="1"/>
          <w:bCs w:val="1"/>
          <w:color w:val="auto"/>
        </w:rPr>
        <w:t xml:space="preserve">Cover pages: </w:t>
      </w:r>
      <w:r>
        <w:rPr>
          <w:rFonts w:ascii="Times New Roman" w:cs="Times New Roman" w:eastAsia="Times New Roman" w:hAnsi="Times New Roman"/>
          <w:sz w:val="24"/>
          <w:szCs w:val="24"/>
          <w:color w:val="auto"/>
        </w:rPr>
        <w:t>The cover pages shall be of adequate thickness (minimum hundred GSM</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quality) and shall be white in colour with no patterns.</w:t>
      </w:r>
    </w:p>
    <w:p>
      <w:pPr>
        <w:spacing w:after="0" w:line="20" w:lineRule="exact"/>
        <w:rPr>
          <w:rFonts w:ascii="Times New Roman" w:cs="Times New Roman" w:eastAsia="Times New Roman" w:hAnsi="Times New Roman"/>
          <w:sz w:val="22"/>
          <w:szCs w:val="22"/>
          <w:color w:val="auto"/>
        </w:rPr>
      </w:pPr>
    </w:p>
    <w:p>
      <w:pPr>
        <w:ind w:left="1088" w:hanging="368"/>
        <w:spacing w:after="0"/>
        <w:tabs>
          <w:tab w:leader="none" w:pos="1088" w:val="left"/>
        </w:tabs>
        <w:numPr>
          <w:ilvl w:val="1"/>
          <w:numId w:val="7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Front cover pages:</w:t>
      </w:r>
    </w:p>
    <w:p>
      <w:pPr>
        <w:spacing w:after="0" w:line="124" w:lineRule="exact"/>
        <w:rPr>
          <w:rFonts w:ascii="Times New Roman" w:cs="Times New Roman" w:eastAsia="Times New Roman" w:hAnsi="Times New Roman"/>
          <w:sz w:val="24"/>
          <w:szCs w:val="24"/>
          <w:color w:val="auto"/>
        </w:rPr>
      </w:pPr>
    </w:p>
    <w:p>
      <w:pPr>
        <w:ind w:left="1648" w:hanging="568"/>
        <w:spacing w:after="0"/>
        <w:tabs>
          <w:tab w:leader="none" w:pos="1648" w:val="left"/>
        </w:tabs>
        <w:numPr>
          <w:ilvl w:val="2"/>
          <w:numId w:val="763"/>
        </w:numPr>
        <w:rPr>
          <w:rFonts w:ascii="Calibri" w:cs="Calibri" w:eastAsia="Calibri" w:hAnsi="Calibri"/>
          <w:sz w:val="22"/>
          <w:szCs w:val="22"/>
          <w:color w:val="auto"/>
        </w:rPr>
      </w:pPr>
      <w:r>
        <w:rPr>
          <w:rFonts w:ascii="Times New Roman" w:cs="Times New Roman" w:eastAsia="Times New Roman" w:hAnsi="Times New Roman"/>
          <w:sz w:val="24"/>
          <w:szCs w:val="24"/>
          <w:color w:val="auto"/>
        </w:rPr>
        <w:t>Front inside cover page shall be kept blank.</w:t>
      </w:r>
    </w:p>
    <w:p>
      <w:pPr>
        <w:spacing w:after="0" w:line="132" w:lineRule="exact"/>
        <w:rPr>
          <w:rFonts w:ascii="Calibri" w:cs="Calibri" w:eastAsia="Calibri" w:hAnsi="Calibri"/>
          <w:sz w:val="22"/>
          <w:szCs w:val="22"/>
          <w:color w:val="auto"/>
        </w:rPr>
      </w:pPr>
    </w:p>
    <w:p>
      <w:pPr>
        <w:ind w:left="1648" w:hanging="568"/>
        <w:spacing w:after="0"/>
        <w:tabs>
          <w:tab w:leader="none" w:pos="1648" w:val="left"/>
        </w:tabs>
        <w:numPr>
          <w:ilvl w:val="2"/>
          <w:numId w:val="763"/>
        </w:numPr>
        <w:rPr>
          <w:rFonts w:ascii="Calibri" w:cs="Calibri" w:eastAsia="Calibri" w:hAnsi="Calibri"/>
          <w:sz w:val="22"/>
          <w:szCs w:val="22"/>
          <w:color w:val="auto"/>
        </w:rPr>
      </w:pPr>
      <w:r>
        <w:rPr>
          <w:rFonts w:ascii="Times New Roman" w:cs="Times New Roman" w:eastAsia="Times New Roman" w:hAnsi="Times New Roman"/>
          <w:sz w:val="24"/>
          <w:szCs w:val="24"/>
          <w:color w:val="auto"/>
        </w:rPr>
        <w:t>Front outside cover page shall contain only the following issue details:</w:t>
      </w:r>
    </w:p>
    <w:p>
      <w:pPr>
        <w:spacing w:after="0" w:line="153" w:lineRule="exact"/>
        <w:rPr>
          <w:rFonts w:ascii="Calibri" w:cs="Calibri" w:eastAsia="Calibri" w:hAnsi="Calibri"/>
          <w:sz w:val="22"/>
          <w:szCs w:val="22"/>
          <w:color w:val="auto"/>
        </w:rPr>
      </w:pPr>
    </w:p>
    <w:p>
      <w:pPr>
        <w:ind w:left="2228" w:right="360" w:hanging="572"/>
        <w:spacing w:after="0" w:line="344" w:lineRule="auto"/>
        <w:tabs>
          <w:tab w:leader="none" w:pos="2228" w:val="left"/>
        </w:tabs>
        <w:numPr>
          <w:ilvl w:val="3"/>
          <w:numId w:val="763"/>
        </w:numPr>
        <w:rPr>
          <w:rFonts w:ascii="Calibri" w:cs="Calibri" w:eastAsia="Calibri" w:hAnsi="Calibri"/>
          <w:sz w:val="24"/>
          <w:szCs w:val="24"/>
          <w:color w:val="auto"/>
        </w:rPr>
      </w:pPr>
      <w:r>
        <w:rPr>
          <w:rFonts w:ascii="Times New Roman" w:cs="Times New Roman" w:eastAsia="Times New Roman" w:hAnsi="Times New Roman"/>
          <w:sz w:val="24"/>
          <w:szCs w:val="24"/>
          <w:color w:val="auto"/>
        </w:rPr>
        <w:t>The type of the offer document (“Draft Red Herring Prospectus”/”Draft Letter of Offer”, “Red Herring Prospectus”, “Shelf Prospectus”, "Prospectus", “Letter of Offer”, as applicable).</w:t>
      </w:r>
    </w:p>
    <w:p>
      <w:pPr>
        <w:spacing w:after="0" w:line="5" w:lineRule="exact"/>
        <w:rPr>
          <w:rFonts w:ascii="Calibri" w:cs="Calibri" w:eastAsia="Calibri" w:hAnsi="Calibri"/>
          <w:sz w:val="24"/>
          <w:szCs w:val="24"/>
          <w:color w:val="auto"/>
        </w:rPr>
      </w:pPr>
    </w:p>
    <w:p>
      <w:pPr>
        <w:ind w:left="2228" w:hanging="572"/>
        <w:spacing w:after="0"/>
        <w:tabs>
          <w:tab w:leader="none" w:pos="2228" w:val="left"/>
        </w:tabs>
        <w:numPr>
          <w:ilvl w:val="3"/>
          <w:numId w:val="763"/>
        </w:numPr>
        <w:rPr>
          <w:rFonts w:ascii="Calibri" w:cs="Calibri" w:eastAsia="Calibri" w:hAnsi="Calibri"/>
          <w:sz w:val="24"/>
          <w:szCs w:val="24"/>
          <w:color w:val="auto"/>
        </w:rPr>
      </w:pPr>
      <w:r>
        <w:rPr>
          <w:rFonts w:ascii="Times New Roman" w:cs="Times New Roman" w:eastAsia="Times New Roman" w:hAnsi="Times New Roman"/>
          <w:sz w:val="24"/>
          <w:szCs w:val="24"/>
          <w:color w:val="auto"/>
        </w:rPr>
        <w:t>Date of the draft offer document or offer document.</w:t>
      </w:r>
    </w:p>
    <w:p>
      <w:pPr>
        <w:spacing w:after="0" w:line="127" w:lineRule="exact"/>
        <w:rPr>
          <w:rFonts w:ascii="Calibri" w:cs="Calibri" w:eastAsia="Calibri" w:hAnsi="Calibri"/>
          <w:sz w:val="24"/>
          <w:szCs w:val="24"/>
          <w:color w:val="auto"/>
        </w:rPr>
      </w:pPr>
    </w:p>
    <w:p>
      <w:pPr>
        <w:ind w:left="2228" w:hanging="572"/>
        <w:spacing w:after="0"/>
        <w:tabs>
          <w:tab w:leader="none" w:pos="2228" w:val="left"/>
        </w:tabs>
        <w:numPr>
          <w:ilvl w:val="3"/>
          <w:numId w:val="763"/>
        </w:numPr>
        <w:rPr>
          <w:rFonts w:ascii="Calibri" w:cs="Calibri" w:eastAsia="Calibri" w:hAnsi="Calibri"/>
          <w:sz w:val="24"/>
          <w:szCs w:val="24"/>
          <w:color w:val="auto"/>
        </w:rPr>
      </w:pPr>
      <w:r>
        <w:rPr>
          <w:rFonts w:ascii="Times New Roman" w:cs="Times New Roman" w:eastAsia="Times New Roman" w:hAnsi="Times New Roman"/>
          <w:sz w:val="24"/>
          <w:szCs w:val="24"/>
          <w:color w:val="auto"/>
        </w:rPr>
        <w:t>Type of issuance (“book built” or “fixed price”).</w:t>
      </w:r>
    </w:p>
    <w:p>
      <w:pPr>
        <w:spacing w:after="0" w:line="153" w:lineRule="exact"/>
        <w:rPr>
          <w:rFonts w:ascii="Calibri" w:cs="Calibri" w:eastAsia="Calibri" w:hAnsi="Calibri"/>
          <w:sz w:val="24"/>
          <w:szCs w:val="24"/>
          <w:color w:val="auto"/>
        </w:rPr>
      </w:pPr>
    </w:p>
    <w:p>
      <w:pPr>
        <w:ind w:left="2228" w:right="380" w:hanging="572"/>
        <w:spacing w:after="0" w:line="333" w:lineRule="auto"/>
        <w:tabs>
          <w:tab w:leader="none" w:pos="2228" w:val="left"/>
        </w:tabs>
        <w:numPr>
          <w:ilvl w:val="3"/>
          <w:numId w:val="763"/>
        </w:numPr>
        <w:rPr>
          <w:rFonts w:ascii="Calibri" w:cs="Calibri" w:eastAsia="Calibri" w:hAnsi="Calibri"/>
          <w:sz w:val="24"/>
          <w:szCs w:val="24"/>
          <w:color w:val="auto"/>
        </w:rPr>
      </w:pPr>
      <w:r>
        <w:rPr>
          <w:rFonts w:ascii="Times New Roman" w:cs="Times New Roman" w:eastAsia="Times New Roman" w:hAnsi="Times New Roman"/>
          <w:sz w:val="24"/>
          <w:szCs w:val="24"/>
          <w:color w:val="auto"/>
        </w:rPr>
        <w:t>In case of a public issue, the following clause shall be incorporated in a prominent manner, below the title of the offer document:</w:t>
      </w:r>
    </w:p>
    <w:p>
      <w:pPr>
        <w:spacing w:after="0" w:line="26"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“Please read Section 32 of the Companies Act, 2013”</w:t>
      </w:r>
    </w:p>
    <w:p>
      <w:pPr>
        <w:spacing w:after="0" w:line="377"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194</w:t>
      </w:r>
    </w:p>
    <w:p>
      <w:pPr>
        <w:sectPr>
          <w:pgSz w:w="11900" w:h="16836" w:orient="portrait"/>
          <w:cols w:equalWidth="0" w:num="1">
            <w:col w:w="9468"/>
          </w:cols>
          <w:pgMar w:left="1152" w:top="1156" w:right="1284" w:bottom="103" w:gutter="0" w:footer="0" w:header="0"/>
        </w:sectPr>
      </w:pPr>
    </w:p>
    <w:bookmarkStart w:id="194" w:name="page195"/>
    <w:bookmarkEnd w:id="194"/>
    <w:p>
      <w:pPr>
        <w:jc w:val="both"/>
        <w:ind w:left="1940" w:hanging="572"/>
        <w:spacing w:after="0" w:line="353" w:lineRule="auto"/>
        <w:tabs>
          <w:tab w:leader="none" w:pos="1940" w:val="left"/>
        </w:tabs>
        <w:numPr>
          <w:ilvl w:val="0"/>
          <w:numId w:val="764"/>
        </w:numPr>
        <w:rPr>
          <w:rFonts w:ascii="Calibri" w:cs="Calibri" w:eastAsia="Calibri" w:hAnsi="Calibri"/>
          <w:sz w:val="24"/>
          <w:szCs w:val="24"/>
          <w:color w:val="auto"/>
        </w:rPr>
      </w:pPr>
      <w:r>
        <w:rPr>
          <w:rFonts w:ascii="Times New Roman" w:cs="Times New Roman" w:eastAsia="Times New Roman" w:hAnsi="Times New Roman"/>
          <w:sz w:val="24"/>
          <w:szCs w:val="24"/>
          <w:color w:val="auto"/>
        </w:rPr>
        <w:t>Name of the issuer, its logo, date and place of its incorporation, corporate identity number, address of its registered and corporate offices, telephone number, contact person, website address and e-mail address (where there has been any change in the address of the registered office or the name of the issuer, reference to the page of the offer document where details thereof are given).</w:t>
      </w:r>
    </w:p>
    <w:p>
      <w:pPr>
        <w:ind w:left="1940" w:hanging="572"/>
        <w:spacing w:after="0"/>
        <w:tabs>
          <w:tab w:leader="none" w:pos="1940" w:val="left"/>
        </w:tabs>
        <w:numPr>
          <w:ilvl w:val="0"/>
          <w:numId w:val="764"/>
        </w:numPr>
        <w:rPr>
          <w:rFonts w:ascii="Calibri" w:cs="Calibri" w:eastAsia="Calibri" w:hAnsi="Calibri"/>
          <w:sz w:val="24"/>
          <w:szCs w:val="24"/>
          <w:color w:val="auto"/>
        </w:rPr>
      </w:pPr>
      <w:r>
        <w:rPr>
          <w:rFonts w:ascii="Times New Roman" w:cs="Times New Roman" w:eastAsia="Times New Roman" w:hAnsi="Times New Roman"/>
          <w:sz w:val="24"/>
          <w:szCs w:val="24"/>
          <w:color w:val="auto"/>
        </w:rPr>
        <w:t>Names of the promoter(s) of the issuer.</w:t>
      </w:r>
    </w:p>
    <w:p>
      <w:pPr>
        <w:spacing w:after="0" w:line="153" w:lineRule="exact"/>
        <w:rPr>
          <w:rFonts w:ascii="Calibri" w:cs="Calibri" w:eastAsia="Calibri" w:hAnsi="Calibri"/>
          <w:sz w:val="24"/>
          <w:szCs w:val="24"/>
          <w:color w:val="auto"/>
        </w:rPr>
      </w:pPr>
    </w:p>
    <w:p>
      <w:pPr>
        <w:jc w:val="both"/>
        <w:ind w:left="1940" w:hanging="572"/>
        <w:spacing w:after="0" w:line="344" w:lineRule="auto"/>
        <w:tabs>
          <w:tab w:leader="none" w:pos="1940" w:val="left"/>
        </w:tabs>
        <w:numPr>
          <w:ilvl w:val="0"/>
          <w:numId w:val="764"/>
        </w:numPr>
        <w:rPr>
          <w:rFonts w:ascii="Calibri" w:cs="Calibri" w:eastAsia="Calibri" w:hAnsi="Calibri"/>
          <w:sz w:val="24"/>
          <w:szCs w:val="24"/>
          <w:color w:val="auto"/>
        </w:rPr>
      </w:pPr>
      <w:r>
        <w:rPr>
          <w:rFonts w:ascii="Times New Roman" w:cs="Times New Roman" w:eastAsia="Times New Roman" w:hAnsi="Times New Roman"/>
          <w:sz w:val="24"/>
          <w:szCs w:val="24"/>
          <w:color w:val="auto"/>
        </w:rPr>
        <w:t>Nature, number and price of specified securities offered and issue size, as may be applicable, including any offer for sale by promoters or members of the promoter group or other shareholders.</w:t>
      </w:r>
    </w:p>
    <w:p>
      <w:pPr>
        <w:spacing w:after="0" w:line="35" w:lineRule="exact"/>
        <w:rPr>
          <w:rFonts w:ascii="Calibri" w:cs="Calibri" w:eastAsia="Calibri" w:hAnsi="Calibri"/>
          <w:sz w:val="24"/>
          <w:szCs w:val="24"/>
          <w:color w:val="auto"/>
        </w:rPr>
      </w:pPr>
    </w:p>
    <w:p>
      <w:pPr>
        <w:ind w:left="1940" w:right="360" w:hanging="572"/>
        <w:spacing w:after="0" w:line="335" w:lineRule="auto"/>
        <w:tabs>
          <w:tab w:leader="none" w:pos="1940" w:val="left"/>
        </w:tabs>
        <w:numPr>
          <w:ilvl w:val="0"/>
          <w:numId w:val="764"/>
        </w:numPr>
        <w:rPr>
          <w:rFonts w:ascii="Calibri" w:cs="Calibri" w:eastAsia="Calibri" w:hAnsi="Calibri"/>
          <w:sz w:val="24"/>
          <w:szCs w:val="24"/>
          <w:color w:val="auto"/>
        </w:rPr>
      </w:pPr>
      <w:r>
        <w:rPr>
          <w:rFonts w:ascii="Times New Roman" w:cs="Times New Roman" w:eastAsia="Times New Roman" w:hAnsi="Times New Roman"/>
          <w:sz w:val="24"/>
          <w:szCs w:val="24"/>
          <w:color w:val="auto"/>
        </w:rPr>
        <w:t>Aggregate amount proposed to be raised through all the stages of offers made through a shelf prospectus.</w:t>
      </w:r>
    </w:p>
    <w:p>
      <w:pPr>
        <w:spacing w:after="0" w:line="38" w:lineRule="exact"/>
        <w:rPr>
          <w:rFonts w:ascii="Calibri" w:cs="Calibri" w:eastAsia="Calibri" w:hAnsi="Calibri"/>
          <w:sz w:val="24"/>
          <w:szCs w:val="24"/>
          <w:color w:val="auto"/>
        </w:rPr>
      </w:pPr>
    </w:p>
    <w:p>
      <w:pPr>
        <w:ind w:left="1940" w:hanging="572"/>
        <w:spacing w:after="0" w:line="335" w:lineRule="auto"/>
        <w:tabs>
          <w:tab w:leader="none" w:pos="1940" w:val="left"/>
        </w:tabs>
        <w:numPr>
          <w:ilvl w:val="0"/>
          <w:numId w:val="764"/>
        </w:numPr>
        <w:rPr>
          <w:rFonts w:ascii="Calibri" w:cs="Calibri" w:eastAsia="Calibri" w:hAnsi="Calibri"/>
          <w:sz w:val="24"/>
          <w:szCs w:val="24"/>
          <w:color w:val="auto"/>
        </w:rPr>
      </w:pPr>
      <w:r>
        <w:rPr>
          <w:rFonts w:ascii="Times New Roman" w:cs="Times New Roman" w:eastAsia="Times New Roman" w:hAnsi="Times New Roman"/>
          <w:sz w:val="24"/>
          <w:szCs w:val="24"/>
          <w:color w:val="auto"/>
        </w:rPr>
        <w:t>In the case of the first issue of the issuer, the following clause on ‘Risks in relation to the First Issue’ shall be incorporated in a box format:</w:t>
      </w:r>
    </w:p>
    <w:p>
      <w:pPr>
        <w:spacing w:after="0" w:line="33" w:lineRule="exact"/>
        <w:rPr>
          <w:rFonts w:ascii="Calibri" w:cs="Calibri" w:eastAsia="Calibri" w:hAnsi="Calibri"/>
          <w:sz w:val="24"/>
          <w:szCs w:val="24"/>
          <w:color w:val="auto"/>
        </w:rPr>
      </w:pPr>
    </w:p>
    <w:p>
      <w:pPr>
        <w:jc w:val="both"/>
        <w:ind w:left="1960"/>
        <w:spacing w:after="0" w:line="358" w:lineRule="auto"/>
        <w:rPr>
          <w:rFonts w:ascii="Calibri" w:cs="Calibri" w:eastAsia="Calibri" w:hAnsi="Calibri"/>
          <w:sz w:val="24"/>
          <w:szCs w:val="24"/>
          <w:color w:val="auto"/>
        </w:rPr>
      </w:pPr>
      <w:r>
        <w:rPr>
          <w:rFonts w:ascii="Times New Roman" w:cs="Times New Roman" w:eastAsia="Times New Roman" w:hAnsi="Times New Roman"/>
          <w:sz w:val="24"/>
          <w:szCs w:val="24"/>
          <w:color w:val="auto"/>
        </w:rPr>
        <w:t>"This being the first issue of the issuer, there has been no formal market for the securities of the issuer. The face value of the equity shares is (-----). The issue price/floor price/price band should not be taken to be indicative of the market price of the specified securities after the specified securities are listed. No assurance can be given regarding an active or sustained trading in the equity shares of the issuer nor regarding the price at which the equity shares will be traded after listing."</w:t>
      </w:r>
    </w:p>
    <w:p>
      <w:pPr>
        <w:spacing w:after="0" w:line="20" w:lineRule="exact"/>
        <w:rPr>
          <w:rFonts w:ascii="Calibri" w:cs="Calibri" w:eastAsia="Calibri" w:hAnsi="Calibri"/>
          <w:sz w:val="24"/>
          <w:szCs w:val="24"/>
          <w:color w:val="auto"/>
        </w:rPr>
      </w:pPr>
    </w:p>
    <w:p>
      <w:pPr>
        <w:ind w:left="1940" w:hanging="572"/>
        <w:spacing w:after="0" w:line="335" w:lineRule="auto"/>
        <w:tabs>
          <w:tab w:leader="none" w:pos="1940" w:val="left"/>
        </w:tabs>
        <w:numPr>
          <w:ilvl w:val="0"/>
          <w:numId w:val="764"/>
        </w:numPr>
        <w:rPr>
          <w:rFonts w:ascii="Calibri" w:cs="Calibri" w:eastAsia="Calibri" w:hAnsi="Calibri"/>
          <w:sz w:val="24"/>
          <w:szCs w:val="24"/>
          <w:color w:val="auto"/>
        </w:rPr>
      </w:pPr>
      <w:r>
        <w:rPr>
          <w:rFonts w:ascii="Times New Roman" w:cs="Times New Roman" w:eastAsia="Times New Roman" w:hAnsi="Times New Roman"/>
          <w:sz w:val="24"/>
          <w:szCs w:val="24"/>
          <w:color w:val="auto"/>
        </w:rPr>
        <w:t>The following clause on ‘General Risk' shall be incorporated in a box format:</w:t>
      </w:r>
    </w:p>
    <w:p>
      <w:pPr>
        <w:spacing w:after="0" w:line="34" w:lineRule="exact"/>
        <w:rPr>
          <w:rFonts w:ascii="Calibri" w:cs="Calibri" w:eastAsia="Calibri" w:hAnsi="Calibri"/>
          <w:sz w:val="24"/>
          <w:szCs w:val="24"/>
          <w:color w:val="auto"/>
        </w:rPr>
      </w:pPr>
    </w:p>
    <w:p>
      <w:pPr>
        <w:jc w:val="both"/>
        <w:ind w:left="1960"/>
        <w:spacing w:after="0" w:line="359" w:lineRule="auto"/>
        <w:rPr>
          <w:rFonts w:ascii="Calibri" w:cs="Calibri" w:eastAsia="Calibri" w:hAnsi="Calibri"/>
          <w:sz w:val="24"/>
          <w:szCs w:val="24"/>
          <w:color w:val="auto"/>
        </w:rPr>
      </w:pPr>
      <w:r>
        <w:rPr>
          <w:rFonts w:ascii="Times New Roman" w:cs="Times New Roman" w:eastAsia="Times New Roman" w:hAnsi="Times New Roman"/>
          <w:sz w:val="24"/>
          <w:szCs w:val="24"/>
          <w:color w:val="auto"/>
        </w:rPr>
        <w:t>"Investment in equity and equity related securities involve a degree of risk and investors should not invest any funds in this offer unless they can afford to take the risk of losing their investment. Investors are advised to read the risk factors carefully before taking an investment decision in this offering. For taking an investment decision, investors must rely on their own examination of the issuer and the offer including the risks involved. The securities have not been recommended or approved by the Securities and Exchange Board of India (SEBI) nor does SEBI guarantee the accuracy or adequacy of this document. Specific attention of investors is invited to the statement of ‘Risk factors’ given on page number ….. under the section ‘General Risks’."</w:t>
      </w: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4"/>
          <w:szCs w:val="24"/>
          <w:color w:val="auto"/>
        </w:rPr>
        <w:t>195</w:t>
      </w:r>
    </w:p>
    <w:p>
      <w:pPr>
        <w:sectPr>
          <w:pgSz w:w="11900" w:h="16836" w:orient="portrait"/>
          <w:cols w:equalWidth="0" w:num="1">
            <w:col w:w="9180"/>
          </w:cols>
          <w:pgMar w:left="1440" w:top="1161" w:right="1284" w:bottom="103" w:gutter="0" w:footer="0" w:header="0"/>
        </w:sectPr>
      </w:pPr>
    </w:p>
    <w:bookmarkStart w:id="195" w:name="page196"/>
    <w:bookmarkEnd w:id="195"/>
    <w:p>
      <w:pPr>
        <w:ind w:left="1940" w:hanging="572"/>
        <w:spacing w:after="0" w:line="333" w:lineRule="auto"/>
        <w:tabs>
          <w:tab w:leader="none" w:pos="1940" w:val="left"/>
        </w:tabs>
        <w:numPr>
          <w:ilvl w:val="0"/>
          <w:numId w:val="765"/>
        </w:numPr>
        <w:rPr>
          <w:rFonts w:ascii="Calibri" w:cs="Calibri" w:eastAsia="Calibri" w:hAnsi="Calibri"/>
          <w:sz w:val="24"/>
          <w:szCs w:val="24"/>
          <w:color w:val="auto"/>
        </w:rPr>
      </w:pPr>
      <w:r>
        <w:rPr>
          <w:rFonts w:ascii="Times New Roman" w:cs="Times New Roman" w:eastAsia="Times New Roman" w:hAnsi="Times New Roman"/>
          <w:sz w:val="24"/>
          <w:szCs w:val="24"/>
          <w:color w:val="auto"/>
        </w:rPr>
        <w:t>The following clause on ‘Issuer’s Absolute Responsibility’ shall be incorporated in a box format:</w:t>
      </w:r>
    </w:p>
    <w:p>
      <w:pPr>
        <w:spacing w:after="0" w:line="38" w:lineRule="exact"/>
        <w:rPr>
          <w:rFonts w:ascii="Calibri" w:cs="Calibri" w:eastAsia="Calibri" w:hAnsi="Calibri"/>
          <w:sz w:val="24"/>
          <w:szCs w:val="24"/>
          <w:color w:val="auto"/>
        </w:rPr>
      </w:pPr>
    </w:p>
    <w:p>
      <w:pPr>
        <w:jc w:val="both"/>
        <w:ind w:left="1960"/>
        <w:spacing w:after="0" w:line="359" w:lineRule="auto"/>
        <w:rPr>
          <w:rFonts w:ascii="Calibri" w:cs="Calibri" w:eastAsia="Calibri" w:hAnsi="Calibri"/>
          <w:sz w:val="24"/>
          <w:szCs w:val="24"/>
          <w:color w:val="auto"/>
        </w:rPr>
      </w:pPr>
      <w:r>
        <w:rPr>
          <w:rFonts w:ascii="Times New Roman" w:cs="Times New Roman" w:eastAsia="Times New Roman" w:hAnsi="Times New Roman"/>
          <w:sz w:val="24"/>
          <w:szCs w:val="24"/>
          <w:color w:val="auto"/>
        </w:rPr>
        <w:t>"The issuer, having made all reasonable inquiries, accepts responsibility for and confirms that this offer document contains all information with regard to the issuer and the issue which is material in the context of the issue, that the information contained in the offer document is true and correct in all material aspects and is not misleading in any material respect, that the opinions and intentions expressed herein are honestly held and that there are no other facts, the omission of which make this document as a whole or any of such information or the expression of any such opinions or intentions misleading in any material respect. The selling shareholders accept responsibility for and confirm the statements made by them in this offer document to the extent of information specifically pertaining to them and their respective portion of the offered shares and assume responsibility that such statements are true and correct in all material respects and not misleading in any material respect"</w:t>
      </w:r>
    </w:p>
    <w:p>
      <w:pPr>
        <w:spacing w:after="0" w:line="22" w:lineRule="exact"/>
        <w:rPr>
          <w:rFonts w:ascii="Calibri" w:cs="Calibri" w:eastAsia="Calibri" w:hAnsi="Calibri"/>
          <w:sz w:val="24"/>
          <w:szCs w:val="24"/>
          <w:color w:val="auto"/>
        </w:rPr>
      </w:pPr>
    </w:p>
    <w:p>
      <w:pPr>
        <w:jc w:val="both"/>
        <w:ind w:left="1940" w:hanging="572"/>
        <w:spacing w:after="0" w:line="353" w:lineRule="auto"/>
        <w:tabs>
          <w:tab w:leader="none" w:pos="1940" w:val="left"/>
        </w:tabs>
        <w:numPr>
          <w:ilvl w:val="0"/>
          <w:numId w:val="765"/>
        </w:numPr>
        <w:rPr>
          <w:rFonts w:ascii="Calibri" w:cs="Calibri" w:eastAsia="Calibri" w:hAnsi="Calibri"/>
          <w:sz w:val="24"/>
          <w:szCs w:val="24"/>
          <w:color w:val="auto"/>
        </w:rPr>
      </w:pPr>
      <w:r>
        <w:rPr>
          <w:rFonts w:ascii="Times New Roman" w:cs="Times New Roman" w:eastAsia="Times New Roman" w:hAnsi="Times New Roman"/>
          <w:sz w:val="24"/>
          <w:szCs w:val="24"/>
          <w:color w:val="auto"/>
        </w:rPr>
        <w:t>Names, logos and addresses of all the lead manager(s) with their titles who have signed the due diligence certificate and filed the offer document with the Board, along with their telephone numbers, website addresses and e-mail addresses. (Where any of the lead manager(s) is an associate of the issuer, it shall disclose itself as an associate of the issuer and that its role is limited to marketing of the issue.)</w:t>
      </w:r>
    </w:p>
    <w:p>
      <w:pPr>
        <w:spacing w:after="0" w:line="25" w:lineRule="exact"/>
        <w:rPr>
          <w:rFonts w:ascii="Calibri" w:cs="Calibri" w:eastAsia="Calibri" w:hAnsi="Calibri"/>
          <w:sz w:val="24"/>
          <w:szCs w:val="24"/>
          <w:color w:val="auto"/>
        </w:rPr>
      </w:pPr>
    </w:p>
    <w:p>
      <w:pPr>
        <w:ind w:left="1940" w:hanging="572"/>
        <w:spacing w:after="0" w:line="336" w:lineRule="auto"/>
        <w:tabs>
          <w:tab w:leader="none" w:pos="1940" w:val="left"/>
        </w:tabs>
        <w:numPr>
          <w:ilvl w:val="0"/>
          <w:numId w:val="765"/>
        </w:numPr>
        <w:rPr>
          <w:rFonts w:ascii="Calibri" w:cs="Calibri" w:eastAsia="Calibri" w:hAnsi="Calibri"/>
          <w:sz w:val="24"/>
          <w:szCs w:val="24"/>
          <w:color w:val="auto"/>
        </w:rPr>
      </w:pPr>
      <w:r>
        <w:rPr>
          <w:rFonts w:ascii="Times New Roman" w:cs="Times New Roman" w:eastAsia="Times New Roman" w:hAnsi="Times New Roman"/>
          <w:sz w:val="24"/>
          <w:szCs w:val="24"/>
          <w:color w:val="auto"/>
        </w:rPr>
        <w:t>Name, logo and address of the registrar to the issue, along with its telephone number, website address and e-mail address.</w:t>
      </w:r>
    </w:p>
    <w:p>
      <w:pPr>
        <w:spacing w:after="0" w:line="7" w:lineRule="exact"/>
        <w:rPr>
          <w:rFonts w:ascii="Calibri" w:cs="Calibri" w:eastAsia="Calibri" w:hAnsi="Calibri"/>
          <w:sz w:val="24"/>
          <w:szCs w:val="24"/>
          <w:color w:val="auto"/>
        </w:rPr>
      </w:pPr>
    </w:p>
    <w:p>
      <w:pPr>
        <w:ind w:left="1940" w:hanging="572"/>
        <w:spacing w:after="0"/>
        <w:tabs>
          <w:tab w:leader="none" w:pos="1940" w:val="left"/>
        </w:tabs>
        <w:numPr>
          <w:ilvl w:val="0"/>
          <w:numId w:val="765"/>
        </w:numPr>
        <w:rPr>
          <w:rFonts w:ascii="Calibri" w:cs="Calibri" w:eastAsia="Calibri" w:hAnsi="Calibri"/>
          <w:sz w:val="24"/>
          <w:szCs w:val="24"/>
          <w:color w:val="auto"/>
        </w:rPr>
      </w:pPr>
      <w:r>
        <w:rPr>
          <w:rFonts w:ascii="Times New Roman" w:cs="Times New Roman" w:eastAsia="Times New Roman" w:hAnsi="Times New Roman"/>
          <w:sz w:val="24"/>
          <w:szCs w:val="24"/>
          <w:color w:val="auto"/>
        </w:rPr>
        <w:t>Issue schedule:</w:t>
      </w:r>
    </w:p>
    <w:p>
      <w:pPr>
        <w:spacing w:after="0" w:line="139" w:lineRule="exact"/>
        <w:rPr>
          <w:rFonts w:ascii="Calibri" w:cs="Calibri" w:eastAsia="Calibri" w:hAnsi="Calibri"/>
          <w:sz w:val="24"/>
          <w:szCs w:val="24"/>
          <w:color w:val="auto"/>
        </w:rPr>
      </w:pPr>
    </w:p>
    <w:p>
      <w:pPr>
        <w:ind w:left="2660" w:hanging="715"/>
        <w:spacing w:after="0"/>
        <w:tabs>
          <w:tab w:leader="none" w:pos="2660" w:val="left"/>
        </w:tabs>
        <w:numPr>
          <w:ilvl w:val="1"/>
          <w:numId w:val="7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Anchor bid period, if any</w:t>
      </w:r>
    </w:p>
    <w:p>
      <w:pPr>
        <w:spacing w:after="0" w:line="136" w:lineRule="exact"/>
        <w:rPr>
          <w:rFonts w:ascii="Times New Roman" w:cs="Times New Roman" w:eastAsia="Times New Roman" w:hAnsi="Times New Roman"/>
          <w:sz w:val="24"/>
          <w:szCs w:val="24"/>
          <w:color w:val="auto"/>
        </w:rPr>
      </w:pPr>
    </w:p>
    <w:p>
      <w:pPr>
        <w:ind w:left="2660" w:hanging="715"/>
        <w:spacing w:after="0"/>
        <w:tabs>
          <w:tab w:leader="none" w:pos="2660" w:val="left"/>
        </w:tabs>
        <w:numPr>
          <w:ilvl w:val="1"/>
          <w:numId w:val="7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Date of opening of the issue</w:t>
      </w:r>
    </w:p>
    <w:p>
      <w:pPr>
        <w:spacing w:after="0" w:line="139" w:lineRule="exact"/>
        <w:rPr>
          <w:rFonts w:ascii="Times New Roman" w:cs="Times New Roman" w:eastAsia="Times New Roman" w:hAnsi="Times New Roman"/>
          <w:sz w:val="24"/>
          <w:szCs w:val="24"/>
          <w:color w:val="auto"/>
        </w:rPr>
      </w:pPr>
    </w:p>
    <w:p>
      <w:pPr>
        <w:ind w:left="2660" w:hanging="715"/>
        <w:spacing w:after="0"/>
        <w:tabs>
          <w:tab w:leader="none" w:pos="2660" w:val="left"/>
        </w:tabs>
        <w:numPr>
          <w:ilvl w:val="1"/>
          <w:numId w:val="7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Date of closing of the issue</w:t>
      </w:r>
    </w:p>
    <w:p>
      <w:pPr>
        <w:spacing w:after="0" w:line="136" w:lineRule="exact"/>
        <w:rPr>
          <w:rFonts w:ascii="Times New Roman" w:cs="Times New Roman" w:eastAsia="Times New Roman" w:hAnsi="Times New Roman"/>
          <w:sz w:val="24"/>
          <w:szCs w:val="24"/>
          <w:color w:val="auto"/>
        </w:rPr>
      </w:pPr>
    </w:p>
    <w:p>
      <w:pPr>
        <w:ind w:left="2660" w:hanging="715"/>
        <w:spacing w:after="0"/>
        <w:tabs>
          <w:tab w:leader="none" w:pos="2660" w:val="left"/>
        </w:tabs>
        <w:numPr>
          <w:ilvl w:val="1"/>
          <w:numId w:val="7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Date of earliest closing of the issue, if any</w:t>
      </w:r>
    </w:p>
    <w:p>
      <w:pPr>
        <w:spacing w:after="0" w:line="124" w:lineRule="exact"/>
        <w:rPr>
          <w:rFonts w:ascii="Times New Roman" w:cs="Times New Roman" w:eastAsia="Times New Roman" w:hAnsi="Times New Roman"/>
          <w:sz w:val="24"/>
          <w:szCs w:val="24"/>
          <w:color w:val="auto"/>
        </w:rPr>
      </w:pPr>
    </w:p>
    <w:p>
      <w:pPr>
        <w:ind w:left="1940" w:hanging="572"/>
        <w:spacing w:after="0"/>
        <w:tabs>
          <w:tab w:leader="none" w:pos="1940" w:val="left"/>
        </w:tabs>
        <w:numPr>
          <w:ilvl w:val="0"/>
          <w:numId w:val="765"/>
        </w:numPr>
        <w:rPr>
          <w:rFonts w:ascii="Calibri" w:cs="Calibri" w:eastAsia="Calibri" w:hAnsi="Calibri"/>
          <w:sz w:val="24"/>
          <w:szCs w:val="24"/>
          <w:color w:val="auto"/>
        </w:rPr>
      </w:pPr>
      <w:r>
        <w:rPr>
          <w:rFonts w:ascii="Times New Roman" w:cs="Times New Roman" w:eastAsia="Times New Roman" w:hAnsi="Times New Roman"/>
          <w:sz w:val="24"/>
          <w:szCs w:val="24"/>
          <w:color w:val="auto"/>
        </w:rPr>
        <w:t>Credit rating, if applicable.</w:t>
      </w:r>
    </w:p>
    <w:p>
      <w:pPr>
        <w:spacing w:after="0" w:line="127" w:lineRule="exact"/>
        <w:rPr>
          <w:rFonts w:ascii="Calibri" w:cs="Calibri" w:eastAsia="Calibri" w:hAnsi="Calibri"/>
          <w:sz w:val="24"/>
          <w:szCs w:val="24"/>
          <w:color w:val="auto"/>
        </w:rPr>
      </w:pPr>
    </w:p>
    <w:p>
      <w:pPr>
        <w:ind w:left="1940" w:hanging="572"/>
        <w:spacing w:after="0"/>
        <w:tabs>
          <w:tab w:leader="none" w:pos="1940" w:val="left"/>
        </w:tabs>
        <w:numPr>
          <w:ilvl w:val="0"/>
          <w:numId w:val="765"/>
        </w:numPr>
        <w:rPr>
          <w:rFonts w:ascii="Calibri" w:cs="Calibri" w:eastAsia="Calibri" w:hAnsi="Calibri"/>
          <w:sz w:val="24"/>
          <w:szCs w:val="24"/>
          <w:color w:val="auto"/>
        </w:rPr>
      </w:pPr>
      <w:r>
        <w:rPr>
          <w:rFonts w:ascii="Times New Roman" w:cs="Times New Roman" w:eastAsia="Times New Roman" w:hAnsi="Times New Roman"/>
          <w:sz w:val="24"/>
          <w:szCs w:val="24"/>
          <w:color w:val="auto"/>
        </w:rPr>
        <w:t>IPO grading, if any</w:t>
      </w:r>
    </w:p>
    <w:p>
      <w:pPr>
        <w:spacing w:after="0" w:line="154" w:lineRule="exact"/>
        <w:rPr>
          <w:rFonts w:ascii="Calibri" w:cs="Calibri" w:eastAsia="Calibri" w:hAnsi="Calibri"/>
          <w:sz w:val="24"/>
          <w:szCs w:val="24"/>
          <w:color w:val="auto"/>
        </w:rPr>
      </w:pPr>
    </w:p>
    <w:p>
      <w:pPr>
        <w:jc w:val="both"/>
        <w:ind w:left="1940" w:hanging="572"/>
        <w:spacing w:after="0" w:line="344" w:lineRule="auto"/>
        <w:tabs>
          <w:tab w:leader="none" w:pos="1940" w:val="left"/>
        </w:tabs>
        <w:numPr>
          <w:ilvl w:val="0"/>
          <w:numId w:val="765"/>
        </w:numPr>
        <w:rPr>
          <w:rFonts w:ascii="Calibri" w:cs="Calibri" w:eastAsia="Calibri" w:hAnsi="Calibri"/>
          <w:sz w:val="24"/>
          <w:szCs w:val="24"/>
          <w:color w:val="auto"/>
        </w:rPr>
      </w:pPr>
      <w:r>
        <w:rPr>
          <w:rFonts w:ascii="Times New Roman" w:cs="Times New Roman" w:eastAsia="Times New Roman" w:hAnsi="Times New Roman"/>
          <w:sz w:val="24"/>
          <w:szCs w:val="24"/>
          <w:color w:val="auto"/>
        </w:rPr>
        <w:t>Name(s) of the stock exchanges where the specified securities are proposed to be listed and the details of their in-principle approval for listing obtained from these stock exchange(s).</w:t>
      </w: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4"/>
          <w:szCs w:val="24"/>
          <w:color w:val="auto"/>
        </w:rPr>
        <w:t>196</w:t>
      </w:r>
    </w:p>
    <w:p>
      <w:pPr>
        <w:sectPr>
          <w:pgSz w:w="11900" w:h="16836" w:orient="portrait"/>
          <w:cols w:equalWidth="0" w:num="1">
            <w:col w:w="9180"/>
          </w:cols>
          <w:pgMar w:left="1440" w:top="1161" w:right="1284" w:bottom="103" w:gutter="0" w:footer="0" w:header="0"/>
        </w:sectPr>
      </w:pPr>
    </w:p>
    <w:bookmarkStart w:id="196" w:name="page197"/>
    <w:bookmarkEnd w:id="196"/>
    <w:p>
      <w:pPr>
        <w:ind w:left="1088" w:hanging="512"/>
        <w:spacing w:after="0" w:line="348" w:lineRule="auto"/>
        <w:tabs>
          <w:tab w:leader="none" w:pos="1088" w:val="left"/>
        </w:tabs>
        <w:numPr>
          <w:ilvl w:val="2"/>
          <w:numId w:val="7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Back cover pages: </w:t>
      </w:r>
      <w:r>
        <w:rPr>
          <w:rFonts w:ascii="Times New Roman" w:cs="Times New Roman" w:eastAsia="Times New Roman" w:hAnsi="Times New Roman"/>
          <w:sz w:val="24"/>
          <w:szCs w:val="24"/>
          <w:color w:val="auto"/>
        </w:rPr>
        <w:t>The back inside cover page and back outside cover page shall be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kept blank.</w:t>
      </w:r>
    </w:p>
    <w:p>
      <w:pPr>
        <w:spacing w:after="0" w:line="200" w:lineRule="exact"/>
        <w:rPr>
          <w:rFonts w:ascii="Times New Roman" w:cs="Times New Roman" w:eastAsia="Times New Roman" w:hAnsi="Times New Roman"/>
          <w:sz w:val="24"/>
          <w:szCs w:val="24"/>
          <w:color w:val="auto"/>
        </w:rPr>
      </w:pPr>
    </w:p>
    <w:p>
      <w:pPr>
        <w:spacing w:after="0" w:line="240" w:lineRule="exact"/>
        <w:rPr>
          <w:rFonts w:ascii="Times New Roman" w:cs="Times New Roman" w:eastAsia="Times New Roman" w:hAnsi="Times New Roman"/>
          <w:sz w:val="24"/>
          <w:szCs w:val="24"/>
          <w:color w:val="auto"/>
        </w:rPr>
      </w:pPr>
    </w:p>
    <w:p>
      <w:pPr>
        <w:ind w:left="568" w:hanging="568"/>
        <w:spacing w:after="0" w:line="350" w:lineRule="auto"/>
        <w:tabs>
          <w:tab w:leader="none" w:pos="352" w:val="left"/>
        </w:tabs>
        <w:numPr>
          <w:ilvl w:val="0"/>
          <w:numId w:val="767"/>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b w:val="1"/>
          <w:bCs w:val="1"/>
          <w:color w:val="auto"/>
        </w:rPr>
        <w:t xml:space="preserve">Table of Contents: </w:t>
      </w:r>
      <w:r>
        <w:rPr>
          <w:rFonts w:ascii="Times New Roman" w:cs="Times New Roman" w:eastAsia="Times New Roman" w:hAnsi="Times New Roman"/>
          <w:sz w:val="24"/>
          <w:szCs w:val="24"/>
          <w:color w:val="auto"/>
        </w:rPr>
        <w:t>The table of contents shall appear immediately after the front inside cover</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page.</w:t>
      </w:r>
    </w:p>
    <w:p>
      <w:pPr>
        <w:spacing w:after="0" w:line="200" w:lineRule="exact"/>
        <w:rPr>
          <w:rFonts w:ascii="Times New Roman" w:cs="Times New Roman" w:eastAsia="Times New Roman" w:hAnsi="Times New Roman"/>
          <w:sz w:val="22"/>
          <w:szCs w:val="22"/>
          <w:color w:val="auto"/>
        </w:rPr>
      </w:pPr>
    </w:p>
    <w:p>
      <w:pPr>
        <w:spacing w:after="0" w:line="230" w:lineRule="exact"/>
        <w:rPr>
          <w:rFonts w:ascii="Times New Roman" w:cs="Times New Roman" w:eastAsia="Times New Roman" w:hAnsi="Times New Roman"/>
          <w:sz w:val="22"/>
          <w:szCs w:val="22"/>
          <w:color w:val="auto"/>
        </w:rPr>
      </w:pPr>
    </w:p>
    <w:p>
      <w:pPr>
        <w:ind w:left="368" w:hanging="368"/>
        <w:spacing w:after="0"/>
        <w:tabs>
          <w:tab w:leader="none" w:pos="368" w:val="left"/>
        </w:tabs>
        <w:numPr>
          <w:ilvl w:val="0"/>
          <w:numId w:val="767"/>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b w:val="1"/>
          <w:bCs w:val="1"/>
          <w:color w:val="auto"/>
        </w:rPr>
        <w:t>Definitions and abbreviations:</w:t>
      </w:r>
    </w:p>
    <w:p>
      <w:pPr>
        <w:spacing w:after="0" w:line="132" w:lineRule="exact"/>
        <w:rPr>
          <w:rFonts w:ascii="Times New Roman" w:cs="Times New Roman" w:eastAsia="Times New Roman" w:hAnsi="Times New Roman"/>
          <w:sz w:val="22"/>
          <w:szCs w:val="22"/>
          <w:color w:val="auto"/>
        </w:rPr>
      </w:pPr>
    </w:p>
    <w:p>
      <w:pPr>
        <w:ind w:left="868" w:hanging="508"/>
        <w:spacing w:after="0"/>
        <w:tabs>
          <w:tab w:leader="none" w:pos="868" w:val="left"/>
        </w:tabs>
        <w:numPr>
          <w:ilvl w:val="1"/>
          <w:numId w:val="76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Conventional or general terms</w:t>
      </w:r>
    </w:p>
    <w:p>
      <w:pPr>
        <w:spacing w:after="0" w:line="139" w:lineRule="exact"/>
        <w:rPr>
          <w:rFonts w:ascii="Times New Roman" w:cs="Times New Roman" w:eastAsia="Times New Roman" w:hAnsi="Times New Roman"/>
          <w:sz w:val="24"/>
          <w:szCs w:val="24"/>
          <w:color w:val="auto"/>
        </w:rPr>
      </w:pPr>
    </w:p>
    <w:p>
      <w:pPr>
        <w:ind w:left="868" w:hanging="508"/>
        <w:spacing w:after="0"/>
        <w:tabs>
          <w:tab w:leader="none" w:pos="868" w:val="left"/>
        </w:tabs>
        <w:numPr>
          <w:ilvl w:val="1"/>
          <w:numId w:val="76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Issue related terms</w:t>
      </w:r>
    </w:p>
    <w:p>
      <w:pPr>
        <w:spacing w:after="0" w:line="136" w:lineRule="exact"/>
        <w:rPr>
          <w:rFonts w:ascii="Times New Roman" w:cs="Times New Roman" w:eastAsia="Times New Roman" w:hAnsi="Times New Roman"/>
          <w:sz w:val="24"/>
          <w:szCs w:val="24"/>
          <w:color w:val="auto"/>
        </w:rPr>
      </w:pPr>
    </w:p>
    <w:p>
      <w:pPr>
        <w:ind w:left="868" w:hanging="508"/>
        <w:spacing w:after="0"/>
        <w:tabs>
          <w:tab w:leader="none" w:pos="868" w:val="left"/>
        </w:tabs>
        <w:numPr>
          <w:ilvl w:val="1"/>
          <w:numId w:val="76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Issuer and industry related terms</w:t>
      </w:r>
    </w:p>
    <w:p>
      <w:pPr>
        <w:spacing w:after="0" w:line="139" w:lineRule="exact"/>
        <w:rPr>
          <w:rFonts w:ascii="Times New Roman" w:cs="Times New Roman" w:eastAsia="Times New Roman" w:hAnsi="Times New Roman"/>
          <w:sz w:val="24"/>
          <w:szCs w:val="24"/>
          <w:color w:val="auto"/>
        </w:rPr>
      </w:pPr>
    </w:p>
    <w:p>
      <w:pPr>
        <w:ind w:left="868" w:hanging="508"/>
        <w:spacing w:after="0"/>
        <w:tabs>
          <w:tab w:leader="none" w:pos="868" w:val="left"/>
        </w:tabs>
        <w:numPr>
          <w:ilvl w:val="1"/>
          <w:numId w:val="76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Abbreviations</w:t>
      </w:r>
    </w:p>
    <w:p>
      <w:pPr>
        <w:spacing w:after="0" w:line="200" w:lineRule="exact"/>
        <w:rPr>
          <w:rFonts w:ascii="Times New Roman" w:cs="Times New Roman" w:eastAsia="Times New Roman" w:hAnsi="Times New Roman"/>
          <w:sz w:val="24"/>
          <w:szCs w:val="24"/>
          <w:color w:val="auto"/>
        </w:rPr>
      </w:pPr>
    </w:p>
    <w:p>
      <w:pPr>
        <w:spacing w:after="0" w:line="364" w:lineRule="exact"/>
        <w:rPr>
          <w:rFonts w:ascii="Times New Roman" w:cs="Times New Roman" w:eastAsia="Times New Roman" w:hAnsi="Times New Roman"/>
          <w:sz w:val="24"/>
          <w:szCs w:val="24"/>
          <w:color w:val="auto"/>
        </w:rPr>
      </w:pPr>
    </w:p>
    <w:p>
      <w:pPr>
        <w:ind w:left="568" w:hanging="568"/>
        <w:spacing w:after="0" w:line="348" w:lineRule="auto"/>
        <w:tabs>
          <w:tab w:leader="none" w:pos="352" w:val="left"/>
        </w:tabs>
        <w:numPr>
          <w:ilvl w:val="0"/>
          <w:numId w:val="767"/>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b w:val="1"/>
          <w:bCs w:val="1"/>
          <w:color w:val="auto"/>
        </w:rPr>
        <w:t xml:space="preserve">Offer Document summary: </w:t>
      </w:r>
      <w:r>
        <w:rPr>
          <w:rFonts w:ascii="Times New Roman" w:cs="Times New Roman" w:eastAsia="Times New Roman" w:hAnsi="Times New Roman"/>
          <w:sz w:val="24"/>
          <w:szCs w:val="24"/>
          <w:color w:val="auto"/>
        </w:rPr>
        <w:t>This section shall contain summary of the following information,</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as applicable:</w:t>
      </w:r>
    </w:p>
    <w:p>
      <w:pPr>
        <w:spacing w:after="0" w:line="27" w:lineRule="exact"/>
        <w:rPr>
          <w:rFonts w:ascii="Times New Roman" w:cs="Times New Roman" w:eastAsia="Times New Roman" w:hAnsi="Times New Roman"/>
          <w:sz w:val="22"/>
          <w:szCs w:val="22"/>
          <w:color w:val="auto"/>
        </w:rPr>
      </w:pPr>
    </w:p>
    <w:p>
      <w:pPr>
        <w:ind w:left="728" w:hanging="368"/>
        <w:spacing w:after="0" w:line="342" w:lineRule="auto"/>
        <w:tabs>
          <w:tab w:leader="none" w:pos="728" w:val="left"/>
        </w:tabs>
        <w:numPr>
          <w:ilvl w:val="1"/>
          <w:numId w:val="767"/>
        </w:numPr>
        <w:rPr>
          <w:rFonts w:ascii="Calibri" w:cs="Calibri" w:eastAsia="Calibri" w:hAnsi="Calibri"/>
          <w:sz w:val="22"/>
          <w:szCs w:val="22"/>
          <w:color w:val="auto"/>
        </w:rPr>
      </w:pPr>
      <w:r>
        <w:rPr>
          <w:rFonts w:ascii="Times New Roman" w:cs="Times New Roman" w:eastAsia="Times New Roman" w:hAnsi="Times New Roman"/>
          <w:sz w:val="24"/>
          <w:szCs w:val="24"/>
          <w:color w:val="auto"/>
        </w:rPr>
        <w:t>Primary business of the Issuer and the industry in which it operates, in not more than 100 words each;</w:t>
      </w:r>
    </w:p>
    <w:p>
      <w:pPr>
        <w:spacing w:after="0" w:line="12" w:lineRule="exact"/>
        <w:rPr>
          <w:rFonts w:ascii="Calibri" w:cs="Calibri" w:eastAsia="Calibri" w:hAnsi="Calibri"/>
          <w:sz w:val="22"/>
          <w:szCs w:val="22"/>
          <w:color w:val="auto"/>
        </w:rPr>
      </w:pPr>
    </w:p>
    <w:p>
      <w:pPr>
        <w:ind w:left="728" w:hanging="368"/>
        <w:spacing w:after="0"/>
        <w:tabs>
          <w:tab w:leader="none" w:pos="728" w:val="left"/>
        </w:tabs>
        <w:numPr>
          <w:ilvl w:val="1"/>
          <w:numId w:val="767"/>
        </w:numPr>
        <w:rPr>
          <w:rFonts w:ascii="Calibri" w:cs="Calibri" w:eastAsia="Calibri" w:hAnsi="Calibri"/>
          <w:sz w:val="22"/>
          <w:szCs w:val="22"/>
          <w:color w:val="auto"/>
        </w:rPr>
      </w:pPr>
      <w:r>
        <w:rPr>
          <w:rFonts w:ascii="Times New Roman" w:cs="Times New Roman" w:eastAsia="Times New Roman" w:hAnsi="Times New Roman"/>
          <w:sz w:val="24"/>
          <w:szCs w:val="24"/>
          <w:color w:val="auto"/>
        </w:rPr>
        <w:t>Names of the promoters;</w:t>
      </w:r>
    </w:p>
    <w:p>
      <w:pPr>
        <w:spacing w:after="0" w:line="129" w:lineRule="exact"/>
        <w:rPr>
          <w:rFonts w:ascii="Calibri" w:cs="Calibri" w:eastAsia="Calibri" w:hAnsi="Calibri"/>
          <w:sz w:val="22"/>
          <w:szCs w:val="22"/>
          <w:color w:val="auto"/>
        </w:rPr>
      </w:pPr>
    </w:p>
    <w:p>
      <w:pPr>
        <w:ind w:left="728" w:hanging="368"/>
        <w:spacing w:after="0"/>
        <w:tabs>
          <w:tab w:leader="none" w:pos="728" w:val="left"/>
        </w:tabs>
        <w:numPr>
          <w:ilvl w:val="1"/>
          <w:numId w:val="767"/>
        </w:numPr>
        <w:rPr>
          <w:rFonts w:ascii="Calibri" w:cs="Calibri" w:eastAsia="Calibri" w:hAnsi="Calibri"/>
          <w:sz w:val="22"/>
          <w:szCs w:val="22"/>
          <w:color w:val="auto"/>
        </w:rPr>
      </w:pPr>
      <w:r>
        <w:rPr>
          <w:rFonts w:ascii="Times New Roman" w:cs="Times New Roman" w:eastAsia="Times New Roman" w:hAnsi="Times New Roman"/>
          <w:sz w:val="24"/>
          <w:szCs w:val="24"/>
          <w:color w:val="auto"/>
        </w:rPr>
        <w:t>Size of the issue disclosing separately size of the fresh issue and offer for sale;</w:t>
      </w:r>
    </w:p>
    <w:p>
      <w:pPr>
        <w:spacing w:after="0" w:line="132" w:lineRule="exact"/>
        <w:rPr>
          <w:rFonts w:ascii="Calibri" w:cs="Calibri" w:eastAsia="Calibri" w:hAnsi="Calibri"/>
          <w:sz w:val="22"/>
          <w:szCs w:val="22"/>
          <w:color w:val="auto"/>
        </w:rPr>
      </w:pPr>
    </w:p>
    <w:p>
      <w:pPr>
        <w:ind w:left="728" w:hanging="368"/>
        <w:spacing w:after="0"/>
        <w:tabs>
          <w:tab w:leader="none" w:pos="728" w:val="left"/>
        </w:tabs>
        <w:numPr>
          <w:ilvl w:val="1"/>
          <w:numId w:val="767"/>
        </w:numPr>
        <w:rPr>
          <w:rFonts w:ascii="Calibri" w:cs="Calibri" w:eastAsia="Calibri" w:hAnsi="Calibri"/>
          <w:sz w:val="22"/>
          <w:szCs w:val="22"/>
          <w:color w:val="auto"/>
        </w:rPr>
      </w:pPr>
      <w:r>
        <w:rPr>
          <w:rFonts w:ascii="Times New Roman" w:cs="Times New Roman" w:eastAsia="Times New Roman" w:hAnsi="Times New Roman"/>
          <w:sz w:val="24"/>
          <w:szCs w:val="24"/>
          <w:color w:val="auto"/>
        </w:rPr>
        <w:t>Objects of the issue in a tabular format;</w:t>
      </w:r>
    </w:p>
    <w:p>
      <w:pPr>
        <w:spacing w:after="0" w:line="149" w:lineRule="exact"/>
        <w:rPr>
          <w:rFonts w:ascii="Calibri" w:cs="Calibri" w:eastAsia="Calibri" w:hAnsi="Calibri"/>
          <w:sz w:val="22"/>
          <w:szCs w:val="22"/>
          <w:color w:val="auto"/>
        </w:rPr>
      </w:pPr>
    </w:p>
    <w:p>
      <w:pPr>
        <w:ind w:left="728" w:hanging="368"/>
        <w:spacing w:after="0" w:line="344" w:lineRule="auto"/>
        <w:tabs>
          <w:tab w:leader="none" w:pos="728" w:val="left"/>
        </w:tabs>
        <w:numPr>
          <w:ilvl w:val="1"/>
          <w:numId w:val="767"/>
        </w:numPr>
        <w:rPr>
          <w:rFonts w:ascii="Calibri" w:cs="Calibri" w:eastAsia="Calibri" w:hAnsi="Calibri"/>
          <w:sz w:val="22"/>
          <w:szCs w:val="22"/>
          <w:color w:val="auto"/>
        </w:rPr>
      </w:pPr>
      <w:r>
        <w:rPr>
          <w:rFonts w:ascii="Times New Roman" w:cs="Times New Roman" w:eastAsia="Times New Roman" w:hAnsi="Times New Roman"/>
          <w:sz w:val="24"/>
          <w:szCs w:val="24"/>
          <w:color w:val="auto"/>
        </w:rPr>
        <w:t>Aggregate pre-issue shareholding of the promoter and promoter group, selling shareholder(s) as a percentage of the paid-up share capital of the issuer;</w:t>
      </w:r>
    </w:p>
    <w:p>
      <w:pPr>
        <w:spacing w:after="0" w:line="26" w:lineRule="exact"/>
        <w:rPr>
          <w:rFonts w:ascii="Calibri" w:cs="Calibri" w:eastAsia="Calibri" w:hAnsi="Calibri"/>
          <w:sz w:val="22"/>
          <w:szCs w:val="22"/>
          <w:color w:val="auto"/>
        </w:rPr>
      </w:pPr>
    </w:p>
    <w:p>
      <w:pPr>
        <w:ind w:left="728" w:hanging="368"/>
        <w:spacing w:after="0" w:line="344" w:lineRule="auto"/>
        <w:tabs>
          <w:tab w:leader="none" w:pos="728" w:val="left"/>
        </w:tabs>
        <w:numPr>
          <w:ilvl w:val="1"/>
          <w:numId w:val="767"/>
        </w:numPr>
        <w:rPr>
          <w:rFonts w:ascii="Calibri" w:cs="Calibri" w:eastAsia="Calibri" w:hAnsi="Calibri"/>
          <w:sz w:val="22"/>
          <w:szCs w:val="22"/>
          <w:color w:val="auto"/>
        </w:rPr>
      </w:pPr>
      <w:r>
        <w:rPr>
          <w:rFonts w:ascii="Times New Roman" w:cs="Times New Roman" w:eastAsia="Times New Roman" w:hAnsi="Times New Roman"/>
          <w:sz w:val="24"/>
          <w:szCs w:val="24"/>
          <w:color w:val="auto"/>
        </w:rPr>
        <w:t>Following details as per the restated consolidated financial statements for past 3 years and stub period in tabular format:</w:t>
      </w:r>
    </w:p>
    <w:p>
      <w:pPr>
        <w:spacing w:after="0" w:line="14" w:lineRule="exact"/>
        <w:rPr>
          <w:rFonts w:ascii="Calibri" w:cs="Calibri" w:eastAsia="Calibri" w:hAnsi="Calibri"/>
          <w:sz w:val="22"/>
          <w:szCs w:val="22"/>
          <w:color w:val="auto"/>
        </w:rPr>
      </w:pPr>
    </w:p>
    <w:p>
      <w:pPr>
        <w:ind w:left="1448" w:hanging="368"/>
        <w:spacing w:after="0"/>
        <w:tabs>
          <w:tab w:leader="none" w:pos="1448" w:val="left"/>
        </w:tabs>
        <w:numPr>
          <w:ilvl w:val="3"/>
          <w:numId w:val="76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Share capital;</w:t>
      </w:r>
    </w:p>
    <w:p>
      <w:pPr>
        <w:spacing w:after="0" w:line="139" w:lineRule="exact"/>
        <w:rPr>
          <w:rFonts w:ascii="Times New Roman" w:cs="Times New Roman" w:eastAsia="Times New Roman" w:hAnsi="Times New Roman"/>
          <w:sz w:val="24"/>
          <w:szCs w:val="24"/>
          <w:color w:val="auto"/>
        </w:rPr>
      </w:pPr>
    </w:p>
    <w:p>
      <w:pPr>
        <w:ind w:left="1448" w:hanging="368"/>
        <w:spacing w:after="0"/>
        <w:tabs>
          <w:tab w:leader="none" w:pos="1448" w:val="left"/>
        </w:tabs>
        <w:numPr>
          <w:ilvl w:val="3"/>
          <w:numId w:val="76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Net Worth;</w:t>
      </w:r>
    </w:p>
    <w:p>
      <w:pPr>
        <w:spacing w:after="0" w:line="136" w:lineRule="exact"/>
        <w:rPr>
          <w:rFonts w:ascii="Times New Roman" w:cs="Times New Roman" w:eastAsia="Times New Roman" w:hAnsi="Times New Roman"/>
          <w:sz w:val="24"/>
          <w:szCs w:val="24"/>
          <w:color w:val="auto"/>
        </w:rPr>
      </w:pPr>
    </w:p>
    <w:p>
      <w:pPr>
        <w:ind w:left="1448" w:hanging="368"/>
        <w:spacing w:after="0"/>
        <w:tabs>
          <w:tab w:leader="none" w:pos="1448" w:val="left"/>
        </w:tabs>
        <w:numPr>
          <w:ilvl w:val="3"/>
          <w:numId w:val="76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Revenue;</w:t>
      </w:r>
    </w:p>
    <w:p>
      <w:pPr>
        <w:spacing w:after="0" w:line="139" w:lineRule="exact"/>
        <w:rPr>
          <w:rFonts w:ascii="Times New Roman" w:cs="Times New Roman" w:eastAsia="Times New Roman" w:hAnsi="Times New Roman"/>
          <w:sz w:val="24"/>
          <w:szCs w:val="24"/>
          <w:color w:val="auto"/>
        </w:rPr>
      </w:pPr>
    </w:p>
    <w:p>
      <w:pPr>
        <w:ind w:left="1448" w:hanging="368"/>
        <w:spacing w:after="0"/>
        <w:tabs>
          <w:tab w:leader="none" w:pos="1448" w:val="left"/>
        </w:tabs>
        <w:numPr>
          <w:ilvl w:val="3"/>
          <w:numId w:val="76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Profit after tax;</w:t>
      </w:r>
    </w:p>
    <w:p>
      <w:pPr>
        <w:spacing w:after="0" w:line="136" w:lineRule="exact"/>
        <w:rPr>
          <w:rFonts w:ascii="Times New Roman" w:cs="Times New Roman" w:eastAsia="Times New Roman" w:hAnsi="Times New Roman"/>
          <w:sz w:val="24"/>
          <w:szCs w:val="24"/>
          <w:color w:val="auto"/>
        </w:rPr>
      </w:pPr>
    </w:p>
    <w:p>
      <w:pPr>
        <w:ind w:left="1448" w:hanging="368"/>
        <w:spacing w:after="0"/>
        <w:tabs>
          <w:tab w:leader="none" w:pos="1448" w:val="left"/>
        </w:tabs>
        <w:numPr>
          <w:ilvl w:val="3"/>
          <w:numId w:val="76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Earnings per share;</w:t>
      </w:r>
    </w:p>
    <w:p>
      <w:pPr>
        <w:spacing w:after="0" w:line="139" w:lineRule="exact"/>
        <w:rPr>
          <w:rFonts w:ascii="Times New Roman" w:cs="Times New Roman" w:eastAsia="Times New Roman" w:hAnsi="Times New Roman"/>
          <w:sz w:val="24"/>
          <w:szCs w:val="24"/>
          <w:color w:val="auto"/>
        </w:rPr>
      </w:pPr>
    </w:p>
    <w:p>
      <w:pPr>
        <w:ind w:left="1448" w:hanging="368"/>
        <w:spacing w:after="0"/>
        <w:tabs>
          <w:tab w:leader="none" w:pos="1448" w:val="left"/>
        </w:tabs>
        <w:numPr>
          <w:ilvl w:val="3"/>
          <w:numId w:val="76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Net Asset Value per equity share; and</w:t>
      </w:r>
    </w:p>
    <w:p>
      <w:pPr>
        <w:spacing w:after="0" w:line="136" w:lineRule="exact"/>
        <w:rPr>
          <w:rFonts w:ascii="Times New Roman" w:cs="Times New Roman" w:eastAsia="Times New Roman" w:hAnsi="Times New Roman"/>
          <w:sz w:val="24"/>
          <w:szCs w:val="24"/>
          <w:color w:val="auto"/>
        </w:rPr>
      </w:pPr>
    </w:p>
    <w:p>
      <w:pPr>
        <w:ind w:left="1448" w:hanging="368"/>
        <w:spacing w:after="0"/>
        <w:tabs>
          <w:tab w:leader="none" w:pos="1448" w:val="left"/>
        </w:tabs>
        <w:numPr>
          <w:ilvl w:val="3"/>
          <w:numId w:val="76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Total borrowings (as per balance sheet).</w:t>
      </w:r>
    </w:p>
    <w:p>
      <w:pPr>
        <w:spacing w:after="0" w:line="151" w:lineRule="exact"/>
        <w:rPr>
          <w:rFonts w:ascii="Times New Roman" w:cs="Times New Roman" w:eastAsia="Times New Roman" w:hAnsi="Times New Roman"/>
          <w:sz w:val="24"/>
          <w:szCs w:val="24"/>
          <w:color w:val="auto"/>
        </w:rPr>
      </w:pPr>
    </w:p>
    <w:p>
      <w:pPr>
        <w:ind w:left="728" w:hanging="368"/>
        <w:spacing w:after="0" w:line="342" w:lineRule="auto"/>
        <w:tabs>
          <w:tab w:leader="none" w:pos="728" w:val="left"/>
        </w:tabs>
        <w:numPr>
          <w:ilvl w:val="1"/>
          <w:numId w:val="767"/>
        </w:numPr>
        <w:rPr>
          <w:rFonts w:ascii="Calibri" w:cs="Calibri" w:eastAsia="Calibri" w:hAnsi="Calibri"/>
          <w:sz w:val="22"/>
          <w:szCs w:val="22"/>
          <w:color w:val="auto"/>
        </w:rPr>
      </w:pPr>
      <w:r>
        <w:rPr>
          <w:rFonts w:ascii="Times New Roman" w:cs="Times New Roman" w:eastAsia="Times New Roman" w:hAnsi="Times New Roman"/>
          <w:sz w:val="24"/>
          <w:szCs w:val="24"/>
          <w:color w:val="auto"/>
        </w:rPr>
        <w:t>Auditor qualifications which have not been given effect to in the restated financial statements.</w:t>
      </w:r>
    </w:p>
    <w:p>
      <w:pPr>
        <w:spacing w:after="0" w:line="12" w:lineRule="exact"/>
        <w:rPr>
          <w:rFonts w:ascii="Calibri" w:cs="Calibri" w:eastAsia="Calibri" w:hAnsi="Calibri"/>
          <w:sz w:val="22"/>
          <w:szCs w:val="22"/>
          <w:color w:val="auto"/>
        </w:rPr>
      </w:pPr>
    </w:p>
    <w:p>
      <w:pPr>
        <w:ind w:left="728" w:hanging="368"/>
        <w:spacing w:after="0"/>
        <w:tabs>
          <w:tab w:leader="none" w:pos="728" w:val="left"/>
        </w:tabs>
        <w:numPr>
          <w:ilvl w:val="1"/>
          <w:numId w:val="767"/>
        </w:numPr>
        <w:rPr>
          <w:rFonts w:ascii="Calibri" w:cs="Calibri" w:eastAsia="Calibri" w:hAnsi="Calibri"/>
          <w:sz w:val="22"/>
          <w:szCs w:val="22"/>
          <w:color w:val="auto"/>
        </w:rPr>
      </w:pPr>
      <w:r>
        <w:rPr>
          <w:rFonts w:ascii="Times New Roman" w:cs="Times New Roman" w:eastAsia="Times New Roman" w:hAnsi="Times New Roman"/>
          <w:sz w:val="24"/>
          <w:szCs w:val="24"/>
          <w:color w:val="auto"/>
        </w:rPr>
        <w:t>Summary  table  of  outstanding  litigations  and  a  cross-reference  to  the  section  titled</w:t>
      </w:r>
    </w:p>
    <w:p>
      <w:pPr>
        <w:spacing w:after="0" w:line="136" w:lineRule="exact"/>
        <w:rPr>
          <w:rFonts w:ascii="Calibri" w:cs="Calibri" w:eastAsia="Calibri" w:hAnsi="Calibri"/>
          <w:sz w:val="22"/>
          <w:szCs w:val="22"/>
          <w:color w:val="auto"/>
        </w:rPr>
      </w:pPr>
    </w:p>
    <w:p>
      <w:pPr>
        <w:ind w:left="728"/>
        <w:spacing w:after="0"/>
        <w:rPr>
          <w:rFonts w:ascii="Calibri" w:cs="Calibri" w:eastAsia="Calibri" w:hAnsi="Calibri"/>
          <w:sz w:val="22"/>
          <w:szCs w:val="22"/>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Outstanding Litigations and Material Developments</w:t>
      </w:r>
      <w:r>
        <w:rPr>
          <w:rFonts w:ascii="Times New Roman" w:cs="Times New Roman" w:eastAsia="Times New Roman" w:hAnsi="Times New Roman"/>
          <w:sz w:val="24"/>
          <w:szCs w:val="24"/>
          <w:color w:val="auto"/>
        </w:rPr>
        <w:t>’.</w:t>
      </w:r>
    </w:p>
    <w:p>
      <w:pPr>
        <w:spacing w:after="0" w:line="132" w:lineRule="exact"/>
        <w:rPr>
          <w:rFonts w:ascii="Calibri" w:cs="Calibri" w:eastAsia="Calibri" w:hAnsi="Calibri"/>
          <w:sz w:val="22"/>
          <w:szCs w:val="22"/>
          <w:color w:val="auto"/>
        </w:rPr>
      </w:pPr>
    </w:p>
    <w:p>
      <w:pPr>
        <w:ind w:left="728" w:hanging="368"/>
        <w:spacing w:after="0"/>
        <w:tabs>
          <w:tab w:leader="none" w:pos="728" w:val="left"/>
        </w:tabs>
        <w:numPr>
          <w:ilvl w:val="1"/>
          <w:numId w:val="767"/>
        </w:numPr>
        <w:rPr>
          <w:rFonts w:ascii="Calibri" w:cs="Calibri" w:eastAsia="Calibri" w:hAnsi="Calibri"/>
          <w:sz w:val="22"/>
          <w:szCs w:val="22"/>
          <w:color w:val="auto"/>
        </w:rPr>
      </w:pPr>
      <w:r>
        <w:rPr>
          <w:rFonts w:ascii="Times New Roman" w:cs="Times New Roman" w:eastAsia="Times New Roman" w:hAnsi="Times New Roman"/>
          <w:sz w:val="24"/>
          <w:szCs w:val="24"/>
          <w:color w:val="auto"/>
        </w:rPr>
        <w:t>Cross-reference to the section titled ‘</w:t>
      </w:r>
      <w:r>
        <w:rPr>
          <w:rFonts w:ascii="Times New Roman" w:cs="Times New Roman" w:eastAsia="Times New Roman" w:hAnsi="Times New Roman"/>
          <w:sz w:val="24"/>
          <w:szCs w:val="24"/>
          <w:i w:val="1"/>
          <w:iCs w:val="1"/>
          <w:color w:val="auto"/>
        </w:rPr>
        <w:t>Risk Factors</w:t>
      </w:r>
      <w:r>
        <w:rPr>
          <w:rFonts w:ascii="Times New Roman" w:cs="Times New Roman" w:eastAsia="Times New Roman" w:hAnsi="Times New Roman"/>
          <w:sz w:val="24"/>
          <w:szCs w:val="24"/>
          <w:color w:val="auto"/>
        </w:rPr>
        <w:t>’.</w:t>
      </w:r>
    </w:p>
    <w:p>
      <w:pPr>
        <w:spacing w:after="0" w:line="394"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197</w:t>
      </w:r>
    </w:p>
    <w:p>
      <w:pPr>
        <w:sectPr>
          <w:pgSz w:w="11900" w:h="16836" w:orient="portrait"/>
          <w:cols w:equalWidth="0" w:num="1">
            <w:col w:w="9468"/>
          </w:cols>
          <w:pgMar w:left="1152" w:top="1156" w:right="1284" w:bottom="103" w:gutter="0" w:footer="0" w:header="0"/>
        </w:sectPr>
      </w:pPr>
    </w:p>
    <w:bookmarkStart w:id="197" w:name="page198"/>
    <w:bookmarkEnd w:id="197"/>
    <w:p>
      <w:pPr>
        <w:ind w:left="728" w:hanging="368"/>
        <w:spacing w:after="0" w:line="342" w:lineRule="auto"/>
        <w:tabs>
          <w:tab w:leader="none" w:pos="728" w:val="left"/>
        </w:tabs>
        <w:numPr>
          <w:ilvl w:val="1"/>
          <w:numId w:val="768"/>
        </w:numPr>
        <w:rPr>
          <w:rFonts w:ascii="Calibri" w:cs="Calibri" w:eastAsia="Calibri" w:hAnsi="Calibri"/>
          <w:sz w:val="22"/>
          <w:szCs w:val="22"/>
          <w:color w:val="auto"/>
        </w:rPr>
      </w:pPr>
      <w:r>
        <w:rPr>
          <w:rFonts w:ascii="Times New Roman" w:cs="Times New Roman" w:eastAsia="Times New Roman" w:hAnsi="Times New Roman"/>
          <w:sz w:val="24"/>
          <w:szCs w:val="24"/>
          <w:color w:val="auto"/>
        </w:rPr>
        <w:t>Summary table of contingent liabilities and a cross-reference to contingent liabilities of the issuer as disclosed in restated financial statements.</w:t>
      </w:r>
    </w:p>
    <w:p>
      <w:pPr>
        <w:spacing w:after="0" w:line="31" w:lineRule="exact"/>
        <w:rPr>
          <w:rFonts w:ascii="Calibri" w:cs="Calibri" w:eastAsia="Calibri" w:hAnsi="Calibri"/>
          <w:sz w:val="22"/>
          <w:szCs w:val="22"/>
          <w:color w:val="auto"/>
        </w:rPr>
      </w:pPr>
    </w:p>
    <w:p>
      <w:pPr>
        <w:ind w:left="728" w:hanging="368"/>
        <w:spacing w:after="0" w:line="342" w:lineRule="auto"/>
        <w:tabs>
          <w:tab w:leader="none" w:pos="728" w:val="left"/>
        </w:tabs>
        <w:numPr>
          <w:ilvl w:val="1"/>
          <w:numId w:val="768"/>
        </w:numPr>
        <w:rPr>
          <w:rFonts w:ascii="Calibri" w:cs="Calibri" w:eastAsia="Calibri" w:hAnsi="Calibri"/>
          <w:sz w:val="22"/>
          <w:szCs w:val="22"/>
          <w:color w:val="auto"/>
        </w:rPr>
      </w:pPr>
      <w:r>
        <w:rPr>
          <w:rFonts w:ascii="Times New Roman" w:cs="Times New Roman" w:eastAsia="Times New Roman" w:hAnsi="Times New Roman"/>
          <w:sz w:val="24"/>
          <w:szCs w:val="24"/>
          <w:color w:val="auto"/>
        </w:rPr>
        <w:t>Summary of related party transactions for last 3 years and cross-reference to related party transactions as disclosed in restated financial statements.</w:t>
      </w:r>
    </w:p>
    <w:p>
      <w:pPr>
        <w:spacing w:after="0" w:line="31" w:lineRule="exact"/>
        <w:rPr>
          <w:rFonts w:ascii="Calibri" w:cs="Calibri" w:eastAsia="Calibri" w:hAnsi="Calibri"/>
          <w:sz w:val="22"/>
          <w:szCs w:val="22"/>
          <w:color w:val="auto"/>
        </w:rPr>
      </w:pPr>
    </w:p>
    <w:p>
      <w:pPr>
        <w:jc w:val="both"/>
        <w:ind w:left="728" w:hanging="368"/>
        <w:spacing w:after="0" w:line="355" w:lineRule="auto"/>
        <w:tabs>
          <w:tab w:leader="none" w:pos="728" w:val="left"/>
        </w:tabs>
        <w:numPr>
          <w:ilvl w:val="1"/>
          <w:numId w:val="768"/>
        </w:numPr>
        <w:rPr>
          <w:rFonts w:ascii="Calibri" w:cs="Calibri" w:eastAsia="Calibri" w:hAnsi="Calibri"/>
          <w:sz w:val="22"/>
          <w:szCs w:val="22"/>
          <w:color w:val="auto"/>
        </w:rPr>
      </w:pPr>
      <w:r>
        <w:rPr>
          <w:rFonts w:ascii="Times New Roman" w:cs="Times New Roman" w:eastAsia="Times New Roman" w:hAnsi="Times New Roman"/>
          <w:sz w:val="24"/>
          <w:szCs w:val="24"/>
          <w:color w:val="auto"/>
        </w:rPr>
        <w:t>Details of all financing arrangements whereby the promoters, members of the promoter group, the directors of the company which is a promoter of the issuer, the directors of the issuer and their relatives have financed the purchase by any other person of securities of the issuer other than in the normal course of the business of the financing entity during the period of six months immediately preceding the date of the draft offer document/offer document.</w:t>
      </w:r>
    </w:p>
    <w:p>
      <w:pPr>
        <w:spacing w:after="0" w:line="24" w:lineRule="exact"/>
        <w:rPr>
          <w:rFonts w:ascii="Calibri" w:cs="Calibri" w:eastAsia="Calibri" w:hAnsi="Calibri"/>
          <w:sz w:val="22"/>
          <w:szCs w:val="22"/>
          <w:color w:val="auto"/>
        </w:rPr>
      </w:pPr>
    </w:p>
    <w:p>
      <w:pPr>
        <w:ind w:left="728" w:hanging="368"/>
        <w:spacing w:after="0" w:line="342" w:lineRule="auto"/>
        <w:tabs>
          <w:tab w:leader="none" w:pos="728" w:val="left"/>
        </w:tabs>
        <w:numPr>
          <w:ilvl w:val="1"/>
          <w:numId w:val="768"/>
        </w:numPr>
        <w:rPr>
          <w:rFonts w:ascii="Calibri" w:cs="Calibri" w:eastAsia="Calibri" w:hAnsi="Calibri"/>
          <w:sz w:val="22"/>
          <w:szCs w:val="22"/>
          <w:color w:val="auto"/>
        </w:rPr>
      </w:pPr>
      <w:r>
        <w:rPr>
          <w:rFonts w:ascii="Times New Roman" w:cs="Times New Roman" w:eastAsia="Times New Roman" w:hAnsi="Times New Roman"/>
          <w:sz w:val="24"/>
          <w:szCs w:val="24"/>
          <w:color w:val="auto"/>
        </w:rPr>
        <w:t>Weighted average price at which specified security was acquired by each of the promoters and selling shareholders in the last one year.</w:t>
      </w:r>
    </w:p>
    <w:p>
      <w:pPr>
        <w:spacing w:after="0" w:line="11" w:lineRule="exact"/>
        <w:rPr>
          <w:rFonts w:ascii="Calibri" w:cs="Calibri" w:eastAsia="Calibri" w:hAnsi="Calibri"/>
          <w:sz w:val="22"/>
          <w:szCs w:val="22"/>
          <w:color w:val="auto"/>
        </w:rPr>
      </w:pPr>
    </w:p>
    <w:p>
      <w:pPr>
        <w:ind w:left="728" w:hanging="368"/>
        <w:spacing w:after="0"/>
        <w:tabs>
          <w:tab w:leader="none" w:pos="728" w:val="left"/>
        </w:tabs>
        <w:numPr>
          <w:ilvl w:val="1"/>
          <w:numId w:val="768"/>
        </w:numPr>
        <w:rPr>
          <w:rFonts w:ascii="Calibri" w:cs="Calibri" w:eastAsia="Calibri" w:hAnsi="Calibri"/>
          <w:sz w:val="22"/>
          <w:szCs w:val="22"/>
          <w:color w:val="auto"/>
        </w:rPr>
      </w:pPr>
      <w:r>
        <w:rPr>
          <w:rFonts w:ascii="Times New Roman" w:cs="Times New Roman" w:eastAsia="Times New Roman" w:hAnsi="Times New Roman"/>
          <w:sz w:val="24"/>
          <w:szCs w:val="24"/>
          <w:color w:val="auto"/>
        </w:rPr>
        <w:t>Average cost of acquisition of shares for promoter and selling shareholders.</w:t>
      </w:r>
    </w:p>
    <w:p>
      <w:pPr>
        <w:spacing w:after="0" w:line="129" w:lineRule="exact"/>
        <w:rPr>
          <w:rFonts w:ascii="Calibri" w:cs="Calibri" w:eastAsia="Calibri" w:hAnsi="Calibri"/>
          <w:sz w:val="22"/>
          <w:szCs w:val="22"/>
          <w:color w:val="auto"/>
        </w:rPr>
      </w:pPr>
    </w:p>
    <w:p>
      <w:pPr>
        <w:ind w:left="728" w:hanging="368"/>
        <w:spacing w:after="0"/>
        <w:tabs>
          <w:tab w:leader="none" w:pos="728" w:val="left"/>
        </w:tabs>
        <w:numPr>
          <w:ilvl w:val="1"/>
          <w:numId w:val="768"/>
        </w:numPr>
        <w:rPr>
          <w:rFonts w:ascii="Calibri" w:cs="Calibri" w:eastAsia="Calibri" w:hAnsi="Calibri"/>
          <w:sz w:val="22"/>
          <w:szCs w:val="22"/>
          <w:color w:val="auto"/>
        </w:rPr>
      </w:pPr>
      <w:r>
        <w:rPr>
          <w:rFonts w:ascii="Times New Roman" w:cs="Times New Roman" w:eastAsia="Times New Roman" w:hAnsi="Times New Roman"/>
          <w:sz w:val="24"/>
          <w:szCs w:val="24"/>
          <w:color w:val="auto"/>
        </w:rPr>
        <w:t>Size of the pre-IPO placement and allottees, upon completion of the placement</w:t>
      </w:r>
    </w:p>
    <w:p>
      <w:pPr>
        <w:spacing w:after="0" w:line="132" w:lineRule="exact"/>
        <w:rPr>
          <w:rFonts w:ascii="Calibri" w:cs="Calibri" w:eastAsia="Calibri" w:hAnsi="Calibri"/>
          <w:sz w:val="22"/>
          <w:szCs w:val="22"/>
          <w:color w:val="auto"/>
        </w:rPr>
      </w:pPr>
    </w:p>
    <w:p>
      <w:pPr>
        <w:ind w:left="728" w:hanging="368"/>
        <w:spacing w:after="0"/>
        <w:tabs>
          <w:tab w:leader="none" w:pos="728" w:val="left"/>
        </w:tabs>
        <w:numPr>
          <w:ilvl w:val="1"/>
          <w:numId w:val="768"/>
        </w:numPr>
        <w:rPr>
          <w:rFonts w:ascii="Calibri" w:cs="Calibri" w:eastAsia="Calibri" w:hAnsi="Calibri"/>
          <w:sz w:val="22"/>
          <w:szCs w:val="22"/>
          <w:color w:val="auto"/>
        </w:rPr>
      </w:pPr>
      <w:r>
        <w:rPr>
          <w:rFonts w:ascii="Times New Roman" w:cs="Times New Roman" w:eastAsia="Times New Roman" w:hAnsi="Times New Roman"/>
          <w:sz w:val="24"/>
          <w:szCs w:val="24"/>
          <w:color w:val="auto"/>
        </w:rPr>
        <w:t>Any issuances of equity shares made in the last one year for consideration other than cash.</w:t>
      </w:r>
    </w:p>
    <w:p>
      <w:pPr>
        <w:spacing w:after="0" w:line="129" w:lineRule="exact"/>
        <w:rPr>
          <w:rFonts w:ascii="Calibri" w:cs="Calibri" w:eastAsia="Calibri" w:hAnsi="Calibri"/>
          <w:sz w:val="22"/>
          <w:szCs w:val="22"/>
          <w:color w:val="auto"/>
        </w:rPr>
      </w:pPr>
    </w:p>
    <w:p>
      <w:pPr>
        <w:ind w:left="728" w:hanging="368"/>
        <w:spacing w:after="0"/>
        <w:tabs>
          <w:tab w:leader="none" w:pos="728" w:val="left"/>
        </w:tabs>
        <w:numPr>
          <w:ilvl w:val="1"/>
          <w:numId w:val="768"/>
        </w:numPr>
        <w:rPr>
          <w:rFonts w:ascii="Calibri" w:cs="Calibri" w:eastAsia="Calibri" w:hAnsi="Calibri"/>
          <w:sz w:val="22"/>
          <w:szCs w:val="22"/>
          <w:color w:val="auto"/>
        </w:rPr>
      </w:pPr>
      <w:r>
        <w:rPr>
          <w:rFonts w:ascii="Times New Roman" w:cs="Times New Roman" w:eastAsia="Times New Roman" w:hAnsi="Times New Roman"/>
          <w:sz w:val="24"/>
          <w:szCs w:val="24"/>
          <w:color w:val="auto"/>
        </w:rPr>
        <w:t>Any split/consolidation of equity shares in the last one year.</w:t>
      </w:r>
    </w:p>
    <w:p>
      <w:pPr>
        <w:spacing w:after="0" w:line="144" w:lineRule="exact"/>
        <w:rPr>
          <w:rFonts w:ascii="Calibri" w:cs="Calibri" w:eastAsia="Calibri" w:hAnsi="Calibri"/>
          <w:sz w:val="22"/>
          <w:szCs w:val="22"/>
          <w:color w:val="auto"/>
        </w:rPr>
      </w:pPr>
    </w:p>
    <w:p>
      <w:pPr>
        <w:ind w:left="368" w:hanging="368"/>
        <w:spacing w:after="0"/>
        <w:tabs>
          <w:tab w:leader="none" w:pos="368" w:val="left"/>
        </w:tabs>
        <w:numPr>
          <w:ilvl w:val="0"/>
          <w:numId w:val="769"/>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b w:val="1"/>
          <w:bCs w:val="1"/>
          <w:color w:val="auto"/>
        </w:rPr>
        <w:t>Risk factors:</w:t>
      </w:r>
    </w:p>
    <w:p>
      <w:pPr>
        <w:spacing w:after="0" w:line="144" w:lineRule="exact"/>
        <w:rPr>
          <w:rFonts w:ascii="Times New Roman" w:cs="Times New Roman" w:eastAsia="Times New Roman" w:hAnsi="Times New Roman"/>
          <w:sz w:val="22"/>
          <w:szCs w:val="22"/>
          <w:color w:val="auto"/>
        </w:rPr>
      </w:pPr>
    </w:p>
    <w:p>
      <w:pPr>
        <w:ind w:left="728" w:hanging="368"/>
        <w:spacing w:after="0" w:line="350" w:lineRule="auto"/>
        <w:tabs>
          <w:tab w:leader="none" w:pos="728" w:val="left"/>
        </w:tabs>
        <w:numPr>
          <w:ilvl w:val="1"/>
          <w:numId w:val="76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Risk factors shall be printed in a clear readable font (preferably of minimum point ten size).</w:t>
      </w:r>
    </w:p>
    <w:p>
      <w:pPr>
        <w:spacing w:after="0" w:line="23" w:lineRule="exact"/>
        <w:rPr>
          <w:rFonts w:ascii="Times New Roman" w:cs="Times New Roman" w:eastAsia="Times New Roman" w:hAnsi="Times New Roman"/>
          <w:sz w:val="24"/>
          <w:szCs w:val="24"/>
          <w:color w:val="auto"/>
        </w:rPr>
      </w:pPr>
    </w:p>
    <w:p>
      <w:pPr>
        <w:ind w:left="728" w:hanging="368"/>
        <w:spacing w:after="0" w:line="350" w:lineRule="auto"/>
        <w:tabs>
          <w:tab w:leader="none" w:pos="728" w:val="left"/>
        </w:tabs>
        <w:numPr>
          <w:ilvl w:val="1"/>
          <w:numId w:val="76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Risk factors shall be classified as those which are specific to the project and internal to the issuer and those which are external and beyond the control of the issuer.</w:t>
      </w:r>
    </w:p>
    <w:p>
      <w:pPr>
        <w:spacing w:after="0" w:line="23" w:lineRule="exact"/>
        <w:rPr>
          <w:rFonts w:ascii="Times New Roman" w:cs="Times New Roman" w:eastAsia="Times New Roman" w:hAnsi="Times New Roman"/>
          <w:sz w:val="24"/>
          <w:szCs w:val="24"/>
          <w:color w:val="auto"/>
        </w:rPr>
      </w:pPr>
    </w:p>
    <w:p>
      <w:pPr>
        <w:ind w:left="728" w:hanging="368"/>
        <w:spacing w:after="0" w:line="350" w:lineRule="auto"/>
        <w:tabs>
          <w:tab w:leader="none" w:pos="728" w:val="left"/>
        </w:tabs>
        <w:numPr>
          <w:ilvl w:val="1"/>
          <w:numId w:val="76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Risk factors shall be determined on the basis of their materiality. In doing so, the following shall be considered:</w:t>
      </w:r>
    </w:p>
    <w:p>
      <w:pPr>
        <w:spacing w:after="0" w:line="23" w:lineRule="exact"/>
        <w:rPr>
          <w:rFonts w:ascii="Times New Roman" w:cs="Times New Roman" w:eastAsia="Times New Roman" w:hAnsi="Times New Roman"/>
          <w:sz w:val="24"/>
          <w:szCs w:val="24"/>
          <w:color w:val="auto"/>
        </w:rPr>
      </w:pPr>
    </w:p>
    <w:p>
      <w:pPr>
        <w:ind w:left="1648" w:hanging="568"/>
        <w:spacing w:after="0" w:line="344" w:lineRule="auto"/>
        <w:tabs>
          <w:tab w:leader="none" w:pos="1432" w:val="left"/>
        </w:tabs>
        <w:numPr>
          <w:ilvl w:val="2"/>
          <w:numId w:val="769"/>
        </w:numPr>
        <w:rPr>
          <w:rFonts w:ascii="Calibri" w:cs="Calibri" w:eastAsia="Calibri" w:hAnsi="Calibri"/>
          <w:sz w:val="22"/>
          <w:szCs w:val="22"/>
          <w:color w:val="auto"/>
        </w:rPr>
      </w:pPr>
      <w:r>
        <w:rPr>
          <w:rFonts w:ascii="Times New Roman" w:cs="Times New Roman" w:eastAsia="Times New Roman" w:hAnsi="Times New Roman"/>
          <w:sz w:val="24"/>
          <w:szCs w:val="24"/>
          <w:color w:val="auto"/>
        </w:rPr>
        <w:t>Some risks may not be material individually but may be material when considered collectively.</w:t>
      </w:r>
    </w:p>
    <w:p>
      <w:pPr>
        <w:spacing w:after="0" w:line="7" w:lineRule="exact"/>
        <w:rPr>
          <w:rFonts w:ascii="Calibri" w:cs="Calibri" w:eastAsia="Calibri" w:hAnsi="Calibri"/>
          <w:sz w:val="22"/>
          <w:szCs w:val="22"/>
          <w:color w:val="auto"/>
        </w:rPr>
      </w:pPr>
    </w:p>
    <w:p>
      <w:pPr>
        <w:ind w:left="1448" w:hanging="368"/>
        <w:spacing w:after="0"/>
        <w:tabs>
          <w:tab w:leader="none" w:pos="1448" w:val="left"/>
        </w:tabs>
        <w:numPr>
          <w:ilvl w:val="2"/>
          <w:numId w:val="769"/>
        </w:numPr>
        <w:rPr>
          <w:rFonts w:ascii="Calibri" w:cs="Calibri" w:eastAsia="Calibri" w:hAnsi="Calibri"/>
          <w:sz w:val="22"/>
          <w:szCs w:val="22"/>
          <w:color w:val="auto"/>
        </w:rPr>
      </w:pPr>
      <w:r>
        <w:rPr>
          <w:rFonts w:ascii="Times New Roman" w:cs="Times New Roman" w:eastAsia="Times New Roman" w:hAnsi="Times New Roman"/>
          <w:sz w:val="24"/>
          <w:szCs w:val="24"/>
          <w:color w:val="auto"/>
        </w:rPr>
        <w:t>Some risks may have an impact which is qualitative though not quantitative.</w:t>
      </w:r>
    </w:p>
    <w:p>
      <w:pPr>
        <w:spacing w:after="0" w:line="151" w:lineRule="exact"/>
        <w:rPr>
          <w:rFonts w:ascii="Calibri" w:cs="Calibri" w:eastAsia="Calibri" w:hAnsi="Calibri"/>
          <w:sz w:val="22"/>
          <w:szCs w:val="22"/>
          <w:color w:val="auto"/>
        </w:rPr>
      </w:pPr>
    </w:p>
    <w:p>
      <w:pPr>
        <w:ind w:left="1648" w:hanging="568"/>
        <w:spacing w:after="0" w:line="342" w:lineRule="auto"/>
        <w:tabs>
          <w:tab w:leader="none" w:pos="1432" w:val="left"/>
        </w:tabs>
        <w:numPr>
          <w:ilvl w:val="2"/>
          <w:numId w:val="769"/>
        </w:numPr>
        <w:rPr>
          <w:rFonts w:ascii="Calibri" w:cs="Calibri" w:eastAsia="Calibri" w:hAnsi="Calibri"/>
          <w:sz w:val="22"/>
          <w:szCs w:val="22"/>
          <w:color w:val="auto"/>
        </w:rPr>
      </w:pPr>
      <w:r>
        <w:rPr>
          <w:rFonts w:ascii="Times New Roman" w:cs="Times New Roman" w:eastAsia="Times New Roman" w:hAnsi="Times New Roman"/>
          <w:sz w:val="24"/>
          <w:szCs w:val="24"/>
          <w:color w:val="auto"/>
        </w:rPr>
        <w:t>Some risks may not be material at present but may have a material impact in the future.</w:t>
      </w:r>
    </w:p>
    <w:p>
      <w:pPr>
        <w:spacing w:after="0" w:line="19" w:lineRule="exact"/>
        <w:rPr>
          <w:rFonts w:ascii="Calibri" w:cs="Calibri" w:eastAsia="Calibri" w:hAnsi="Calibri"/>
          <w:sz w:val="22"/>
          <w:szCs w:val="22"/>
          <w:color w:val="auto"/>
        </w:rPr>
      </w:pPr>
    </w:p>
    <w:p>
      <w:pPr>
        <w:ind w:left="728" w:hanging="368"/>
        <w:spacing w:after="0"/>
        <w:tabs>
          <w:tab w:leader="none" w:pos="728" w:val="left"/>
        </w:tabs>
        <w:numPr>
          <w:ilvl w:val="1"/>
          <w:numId w:val="76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Each risk factor shall appear in the following manner:</w:t>
      </w:r>
    </w:p>
    <w:p>
      <w:pPr>
        <w:spacing w:after="0" w:line="129" w:lineRule="exact"/>
        <w:rPr>
          <w:rFonts w:ascii="Times New Roman" w:cs="Times New Roman" w:eastAsia="Times New Roman" w:hAnsi="Times New Roman"/>
          <w:sz w:val="24"/>
          <w:szCs w:val="24"/>
          <w:color w:val="auto"/>
        </w:rPr>
      </w:pPr>
    </w:p>
    <w:p>
      <w:pPr>
        <w:ind w:left="1448" w:hanging="368"/>
        <w:spacing w:after="0"/>
        <w:tabs>
          <w:tab w:leader="none" w:pos="1448" w:val="left"/>
        </w:tabs>
        <w:numPr>
          <w:ilvl w:val="2"/>
          <w:numId w:val="769"/>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risk as envisaged by the issuer.</w:t>
      </w:r>
    </w:p>
    <w:p>
      <w:pPr>
        <w:spacing w:after="0" w:line="132" w:lineRule="exact"/>
        <w:rPr>
          <w:rFonts w:ascii="Calibri" w:cs="Calibri" w:eastAsia="Calibri" w:hAnsi="Calibri"/>
          <w:sz w:val="22"/>
          <w:szCs w:val="22"/>
          <w:color w:val="auto"/>
        </w:rPr>
      </w:pPr>
    </w:p>
    <w:p>
      <w:pPr>
        <w:ind w:left="1448" w:hanging="368"/>
        <w:spacing w:after="0"/>
        <w:tabs>
          <w:tab w:leader="none" w:pos="1448" w:val="left"/>
        </w:tabs>
        <w:numPr>
          <w:ilvl w:val="2"/>
          <w:numId w:val="769"/>
        </w:numPr>
        <w:rPr>
          <w:rFonts w:ascii="Calibri" w:cs="Calibri" w:eastAsia="Calibri" w:hAnsi="Calibri"/>
          <w:sz w:val="22"/>
          <w:szCs w:val="22"/>
          <w:color w:val="auto"/>
        </w:rPr>
      </w:pPr>
      <w:r>
        <w:rPr>
          <w:rFonts w:ascii="Times New Roman" w:cs="Times New Roman" w:eastAsia="Times New Roman" w:hAnsi="Times New Roman"/>
          <w:sz w:val="24"/>
          <w:szCs w:val="24"/>
          <w:color w:val="auto"/>
        </w:rPr>
        <w:t>Proposals, if any, to address the risk.</w:t>
      </w:r>
    </w:p>
    <w:p>
      <w:pPr>
        <w:spacing w:after="0" w:line="149" w:lineRule="exact"/>
        <w:rPr>
          <w:rFonts w:ascii="Calibri" w:cs="Calibri" w:eastAsia="Calibri" w:hAnsi="Calibri"/>
          <w:sz w:val="22"/>
          <w:szCs w:val="22"/>
          <w:color w:val="auto"/>
        </w:rPr>
      </w:pPr>
    </w:p>
    <w:p>
      <w:pPr>
        <w:jc w:val="both"/>
        <w:ind w:left="728" w:hanging="368"/>
        <w:spacing w:after="0" w:line="354" w:lineRule="auto"/>
        <w:tabs>
          <w:tab w:leader="none" w:pos="728" w:val="left"/>
        </w:tabs>
        <w:numPr>
          <w:ilvl w:val="1"/>
          <w:numId w:val="76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Proposals to address the risks shall not contain any speculative statement on the positive outcome of any matter or litigation, etc. and shall not be given for any matter that is sub-judice before any court/tribunal.</w:t>
      </w: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198</w:t>
      </w:r>
    </w:p>
    <w:p>
      <w:pPr>
        <w:sectPr>
          <w:pgSz w:w="11900" w:h="16836" w:orient="portrait"/>
          <w:cols w:equalWidth="0" w:num="1">
            <w:col w:w="9468"/>
          </w:cols>
          <w:pgMar w:left="1152" w:top="1156" w:right="1284" w:bottom="103" w:gutter="0" w:footer="0" w:header="0"/>
        </w:sectPr>
      </w:pPr>
    </w:p>
    <w:bookmarkStart w:id="198" w:name="page199"/>
    <w:bookmarkEnd w:id="198"/>
    <w:p>
      <w:pPr>
        <w:jc w:val="both"/>
        <w:ind w:left="440" w:hanging="368"/>
        <w:spacing w:after="0" w:line="356" w:lineRule="auto"/>
        <w:tabs>
          <w:tab w:leader="none" w:pos="440" w:val="left"/>
        </w:tabs>
        <w:numPr>
          <w:ilvl w:val="0"/>
          <w:numId w:val="77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Risk factors shall be disclosed in the descending order of materiality. Wherever risks about material impact are stated, likely or potential implications, including financial implication, wherever quantifiable shall be disclosed. If it cannot be quantified, a distinct statement about the fact that the implications cannot be quantified shall be made.</w:t>
      </w:r>
    </w:p>
    <w:p>
      <w:pPr>
        <w:spacing w:after="0" w:line="18" w:lineRule="exact"/>
        <w:rPr>
          <w:rFonts w:ascii="Times New Roman" w:cs="Times New Roman" w:eastAsia="Times New Roman" w:hAnsi="Times New Roman"/>
          <w:sz w:val="24"/>
          <w:szCs w:val="24"/>
          <w:color w:val="auto"/>
        </w:rPr>
      </w:pPr>
    </w:p>
    <w:p>
      <w:pPr>
        <w:ind w:left="440" w:hanging="368"/>
        <w:spacing w:after="0" w:line="348" w:lineRule="auto"/>
        <w:tabs>
          <w:tab w:leader="none" w:pos="500" w:val="left"/>
        </w:tabs>
        <w:numPr>
          <w:ilvl w:val="0"/>
          <w:numId w:val="77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Risk factors covering the following subjects, shall necessarily be disclosed wherever applicable:</w:t>
      </w:r>
    </w:p>
    <w:p>
      <w:pPr>
        <w:spacing w:after="0" w:line="15" w:lineRule="exact"/>
        <w:rPr>
          <w:rFonts w:ascii="Times New Roman" w:cs="Times New Roman" w:eastAsia="Times New Roman" w:hAnsi="Times New Roman"/>
          <w:sz w:val="24"/>
          <w:szCs w:val="24"/>
          <w:color w:val="auto"/>
        </w:rPr>
      </w:pPr>
    </w:p>
    <w:p>
      <w:pPr>
        <w:ind w:left="1160" w:hanging="368"/>
        <w:spacing w:after="0"/>
        <w:tabs>
          <w:tab w:leader="none" w:pos="1160" w:val="left"/>
        </w:tabs>
        <w:numPr>
          <w:ilvl w:val="1"/>
          <w:numId w:val="77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Material statutory clearances and approval that are yet to be received by the issuer;</w:t>
      </w:r>
    </w:p>
    <w:p>
      <w:pPr>
        <w:spacing w:after="0" w:line="136" w:lineRule="exact"/>
        <w:rPr>
          <w:rFonts w:ascii="Times New Roman" w:cs="Times New Roman" w:eastAsia="Times New Roman" w:hAnsi="Times New Roman"/>
          <w:sz w:val="24"/>
          <w:szCs w:val="24"/>
          <w:color w:val="auto"/>
        </w:rPr>
      </w:pPr>
    </w:p>
    <w:p>
      <w:pPr>
        <w:ind w:left="1160" w:hanging="368"/>
        <w:spacing w:after="0"/>
        <w:tabs>
          <w:tab w:leader="none" w:pos="1160" w:val="left"/>
        </w:tabs>
        <w:numPr>
          <w:ilvl w:val="1"/>
          <w:numId w:val="77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Seasonality of the business of the issuer;</w:t>
      </w:r>
    </w:p>
    <w:p>
      <w:pPr>
        <w:spacing w:after="0" w:line="152" w:lineRule="exact"/>
        <w:rPr>
          <w:rFonts w:ascii="Times New Roman" w:cs="Times New Roman" w:eastAsia="Times New Roman" w:hAnsi="Times New Roman"/>
          <w:sz w:val="24"/>
          <w:szCs w:val="24"/>
          <w:color w:val="auto"/>
        </w:rPr>
      </w:pPr>
    </w:p>
    <w:p>
      <w:pPr>
        <w:ind w:left="1160" w:hanging="368"/>
        <w:spacing w:after="0" w:line="348" w:lineRule="auto"/>
        <w:tabs>
          <w:tab w:leader="none" w:pos="1160" w:val="left"/>
        </w:tabs>
        <w:numPr>
          <w:ilvl w:val="1"/>
          <w:numId w:val="77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issue of the specified securities by the issuer within the last twelve months at a price lower than the issue price (other than bonus issues);</w:t>
      </w:r>
    </w:p>
    <w:p>
      <w:pPr>
        <w:spacing w:after="0" w:line="27" w:lineRule="exact"/>
        <w:rPr>
          <w:rFonts w:ascii="Times New Roman" w:cs="Times New Roman" w:eastAsia="Times New Roman" w:hAnsi="Times New Roman"/>
          <w:sz w:val="24"/>
          <w:szCs w:val="24"/>
          <w:color w:val="auto"/>
        </w:rPr>
      </w:pPr>
    </w:p>
    <w:p>
      <w:pPr>
        <w:jc w:val="both"/>
        <w:ind w:left="1160" w:hanging="368"/>
        <w:spacing w:after="0" w:line="354" w:lineRule="auto"/>
        <w:tabs>
          <w:tab w:leader="none" w:pos="1160" w:val="left"/>
        </w:tabs>
        <w:numPr>
          <w:ilvl w:val="1"/>
          <w:numId w:val="77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Where an object of the issue is to finance acquisitions and the acquisition targets have not been identified, details of interim use of funds and the probable date of completing the acquisitions;</w:t>
      </w:r>
    </w:p>
    <w:p>
      <w:pPr>
        <w:spacing w:after="0" w:line="19" w:lineRule="exact"/>
        <w:rPr>
          <w:rFonts w:ascii="Times New Roman" w:cs="Times New Roman" w:eastAsia="Times New Roman" w:hAnsi="Times New Roman"/>
          <w:sz w:val="24"/>
          <w:szCs w:val="24"/>
          <w:color w:val="auto"/>
        </w:rPr>
      </w:pPr>
    </w:p>
    <w:p>
      <w:pPr>
        <w:jc w:val="both"/>
        <w:ind w:left="1160" w:hanging="368"/>
        <w:spacing w:after="0" w:line="354" w:lineRule="auto"/>
        <w:tabs>
          <w:tab w:leader="none" w:pos="1160" w:val="left"/>
        </w:tabs>
        <w:numPr>
          <w:ilvl w:val="1"/>
          <w:numId w:val="77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Risk associated with orders not having been placed for plant and machinery in relation to the objects of the issue, indicating the percentage and value terms of the plant and machinery for which orders are yet to be placed</w:t>
      </w:r>
    </w:p>
    <w:p>
      <w:pPr>
        <w:spacing w:after="0" w:line="22" w:lineRule="exact"/>
        <w:rPr>
          <w:rFonts w:ascii="Times New Roman" w:cs="Times New Roman" w:eastAsia="Times New Roman" w:hAnsi="Times New Roman"/>
          <w:sz w:val="24"/>
          <w:szCs w:val="24"/>
          <w:color w:val="auto"/>
        </w:rPr>
      </w:pPr>
    </w:p>
    <w:p>
      <w:pPr>
        <w:ind w:left="1160" w:hanging="368"/>
        <w:spacing w:after="0" w:line="348" w:lineRule="auto"/>
        <w:tabs>
          <w:tab w:leader="none" w:pos="1160" w:val="left"/>
        </w:tabs>
        <w:numPr>
          <w:ilvl w:val="1"/>
          <w:numId w:val="77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Lack of significant experience of the issuer or its promoters in the industry segment for which the issue is being made;</w:t>
      </w:r>
    </w:p>
    <w:p>
      <w:pPr>
        <w:spacing w:after="0" w:line="15" w:lineRule="exact"/>
        <w:rPr>
          <w:rFonts w:ascii="Times New Roman" w:cs="Times New Roman" w:eastAsia="Times New Roman" w:hAnsi="Times New Roman"/>
          <w:sz w:val="24"/>
          <w:szCs w:val="24"/>
          <w:color w:val="auto"/>
        </w:rPr>
      </w:pPr>
    </w:p>
    <w:p>
      <w:pPr>
        <w:ind w:left="1160" w:hanging="368"/>
        <w:spacing w:after="0"/>
        <w:tabs>
          <w:tab w:leader="none" w:pos="1160" w:val="left"/>
        </w:tabs>
        <w:numPr>
          <w:ilvl w:val="1"/>
          <w:numId w:val="77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issuer has incurred losses in the last three financial years;</w:t>
      </w:r>
    </w:p>
    <w:p>
      <w:pPr>
        <w:spacing w:after="0" w:line="149" w:lineRule="exact"/>
        <w:rPr>
          <w:rFonts w:ascii="Times New Roman" w:cs="Times New Roman" w:eastAsia="Times New Roman" w:hAnsi="Times New Roman"/>
          <w:sz w:val="24"/>
          <w:szCs w:val="24"/>
          <w:color w:val="auto"/>
        </w:rPr>
      </w:pPr>
    </w:p>
    <w:p>
      <w:pPr>
        <w:jc w:val="both"/>
        <w:ind w:left="1160" w:hanging="368"/>
        <w:spacing w:after="0" w:line="354" w:lineRule="auto"/>
        <w:tabs>
          <w:tab w:leader="none" w:pos="1160" w:val="left"/>
        </w:tabs>
        <w:numPr>
          <w:ilvl w:val="1"/>
          <w:numId w:val="77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Dependence of the issuer or any of its business segments upon a single customer or a few customers, the loss of any one or more may have a material adverse effect on the issuer.</w:t>
      </w:r>
    </w:p>
    <w:p>
      <w:pPr>
        <w:spacing w:after="0" w:line="22" w:lineRule="exact"/>
        <w:rPr>
          <w:rFonts w:ascii="Times New Roman" w:cs="Times New Roman" w:eastAsia="Times New Roman" w:hAnsi="Times New Roman"/>
          <w:sz w:val="24"/>
          <w:szCs w:val="24"/>
          <w:color w:val="auto"/>
        </w:rPr>
      </w:pPr>
    </w:p>
    <w:p>
      <w:pPr>
        <w:ind w:left="1160" w:hanging="368"/>
        <w:spacing w:after="0" w:line="348" w:lineRule="auto"/>
        <w:tabs>
          <w:tab w:leader="none" w:pos="1160" w:val="left"/>
        </w:tabs>
        <w:numPr>
          <w:ilvl w:val="1"/>
          <w:numId w:val="77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Refusal of listing of any securities of the issuer or any of its subsidiaries or group companies during last ten years by any of the stock exchanges in India or abroad.</w:t>
      </w:r>
    </w:p>
    <w:p>
      <w:pPr>
        <w:spacing w:after="0" w:line="28" w:lineRule="exact"/>
        <w:rPr>
          <w:rFonts w:ascii="Times New Roman" w:cs="Times New Roman" w:eastAsia="Times New Roman" w:hAnsi="Times New Roman"/>
          <w:sz w:val="24"/>
          <w:szCs w:val="24"/>
          <w:color w:val="auto"/>
        </w:rPr>
      </w:pPr>
    </w:p>
    <w:p>
      <w:pPr>
        <w:jc w:val="both"/>
        <w:ind w:left="1160" w:hanging="368"/>
        <w:spacing w:after="0" w:line="354" w:lineRule="auto"/>
        <w:tabs>
          <w:tab w:leader="none" w:pos="1881" w:val="left"/>
        </w:tabs>
        <w:numPr>
          <w:ilvl w:val="1"/>
          <w:numId w:val="77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Failure of the issuer or any of its subsidiary or group companies to meet the listing requirements of any stock exchange in India or abroad and the details of penalty, if any, including suspension of trading, imposed by such stock exchanges.</w:t>
      </w:r>
    </w:p>
    <w:p>
      <w:pPr>
        <w:spacing w:after="0" w:line="19" w:lineRule="exact"/>
        <w:rPr>
          <w:rFonts w:ascii="Times New Roman" w:cs="Times New Roman" w:eastAsia="Times New Roman" w:hAnsi="Times New Roman"/>
          <w:sz w:val="24"/>
          <w:szCs w:val="24"/>
          <w:color w:val="auto"/>
        </w:rPr>
      </w:pPr>
    </w:p>
    <w:p>
      <w:pPr>
        <w:ind w:left="1160" w:hanging="368"/>
        <w:spacing w:after="0" w:line="350" w:lineRule="auto"/>
        <w:tabs>
          <w:tab w:leader="none" w:pos="1881" w:val="left"/>
        </w:tabs>
        <w:numPr>
          <w:ilvl w:val="1"/>
          <w:numId w:val="77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Limited or sporadic trading of any specified securities of the issuer on the stock exchanges.</w:t>
      </w:r>
    </w:p>
    <w:p>
      <w:pPr>
        <w:spacing w:after="0" w:line="23" w:lineRule="exact"/>
        <w:rPr>
          <w:rFonts w:ascii="Times New Roman" w:cs="Times New Roman" w:eastAsia="Times New Roman" w:hAnsi="Times New Roman"/>
          <w:sz w:val="24"/>
          <w:szCs w:val="24"/>
          <w:color w:val="auto"/>
        </w:rPr>
      </w:pPr>
    </w:p>
    <w:p>
      <w:pPr>
        <w:jc w:val="both"/>
        <w:ind w:left="1160" w:hanging="368"/>
        <w:spacing w:after="0" w:line="358" w:lineRule="auto"/>
        <w:tabs>
          <w:tab w:leader="none" w:pos="1881" w:val="left"/>
        </w:tabs>
        <w:numPr>
          <w:ilvl w:val="1"/>
          <w:numId w:val="77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In case of outstanding debt instruments, any default in compliance with the material covenants such as </w:t>
      </w:r>
      <w:r>
        <w:rPr>
          <w:rFonts w:ascii="Times New Roman" w:cs="Times New Roman" w:eastAsia="Times New Roman" w:hAnsi="Times New Roman"/>
          <w:sz w:val="24"/>
          <w:szCs w:val="24"/>
          <w:color w:val="auto"/>
          <w:strike w:val="1"/>
        </w:rPr>
        <w:t>in</w:t>
      </w:r>
      <w:r>
        <w:rPr>
          <w:rFonts w:ascii="Times New Roman" w:cs="Times New Roman" w:eastAsia="Times New Roman" w:hAnsi="Times New Roman"/>
          <w:sz w:val="24"/>
          <w:szCs w:val="24"/>
          <w:color w:val="auto"/>
        </w:rPr>
        <w:t xml:space="preserve"> creation of full security as per terms of issue, default in payment of interest, default in redemption, non-creation of debenture redemption reserve, default in payment of penal interest wherever applicable, non-availability or non-maintenance of asset cover, interest cover, debt-service cover, etc.</w:t>
      </w:r>
    </w:p>
    <w:p>
      <w:pPr>
        <w:spacing w:after="0" w:line="259"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199</w:t>
      </w:r>
    </w:p>
    <w:p>
      <w:pPr>
        <w:sectPr>
          <w:pgSz w:w="11900" w:h="16836" w:orient="portrait"/>
          <w:cols w:equalWidth="0" w:num="1">
            <w:col w:w="9180"/>
          </w:cols>
          <w:pgMar w:left="1440" w:top="1156" w:right="1284" w:bottom="103" w:gutter="0" w:footer="0" w:header="0"/>
        </w:sectPr>
      </w:pPr>
    </w:p>
    <w:bookmarkStart w:id="199" w:name="page200"/>
    <w:bookmarkEnd w:id="199"/>
    <w:p>
      <w:pPr>
        <w:ind w:left="1160" w:hanging="368"/>
        <w:spacing w:after="0" w:line="348" w:lineRule="auto"/>
        <w:tabs>
          <w:tab w:leader="none" w:pos="1881" w:val="left"/>
        </w:tabs>
        <w:numPr>
          <w:ilvl w:val="0"/>
          <w:numId w:val="7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Unsecured loans, if any, taken by the issuer and its subsidiaries that can be recalled at any time.</w:t>
      </w:r>
    </w:p>
    <w:p>
      <w:pPr>
        <w:spacing w:after="0" w:line="28" w:lineRule="exact"/>
        <w:rPr>
          <w:rFonts w:ascii="Times New Roman" w:cs="Times New Roman" w:eastAsia="Times New Roman" w:hAnsi="Times New Roman"/>
          <w:sz w:val="24"/>
          <w:szCs w:val="24"/>
          <w:color w:val="auto"/>
        </w:rPr>
      </w:pPr>
    </w:p>
    <w:p>
      <w:pPr>
        <w:ind w:left="1160" w:hanging="368"/>
        <w:spacing w:after="0" w:line="348" w:lineRule="auto"/>
        <w:tabs>
          <w:tab w:leader="none" w:pos="1881" w:val="left"/>
        </w:tabs>
        <w:numPr>
          <w:ilvl w:val="0"/>
          <w:numId w:val="7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Default in repayment of deposits or payment of interest thereon by the issuer and subsidiaries, and the roll over of liability, if any.</w:t>
      </w:r>
    </w:p>
    <w:p>
      <w:pPr>
        <w:spacing w:after="0" w:line="27" w:lineRule="exact"/>
        <w:rPr>
          <w:rFonts w:ascii="Times New Roman" w:cs="Times New Roman" w:eastAsia="Times New Roman" w:hAnsi="Times New Roman"/>
          <w:sz w:val="24"/>
          <w:szCs w:val="24"/>
          <w:color w:val="auto"/>
        </w:rPr>
      </w:pPr>
    </w:p>
    <w:p>
      <w:pPr>
        <w:jc w:val="both"/>
        <w:ind w:left="1160" w:hanging="368"/>
        <w:spacing w:after="0" w:line="354" w:lineRule="auto"/>
        <w:tabs>
          <w:tab w:leader="none" w:pos="1881" w:val="left"/>
        </w:tabs>
        <w:numPr>
          <w:ilvl w:val="0"/>
          <w:numId w:val="7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Potential conflict of interest of the promoters or directors of the issuer if involved with one or more ventures which are in the same line of activity or business as that of the issuer.</w:t>
      </w:r>
    </w:p>
    <w:p>
      <w:pPr>
        <w:spacing w:after="0" w:line="19" w:lineRule="exact"/>
        <w:rPr>
          <w:rFonts w:ascii="Times New Roman" w:cs="Times New Roman" w:eastAsia="Times New Roman" w:hAnsi="Times New Roman"/>
          <w:sz w:val="24"/>
          <w:szCs w:val="24"/>
          <w:color w:val="auto"/>
        </w:rPr>
      </w:pPr>
    </w:p>
    <w:p>
      <w:pPr>
        <w:jc w:val="both"/>
        <w:ind w:left="1160" w:hanging="368"/>
        <w:spacing w:after="0" w:line="357" w:lineRule="auto"/>
        <w:tabs>
          <w:tab w:leader="none" w:pos="1881" w:val="left"/>
        </w:tabs>
        <w:numPr>
          <w:ilvl w:val="0"/>
          <w:numId w:val="7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Shortfall in performance vis-à-vis the objects stated in any of the issues made by the listed issuer or listed subsidiaries in the last ten years, as disclosed under the heading "Performance vis-à-vis Objects" in the section "Other Regulatory and Statutory Disclosures", quantifying such shortfalls or delays.</w:t>
      </w:r>
    </w:p>
    <w:p>
      <w:pPr>
        <w:spacing w:after="0" w:line="14" w:lineRule="exact"/>
        <w:rPr>
          <w:rFonts w:ascii="Times New Roman" w:cs="Times New Roman" w:eastAsia="Times New Roman" w:hAnsi="Times New Roman"/>
          <w:sz w:val="24"/>
          <w:szCs w:val="24"/>
          <w:color w:val="auto"/>
        </w:rPr>
      </w:pPr>
    </w:p>
    <w:p>
      <w:pPr>
        <w:jc w:val="both"/>
        <w:ind w:left="1160" w:hanging="368"/>
        <w:spacing w:after="0" w:line="356" w:lineRule="auto"/>
        <w:tabs>
          <w:tab w:leader="none" w:pos="1881" w:val="left"/>
        </w:tabs>
        <w:numPr>
          <w:ilvl w:val="0"/>
          <w:numId w:val="7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Shortfall in performance vis-à-vis the objects stated in the issues made by any of its listed subsidiaries or listed promoter(s) in the previous five years, as disclosed under the heading "Performance vis-à-vis Objects" in the section "Other Regulatory and Statutory Disclosures", quantifying such shortfalls or delays.</w:t>
      </w:r>
    </w:p>
    <w:p>
      <w:pPr>
        <w:spacing w:after="0" w:line="18" w:lineRule="exact"/>
        <w:rPr>
          <w:rFonts w:ascii="Times New Roman" w:cs="Times New Roman" w:eastAsia="Times New Roman" w:hAnsi="Times New Roman"/>
          <w:sz w:val="24"/>
          <w:szCs w:val="24"/>
          <w:color w:val="auto"/>
        </w:rPr>
      </w:pPr>
    </w:p>
    <w:p>
      <w:pPr>
        <w:jc w:val="both"/>
        <w:ind w:left="1160" w:hanging="368"/>
        <w:spacing w:after="0" w:line="354" w:lineRule="auto"/>
        <w:tabs>
          <w:tab w:leader="none" w:pos="1881" w:val="left"/>
        </w:tabs>
        <w:numPr>
          <w:ilvl w:val="0"/>
          <w:numId w:val="7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Interests of the promoters, directors or key management personnel of the issuer, other than reimbursement of expenses incurred or normal remuneration or benefits.</w:t>
      </w:r>
    </w:p>
    <w:p>
      <w:pPr>
        <w:spacing w:after="0" w:line="22" w:lineRule="exact"/>
        <w:rPr>
          <w:rFonts w:ascii="Times New Roman" w:cs="Times New Roman" w:eastAsia="Times New Roman" w:hAnsi="Times New Roman"/>
          <w:sz w:val="24"/>
          <w:szCs w:val="24"/>
          <w:color w:val="auto"/>
        </w:rPr>
      </w:pPr>
    </w:p>
    <w:p>
      <w:pPr>
        <w:ind w:left="1160" w:hanging="368"/>
        <w:spacing w:after="0" w:line="348" w:lineRule="auto"/>
        <w:tabs>
          <w:tab w:leader="none" w:pos="1881" w:val="left"/>
        </w:tabs>
        <w:numPr>
          <w:ilvl w:val="0"/>
          <w:numId w:val="7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portion of the issue proceeds that is proposed to be paid by the issuer to the promoter, directors or key managerial personnel of the issuer.</w:t>
      </w:r>
    </w:p>
    <w:p>
      <w:pPr>
        <w:spacing w:after="0" w:line="27" w:lineRule="exact"/>
        <w:rPr>
          <w:rFonts w:ascii="Times New Roman" w:cs="Times New Roman" w:eastAsia="Times New Roman" w:hAnsi="Times New Roman"/>
          <w:sz w:val="24"/>
          <w:szCs w:val="24"/>
          <w:color w:val="auto"/>
        </w:rPr>
      </w:pPr>
    </w:p>
    <w:p>
      <w:pPr>
        <w:jc w:val="both"/>
        <w:ind w:left="1160" w:hanging="368"/>
        <w:spacing w:after="0" w:line="354" w:lineRule="auto"/>
        <w:tabs>
          <w:tab w:leader="none" w:pos="1881" w:val="left"/>
        </w:tabs>
        <w:numPr>
          <w:ilvl w:val="0"/>
          <w:numId w:val="7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Relationship of the promoter or directors of the issuer with the entities from whom the issuer has acquired or proposes to acquire land in the last 5 years, along with the relevant details.</w:t>
      </w:r>
    </w:p>
    <w:p>
      <w:pPr>
        <w:spacing w:after="0" w:line="20" w:lineRule="exact"/>
        <w:rPr>
          <w:rFonts w:ascii="Times New Roman" w:cs="Times New Roman" w:eastAsia="Times New Roman" w:hAnsi="Times New Roman"/>
          <w:sz w:val="24"/>
          <w:szCs w:val="24"/>
          <w:color w:val="auto"/>
        </w:rPr>
      </w:pPr>
    </w:p>
    <w:p>
      <w:pPr>
        <w:ind w:left="1160" w:hanging="368"/>
        <w:spacing w:after="0" w:line="350" w:lineRule="auto"/>
        <w:tabs>
          <w:tab w:leader="none" w:pos="1881" w:val="left"/>
        </w:tabs>
        <w:numPr>
          <w:ilvl w:val="0"/>
          <w:numId w:val="7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Excessive dependence on any key managerial personnel for the project for which the issue is being made.</w:t>
      </w:r>
    </w:p>
    <w:p>
      <w:pPr>
        <w:spacing w:after="0" w:line="23" w:lineRule="exact"/>
        <w:rPr>
          <w:rFonts w:ascii="Times New Roman" w:cs="Times New Roman" w:eastAsia="Times New Roman" w:hAnsi="Times New Roman"/>
          <w:sz w:val="24"/>
          <w:szCs w:val="24"/>
          <w:color w:val="auto"/>
        </w:rPr>
      </w:pPr>
    </w:p>
    <w:p>
      <w:pPr>
        <w:ind w:left="1160" w:hanging="368"/>
        <w:spacing w:after="0" w:line="350" w:lineRule="auto"/>
        <w:tabs>
          <w:tab w:leader="none" w:pos="1881" w:val="left"/>
        </w:tabs>
        <w:numPr>
          <w:ilvl w:val="0"/>
          <w:numId w:val="7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material investment in debt instruments by the issuer which are unsecured.</w:t>
      </w:r>
    </w:p>
    <w:p>
      <w:pPr>
        <w:spacing w:after="0" w:line="10" w:lineRule="exact"/>
        <w:rPr>
          <w:rFonts w:ascii="Times New Roman" w:cs="Times New Roman" w:eastAsia="Times New Roman" w:hAnsi="Times New Roman"/>
          <w:sz w:val="24"/>
          <w:szCs w:val="24"/>
          <w:color w:val="auto"/>
        </w:rPr>
      </w:pPr>
    </w:p>
    <w:p>
      <w:pPr>
        <w:ind w:left="1880" w:hanging="1088"/>
        <w:spacing w:after="0"/>
        <w:tabs>
          <w:tab w:leader="none" w:pos="1880" w:val="left"/>
        </w:tabs>
        <w:numPr>
          <w:ilvl w:val="0"/>
          <w:numId w:val="7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Non-provision for decline in the value of investments.</w:t>
      </w:r>
    </w:p>
    <w:p>
      <w:pPr>
        <w:spacing w:after="0" w:line="139" w:lineRule="exact"/>
        <w:rPr>
          <w:rFonts w:ascii="Times New Roman" w:cs="Times New Roman" w:eastAsia="Times New Roman" w:hAnsi="Times New Roman"/>
          <w:sz w:val="24"/>
          <w:szCs w:val="24"/>
          <w:color w:val="auto"/>
        </w:rPr>
      </w:pPr>
    </w:p>
    <w:p>
      <w:pPr>
        <w:ind w:left="1880" w:hanging="1088"/>
        <w:spacing w:after="0"/>
        <w:tabs>
          <w:tab w:leader="none" w:pos="1880" w:val="left"/>
        </w:tabs>
        <w:numPr>
          <w:ilvl w:val="0"/>
          <w:numId w:val="7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Summary of all outstanding litigations and other matters disclosed in the</w:t>
      </w:r>
    </w:p>
    <w:p>
      <w:pPr>
        <w:spacing w:after="0" w:line="149" w:lineRule="exact"/>
        <w:rPr>
          <w:sz w:val="20"/>
          <w:szCs w:val="20"/>
          <w:color w:val="auto"/>
        </w:rPr>
      </w:pPr>
    </w:p>
    <w:p>
      <w:pPr>
        <w:jc w:val="both"/>
        <w:ind w:left="1160"/>
        <w:spacing w:after="0" w:line="356" w:lineRule="auto"/>
        <w:rPr>
          <w:sz w:val="20"/>
          <w:szCs w:val="20"/>
          <w:color w:val="auto"/>
        </w:rPr>
      </w:pPr>
      <w:r>
        <w:rPr>
          <w:rFonts w:ascii="Times New Roman" w:cs="Times New Roman" w:eastAsia="Times New Roman" w:hAnsi="Times New Roman"/>
          <w:sz w:val="24"/>
          <w:szCs w:val="24"/>
          <w:color w:val="auto"/>
        </w:rPr>
        <w:t>section titled ‘Outstanding Litigations and Material Developments’ in a tabular format along with amount involved, where quantifiable. Issuer shall also separately highlight any criminal, regulatory or taxation matters which may have any material adverse effect on the issuer.</w:t>
      </w:r>
    </w:p>
    <w:p>
      <w:pPr>
        <w:spacing w:after="0" w:line="19" w:lineRule="exact"/>
        <w:rPr>
          <w:sz w:val="20"/>
          <w:szCs w:val="20"/>
          <w:color w:val="auto"/>
        </w:rPr>
      </w:pPr>
    </w:p>
    <w:p>
      <w:pPr>
        <w:ind w:left="1160" w:hanging="368"/>
        <w:spacing w:after="0" w:line="350" w:lineRule="auto"/>
        <w:tabs>
          <w:tab w:leader="none" w:pos="1881" w:val="left"/>
        </w:tabs>
        <w:numPr>
          <w:ilvl w:val="0"/>
          <w:numId w:val="77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delay, if any, in the schedule of the implementation of the project for which the funds are being raised in the public issue.</w:t>
      </w:r>
    </w:p>
    <w:p>
      <w:pPr>
        <w:spacing w:after="0" w:line="268"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200</w:t>
      </w:r>
    </w:p>
    <w:p>
      <w:pPr>
        <w:sectPr>
          <w:pgSz w:w="11900" w:h="16836" w:orient="portrait"/>
          <w:cols w:equalWidth="0" w:num="1">
            <w:col w:w="9180"/>
          </w:cols>
          <w:pgMar w:left="1440" w:top="1156" w:right="1284" w:bottom="103" w:gutter="0" w:footer="0" w:header="0"/>
        </w:sectPr>
      </w:pPr>
    </w:p>
    <w:bookmarkStart w:id="200" w:name="page201"/>
    <w:bookmarkEnd w:id="200"/>
    <w:p>
      <w:pPr>
        <w:jc w:val="both"/>
        <w:ind w:left="1448" w:hanging="368"/>
        <w:spacing w:after="0" w:line="354" w:lineRule="auto"/>
        <w:tabs>
          <w:tab w:leader="none" w:pos="2168" w:val="left"/>
        </w:tabs>
        <w:numPr>
          <w:ilvl w:val="2"/>
          <w:numId w:val="77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monitoring agency is not required to be appointed as per these Regulations, the statement that deployment of the issue proceeds is entirely at the discretion of the issuer.</w:t>
      </w:r>
    </w:p>
    <w:p>
      <w:pPr>
        <w:spacing w:after="0" w:line="7" w:lineRule="exact"/>
        <w:rPr>
          <w:rFonts w:ascii="Times New Roman" w:cs="Times New Roman" w:eastAsia="Times New Roman" w:hAnsi="Times New Roman"/>
          <w:sz w:val="24"/>
          <w:szCs w:val="24"/>
          <w:color w:val="auto"/>
        </w:rPr>
      </w:pPr>
    </w:p>
    <w:p>
      <w:pPr>
        <w:ind w:left="2168" w:hanging="1088"/>
        <w:spacing w:after="0"/>
        <w:tabs>
          <w:tab w:leader="none" w:pos="2168" w:val="left"/>
        </w:tabs>
        <w:numPr>
          <w:ilvl w:val="2"/>
          <w:numId w:val="77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Negative  cash flow  from operating activities in the last three  financial</w:t>
      </w:r>
    </w:p>
    <w:p>
      <w:pPr>
        <w:spacing w:after="0" w:line="139" w:lineRule="exact"/>
        <w:rPr>
          <w:rFonts w:ascii="Times New Roman" w:cs="Times New Roman" w:eastAsia="Times New Roman" w:hAnsi="Times New Roman"/>
          <w:sz w:val="24"/>
          <w:szCs w:val="24"/>
          <w:color w:val="auto"/>
        </w:rPr>
      </w:pPr>
    </w:p>
    <w:p>
      <w:pPr>
        <w:ind w:left="1448"/>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years.</w:t>
      </w:r>
    </w:p>
    <w:p>
      <w:pPr>
        <w:spacing w:after="0" w:line="149" w:lineRule="exact"/>
        <w:rPr>
          <w:rFonts w:ascii="Times New Roman" w:cs="Times New Roman" w:eastAsia="Times New Roman" w:hAnsi="Times New Roman"/>
          <w:sz w:val="24"/>
          <w:szCs w:val="24"/>
          <w:color w:val="auto"/>
        </w:rPr>
      </w:pPr>
    </w:p>
    <w:p>
      <w:pPr>
        <w:ind w:left="1448" w:hanging="368"/>
        <w:spacing w:after="0" w:line="350" w:lineRule="auto"/>
        <w:tabs>
          <w:tab w:leader="none" w:pos="2168" w:val="left"/>
        </w:tabs>
        <w:numPr>
          <w:ilvl w:val="2"/>
          <w:numId w:val="77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land proposed to be acquired from proceeds of the issue is not registered in the name of the issuer.</w:t>
      </w:r>
    </w:p>
    <w:p>
      <w:pPr>
        <w:spacing w:after="0" w:line="23" w:lineRule="exact"/>
        <w:rPr>
          <w:rFonts w:ascii="Times New Roman" w:cs="Times New Roman" w:eastAsia="Times New Roman" w:hAnsi="Times New Roman"/>
          <w:sz w:val="24"/>
          <w:szCs w:val="24"/>
          <w:color w:val="auto"/>
        </w:rPr>
      </w:pPr>
    </w:p>
    <w:p>
      <w:pPr>
        <w:jc w:val="both"/>
        <w:ind w:left="1448" w:hanging="368"/>
        <w:spacing w:after="0" w:line="354" w:lineRule="auto"/>
        <w:tabs>
          <w:tab w:leader="none" w:pos="2168" w:val="left"/>
        </w:tabs>
        <w:numPr>
          <w:ilvl w:val="2"/>
          <w:numId w:val="77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restrictive covenants as regards the interests of the equity shareholders in any shareholders' agreement, promoters' agreement or any other agreement for short term (secured and unsecured) and long term borrowings.</w:t>
      </w:r>
    </w:p>
    <w:p>
      <w:pPr>
        <w:spacing w:after="0" w:line="22" w:lineRule="exact"/>
        <w:rPr>
          <w:rFonts w:ascii="Times New Roman" w:cs="Times New Roman" w:eastAsia="Times New Roman" w:hAnsi="Times New Roman"/>
          <w:sz w:val="24"/>
          <w:szCs w:val="24"/>
          <w:color w:val="auto"/>
        </w:rPr>
      </w:pPr>
    </w:p>
    <w:p>
      <w:pPr>
        <w:jc w:val="both"/>
        <w:ind w:left="1448" w:hanging="368"/>
        <w:spacing w:after="0" w:line="354" w:lineRule="auto"/>
        <w:tabs>
          <w:tab w:leader="none" w:pos="2168" w:val="left"/>
        </w:tabs>
        <w:numPr>
          <w:ilvl w:val="2"/>
          <w:numId w:val="77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Existence of a large number of pending investor grievances against the issuer, listed subsidiaries and top 5 listed group companies by market capitalisation.</w:t>
      </w:r>
    </w:p>
    <w:p>
      <w:pPr>
        <w:spacing w:after="0" w:line="19" w:lineRule="exact"/>
        <w:rPr>
          <w:rFonts w:ascii="Times New Roman" w:cs="Times New Roman" w:eastAsia="Times New Roman" w:hAnsi="Times New Roman"/>
          <w:sz w:val="24"/>
          <w:szCs w:val="24"/>
          <w:color w:val="auto"/>
        </w:rPr>
      </w:pPr>
    </w:p>
    <w:p>
      <w:pPr>
        <w:jc w:val="both"/>
        <w:ind w:left="1448" w:hanging="368"/>
        <w:spacing w:after="0" w:line="354" w:lineRule="auto"/>
        <w:tabs>
          <w:tab w:leader="none" w:pos="2168" w:val="left"/>
        </w:tabs>
        <w:numPr>
          <w:ilvl w:val="2"/>
          <w:numId w:val="77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issue of secured convertible debt instruments, risks associated with second or residual charge or subordinated obligation created on the asset cover.</w:t>
      </w:r>
    </w:p>
    <w:p>
      <w:pPr>
        <w:spacing w:after="0" w:line="200" w:lineRule="exact"/>
        <w:rPr>
          <w:rFonts w:ascii="Times New Roman" w:cs="Times New Roman" w:eastAsia="Times New Roman" w:hAnsi="Times New Roman"/>
          <w:sz w:val="24"/>
          <w:szCs w:val="24"/>
          <w:color w:val="auto"/>
        </w:rPr>
      </w:pPr>
    </w:p>
    <w:p>
      <w:pPr>
        <w:spacing w:after="0" w:line="227" w:lineRule="exact"/>
        <w:rPr>
          <w:rFonts w:ascii="Times New Roman" w:cs="Times New Roman" w:eastAsia="Times New Roman" w:hAnsi="Times New Roman"/>
          <w:sz w:val="24"/>
          <w:szCs w:val="24"/>
          <w:color w:val="auto"/>
        </w:rPr>
      </w:pPr>
    </w:p>
    <w:p>
      <w:pPr>
        <w:ind w:left="368" w:hanging="368"/>
        <w:spacing w:after="0"/>
        <w:tabs>
          <w:tab w:leader="none" w:pos="368" w:val="left"/>
        </w:tabs>
        <w:numPr>
          <w:ilvl w:val="0"/>
          <w:numId w:val="774"/>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b w:val="1"/>
          <w:bCs w:val="1"/>
          <w:color w:val="auto"/>
        </w:rPr>
        <w:t>Introduction:</w:t>
      </w:r>
    </w:p>
    <w:p>
      <w:pPr>
        <w:spacing w:after="0" w:line="127"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774"/>
        </w:numPr>
        <w:rPr>
          <w:rFonts w:ascii="Calibri" w:cs="Calibri" w:eastAsia="Calibri" w:hAnsi="Calibri"/>
          <w:sz w:val="22"/>
          <w:szCs w:val="22"/>
          <w:color w:val="auto"/>
        </w:rPr>
      </w:pPr>
      <w:r>
        <w:rPr>
          <w:rFonts w:ascii="Times New Roman" w:cs="Times New Roman" w:eastAsia="Times New Roman" w:hAnsi="Times New Roman"/>
          <w:sz w:val="24"/>
          <w:szCs w:val="24"/>
          <w:color w:val="auto"/>
        </w:rPr>
        <w:t>Issue details in brief.</w:t>
      </w:r>
    </w:p>
    <w:p>
      <w:pPr>
        <w:spacing w:after="0" w:line="129" w:lineRule="exact"/>
        <w:rPr>
          <w:rFonts w:ascii="Calibri" w:cs="Calibri" w:eastAsia="Calibri" w:hAnsi="Calibri"/>
          <w:sz w:val="22"/>
          <w:szCs w:val="22"/>
          <w:color w:val="auto"/>
        </w:rPr>
      </w:pPr>
    </w:p>
    <w:p>
      <w:pPr>
        <w:ind w:left="728" w:hanging="368"/>
        <w:spacing w:after="0"/>
        <w:tabs>
          <w:tab w:leader="none" w:pos="728" w:val="left"/>
        </w:tabs>
        <w:numPr>
          <w:ilvl w:val="1"/>
          <w:numId w:val="774"/>
        </w:numPr>
        <w:rPr>
          <w:rFonts w:ascii="Calibri" w:cs="Calibri" w:eastAsia="Calibri" w:hAnsi="Calibri"/>
          <w:sz w:val="22"/>
          <w:szCs w:val="22"/>
          <w:color w:val="auto"/>
        </w:rPr>
      </w:pPr>
      <w:r>
        <w:rPr>
          <w:rFonts w:ascii="Times New Roman" w:cs="Times New Roman" w:eastAsia="Times New Roman" w:hAnsi="Times New Roman"/>
          <w:sz w:val="24"/>
          <w:szCs w:val="24"/>
          <w:color w:val="auto"/>
        </w:rPr>
        <w:t>Summary of consolidated financial information.</w:t>
      </w:r>
    </w:p>
    <w:p>
      <w:pPr>
        <w:spacing w:after="0" w:line="200" w:lineRule="exact"/>
        <w:rPr>
          <w:rFonts w:ascii="Calibri" w:cs="Calibri" w:eastAsia="Calibri" w:hAnsi="Calibri"/>
          <w:sz w:val="22"/>
          <w:szCs w:val="22"/>
          <w:color w:val="auto"/>
        </w:rPr>
      </w:pPr>
    </w:p>
    <w:p>
      <w:pPr>
        <w:spacing w:after="0" w:line="356" w:lineRule="exact"/>
        <w:rPr>
          <w:rFonts w:ascii="Calibri" w:cs="Calibri" w:eastAsia="Calibri" w:hAnsi="Calibri"/>
          <w:sz w:val="22"/>
          <w:szCs w:val="22"/>
          <w:color w:val="auto"/>
        </w:rPr>
      </w:pPr>
    </w:p>
    <w:p>
      <w:pPr>
        <w:ind w:left="368" w:hanging="368"/>
        <w:spacing w:after="0"/>
        <w:tabs>
          <w:tab w:leader="none" w:pos="368" w:val="left"/>
        </w:tabs>
        <w:numPr>
          <w:ilvl w:val="0"/>
          <w:numId w:val="774"/>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b w:val="1"/>
          <w:bCs w:val="1"/>
          <w:color w:val="auto"/>
        </w:rPr>
        <w:t>General information:</w:t>
      </w:r>
    </w:p>
    <w:p>
      <w:pPr>
        <w:spacing w:after="0" w:line="146" w:lineRule="exact"/>
        <w:rPr>
          <w:rFonts w:ascii="Times New Roman" w:cs="Times New Roman" w:eastAsia="Times New Roman" w:hAnsi="Times New Roman"/>
          <w:sz w:val="22"/>
          <w:szCs w:val="22"/>
          <w:color w:val="auto"/>
        </w:rPr>
      </w:pPr>
    </w:p>
    <w:p>
      <w:pPr>
        <w:ind w:left="728" w:hanging="368"/>
        <w:spacing w:after="0" w:line="342" w:lineRule="auto"/>
        <w:tabs>
          <w:tab w:leader="none" w:pos="728" w:val="left"/>
        </w:tabs>
        <w:numPr>
          <w:ilvl w:val="1"/>
          <w:numId w:val="774"/>
        </w:numPr>
        <w:rPr>
          <w:rFonts w:ascii="Calibri" w:cs="Calibri" w:eastAsia="Calibri" w:hAnsi="Calibri"/>
          <w:sz w:val="22"/>
          <w:szCs w:val="22"/>
          <w:color w:val="auto"/>
        </w:rPr>
      </w:pPr>
      <w:r>
        <w:rPr>
          <w:rFonts w:ascii="Times New Roman" w:cs="Times New Roman" w:eastAsia="Times New Roman" w:hAnsi="Times New Roman"/>
          <w:sz w:val="24"/>
          <w:szCs w:val="24"/>
          <w:color w:val="auto"/>
        </w:rPr>
        <w:t>Name and address of the registered and corporate offices, the registration number of the issuer, and the address of the Registrar of Companies where the issuer is registered.</w:t>
      </w:r>
    </w:p>
    <w:p>
      <w:pPr>
        <w:spacing w:after="0" w:line="31" w:lineRule="exact"/>
        <w:rPr>
          <w:rFonts w:ascii="Calibri" w:cs="Calibri" w:eastAsia="Calibri" w:hAnsi="Calibri"/>
          <w:sz w:val="22"/>
          <w:szCs w:val="22"/>
          <w:color w:val="auto"/>
        </w:rPr>
      </w:pPr>
    </w:p>
    <w:p>
      <w:pPr>
        <w:ind w:left="728" w:hanging="368"/>
        <w:spacing w:after="0" w:line="342" w:lineRule="auto"/>
        <w:tabs>
          <w:tab w:leader="none" w:pos="728" w:val="left"/>
        </w:tabs>
        <w:numPr>
          <w:ilvl w:val="1"/>
          <w:numId w:val="774"/>
        </w:numPr>
        <w:rPr>
          <w:rFonts w:ascii="Calibri" w:cs="Calibri" w:eastAsia="Calibri" w:hAnsi="Calibri"/>
          <w:sz w:val="22"/>
          <w:szCs w:val="22"/>
          <w:color w:val="auto"/>
        </w:rPr>
      </w:pPr>
      <w:r>
        <w:rPr>
          <w:rFonts w:ascii="Times New Roman" w:cs="Times New Roman" w:eastAsia="Times New Roman" w:hAnsi="Times New Roman"/>
          <w:sz w:val="24"/>
          <w:szCs w:val="24"/>
          <w:color w:val="auto"/>
        </w:rPr>
        <w:t>Name, designation, address and DIN of each member of the board of directors of the issuer</w:t>
      </w:r>
    </w:p>
    <w:p>
      <w:pPr>
        <w:spacing w:after="0" w:line="31" w:lineRule="exact"/>
        <w:rPr>
          <w:rFonts w:ascii="Calibri" w:cs="Calibri" w:eastAsia="Calibri" w:hAnsi="Calibri"/>
          <w:sz w:val="22"/>
          <w:szCs w:val="22"/>
          <w:color w:val="auto"/>
        </w:rPr>
      </w:pPr>
    </w:p>
    <w:p>
      <w:pPr>
        <w:ind w:left="728" w:hanging="368"/>
        <w:spacing w:after="0" w:line="342" w:lineRule="auto"/>
        <w:tabs>
          <w:tab w:leader="none" w:pos="728" w:val="left"/>
        </w:tabs>
        <w:numPr>
          <w:ilvl w:val="1"/>
          <w:numId w:val="774"/>
        </w:numPr>
        <w:rPr>
          <w:rFonts w:ascii="Calibri" w:cs="Calibri" w:eastAsia="Calibri" w:hAnsi="Calibri"/>
          <w:sz w:val="22"/>
          <w:szCs w:val="22"/>
          <w:color w:val="auto"/>
        </w:rPr>
      </w:pPr>
      <w:r>
        <w:rPr>
          <w:rFonts w:ascii="Times New Roman" w:cs="Times New Roman" w:eastAsia="Times New Roman" w:hAnsi="Times New Roman"/>
          <w:sz w:val="24"/>
          <w:szCs w:val="24"/>
          <w:color w:val="auto"/>
        </w:rPr>
        <w:t>Names, addresses, telephone numbers and e-mail addresses of the Company Secretary, legal advisor and bankers to the issuer.</w:t>
      </w:r>
    </w:p>
    <w:p>
      <w:pPr>
        <w:spacing w:after="0" w:line="11" w:lineRule="exact"/>
        <w:rPr>
          <w:rFonts w:ascii="Calibri" w:cs="Calibri" w:eastAsia="Calibri" w:hAnsi="Calibri"/>
          <w:sz w:val="22"/>
          <w:szCs w:val="22"/>
          <w:color w:val="auto"/>
        </w:rPr>
      </w:pPr>
    </w:p>
    <w:p>
      <w:pPr>
        <w:ind w:left="728" w:hanging="368"/>
        <w:spacing w:after="0"/>
        <w:tabs>
          <w:tab w:leader="none" w:pos="728" w:val="left"/>
        </w:tabs>
        <w:numPr>
          <w:ilvl w:val="1"/>
          <w:numId w:val="774"/>
        </w:numPr>
        <w:rPr>
          <w:rFonts w:ascii="Calibri" w:cs="Calibri" w:eastAsia="Calibri" w:hAnsi="Calibri"/>
          <w:sz w:val="22"/>
          <w:szCs w:val="22"/>
          <w:color w:val="auto"/>
        </w:rPr>
      </w:pPr>
      <w:r>
        <w:rPr>
          <w:rFonts w:ascii="Times New Roman" w:cs="Times New Roman" w:eastAsia="Times New Roman" w:hAnsi="Times New Roman"/>
          <w:sz w:val="24"/>
          <w:szCs w:val="24"/>
          <w:color w:val="auto"/>
        </w:rPr>
        <w:t>Name, address, telephone number and e-mail address of the compliance officer.</w:t>
      </w:r>
    </w:p>
    <w:p>
      <w:pPr>
        <w:spacing w:after="0" w:line="149" w:lineRule="exact"/>
        <w:rPr>
          <w:rFonts w:ascii="Calibri" w:cs="Calibri" w:eastAsia="Calibri" w:hAnsi="Calibri"/>
          <w:sz w:val="22"/>
          <w:szCs w:val="22"/>
          <w:color w:val="auto"/>
        </w:rPr>
      </w:pPr>
    </w:p>
    <w:p>
      <w:pPr>
        <w:jc w:val="both"/>
        <w:ind w:left="728" w:hanging="368"/>
        <w:spacing w:after="0" w:line="355" w:lineRule="auto"/>
        <w:tabs>
          <w:tab w:leader="none" w:pos="728" w:val="left"/>
        </w:tabs>
        <w:numPr>
          <w:ilvl w:val="1"/>
          <w:numId w:val="774"/>
        </w:numPr>
        <w:rPr>
          <w:rFonts w:ascii="Calibri" w:cs="Calibri" w:eastAsia="Calibri" w:hAnsi="Calibri"/>
          <w:sz w:val="22"/>
          <w:szCs w:val="22"/>
          <w:color w:val="auto"/>
        </w:rPr>
      </w:pPr>
      <w:r>
        <w:rPr>
          <w:rFonts w:ascii="Times New Roman" w:cs="Times New Roman" w:eastAsia="Times New Roman" w:hAnsi="Times New Roman"/>
          <w:sz w:val="24"/>
          <w:szCs w:val="24"/>
          <w:color w:val="auto"/>
        </w:rPr>
        <w:t>Names, addresses, telephone numbers, contact person, website addresses and e-mail addresses of the lead manager(s), registrars to the issue, bankers to the issue, brokers to the issue and syndicate member(s); URL of SEBI website listing out the details of self certified syndicate banks, registrar to the issue and share transfer agents, depository participants, etc.</w:t>
      </w: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201</w:t>
      </w:r>
    </w:p>
    <w:p>
      <w:pPr>
        <w:sectPr>
          <w:pgSz w:w="11900" w:h="16836" w:orient="portrait"/>
          <w:cols w:equalWidth="0" w:num="1">
            <w:col w:w="9468"/>
          </w:cols>
          <w:pgMar w:left="1152" w:top="1156" w:right="1284" w:bottom="103" w:gutter="0" w:footer="0" w:header="0"/>
        </w:sectPr>
      </w:pPr>
    </w:p>
    <w:bookmarkStart w:id="201" w:name="page202"/>
    <w:bookmarkEnd w:id="201"/>
    <w:p>
      <w:pPr>
        <w:ind w:left="440" w:hanging="368"/>
        <w:spacing w:after="0" w:line="342" w:lineRule="auto"/>
        <w:tabs>
          <w:tab w:leader="none" w:pos="440" w:val="left"/>
        </w:tabs>
        <w:numPr>
          <w:ilvl w:val="0"/>
          <w:numId w:val="775"/>
        </w:numPr>
        <w:rPr>
          <w:rFonts w:ascii="Calibri" w:cs="Calibri" w:eastAsia="Calibri" w:hAnsi="Calibri"/>
          <w:sz w:val="22"/>
          <w:szCs w:val="22"/>
          <w:color w:val="auto"/>
        </w:rPr>
      </w:pPr>
      <w:r>
        <w:rPr>
          <w:rFonts w:ascii="Times New Roman" w:cs="Times New Roman" w:eastAsia="Times New Roman" w:hAnsi="Times New Roman"/>
          <w:sz w:val="24"/>
          <w:szCs w:val="24"/>
          <w:color w:val="auto"/>
        </w:rPr>
        <w:t>Names, addresses, telephone numbers peer review number, firm registration number and e-mail addresses of the auditors of the issuer.</w:t>
      </w:r>
    </w:p>
    <w:p>
      <w:pPr>
        <w:spacing w:after="0" w:line="12" w:lineRule="exact"/>
        <w:rPr>
          <w:rFonts w:ascii="Calibri" w:cs="Calibri" w:eastAsia="Calibri" w:hAnsi="Calibri"/>
          <w:sz w:val="22"/>
          <w:szCs w:val="22"/>
          <w:color w:val="auto"/>
        </w:rPr>
      </w:pPr>
    </w:p>
    <w:p>
      <w:pPr>
        <w:ind w:left="440" w:hanging="368"/>
        <w:spacing w:after="0"/>
        <w:tabs>
          <w:tab w:leader="none" w:pos="440" w:val="left"/>
        </w:tabs>
        <w:numPr>
          <w:ilvl w:val="0"/>
          <w:numId w:val="775"/>
        </w:numPr>
        <w:rPr>
          <w:rFonts w:ascii="Calibri" w:cs="Calibri" w:eastAsia="Calibri" w:hAnsi="Calibri"/>
          <w:sz w:val="22"/>
          <w:szCs w:val="22"/>
          <w:color w:val="auto"/>
        </w:rPr>
      </w:pPr>
      <w:r>
        <w:rPr>
          <w:rFonts w:ascii="Times New Roman" w:cs="Times New Roman" w:eastAsia="Times New Roman" w:hAnsi="Times New Roman"/>
          <w:sz w:val="24"/>
          <w:szCs w:val="24"/>
          <w:color w:val="auto"/>
        </w:rPr>
        <w:t>Statement of inter-se allocation of responsibilities among lead manager(s).</w:t>
      </w:r>
    </w:p>
    <w:p>
      <w:pPr>
        <w:spacing w:after="0" w:line="129" w:lineRule="exact"/>
        <w:rPr>
          <w:rFonts w:ascii="Calibri" w:cs="Calibri" w:eastAsia="Calibri" w:hAnsi="Calibri"/>
          <w:sz w:val="22"/>
          <w:szCs w:val="22"/>
          <w:color w:val="auto"/>
        </w:rPr>
      </w:pPr>
    </w:p>
    <w:p>
      <w:pPr>
        <w:ind w:left="440" w:hanging="368"/>
        <w:spacing w:after="0"/>
        <w:tabs>
          <w:tab w:leader="none" w:pos="440" w:val="left"/>
        </w:tabs>
        <w:numPr>
          <w:ilvl w:val="0"/>
          <w:numId w:val="775"/>
        </w:numPr>
        <w:rPr>
          <w:rFonts w:ascii="Calibri" w:cs="Calibri" w:eastAsia="Calibri" w:hAnsi="Calibri"/>
          <w:sz w:val="22"/>
          <w:szCs w:val="22"/>
          <w:color w:val="auto"/>
        </w:rPr>
      </w:pPr>
      <w:r>
        <w:rPr>
          <w:rFonts w:ascii="Times New Roman" w:cs="Times New Roman" w:eastAsia="Times New Roman" w:hAnsi="Times New Roman"/>
          <w:sz w:val="24"/>
          <w:szCs w:val="24"/>
          <w:color w:val="auto"/>
        </w:rPr>
        <w:t>Following details of credit rating in case of a public issue of convertible debt instruments:</w:t>
      </w:r>
    </w:p>
    <w:p>
      <w:pPr>
        <w:spacing w:after="0" w:line="151" w:lineRule="exact"/>
        <w:rPr>
          <w:rFonts w:ascii="Calibri" w:cs="Calibri" w:eastAsia="Calibri" w:hAnsi="Calibri"/>
          <w:sz w:val="22"/>
          <w:szCs w:val="22"/>
          <w:color w:val="auto"/>
        </w:rPr>
      </w:pPr>
    </w:p>
    <w:p>
      <w:pPr>
        <w:ind w:left="1160" w:hanging="728"/>
        <w:spacing w:after="0" w:line="348" w:lineRule="auto"/>
        <w:tabs>
          <w:tab w:leader="none" w:pos="1160" w:val="left"/>
        </w:tabs>
        <w:numPr>
          <w:ilvl w:val="1"/>
          <w:numId w:val="77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names of all the credit rating agencies from which credit rating including unaccepted rating has been obtained for the issue of convertible debt instruments.</w:t>
      </w:r>
    </w:p>
    <w:p>
      <w:pPr>
        <w:spacing w:after="0" w:line="27" w:lineRule="exact"/>
        <w:rPr>
          <w:rFonts w:ascii="Times New Roman" w:cs="Times New Roman" w:eastAsia="Times New Roman" w:hAnsi="Times New Roman"/>
          <w:sz w:val="24"/>
          <w:szCs w:val="24"/>
          <w:color w:val="auto"/>
        </w:rPr>
      </w:pPr>
    </w:p>
    <w:p>
      <w:pPr>
        <w:ind w:left="1160" w:hanging="728"/>
        <w:spacing w:after="0" w:line="348" w:lineRule="auto"/>
        <w:tabs>
          <w:tab w:leader="none" w:pos="1160" w:val="left"/>
        </w:tabs>
        <w:numPr>
          <w:ilvl w:val="1"/>
          <w:numId w:val="77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all credit ratings, including unaccepted ratings, obtained for the public issue of convertible debt instruments.</w:t>
      </w:r>
    </w:p>
    <w:p>
      <w:pPr>
        <w:spacing w:after="0" w:line="28" w:lineRule="exact"/>
        <w:rPr>
          <w:rFonts w:ascii="Times New Roman" w:cs="Times New Roman" w:eastAsia="Times New Roman" w:hAnsi="Times New Roman"/>
          <w:sz w:val="24"/>
          <w:szCs w:val="24"/>
          <w:color w:val="auto"/>
        </w:rPr>
      </w:pPr>
    </w:p>
    <w:p>
      <w:pPr>
        <w:jc w:val="both"/>
        <w:ind w:left="1160" w:hanging="728"/>
        <w:spacing w:after="0" w:line="356" w:lineRule="auto"/>
        <w:tabs>
          <w:tab w:leader="none" w:pos="1160" w:val="left"/>
        </w:tabs>
        <w:numPr>
          <w:ilvl w:val="1"/>
          <w:numId w:val="77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All credit ratings obtained during the preceding three years prior to the filing the draft offer document/offer document for any of the issuer’s listed convertible debt instruments at the time of accessing the market through a convertible debt instrument.</w:t>
      </w:r>
    </w:p>
    <w:p>
      <w:pPr>
        <w:ind w:left="440" w:hanging="368"/>
        <w:spacing w:after="0"/>
        <w:tabs>
          <w:tab w:leader="none" w:pos="440" w:val="left"/>
        </w:tabs>
        <w:numPr>
          <w:ilvl w:val="0"/>
          <w:numId w:val="775"/>
        </w:numPr>
        <w:rPr>
          <w:rFonts w:ascii="Calibri" w:cs="Calibri" w:eastAsia="Calibri" w:hAnsi="Calibri"/>
          <w:sz w:val="22"/>
          <w:szCs w:val="22"/>
          <w:color w:val="auto"/>
        </w:rPr>
      </w:pPr>
      <w:r>
        <w:rPr>
          <w:rFonts w:ascii="Times New Roman" w:cs="Times New Roman" w:eastAsia="Times New Roman" w:hAnsi="Times New Roman"/>
          <w:sz w:val="24"/>
          <w:szCs w:val="24"/>
          <w:color w:val="auto"/>
        </w:rPr>
        <w:t>Following details of IPO grading, if obtained:</w:t>
      </w:r>
    </w:p>
    <w:p>
      <w:pPr>
        <w:spacing w:after="0" w:line="136" w:lineRule="exact"/>
        <w:rPr>
          <w:rFonts w:ascii="Calibri" w:cs="Calibri" w:eastAsia="Calibri" w:hAnsi="Calibri"/>
          <w:sz w:val="22"/>
          <w:szCs w:val="22"/>
          <w:color w:val="auto"/>
        </w:rPr>
      </w:pPr>
    </w:p>
    <w:p>
      <w:pPr>
        <w:ind w:left="1160" w:hanging="728"/>
        <w:spacing w:after="0"/>
        <w:tabs>
          <w:tab w:leader="none" w:pos="1160" w:val="left"/>
        </w:tabs>
        <w:numPr>
          <w:ilvl w:val="1"/>
          <w:numId w:val="77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Names of all credit rating agencies from which IPO grading has been obtained.</w:t>
      </w:r>
    </w:p>
    <w:p>
      <w:pPr>
        <w:spacing w:after="0" w:line="139" w:lineRule="exact"/>
        <w:rPr>
          <w:rFonts w:ascii="Times New Roman" w:cs="Times New Roman" w:eastAsia="Times New Roman" w:hAnsi="Times New Roman"/>
          <w:sz w:val="24"/>
          <w:szCs w:val="24"/>
          <w:color w:val="auto"/>
        </w:rPr>
      </w:pPr>
    </w:p>
    <w:p>
      <w:pPr>
        <w:ind w:left="1160" w:hanging="728"/>
        <w:spacing w:after="0"/>
        <w:tabs>
          <w:tab w:leader="none" w:pos="1160" w:val="left"/>
        </w:tabs>
        <w:numPr>
          <w:ilvl w:val="1"/>
          <w:numId w:val="77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all grades obtained from such credit rating agencies.</w:t>
      </w:r>
    </w:p>
    <w:p>
      <w:pPr>
        <w:spacing w:after="0" w:line="149" w:lineRule="exact"/>
        <w:rPr>
          <w:rFonts w:ascii="Times New Roman" w:cs="Times New Roman" w:eastAsia="Times New Roman" w:hAnsi="Times New Roman"/>
          <w:sz w:val="24"/>
          <w:szCs w:val="24"/>
          <w:color w:val="auto"/>
        </w:rPr>
      </w:pPr>
    </w:p>
    <w:p>
      <w:pPr>
        <w:ind w:left="1160" w:hanging="728"/>
        <w:spacing w:after="0" w:line="350" w:lineRule="auto"/>
        <w:tabs>
          <w:tab w:leader="none" w:pos="1160" w:val="left"/>
        </w:tabs>
        <w:numPr>
          <w:ilvl w:val="1"/>
          <w:numId w:val="77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Rationale or description of the grading(s), as furnished by the credit rating agencies.</w:t>
      </w:r>
    </w:p>
    <w:p>
      <w:pPr>
        <w:spacing w:after="0" w:line="23" w:lineRule="exact"/>
        <w:rPr>
          <w:rFonts w:ascii="Times New Roman" w:cs="Times New Roman" w:eastAsia="Times New Roman" w:hAnsi="Times New Roman"/>
          <w:sz w:val="24"/>
          <w:szCs w:val="24"/>
          <w:color w:val="auto"/>
        </w:rPr>
      </w:pPr>
    </w:p>
    <w:p>
      <w:pPr>
        <w:ind w:left="440" w:hanging="368"/>
        <w:spacing w:after="0" w:line="344" w:lineRule="auto"/>
        <w:tabs>
          <w:tab w:leader="none" w:pos="440" w:val="left"/>
        </w:tabs>
        <w:numPr>
          <w:ilvl w:val="0"/>
          <w:numId w:val="775"/>
        </w:numPr>
        <w:rPr>
          <w:rFonts w:ascii="Calibri" w:cs="Calibri" w:eastAsia="Calibri" w:hAnsi="Calibri"/>
          <w:sz w:val="22"/>
          <w:szCs w:val="22"/>
          <w:color w:val="auto"/>
        </w:rPr>
      </w:pPr>
      <w:r>
        <w:rPr>
          <w:rFonts w:ascii="Times New Roman" w:cs="Times New Roman" w:eastAsia="Times New Roman" w:hAnsi="Times New Roman"/>
          <w:sz w:val="24"/>
          <w:szCs w:val="24"/>
          <w:color w:val="auto"/>
        </w:rPr>
        <w:t>Name, address, telephone number, website address and e-mail address of the debenture trustee, in case of a public issue of convertible debt instruments.</w:t>
      </w:r>
    </w:p>
    <w:p>
      <w:pPr>
        <w:spacing w:after="0" w:line="26" w:lineRule="exact"/>
        <w:rPr>
          <w:rFonts w:ascii="Calibri" w:cs="Calibri" w:eastAsia="Calibri" w:hAnsi="Calibri"/>
          <w:sz w:val="22"/>
          <w:szCs w:val="22"/>
          <w:color w:val="auto"/>
        </w:rPr>
      </w:pPr>
    </w:p>
    <w:p>
      <w:pPr>
        <w:ind w:left="440" w:hanging="368"/>
        <w:spacing w:after="0" w:line="344" w:lineRule="auto"/>
        <w:tabs>
          <w:tab w:leader="none" w:pos="440" w:val="left"/>
        </w:tabs>
        <w:numPr>
          <w:ilvl w:val="0"/>
          <w:numId w:val="775"/>
        </w:numPr>
        <w:rPr>
          <w:rFonts w:ascii="Calibri" w:cs="Calibri" w:eastAsia="Calibri" w:hAnsi="Calibri"/>
          <w:sz w:val="22"/>
          <w:szCs w:val="22"/>
          <w:color w:val="auto"/>
        </w:rPr>
      </w:pPr>
      <w:r>
        <w:rPr>
          <w:rFonts w:ascii="Times New Roman" w:cs="Times New Roman" w:eastAsia="Times New Roman" w:hAnsi="Times New Roman"/>
          <w:sz w:val="24"/>
          <w:szCs w:val="24"/>
          <w:color w:val="auto"/>
        </w:rPr>
        <w:t>Name, address, telephone number and e-mail address of the monitoring agency, if appointed, and disclosure as to whether such appointment is pursuant to these regulations.</w:t>
      </w:r>
    </w:p>
    <w:p>
      <w:pPr>
        <w:spacing w:after="0" w:line="26" w:lineRule="exact"/>
        <w:rPr>
          <w:rFonts w:ascii="Calibri" w:cs="Calibri" w:eastAsia="Calibri" w:hAnsi="Calibri"/>
          <w:sz w:val="22"/>
          <w:szCs w:val="22"/>
          <w:color w:val="auto"/>
        </w:rPr>
      </w:pPr>
    </w:p>
    <w:p>
      <w:pPr>
        <w:ind w:left="440" w:hanging="368"/>
        <w:spacing w:after="0" w:line="344" w:lineRule="auto"/>
        <w:tabs>
          <w:tab w:leader="none" w:pos="440" w:val="left"/>
        </w:tabs>
        <w:numPr>
          <w:ilvl w:val="0"/>
          <w:numId w:val="775"/>
        </w:numPr>
        <w:rPr>
          <w:rFonts w:ascii="Calibri" w:cs="Calibri" w:eastAsia="Calibri" w:hAnsi="Calibri"/>
          <w:sz w:val="22"/>
          <w:szCs w:val="22"/>
          <w:color w:val="auto"/>
        </w:rPr>
      </w:pPr>
      <w:r>
        <w:rPr>
          <w:rFonts w:ascii="Times New Roman" w:cs="Times New Roman" w:eastAsia="Times New Roman" w:hAnsi="Times New Roman"/>
          <w:sz w:val="24"/>
          <w:szCs w:val="24"/>
          <w:color w:val="auto"/>
        </w:rPr>
        <w:t>Name, address, telephone number and e-mail address of the appraising entity in case the project has been appraised.</w:t>
      </w:r>
    </w:p>
    <w:p>
      <w:pPr>
        <w:spacing w:after="0" w:line="7" w:lineRule="exact"/>
        <w:rPr>
          <w:rFonts w:ascii="Calibri" w:cs="Calibri" w:eastAsia="Calibri" w:hAnsi="Calibri"/>
          <w:sz w:val="22"/>
          <w:szCs w:val="22"/>
          <w:color w:val="auto"/>
        </w:rPr>
      </w:pPr>
    </w:p>
    <w:p>
      <w:pPr>
        <w:ind w:left="440" w:hanging="368"/>
        <w:spacing w:after="0"/>
        <w:tabs>
          <w:tab w:leader="none" w:pos="440" w:val="left"/>
        </w:tabs>
        <w:numPr>
          <w:ilvl w:val="0"/>
          <w:numId w:val="775"/>
        </w:numPr>
        <w:rPr>
          <w:rFonts w:ascii="Calibri" w:cs="Calibri" w:eastAsia="Calibri" w:hAnsi="Calibri"/>
          <w:sz w:val="22"/>
          <w:szCs w:val="22"/>
          <w:color w:val="auto"/>
        </w:rPr>
      </w:pPr>
      <w:r>
        <w:rPr>
          <w:rFonts w:ascii="Times New Roman" w:cs="Times New Roman" w:eastAsia="Times New Roman" w:hAnsi="Times New Roman"/>
          <w:sz w:val="24"/>
          <w:szCs w:val="24"/>
          <w:color w:val="auto"/>
        </w:rPr>
        <w:t>Filing the draft offer document/draft letter of offer/offer document:</w:t>
      </w:r>
    </w:p>
    <w:p>
      <w:pPr>
        <w:spacing w:after="0" w:line="151" w:lineRule="exact"/>
        <w:rPr>
          <w:rFonts w:ascii="Calibri" w:cs="Calibri" w:eastAsia="Calibri" w:hAnsi="Calibri"/>
          <w:sz w:val="22"/>
          <w:szCs w:val="22"/>
          <w:color w:val="auto"/>
        </w:rPr>
      </w:pPr>
    </w:p>
    <w:p>
      <w:pPr>
        <w:ind w:left="1160" w:hanging="728"/>
        <w:spacing w:after="0" w:line="348" w:lineRule="auto"/>
        <w:tabs>
          <w:tab w:leader="none" w:pos="1160" w:val="left"/>
        </w:tabs>
        <w:numPr>
          <w:ilvl w:val="1"/>
          <w:numId w:val="77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Under this head, the office of the Board where the draft offer document/draft letter of offer/offer document has been filed.</w:t>
      </w:r>
    </w:p>
    <w:p>
      <w:pPr>
        <w:spacing w:after="0" w:line="27" w:lineRule="exact"/>
        <w:rPr>
          <w:rFonts w:ascii="Times New Roman" w:cs="Times New Roman" w:eastAsia="Times New Roman" w:hAnsi="Times New Roman"/>
          <w:sz w:val="24"/>
          <w:szCs w:val="24"/>
          <w:color w:val="auto"/>
        </w:rPr>
      </w:pPr>
    </w:p>
    <w:p>
      <w:pPr>
        <w:jc w:val="both"/>
        <w:ind w:left="1160" w:hanging="728"/>
        <w:spacing w:after="0" w:line="354" w:lineRule="auto"/>
        <w:tabs>
          <w:tab w:leader="none" w:pos="1160" w:val="left"/>
        </w:tabs>
        <w:numPr>
          <w:ilvl w:val="1"/>
          <w:numId w:val="77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Address of the Registrar of Companies, where copy of the offer document, having attached thereto the material contracts and documents referred to elsewhere in the offer document, has been filed.</w:t>
      </w:r>
    </w:p>
    <w:p>
      <w:pPr>
        <w:spacing w:after="0" w:line="19" w:lineRule="exact"/>
        <w:rPr>
          <w:rFonts w:ascii="Times New Roman" w:cs="Times New Roman" w:eastAsia="Times New Roman" w:hAnsi="Times New Roman"/>
          <w:sz w:val="24"/>
          <w:szCs w:val="24"/>
          <w:color w:val="auto"/>
        </w:rPr>
      </w:pPr>
    </w:p>
    <w:p>
      <w:pPr>
        <w:ind w:left="440" w:hanging="368"/>
        <w:spacing w:after="0" w:line="344" w:lineRule="auto"/>
        <w:tabs>
          <w:tab w:leader="none" w:pos="440" w:val="left"/>
        </w:tabs>
        <w:numPr>
          <w:ilvl w:val="0"/>
          <w:numId w:val="775"/>
        </w:numPr>
        <w:rPr>
          <w:rFonts w:ascii="Calibri" w:cs="Calibri" w:eastAsia="Calibri" w:hAnsi="Calibri"/>
          <w:sz w:val="22"/>
          <w:szCs w:val="22"/>
          <w:color w:val="auto"/>
        </w:rPr>
      </w:pPr>
      <w:r>
        <w:rPr>
          <w:rFonts w:ascii="Times New Roman" w:cs="Times New Roman" w:eastAsia="Times New Roman" w:hAnsi="Times New Roman"/>
          <w:sz w:val="24"/>
          <w:szCs w:val="24"/>
          <w:color w:val="auto"/>
        </w:rPr>
        <w:t>Where the issue is being made through the book building process, the brief explanation of the book building process.</w:t>
      </w:r>
    </w:p>
    <w:p>
      <w:pPr>
        <w:spacing w:after="0" w:line="7" w:lineRule="exact"/>
        <w:rPr>
          <w:rFonts w:ascii="Calibri" w:cs="Calibri" w:eastAsia="Calibri" w:hAnsi="Calibri"/>
          <w:sz w:val="22"/>
          <w:szCs w:val="22"/>
          <w:color w:val="auto"/>
        </w:rPr>
      </w:pPr>
    </w:p>
    <w:p>
      <w:pPr>
        <w:ind w:left="440" w:hanging="368"/>
        <w:spacing w:after="0"/>
        <w:tabs>
          <w:tab w:leader="none" w:pos="440" w:val="left"/>
        </w:tabs>
        <w:numPr>
          <w:ilvl w:val="0"/>
          <w:numId w:val="775"/>
        </w:numPr>
        <w:rPr>
          <w:rFonts w:ascii="Calibri" w:cs="Calibri" w:eastAsia="Calibri" w:hAnsi="Calibri"/>
          <w:sz w:val="22"/>
          <w:szCs w:val="22"/>
          <w:color w:val="auto"/>
        </w:rPr>
      </w:pPr>
      <w:r>
        <w:rPr>
          <w:rFonts w:ascii="Times New Roman" w:cs="Times New Roman" w:eastAsia="Times New Roman" w:hAnsi="Times New Roman"/>
          <w:sz w:val="24"/>
          <w:szCs w:val="24"/>
          <w:color w:val="auto"/>
        </w:rPr>
        <w:t>Details of underwriting:</w:t>
      </w:r>
    </w:p>
    <w:p>
      <w:pPr>
        <w:spacing w:after="0" w:line="151" w:lineRule="exact"/>
        <w:rPr>
          <w:rFonts w:ascii="Calibri" w:cs="Calibri" w:eastAsia="Calibri" w:hAnsi="Calibri"/>
          <w:sz w:val="22"/>
          <w:szCs w:val="22"/>
          <w:color w:val="auto"/>
        </w:rPr>
      </w:pPr>
    </w:p>
    <w:p>
      <w:pPr>
        <w:ind w:left="1160" w:hanging="728"/>
        <w:spacing w:after="0" w:line="348" w:lineRule="auto"/>
        <w:tabs>
          <w:tab w:leader="none" w:pos="1160" w:val="left"/>
        </w:tabs>
        <w:numPr>
          <w:ilvl w:val="1"/>
          <w:numId w:val="77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Names, addresses, telephone numbers, and e-mail addresses of the underwriters and the amount underwritten by each of them.</w:t>
      </w: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202</w:t>
      </w:r>
    </w:p>
    <w:p>
      <w:pPr>
        <w:sectPr>
          <w:pgSz w:w="11900" w:h="16836" w:orient="portrait"/>
          <w:cols w:equalWidth="0" w:num="1">
            <w:col w:w="9180"/>
          </w:cols>
          <w:pgMar w:left="1440" w:top="1156" w:right="1284" w:bottom="103" w:gutter="0" w:footer="0" w:header="0"/>
        </w:sectPr>
      </w:pPr>
    </w:p>
    <w:bookmarkStart w:id="202" w:name="page203"/>
    <w:bookmarkEnd w:id="202"/>
    <w:p>
      <w:pPr>
        <w:ind w:left="1448" w:hanging="728"/>
        <w:spacing w:after="0" w:line="348" w:lineRule="auto"/>
        <w:tabs>
          <w:tab w:leader="none" w:pos="1448" w:val="left"/>
        </w:tabs>
        <w:numPr>
          <w:ilvl w:val="2"/>
          <w:numId w:val="77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Declaration by the board of directors of the issuer that the underwriters have sufficient resources to discharge their respective obligations</w:t>
      </w:r>
    </w:p>
    <w:p>
      <w:pPr>
        <w:spacing w:after="0" w:line="15" w:lineRule="exact"/>
        <w:rPr>
          <w:rFonts w:ascii="Times New Roman" w:cs="Times New Roman" w:eastAsia="Times New Roman" w:hAnsi="Times New Roman"/>
          <w:sz w:val="24"/>
          <w:szCs w:val="24"/>
          <w:color w:val="auto"/>
        </w:rPr>
      </w:pPr>
    </w:p>
    <w:p>
      <w:pPr>
        <w:ind w:left="1448" w:hanging="728"/>
        <w:spacing w:after="0"/>
        <w:tabs>
          <w:tab w:leader="none" w:pos="1448" w:val="left"/>
        </w:tabs>
        <w:numPr>
          <w:ilvl w:val="2"/>
          <w:numId w:val="77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partial underwriting of the issue, the extent of such underwriting.</w:t>
      </w:r>
    </w:p>
    <w:p>
      <w:pPr>
        <w:spacing w:after="0" w:line="149" w:lineRule="exact"/>
        <w:rPr>
          <w:rFonts w:ascii="Times New Roman" w:cs="Times New Roman" w:eastAsia="Times New Roman" w:hAnsi="Times New Roman"/>
          <w:sz w:val="24"/>
          <w:szCs w:val="24"/>
          <w:color w:val="auto"/>
        </w:rPr>
      </w:pPr>
    </w:p>
    <w:p>
      <w:pPr>
        <w:jc w:val="both"/>
        <w:ind w:left="1448" w:hanging="728"/>
        <w:spacing w:after="0" w:line="354" w:lineRule="auto"/>
        <w:tabs>
          <w:tab w:leader="none" w:pos="1448" w:val="left"/>
        </w:tabs>
        <w:numPr>
          <w:ilvl w:val="2"/>
          <w:numId w:val="77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the final underwriting arrangement indicating actual number of specified securities underwritten, to be provided in the prospectus before it is filed with the Registrar of Companies.</w:t>
      </w:r>
    </w:p>
    <w:p>
      <w:pPr>
        <w:spacing w:after="0" w:line="22" w:lineRule="exact"/>
        <w:rPr>
          <w:rFonts w:ascii="Times New Roman" w:cs="Times New Roman" w:eastAsia="Times New Roman" w:hAnsi="Times New Roman"/>
          <w:sz w:val="24"/>
          <w:szCs w:val="24"/>
          <w:color w:val="auto"/>
        </w:rPr>
      </w:pPr>
    </w:p>
    <w:p>
      <w:pPr>
        <w:ind w:left="728" w:hanging="368"/>
        <w:spacing w:after="0" w:line="342" w:lineRule="auto"/>
        <w:tabs>
          <w:tab w:leader="none" w:pos="728" w:val="left"/>
        </w:tabs>
        <w:numPr>
          <w:ilvl w:val="1"/>
          <w:numId w:val="777"/>
        </w:numPr>
        <w:rPr>
          <w:rFonts w:ascii="Calibri" w:cs="Calibri" w:eastAsia="Calibri" w:hAnsi="Calibri"/>
          <w:sz w:val="22"/>
          <w:szCs w:val="22"/>
          <w:color w:val="auto"/>
        </w:rPr>
      </w:pPr>
      <w:r>
        <w:rPr>
          <w:rFonts w:ascii="Times New Roman" w:cs="Times New Roman" w:eastAsia="Times New Roman" w:hAnsi="Times New Roman"/>
          <w:sz w:val="24"/>
          <w:szCs w:val="24"/>
          <w:color w:val="auto"/>
        </w:rPr>
        <w:t>Changes in the auditors during the last three years along with name, address, email address, peer review number and firm registration number of auditors and reasons thereof.</w:t>
      </w:r>
    </w:p>
    <w:p>
      <w:pPr>
        <w:spacing w:after="0" w:line="12" w:lineRule="exact"/>
        <w:rPr>
          <w:rFonts w:ascii="Calibri" w:cs="Calibri" w:eastAsia="Calibri" w:hAnsi="Calibri"/>
          <w:sz w:val="22"/>
          <w:szCs w:val="22"/>
          <w:color w:val="auto"/>
        </w:rPr>
      </w:pPr>
    </w:p>
    <w:p>
      <w:pPr>
        <w:ind w:left="728" w:hanging="368"/>
        <w:spacing w:after="0"/>
        <w:tabs>
          <w:tab w:leader="none" w:pos="728" w:val="left"/>
        </w:tabs>
        <w:numPr>
          <w:ilvl w:val="1"/>
          <w:numId w:val="777"/>
        </w:numPr>
        <w:rPr>
          <w:rFonts w:ascii="Calibri" w:cs="Calibri" w:eastAsia="Calibri" w:hAnsi="Calibri"/>
          <w:sz w:val="22"/>
          <w:szCs w:val="22"/>
          <w:color w:val="auto"/>
        </w:rPr>
      </w:pPr>
      <w:r>
        <w:rPr>
          <w:rFonts w:ascii="Times New Roman" w:cs="Times New Roman" w:eastAsia="Times New Roman" w:hAnsi="Times New Roman"/>
          <w:sz w:val="24"/>
          <w:szCs w:val="24"/>
          <w:color w:val="auto"/>
        </w:rPr>
        <w:t>Green Shoe Option, if applicable</w:t>
      </w:r>
      <w:r>
        <w:rPr>
          <w:rFonts w:ascii="Times New Roman" w:cs="Times New Roman" w:eastAsia="Times New Roman" w:hAnsi="Times New Roman"/>
          <w:sz w:val="24"/>
          <w:szCs w:val="24"/>
          <w:b w:val="1"/>
          <w:bCs w:val="1"/>
          <w:color w:val="auto"/>
        </w:rPr>
        <w:t>:</w:t>
      </w:r>
    </w:p>
    <w:p>
      <w:pPr>
        <w:spacing w:after="0" w:line="136" w:lineRule="exact"/>
        <w:rPr>
          <w:rFonts w:ascii="Calibri" w:cs="Calibri" w:eastAsia="Calibri" w:hAnsi="Calibri"/>
          <w:sz w:val="22"/>
          <w:szCs w:val="22"/>
          <w:color w:val="auto"/>
        </w:rPr>
      </w:pPr>
    </w:p>
    <w:p>
      <w:pPr>
        <w:ind w:left="1448" w:hanging="728"/>
        <w:spacing w:after="0"/>
        <w:tabs>
          <w:tab w:leader="none" w:pos="1448" w:val="left"/>
        </w:tabs>
        <w:numPr>
          <w:ilvl w:val="2"/>
          <w:numId w:val="77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 of the stabilising agent.</w:t>
      </w:r>
    </w:p>
    <w:p>
      <w:pPr>
        <w:spacing w:after="0" w:line="151" w:lineRule="exact"/>
        <w:rPr>
          <w:rFonts w:ascii="Times New Roman" w:cs="Times New Roman" w:eastAsia="Times New Roman" w:hAnsi="Times New Roman"/>
          <w:sz w:val="24"/>
          <w:szCs w:val="24"/>
          <w:color w:val="auto"/>
        </w:rPr>
      </w:pPr>
    </w:p>
    <w:p>
      <w:pPr>
        <w:ind w:left="1448" w:hanging="728"/>
        <w:spacing w:after="0" w:line="348" w:lineRule="auto"/>
        <w:tabs>
          <w:tab w:leader="none" w:pos="1448" w:val="left"/>
        </w:tabs>
        <w:numPr>
          <w:ilvl w:val="2"/>
          <w:numId w:val="77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Maximum number of equity shares in number and as a percentage of the proposed issue size, proposed to be over-allotted by the issuer.</w:t>
      </w:r>
    </w:p>
    <w:p>
      <w:pPr>
        <w:spacing w:after="0" w:line="27" w:lineRule="exact"/>
        <w:rPr>
          <w:rFonts w:ascii="Times New Roman" w:cs="Times New Roman" w:eastAsia="Times New Roman" w:hAnsi="Times New Roman"/>
          <w:sz w:val="24"/>
          <w:szCs w:val="24"/>
          <w:color w:val="auto"/>
        </w:rPr>
      </w:pPr>
    </w:p>
    <w:p>
      <w:pPr>
        <w:ind w:left="1448" w:hanging="728"/>
        <w:spacing w:after="0" w:line="348" w:lineRule="auto"/>
        <w:tabs>
          <w:tab w:leader="none" w:pos="1448" w:val="left"/>
        </w:tabs>
        <w:numPr>
          <w:ilvl w:val="2"/>
          <w:numId w:val="77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Maximum period for which the issuer proposes to avail of the stabilisation mechanism;</w:t>
      </w:r>
    </w:p>
    <w:p>
      <w:pPr>
        <w:spacing w:after="0" w:line="27" w:lineRule="exact"/>
        <w:rPr>
          <w:rFonts w:ascii="Times New Roman" w:cs="Times New Roman" w:eastAsia="Times New Roman" w:hAnsi="Times New Roman"/>
          <w:sz w:val="24"/>
          <w:szCs w:val="24"/>
          <w:color w:val="auto"/>
        </w:rPr>
      </w:pPr>
    </w:p>
    <w:p>
      <w:pPr>
        <w:ind w:left="1448" w:hanging="728"/>
        <w:spacing w:after="0" w:line="348" w:lineRule="auto"/>
        <w:tabs>
          <w:tab w:leader="none" w:pos="1448" w:val="left"/>
        </w:tabs>
        <w:numPr>
          <w:ilvl w:val="2"/>
          <w:numId w:val="77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stabilising agent shall disclose if it proposes to close the stabilisation mechanism prior to the maximum period.</w:t>
      </w:r>
    </w:p>
    <w:p>
      <w:pPr>
        <w:spacing w:after="0" w:line="28" w:lineRule="exact"/>
        <w:rPr>
          <w:rFonts w:ascii="Times New Roman" w:cs="Times New Roman" w:eastAsia="Times New Roman" w:hAnsi="Times New Roman"/>
          <w:sz w:val="24"/>
          <w:szCs w:val="24"/>
          <w:color w:val="auto"/>
        </w:rPr>
      </w:pPr>
    </w:p>
    <w:p>
      <w:pPr>
        <w:jc w:val="both"/>
        <w:ind w:left="1448" w:hanging="728"/>
        <w:spacing w:after="0" w:line="354" w:lineRule="auto"/>
        <w:tabs>
          <w:tab w:leader="none" w:pos="1448" w:val="left"/>
        </w:tabs>
        <w:numPr>
          <w:ilvl w:val="2"/>
          <w:numId w:val="77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Maximum increase in the equity share capital of the issuer and the post-issue shareholding pattern, in case the issuer is required to allot further equity shares to the extent of over-allotment in the issue.</w:t>
      </w:r>
    </w:p>
    <w:p>
      <w:pPr>
        <w:spacing w:after="0" w:line="19" w:lineRule="exact"/>
        <w:rPr>
          <w:rFonts w:ascii="Times New Roman" w:cs="Times New Roman" w:eastAsia="Times New Roman" w:hAnsi="Times New Roman"/>
          <w:sz w:val="24"/>
          <w:szCs w:val="24"/>
          <w:color w:val="auto"/>
        </w:rPr>
      </w:pPr>
    </w:p>
    <w:p>
      <w:pPr>
        <w:ind w:left="1448" w:hanging="728"/>
        <w:spacing w:after="0" w:line="350" w:lineRule="auto"/>
        <w:tabs>
          <w:tab w:leader="none" w:pos="1448" w:val="left"/>
        </w:tabs>
        <w:numPr>
          <w:ilvl w:val="2"/>
          <w:numId w:val="77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Maximum amount of funds to be received by the issuer in case of further allotment and the use of these additional funds.</w:t>
      </w:r>
    </w:p>
    <w:p>
      <w:pPr>
        <w:spacing w:after="0" w:line="23" w:lineRule="exact"/>
        <w:rPr>
          <w:rFonts w:ascii="Times New Roman" w:cs="Times New Roman" w:eastAsia="Times New Roman" w:hAnsi="Times New Roman"/>
          <w:sz w:val="24"/>
          <w:szCs w:val="24"/>
          <w:color w:val="auto"/>
        </w:rPr>
      </w:pPr>
    </w:p>
    <w:p>
      <w:pPr>
        <w:jc w:val="both"/>
        <w:ind w:left="1448" w:hanging="728"/>
        <w:spacing w:after="0" w:line="358" w:lineRule="auto"/>
        <w:tabs>
          <w:tab w:leader="none" w:pos="1448" w:val="left"/>
        </w:tabs>
        <w:numPr>
          <w:ilvl w:val="2"/>
          <w:numId w:val="77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the agreement or arrangement entered into by the stabilising agent with the promoters or shareholders to borrow equity shares from the latter. The details shall, inter-alia, include the name of the promoters or shareholders, their existing shareholding in the issuer, the number and percentage of equity shares to be lent by them and other important terms and conditions including rights and obligations of each party.</w:t>
      </w:r>
    </w:p>
    <w:p>
      <w:pPr>
        <w:spacing w:after="0" w:line="14" w:lineRule="exact"/>
        <w:rPr>
          <w:rFonts w:ascii="Times New Roman" w:cs="Times New Roman" w:eastAsia="Times New Roman" w:hAnsi="Times New Roman"/>
          <w:sz w:val="24"/>
          <w:szCs w:val="24"/>
          <w:color w:val="auto"/>
        </w:rPr>
      </w:pPr>
    </w:p>
    <w:p>
      <w:pPr>
        <w:jc w:val="both"/>
        <w:ind w:left="1448" w:hanging="728"/>
        <w:spacing w:after="0" w:line="356" w:lineRule="auto"/>
        <w:tabs>
          <w:tab w:leader="none" w:pos="1448" w:val="left"/>
        </w:tabs>
        <w:numPr>
          <w:ilvl w:val="2"/>
          <w:numId w:val="77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Exact number of equity shares to be allotted/transferred pursuant to the public issue, stating separately the number of equity shares to be borrowed from the promoters or shareholders and over-allotted by the stabilising agent and the percentage of such equity shares in relation to the total issue size.</w:t>
      </w:r>
    </w:p>
    <w:p>
      <w:pPr>
        <w:spacing w:after="0" w:line="200" w:lineRule="exact"/>
        <w:rPr>
          <w:rFonts w:ascii="Times New Roman" w:cs="Times New Roman" w:eastAsia="Times New Roman" w:hAnsi="Times New Roman"/>
          <w:sz w:val="24"/>
          <w:szCs w:val="24"/>
          <w:color w:val="auto"/>
        </w:rPr>
      </w:pPr>
    </w:p>
    <w:p>
      <w:pPr>
        <w:spacing w:after="0" w:line="226" w:lineRule="exact"/>
        <w:rPr>
          <w:rFonts w:ascii="Times New Roman" w:cs="Times New Roman" w:eastAsia="Times New Roman" w:hAnsi="Times New Roman"/>
          <w:sz w:val="24"/>
          <w:szCs w:val="24"/>
          <w:color w:val="auto"/>
        </w:rPr>
      </w:pPr>
    </w:p>
    <w:p>
      <w:pPr>
        <w:ind w:left="368" w:hanging="368"/>
        <w:spacing w:after="0"/>
        <w:tabs>
          <w:tab w:leader="none" w:pos="368" w:val="left"/>
        </w:tabs>
        <w:numPr>
          <w:ilvl w:val="0"/>
          <w:numId w:val="778"/>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b w:val="1"/>
          <w:bCs w:val="1"/>
          <w:color w:val="auto"/>
        </w:rPr>
        <w:t>Capital structure:</w:t>
      </w:r>
    </w:p>
    <w:p>
      <w:pPr>
        <w:spacing w:after="0" w:line="124"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778"/>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capital structure in the following order in a tabular form: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203</w:t>
      </w:r>
    </w:p>
    <w:p>
      <w:pPr>
        <w:sectPr>
          <w:pgSz w:w="11900" w:h="16836" w:orient="portrait"/>
          <w:cols w:equalWidth="0" w:num="1">
            <w:col w:w="9468"/>
          </w:cols>
          <w:pgMar w:left="1152" w:top="1156" w:right="1284" w:bottom="103" w:gutter="0" w:footer="0" w:header="0"/>
        </w:sectPr>
      </w:pPr>
    </w:p>
    <w:bookmarkStart w:id="203" w:name="page204"/>
    <w:bookmarkEnd w:id="203"/>
    <w:p>
      <w:pPr>
        <w:ind w:left="1160" w:hanging="368"/>
        <w:spacing w:after="0" w:line="348" w:lineRule="auto"/>
        <w:tabs>
          <w:tab w:leader="none" w:pos="1160" w:val="left"/>
        </w:tabs>
        <w:numPr>
          <w:ilvl w:val="1"/>
          <w:numId w:val="77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Authorised, issued, subscribed and paid-up capital (number of securities, description and aggregate nominal value).</w:t>
      </w:r>
    </w:p>
    <w:p>
      <w:pPr>
        <w:spacing w:after="0" w:line="28" w:lineRule="exact"/>
        <w:rPr>
          <w:rFonts w:ascii="Times New Roman" w:cs="Times New Roman" w:eastAsia="Times New Roman" w:hAnsi="Times New Roman"/>
          <w:sz w:val="24"/>
          <w:szCs w:val="24"/>
          <w:color w:val="auto"/>
        </w:rPr>
      </w:pPr>
    </w:p>
    <w:p>
      <w:pPr>
        <w:jc w:val="both"/>
        <w:ind w:left="1160" w:hanging="368"/>
        <w:spacing w:after="0" w:line="356" w:lineRule="auto"/>
        <w:tabs>
          <w:tab w:leader="none" w:pos="1160" w:val="left"/>
        </w:tabs>
        <w:numPr>
          <w:ilvl w:val="1"/>
          <w:numId w:val="77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Size of the present issue, giving separately the promoters’ contribution, if any, reservation for specified categories, if any, and net offer (number of securities, description, aggregate nominal value and issue amount (to be disclosed in that order) and applicable percentages in case of a book built issue.</w:t>
      </w:r>
    </w:p>
    <w:p>
      <w:pPr>
        <w:spacing w:after="0" w:line="6" w:lineRule="exact"/>
        <w:rPr>
          <w:rFonts w:ascii="Times New Roman" w:cs="Times New Roman" w:eastAsia="Times New Roman" w:hAnsi="Times New Roman"/>
          <w:sz w:val="24"/>
          <w:szCs w:val="24"/>
          <w:color w:val="auto"/>
        </w:rPr>
      </w:pPr>
    </w:p>
    <w:p>
      <w:pPr>
        <w:ind w:left="1160" w:hanging="368"/>
        <w:spacing w:after="0"/>
        <w:tabs>
          <w:tab w:leader="none" w:pos="1160" w:val="left"/>
        </w:tabs>
        <w:numPr>
          <w:ilvl w:val="1"/>
          <w:numId w:val="77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Paid-up capital:</w:t>
      </w:r>
    </w:p>
    <w:p>
      <w:pPr>
        <w:spacing w:after="0" w:line="136" w:lineRule="exact"/>
        <w:rPr>
          <w:rFonts w:ascii="Times New Roman" w:cs="Times New Roman" w:eastAsia="Times New Roman" w:hAnsi="Times New Roman"/>
          <w:sz w:val="24"/>
          <w:szCs w:val="24"/>
          <w:color w:val="auto"/>
        </w:rPr>
      </w:pPr>
    </w:p>
    <w:p>
      <w:pPr>
        <w:ind w:left="1880" w:hanging="728"/>
        <w:spacing w:after="0"/>
        <w:tabs>
          <w:tab w:leader="none" w:pos="1880" w:val="left"/>
        </w:tabs>
        <w:numPr>
          <w:ilvl w:val="2"/>
          <w:numId w:val="77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After the issue.</w:t>
      </w:r>
    </w:p>
    <w:p>
      <w:pPr>
        <w:spacing w:after="0" w:line="139" w:lineRule="exact"/>
        <w:rPr>
          <w:rFonts w:ascii="Times New Roman" w:cs="Times New Roman" w:eastAsia="Times New Roman" w:hAnsi="Times New Roman"/>
          <w:sz w:val="24"/>
          <w:szCs w:val="24"/>
          <w:color w:val="auto"/>
        </w:rPr>
      </w:pPr>
    </w:p>
    <w:p>
      <w:pPr>
        <w:ind w:left="1880" w:hanging="728"/>
        <w:spacing w:after="0"/>
        <w:tabs>
          <w:tab w:leader="none" w:pos="1880" w:val="left"/>
        </w:tabs>
        <w:numPr>
          <w:ilvl w:val="2"/>
          <w:numId w:val="77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After conversion of convertible instruments (if applicable).</w:t>
      </w:r>
    </w:p>
    <w:p>
      <w:pPr>
        <w:spacing w:after="0" w:line="136" w:lineRule="exact"/>
        <w:rPr>
          <w:rFonts w:ascii="Times New Roman" w:cs="Times New Roman" w:eastAsia="Times New Roman" w:hAnsi="Times New Roman"/>
          <w:sz w:val="24"/>
          <w:szCs w:val="24"/>
          <w:color w:val="auto"/>
        </w:rPr>
      </w:pPr>
    </w:p>
    <w:p>
      <w:pPr>
        <w:ind w:left="1160" w:hanging="368"/>
        <w:spacing w:after="0"/>
        <w:tabs>
          <w:tab w:leader="none" w:pos="1160" w:val="left"/>
        </w:tabs>
        <w:numPr>
          <w:ilvl w:val="1"/>
          <w:numId w:val="77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Share premium account (before and after the issue).</w:t>
      </w:r>
    </w:p>
    <w:p>
      <w:pPr>
        <w:spacing w:after="0" w:line="132" w:lineRule="exact"/>
        <w:rPr>
          <w:rFonts w:ascii="Times New Roman" w:cs="Times New Roman" w:eastAsia="Times New Roman" w:hAnsi="Times New Roman"/>
          <w:sz w:val="24"/>
          <w:szCs w:val="24"/>
          <w:color w:val="auto"/>
        </w:rPr>
      </w:pPr>
    </w:p>
    <w:p>
      <w:pPr>
        <w:ind w:left="440" w:hanging="368"/>
        <w:spacing w:after="0"/>
        <w:tabs>
          <w:tab w:leader="none" w:pos="440" w:val="left"/>
        </w:tabs>
        <w:numPr>
          <w:ilvl w:val="0"/>
          <w:numId w:val="780"/>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following tables/notes shall be included after the table of the capital structure:</w:t>
      </w:r>
    </w:p>
    <w:p>
      <w:pPr>
        <w:spacing w:after="0" w:line="149" w:lineRule="exact"/>
        <w:rPr>
          <w:rFonts w:ascii="Calibri" w:cs="Calibri" w:eastAsia="Calibri" w:hAnsi="Calibri"/>
          <w:sz w:val="22"/>
          <w:szCs w:val="22"/>
          <w:color w:val="auto"/>
        </w:rPr>
      </w:pPr>
    </w:p>
    <w:p>
      <w:pPr>
        <w:jc w:val="both"/>
        <w:ind w:left="1160" w:hanging="368"/>
        <w:spacing w:after="0" w:line="356" w:lineRule="auto"/>
        <w:tabs>
          <w:tab w:leader="none" w:pos="1160" w:val="left"/>
        </w:tabs>
        <w:numPr>
          <w:ilvl w:val="1"/>
          <w:numId w:val="78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the existing share capital of the issuer in a tabular form, indicating therein with regard to each allotment, the date of allotment, the name of allottee, nature of allotment, the number of shares allotted, the face value of the shares, the issue price and the form of consideration.</w:t>
      </w:r>
    </w:p>
    <w:p>
      <w:pPr>
        <w:spacing w:after="0" w:line="18" w:lineRule="exact"/>
        <w:rPr>
          <w:rFonts w:ascii="Times New Roman" w:cs="Times New Roman" w:eastAsia="Times New Roman" w:hAnsi="Times New Roman"/>
          <w:sz w:val="24"/>
          <w:szCs w:val="24"/>
          <w:color w:val="auto"/>
        </w:rPr>
      </w:pPr>
    </w:p>
    <w:p>
      <w:pPr>
        <w:jc w:val="both"/>
        <w:ind w:left="1160" w:hanging="368"/>
        <w:spacing w:after="0" w:line="356" w:lineRule="auto"/>
        <w:tabs>
          <w:tab w:leader="none" w:pos="1160" w:val="left"/>
        </w:tabs>
        <w:numPr>
          <w:ilvl w:val="1"/>
          <w:numId w:val="78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Where shares have been issued for consideration other than cash or out of revaluation reserves at any point of time, details in a separate table, indicating the date of issue, date of revaluation of assets, persons to whom issued, price, reasons for the issue and whether any benefits have accrued to the issuer out of the issue.</w:t>
      </w:r>
    </w:p>
    <w:p>
      <w:pPr>
        <w:spacing w:after="0" w:line="18" w:lineRule="exact"/>
        <w:rPr>
          <w:rFonts w:ascii="Times New Roman" w:cs="Times New Roman" w:eastAsia="Times New Roman" w:hAnsi="Times New Roman"/>
          <w:sz w:val="24"/>
          <w:szCs w:val="24"/>
          <w:color w:val="auto"/>
        </w:rPr>
      </w:pPr>
    </w:p>
    <w:p>
      <w:pPr>
        <w:jc w:val="both"/>
        <w:ind w:left="1160" w:hanging="368"/>
        <w:spacing w:after="0" w:line="356" w:lineRule="auto"/>
        <w:tabs>
          <w:tab w:leader="none" w:pos="1160" w:val="left"/>
        </w:tabs>
        <w:numPr>
          <w:ilvl w:val="1"/>
          <w:numId w:val="78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shares have been allotted in terms of any scheme of arrangement approved under sections 391-394 of the Companies Act, 1956 or sections 230-234 of the Companies Act, 2013, as applicable, the details of such shares allotted, along with the page numbers where details of such scheme is given.</w:t>
      </w:r>
    </w:p>
    <w:p>
      <w:pPr>
        <w:spacing w:after="0" w:line="19" w:lineRule="exact"/>
        <w:rPr>
          <w:rFonts w:ascii="Times New Roman" w:cs="Times New Roman" w:eastAsia="Times New Roman" w:hAnsi="Times New Roman"/>
          <w:sz w:val="24"/>
          <w:szCs w:val="24"/>
          <w:color w:val="auto"/>
        </w:rPr>
      </w:pPr>
    </w:p>
    <w:p>
      <w:pPr>
        <w:jc w:val="both"/>
        <w:ind w:left="1160" w:hanging="368"/>
        <w:spacing w:after="0" w:line="357" w:lineRule="auto"/>
        <w:tabs>
          <w:tab w:leader="none" w:pos="1220" w:val="left"/>
        </w:tabs>
        <w:numPr>
          <w:ilvl w:val="1"/>
          <w:numId w:val="78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Where the issuer has issued equity shares under one or more employee stock option schemes, particulars of equity shares issued under the employee stock option schemes may be aggregated quarter-wise, indicating the aggregate number of equity shares issued and the price range within which equity shares have been issued in each quarter.</w:t>
      </w:r>
    </w:p>
    <w:p>
      <w:pPr>
        <w:spacing w:after="0" w:line="18" w:lineRule="exact"/>
        <w:rPr>
          <w:rFonts w:ascii="Times New Roman" w:cs="Times New Roman" w:eastAsia="Times New Roman" w:hAnsi="Times New Roman"/>
          <w:sz w:val="24"/>
          <w:szCs w:val="24"/>
          <w:color w:val="auto"/>
        </w:rPr>
      </w:pPr>
    </w:p>
    <w:p>
      <w:pPr>
        <w:jc w:val="both"/>
        <w:ind w:left="1160" w:hanging="368"/>
        <w:spacing w:after="0" w:line="356" w:lineRule="auto"/>
        <w:tabs>
          <w:tab w:leader="none" w:pos="1160" w:val="left"/>
        </w:tabs>
        <w:numPr>
          <w:ilvl w:val="1"/>
          <w:numId w:val="78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issuer has made any issue of specified securities at a price lower than the issue price during the preceding one year, specific details of the names of the persons to whom such specified securities have been issued, whether they are part of the promoter group, reasons for such issue and the price.</w:t>
      </w:r>
    </w:p>
    <w:p>
      <w:pPr>
        <w:spacing w:after="0" w:line="18" w:lineRule="exact"/>
        <w:rPr>
          <w:rFonts w:ascii="Times New Roman" w:cs="Times New Roman" w:eastAsia="Times New Roman" w:hAnsi="Times New Roman"/>
          <w:sz w:val="24"/>
          <w:szCs w:val="24"/>
          <w:color w:val="auto"/>
        </w:rPr>
      </w:pPr>
    </w:p>
    <w:p>
      <w:pPr>
        <w:jc w:val="both"/>
        <w:ind w:left="1160" w:hanging="368"/>
        <w:spacing w:after="0" w:line="354" w:lineRule="auto"/>
        <w:tabs>
          <w:tab w:leader="none" w:pos="1160" w:val="left"/>
        </w:tabs>
        <w:numPr>
          <w:ilvl w:val="1"/>
          <w:numId w:val="78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Shareholding pattern of the issuer in the format as prescribed under Regulation 33 of the Securities and Exchange Board of India (Listing Obligations and Disclosure Requirements) Regulations, 2015:</w:t>
      </w:r>
    </w:p>
    <w:p>
      <w:pPr>
        <w:spacing w:after="0" w:line="264"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204</w:t>
      </w:r>
    </w:p>
    <w:p>
      <w:pPr>
        <w:sectPr>
          <w:pgSz w:w="11900" w:h="16836" w:orient="portrait"/>
          <w:cols w:equalWidth="0" w:num="1">
            <w:col w:w="9180"/>
          </w:cols>
          <w:pgMar w:left="1440" w:top="1156" w:right="1284" w:bottom="103" w:gutter="0" w:footer="0" w:header="0"/>
        </w:sectPr>
      </w:pPr>
    </w:p>
    <w:bookmarkStart w:id="204" w:name="page205"/>
    <w:bookmarkEnd w:id="204"/>
    <w:p>
      <w:pPr>
        <w:jc w:val="both"/>
        <w:ind w:left="1880" w:hanging="728"/>
        <w:spacing w:after="0" w:line="356" w:lineRule="auto"/>
        <w:tabs>
          <w:tab w:leader="none" w:pos="1880" w:val="left"/>
        </w:tabs>
        <w:numPr>
          <w:ilvl w:val="1"/>
          <w:numId w:val="78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Following details regarding major shareholders: Names of the shareholders of the issuer holding 1% or more of the paid-up capital of the issuer as on the date of filing of the draft offer document/ or end of last week from the date of draft letter of offer and the offer document, as the case may be.</w:t>
      </w:r>
    </w:p>
    <w:p>
      <w:pPr>
        <w:spacing w:after="0" w:line="18" w:lineRule="exact"/>
        <w:rPr>
          <w:rFonts w:ascii="Times New Roman" w:cs="Times New Roman" w:eastAsia="Times New Roman" w:hAnsi="Times New Roman"/>
          <w:sz w:val="24"/>
          <w:szCs w:val="24"/>
          <w:color w:val="auto"/>
        </w:rPr>
      </w:pPr>
    </w:p>
    <w:p>
      <w:pPr>
        <w:ind w:left="1880"/>
        <w:spacing w:after="0" w:line="348"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details of shareholding aggregating at least 80% of capital of company shall be disclosed.</w:t>
      </w:r>
    </w:p>
    <w:p>
      <w:pPr>
        <w:spacing w:after="0" w:line="27" w:lineRule="exact"/>
        <w:rPr>
          <w:rFonts w:ascii="Times New Roman" w:cs="Times New Roman" w:eastAsia="Times New Roman" w:hAnsi="Times New Roman"/>
          <w:sz w:val="24"/>
          <w:szCs w:val="24"/>
          <w:color w:val="auto"/>
        </w:rPr>
      </w:pPr>
    </w:p>
    <w:p>
      <w:pPr>
        <w:jc w:val="both"/>
        <w:ind w:left="1880" w:hanging="728"/>
        <w:spacing w:after="0" w:line="356" w:lineRule="auto"/>
        <w:tabs>
          <w:tab w:leader="none" w:pos="1880" w:val="left"/>
        </w:tabs>
        <w:numPr>
          <w:ilvl w:val="1"/>
          <w:numId w:val="78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Number of equity shares held by the shareholders specified in clause (i) including number of equity shares which they would be entitled to upon exercise of warrant, option or right to convert a debenture, loan or other instrument.</w:t>
      </w:r>
    </w:p>
    <w:p>
      <w:pPr>
        <w:spacing w:after="0" w:line="19" w:lineRule="exact"/>
        <w:rPr>
          <w:rFonts w:ascii="Times New Roman" w:cs="Times New Roman" w:eastAsia="Times New Roman" w:hAnsi="Times New Roman"/>
          <w:sz w:val="24"/>
          <w:szCs w:val="24"/>
          <w:color w:val="auto"/>
        </w:rPr>
      </w:pPr>
    </w:p>
    <w:p>
      <w:pPr>
        <w:jc w:val="both"/>
        <w:ind w:left="1880" w:hanging="728"/>
        <w:spacing w:after="0" w:line="354" w:lineRule="auto"/>
        <w:tabs>
          <w:tab w:leader="none" w:pos="1880" w:val="left"/>
        </w:tabs>
        <w:numPr>
          <w:ilvl w:val="1"/>
          <w:numId w:val="78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Particulars specified in items (i) and (ii) as on a date two years prior to the date of filing of the draft offer document/ draft letter of offer and the offer document, as the case may be.</w:t>
      </w:r>
    </w:p>
    <w:p>
      <w:pPr>
        <w:spacing w:after="0" w:line="19" w:lineRule="exact"/>
        <w:rPr>
          <w:rFonts w:ascii="Times New Roman" w:cs="Times New Roman" w:eastAsia="Times New Roman" w:hAnsi="Times New Roman"/>
          <w:sz w:val="24"/>
          <w:szCs w:val="24"/>
          <w:color w:val="auto"/>
        </w:rPr>
      </w:pPr>
    </w:p>
    <w:p>
      <w:pPr>
        <w:jc w:val="both"/>
        <w:ind w:left="1880" w:hanging="728"/>
        <w:spacing w:after="0" w:line="354" w:lineRule="auto"/>
        <w:tabs>
          <w:tab w:leader="none" w:pos="1880" w:val="left"/>
        </w:tabs>
        <w:numPr>
          <w:ilvl w:val="1"/>
          <w:numId w:val="78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Particulars specified in items (i) and (ii) as on a date one year prior to the date of filing of the draft offer document/ draft letter of offer and the offer document, as the case may be.</w:t>
      </w:r>
    </w:p>
    <w:p>
      <w:pPr>
        <w:spacing w:after="0" w:line="22" w:lineRule="exact"/>
        <w:rPr>
          <w:rFonts w:ascii="Times New Roman" w:cs="Times New Roman" w:eastAsia="Times New Roman" w:hAnsi="Times New Roman"/>
          <w:sz w:val="24"/>
          <w:szCs w:val="24"/>
          <w:color w:val="auto"/>
        </w:rPr>
      </w:pPr>
    </w:p>
    <w:p>
      <w:pPr>
        <w:jc w:val="both"/>
        <w:ind w:left="1880" w:hanging="728"/>
        <w:spacing w:after="0" w:line="354" w:lineRule="auto"/>
        <w:tabs>
          <w:tab w:leader="none" w:pos="1880" w:val="left"/>
        </w:tabs>
        <w:numPr>
          <w:ilvl w:val="1"/>
          <w:numId w:val="78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particulars specified in items (i) and (ii) as on a date ten days prior to the date of date of filing of the draft offer document/ draft letter of offer and the offer document, as the case may be.</w:t>
      </w:r>
    </w:p>
    <w:p>
      <w:pPr>
        <w:spacing w:after="0" w:line="19" w:lineRule="exact"/>
        <w:rPr>
          <w:rFonts w:ascii="Times New Roman" w:cs="Times New Roman" w:eastAsia="Times New Roman" w:hAnsi="Times New Roman"/>
          <w:sz w:val="24"/>
          <w:szCs w:val="24"/>
          <w:color w:val="auto"/>
        </w:rPr>
      </w:pPr>
    </w:p>
    <w:p>
      <w:pPr>
        <w:jc w:val="both"/>
        <w:ind w:left="1880" w:hanging="728"/>
        <w:spacing w:after="0" w:line="358" w:lineRule="auto"/>
        <w:tabs>
          <w:tab w:leader="none" w:pos="1880" w:val="left"/>
        </w:tabs>
        <w:numPr>
          <w:ilvl w:val="1"/>
          <w:numId w:val="78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issuer has made an initial public offer of specified securities in the preceding two years, the particulars specified in items (i), (ii), (iii) and (iv) shall be disclosed to indicate separately the names of the persons who acquired equity shares by subscription to the public issue and those who acquired the equity shares by allotment on a firm basis or through private placement.</w:t>
      </w:r>
    </w:p>
    <w:p>
      <w:pPr>
        <w:spacing w:after="0" w:line="14" w:lineRule="exact"/>
        <w:rPr>
          <w:rFonts w:ascii="Times New Roman" w:cs="Times New Roman" w:eastAsia="Times New Roman" w:hAnsi="Times New Roman"/>
          <w:sz w:val="24"/>
          <w:szCs w:val="24"/>
          <w:color w:val="auto"/>
        </w:rPr>
      </w:pPr>
    </w:p>
    <w:p>
      <w:pPr>
        <w:jc w:val="both"/>
        <w:ind w:left="1160" w:hanging="368"/>
        <w:spacing w:after="0" w:line="357" w:lineRule="auto"/>
        <w:tabs>
          <w:tab w:leader="none" w:pos="1160" w:val="left"/>
        </w:tabs>
        <w:numPr>
          <w:ilvl w:val="0"/>
          <w:numId w:val="78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Proposal or intention, negotiations and consideration of the issuer to alter the capital structure by way of split or consolidation of the denomination of the shares, or issue of specified securities on a preferential basis or issue of bonus or rights or further public offer of specified securities, within a period of six months from the date of opening of the issue.</w:t>
      </w:r>
    </w:p>
    <w:p>
      <w:pPr>
        <w:spacing w:after="0" w:line="18" w:lineRule="exact"/>
        <w:rPr>
          <w:rFonts w:ascii="Times New Roman" w:cs="Times New Roman" w:eastAsia="Times New Roman" w:hAnsi="Times New Roman"/>
          <w:sz w:val="24"/>
          <w:szCs w:val="24"/>
          <w:color w:val="auto"/>
        </w:rPr>
      </w:pPr>
    </w:p>
    <w:p>
      <w:pPr>
        <w:jc w:val="both"/>
        <w:ind w:left="1160" w:hanging="368"/>
        <w:spacing w:after="0" w:line="357" w:lineRule="auto"/>
        <w:tabs>
          <w:tab w:leader="none" w:pos="1160" w:val="left"/>
        </w:tabs>
        <w:numPr>
          <w:ilvl w:val="0"/>
          <w:numId w:val="78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Total shareholding of each of the promoters in a tabular form, with the name of the promoter, nature of issue, date of allotment/transfer, number of shares, face value, issue price/ consideration, date when the shares were made fully paid-up, percentage of the total pre and post-issue capital, if any and the number and percentage of pledged shares, if any, held by each promoter.</w:t>
      </w:r>
    </w:p>
    <w:p>
      <w:pPr>
        <w:spacing w:after="0" w:line="261"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205</w:t>
      </w:r>
    </w:p>
    <w:p>
      <w:pPr>
        <w:sectPr>
          <w:pgSz w:w="11900" w:h="16836" w:orient="portrait"/>
          <w:cols w:equalWidth="0" w:num="1">
            <w:col w:w="9180"/>
          </w:cols>
          <w:pgMar w:left="1440" w:top="1156" w:right="1284" w:bottom="103" w:gutter="0" w:footer="0" w:header="0"/>
        </w:sectPr>
      </w:pPr>
    </w:p>
    <w:bookmarkStart w:id="205" w:name="page206"/>
    <w:bookmarkEnd w:id="205"/>
    <w:p>
      <w:pPr>
        <w:ind w:left="1160" w:hanging="368"/>
        <w:spacing w:after="0"/>
        <w:tabs>
          <w:tab w:leader="none" w:pos="1160" w:val="left"/>
        </w:tabs>
        <w:numPr>
          <w:ilvl w:val="0"/>
          <w:numId w:val="78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number of members/shareholders of the issuer.</w:t>
      </w:r>
    </w:p>
    <w:p>
      <w:pPr>
        <w:spacing w:after="0" w:line="137" w:lineRule="exact"/>
        <w:rPr>
          <w:rFonts w:ascii="Times New Roman" w:cs="Times New Roman" w:eastAsia="Times New Roman" w:hAnsi="Times New Roman"/>
          <w:sz w:val="24"/>
          <w:szCs w:val="24"/>
          <w:color w:val="auto"/>
        </w:rPr>
      </w:pPr>
    </w:p>
    <w:p>
      <w:pPr>
        <w:ind w:left="1160" w:hanging="368"/>
        <w:spacing w:after="0"/>
        <w:tabs>
          <w:tab w:leader="none" w:pos="1160" w:val="left"/>
        </w:tabs>
        <w:numPr>
          <w:ilvl w:val="0"/>
          <w:numId w:val="78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w:t>
      </w:r>
    </w:p>
    <w:p>
      <w:pPr>
        <w:spacing w:after="0" w:line="151" w:lineRule="exact"/>
        <w:rPr>
          <w:rFonts w:ascii="Times New Roman" w:cs="Times New Roman" w:eastAsia="Times New Roman" w:hAnsi="Times New Roman"/>
          <w:sz w:val="24"/>
          <w:szCs w:val="24"/>
          <w:color w:val="auto"/>
        </w:rPr>
      </w:pPr>
    </w:p>
    <w:p>
      <w:pPr>
        <w:ind w:left="1600" w:hanging="464"/>
        <w:spacing w:after="0" w:line="348" w:lineRule="auto"/>
        <w:tabs>
          <w:tab w:leader="none" w:pos="1600" w:val="left"/>
        </w:tabs>
        <w:numPr>
          <w:ilvl w:val="1"/>
          <w:numId w:val="78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aggregate shareholding of the promoter group and of the directors of the promoters, where the promoter is a body corporate.</w:t>
      </w:r>
    </w:p>
    <w:p>
      <w:pPr>
        <w:spacing w:after="0" w:line="27" w:lineRule="exact"/>
        <w:rPr>
          <w:rFonts w:ascii="Times New Roman" w:cs="Times New Roman" w:eastAsia="Times New Roman" w:hAnsi="Times New Roman"/>
          <w:sz w:val="24"/>
          <w:szCs w:val="24"/>
          <w:color w:val="auto"/>
        </w:rPr>
      </w:pPr>
    </w:p>
    <w:p>
      <w:pPr>
        <w:jc w:val="both"/>
        <w:ind w:left="1600" w:hanging="464"/>
        <w:spacing w:after="0" w:line="356" w:lineRule="auto"/>
        <w:tabs>
          <w:tab w:leader="none" w:pos="1600" w:val="left"/>
        </w:tabs>
        <w:numPr>
          <w:ilvl w:val="1"/>
          <w:numId w:val="78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aggregate number of specified securities purchased or sold by the promoter group and/or by the directors of the company which is a promoter of the issuer and/or by the directors of the issuer and their relatives in the preceding six months.</w:t>
      </w:r>
    </w:p>
    <w:p>
      <w:pPr>
        <w:spacing w:after="0" w:line="19" w:lineRule="exact"/>
        <w:rPr>
          <w:rFonts w:ascii="Times New Roman" w:cs="Times New Roman" w:eastAsia="Times New Roman" w:hAnsi="Times New Roman"/>
          <w:sz w:val="24"/>
          <w:szCs w:val="24"/>
          <w:color w:val="auto"/>
        </w:rPr>
      </w:pPr>
    </w:p>
    <w:p>
      <w:pPr>
        <w:jc w:val="both"/>
        <w:ind w:left="1600" w:hanging="464"/>
        <w:spacing w:after="0" w:line="357" w:lineRule="auto"/>
        <w:tabs>
          <w:tab w:leader="none" w:pos="1600" w:val="left"/>
        </w:tabs>
        <w:numPr>
          <w:ilvl w:val="1"/>
          <w:numId w:val="78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all financing arrangements whereby the promoter group, the directors of the company which is a promoter of the issuer, the directors of the issuer and their relatives have financed the purchase by any other person of securities of the issuer other than in the normal course of the business of the financing entity in the six months immediately preceding the date of filing of the draft offer document/offer document.</w:t>
      </w:r>
    </w:p>
    <w:p>
      <w:pPr>
        <w:spacing w:after="0" w:line="20" w:lineRule="exact"/>
        <w:rPr>
          <w:rFonts w:ascii="Times New Roman" w:cs="Times New Roman" w:eastAsia="Times New Roman" w:hAnsi="Times New Roman"/>
          <w:sz w:val="24"/>
          <w:szCs w:val="24"/>
          <w:color w:val="auto"/>
        </w:rPr>
      </w:pPr>
    </w:p>
    <w:p>
      <w:pPr>
        <w:jc w:val="both"/>
        <w:ind w:left="1600" w:hanging="464"/>
        <w:spacing w:after="0" w:line="356" w:lineRule="auto"/>
        <w:tabs>
          <w:tab w:leader="none" w:pos="1600" w:val="left"/>
        </w:tabs>
        <w:numPr>
          <w:ilvl w:val="1"/>
          <w:numId w:val="78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it is not possible to obtain information regarding sales and purchases of specified securities by any relatives of the promoter, details on the basis of the transfers as recorded in the books of the issuer and/or the depository, as applicable and a statement to such effect.</w:t>
      </w:r>
    </w:p>
    <w:p>
      <w:pPr>
        <w:spacing w:after="0" w:line="6" w:lineRule="exact"/>
        <w:rPr>
          <w:rFonts w:ascii="Times New Roman" w:cs="Times New Roman" w:eastAsia="Times New Roman" w:hAnsi="Times New Roman"/>
          <w:sz w:val="24"/>
          <w:szCs w:val="24"/>
          <w:color w:val="auto"/>
        </w:rPr>
      </w:pPr>
    </w:p>
    <w:p>
      <w:pPr>
        <w:ind w:left="1160" w:hanging="368"/>
        <w:spacing w:after="0"/>
        <w:tabs>
          <w:tab w:leader="none" w:pos="1160" w:val="left"/>
        </w:tabs>
        <w:numPr>
          <w:ilvl w:val="0"/>
          <w:numId w:val="78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Promoters’ contribution:</w:t>
      </w:r>
    </w:p>
    <w:p>
      <w:pPr>
        <w:spacing w:after="0" w:line="149" w:lineRule="exact"/>
        <w:rPr>
          <w:rFonts w:ascii="Times New Roman" w:cs="Times New Roman" w:eastAsia="Times New Roman" w:hAnsi="Times New Roman"/>
          <w:sz w:val="24"/>
          <w:szCs w:val="24"/>
          <w:color w:val="auto"/>
        </w:rPr>
      </w:pPr>
    </w:p>
    <w:p>
      <w:pPr>
        <w:jc w:val="both"/>
        <w:ind w:left="1880" w:hanging="728"/>
        <w:spacing w:after="0" w:line="358" w:lineRule="auto"/>
        <w:tabs>
          <w:tab w:leader="none" w:pos="1880" w:val="left"/>
        </w:tabs>
        <w:numPr>
          <w:ilvl w:val="2"/>
          <w:numId w:val="78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promoters’ contribution and lock-in period in a tabular form, separately in respect of each promoter by name, with the date of allotment of specified securities, the date when fully paid-up, the nature of allotment (rights, bonus, preferential etc.), the number, face value and issue price, the percentage of promoters’ contribution to total issued capital and the date up to which the specified securities are subject to lock-in.</w:t>
      </w:r>
    </w:p>
    <w:p>
      <w:pPr>
        <w:spacing w:after="0" w:line="14" w:lineRule="exact"/>
        <w:rPr>
          <w:rFonts w:ascii="Times New Roman" w:cs="Times New Roman" w:eastAsia="Times New Roman" w:hAnsi="Times New Roman"/>
          <w:sz w:val="24"/>
          <w:szCs w:val="24"/>
          <w:color w:val="auto"/>
        </w:rPr>
      </w:pPr>
    </w:p>
    <w:p>
      <w:pPr>
        <w:jc w:val="both"/>
        <w:ind w:left="1880" w:hanging="728"/>
        <w:spacing w:after="0" w:line="354" w:lineRule="auto"/>
        <w:tabs>
          <w:tab w:leader="none" w:pos="1880" w:val="left"/>
        </w:tabs>
        <w:numPr>
          <w:ilvl w:val="2"/>
          <w:numId w:val="78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the case of an initial public offer, details of all individual allotments from the date of incorporation of the issuer and in case of a further public offer by a listed issuer, such details for the preceding five years.</w:t>
      </w:r>
    </w:p>
    <w:p>
      <w:pPr>
        <w:spacing w:after="0" w:line="22" w:lineRule="exact"/>
        <w:rPr>
          <w:rFonts w:ascii="Times New Roman" w:cs="Times New Roman" w:eastAsia="Times New Roman" w:hAnsi="Times New Roman"/>
          <w:sz w:val="24"/>
          <w:szCs w:val="24"/>
          <w:color w:val="auto"/>
        </w:rPr>
      </w:pPr>
    </w:p>
    <w:p>
      <w:pPr>
        <w:jc w:val="both"/>
        <w:ind w:left="1880" w:hanging="728"/>
        <w:spacing w:after="0" w:line="357" w:lineRule="auto"/>
        <w:tabs>
          <w:tab w:leader="none" w:pos="1880" w:val="left"/>
        </w:tabs>
        <w:numPr>
          <w:ilvl w:val="2"/>
          <w:numId w:val="78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further public offers or rights issues, shares acquired by the promoters through a public issue, rights issue, preferential issue, bonus issue, conversion of depository receipts or under any employee stock option scheme or employee stock purchase scheme to be shown separately from the shares acquired in the secondary market and its aggregate cost of shares acquired in the secondary market, if available.</w:t>
      </w: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206</w:t>
      </w:r>
    </w:p>
    <w:p>
      <w:pPr>
        <w:sectPr>
          <w:pgSz w:w="11900" w:h="16836" w:orient="portrait"/>
          <w:cols w:equalWidth="0" w:num="1">
            <w:col w:w="9180"/>
          </w:cols>
          <w:pgMar w:left="1440" w:top="1144" w:right="1284" w:bottom="103" w:gutter="0" w:footer="0" w:header="0"/>
        </w:sectPr>
      </w:pPr>
    </w:p>
    <w:bookmarkStart w:id="206" w:name="page207"/>
    <w:bookmarkEnd w:id="206"/>
    <w:p>
      <w:pPr>
        <w:ind w:left="1880" w:hanging="728"/>
        <w:spacing w:after="0" w:line="348" w:lineRule="auto"/>
        <w:tabs>
          <w:tab w:leader="none" w:pos="1880" w:val="left"/>
        </w:tabs>
        <w:numPr>
          <w:ilvl w:val="1"/>
          <w:numId w:val="78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compliance with applicable provisions of these regulations with respect to promoters’’ contribution and lock-in requirements.</w:t>
      </w:r>
    </w:p>
    <w:p>
      <w:pPr>
        <w:spacing w:after="0" w:line="28" w:lineRule="exact"/>
        <w:rPr>
          <w:rFonts w:ascii="Times New Roman" w:cs="Times New Roman" w:eastAsia="Times New Roman" w:hAnsi="Times New Roman"/>
          <w:sz w:val="24"/>
          <w:szCs w:val="24"/>
          <w:color w:val="auto"/>
        </w:rPr>
      </w:pPr>
    </w:p>
    <w:p>
      <w:pPr>
        <w:ind w:left="1880" w:hanging="728"/>
        <w:spacing w:after="0" w:line="348" w:lineRule="auto"/>
        <w:tabs>
          <w:tab w:leader="none" w:pos="1880" w:val="left"/>
        </w:tabs>
        <w:numPr>
          <w:ilvl w:val="1"/>
          <w:numId w:val="78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issuer is exempt from the requirements of promoters’ contribution, the relevant provisions under which it is so exempt.</w:t>
      </w:r>
    </w:p>
    <w:p>
      <w:pPr>
        <w:spacing w:after="0" w:line="27" w:lineRule="exact"/>
        <w:rPr>
          <w:rFonts w:ascii="Times New Roman" w:cs="Times New Roman" w:eastAsia="Times New Roman" w:hAnsi="Times New Roman"/>
          <w:sz w:val="24"/>
          <w:szCs w:val="24"/>
          <w:color w:val="auto"/>
        </w:rPr>
      </w:pPr>
    </w:p>
    <w:p>
      <w:pPr>
        <w:jc w:val="both"/>
        <w:ind w:left="1880" w:hanging="728"/>
        <w:spacing w:after="0" w:line="354" w:lineRule="auto"/>
        <w:tabs>
          <w:tab w:leader="none" w:pos="1880" w:val="left"/>
        </w:tabs>
        <w:numPr>
          <w:ilvl w:val="1"/>
          <w:numId w:val="78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statement that the promoter undertakes to accept full conversion, if the promoters’ contribution is in terms of the same optionally convertible debt instrument as is being offered to the public.</w:t>
      </w:r>
    </w:p>
    <w:p>
      <w:pPr>
        <w:spacing w:after="0" w:line="7" w:lineRule="exact"/>
        <w:rPr>
          <w:rFonts w:ascii="Times New Roman" w:cs="Times New Roman" w:eastAsia="Times New Roman" w:hAnsi="Times New Roman"/>
          <w:sz w:val="24"/>
          <w:szCs w:val="24"/>
          <w:color w:val="auto"/>
        </w:rPr>
      </w:pPr>
    </w:p>
    <w:p>
      <w:pPr>
        <w:ind w:left="1160" w:hanging="368"/>
        <w:spacing w:after="0"/>
        <w:tabs>
          <w:tab w:leader="none" w:pos="1160" w:val="left"/>
        </w:tabs>
        <w:numPr>
          <w:ilvl w:val="0"/>
          <w:numId w:val="78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statement that the issuer, its directors or the lead manager(s) have not entered</w:t>
      </w:r>
    </w:p>
    <w:p>
      <w:pPr>
        <w:spacing w:after="0" w:line="152" w:lineRule="exact"/>
        <w:rPr>
          <w:sz w:val="20"/>
          <w:szCs w:val="20"/>
          <w:color w:val="auto"/>
        </w:rPr>
      </w:pPr>
    </w:p>
    <w:p>
      <w:pPr>
        <w:ind w:left="1160"/>
        <w:spacing w:after="0" w:line="348" w:lineRule="auto"/>
        <w:rPr>
          <w:sz w:val="20"/>
          <w:szCs w:val="20"/>
          <w:color w:val="auto"/>
        </w:rPr>
      </w:pPr>
      <w:r>
        <w:rPr>
          <w:rFonts w:ascii="Times New Roman" w:cs="Times New Roman" w:eastAsia="Times New Roman" w:hAnsi="Times New Roman"/>
          <w:sz w:val="24"/>
          <w:szCs w:val="24"/>
          <w:color w:val="auto"/>
        </w:rPr>
        <w:t>into any buy-back arrangements for purchase of the specified securities of the issuer.</w:t>
      </w:r>
    </w:p>
    <w:p>
      <w:pPr>
        <w:spacing w:after="0" w:line="28" w:lineRule="exact"/>
        <w:rPr>
          <w:sz w:val="20"/>
          <w:szCs w:val="20"/>
          <w:color w:val="auto"/>
        </w:rPr>
      </w:pPr>
    </w:p>
    <w:p>
      <w:pPr>
        <w:jc w:val="both"/>
        <w:ind w:left="1160" w:hanging="359"/>
        <w:spacing w:after="0" w:line="354" w:lineRule="auto"/>
        <w:rPr>
          <w:sz w:val="20"/>
          <w:szCs w:val="20"/>
          <w:color w:val="auto"/>
        </w:rPr>
      </w:pPr>
      <w:r>
        <w:rPr>
          <w:rFonts w:ascii="Times New Roman" w:cs="Times New Roman" w:eastAsia="Times New Roman" w:hAnsi="Times New Roman"/>
          <w:sz w:val="24"/>
          <w:szCs w:val="24"/>
          <w:color w:val="auto"/>
        </w:rPr>
        <w:t>(m) A statement that all securities offered through the issue shall be made fully paid-up, if applicable, or may be forfeited for non-payment of calls within twelve months from the date of allotment of securities.</w:t>
      </w:r>
    </w:p>
    <w:p>
      <w:pPr>
        <w:spacing w:after="0" w:line="20" w:lineRule="exact"/>
        <w:rPr>
          <w:sz w:val="20"/>
          <w:szCs w:val="20"/>
          <w:color w:val="auto"/>
        </w:rPr>
      </w:pPr>
    </w:p>
    <w:p>
      <w:pPr>
        <w:jc w:val="both"/>
        <w:ind w:left="1160" w:hanging="368"/>
        <w:spacing w:after="0" w:line="354" w:lineRule="auto"/>
        <w:tabs>
          <w:tab w:leader="none" w:pos="1160" w:val="left"/>
        </w:tabs>
        <w:numPr>
          <w:ilvl w:val="0"/>
          <w:numId w:val="78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shareholding, if any, of the lead manager(s) and their associates (as defined under the Securities and Exchange Board of India (Merchant Bankers) Regulations, 1992) in the issuer.</w:t>
      </w:r>
    </w:p>
    <w:p>
      <w:pPr>
        <w:spacing w:after="0" w:line="22" w:lineRule="exact"/>
        <w:rPr>
          <w:rFonts w:ascii="Times New Roman" w:cs="Times New Roman" w:eastAsia="Times New Roman" w:hAnsi="Times New Roman"/>
          <w:sz w:val="24"/>
          <w:szCs w:val="24"/>
          <w:color w:val="auto"/>
        </w:rPr>
      </w:pPr>
    </w:p>
    <w:p>
      <w:pPr>
        <w:jc w:val="both"/>
        <w:ind w:left="1160" w:hanging="368"/>
        <w:spacing w:after="0" w:line="356" w:lineRule="auto"/>
        <w:tabs>
          <w:tab w:leader="none" w:pos="1160" w:val="left"/>
        </w:tabs>
        <w:numPr>
          <w:ilvl w:val="0"/>
          <w:numId w:val="78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options granted or equity shares issued under any scheme of employee stock option or employee stock purchase of issuer, in the preceding three years (separately for each year) and on a cumulative basis for all options or equity shares issued prior to the date of the offer document.</w:t>
      </w:r>
    </w:p>
    <w:p>
      <w:pPr>
        <w:spacing w:after="0" w:line="18" w:lineRule="exact"/>
        <w:rPr>
          <w:rFonts w:ascii="Times New Roman" w:cs="Times New Roman" w:eastAsia="Times New Roman" w:hAnsi="Times New Roman"/>
          <w:sz w:val="24"/>
          <w:szCs w:val="24"/>
          <w:color w:val="auto"/>
        </w:rPr>
      </w:pPr>
    </w:p>
    <w:p>
      <w:pPr>
        <w:jc w:val="both"/>
        <w:ind w:left="1160" w:hanging="368"/>
        <w:spacing w:after="0" w:line="354" w:lineRule="auto"/>
        <w:tabs>
          <w:tab w:leader="none" w:pos="1160" w:val="left"/>
        </w:tabs>
        <w:numPr>
          <w:ilvl w:val="0"/>
          <w:numId w:val="78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following details in cases where options granted to employees in pursuance of any employee stock option scheme existing prior to the initial public offer, are outstanding at the time of the initial public offer:</w:t>
      </w:r>
    </w:p>
    <w:p>
      <w:pPr>
        <w:spacing w:after="0" w:line="7" w:lineRule="exact"/>
        <w:rPr>
          <w:rFonts w:ascii="Times New Roman" w:cs="Times New Roman" w:eastAsia="Times New Roman" w:hAnsi="Times New Roman"/>
          <w:sz w:val="24"/>
          <w:szCs w:val="24"/>
          <w:color w:val="auto"/>
        </w:rPr>
      </w:pPr>
    </w:p>
    <w:p>
      <w:pPr>
        <w:ind w:left="1880" w:hanging="728"/>
        <w:spacing w:after="0"/>
        <w:tabs>
          <w:tab w:leader="none" w:pos="1880" w:val="left"/>
        </w:tabs>
        <w:numPr>
          <w:ilvl w:val="1"/>
          <w:numId w:val="786"/>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options granted;</w:t>
      </w:r>
    </w:p>
    <w:p>
      <w:pPr>
        <w:spacing w:after="0" w:line="139" w:lineRule="exact"/>
        <w:rPr>
          <w:rFonts w:ascii="Times New Roman" w:cs="Times New Roman" w:eastAsia="Times New Roman" w:hAnsi="Times New Roman"/>
          <w:sz w:val="22"/>
          <w:szCs w:val="22"/>
          <w:color w:val="auto"/>
        </w:rPr>
      </w:pPr>
    </w:p>
    <w:p>
      <w:pPr>
        <w:ind w:left="1880" w:hanging="728"/>
        <w:spacing w:after="0"/>
        <w:tabs>
          <w:tab w:leader="none" w:pos="1880" w:val="left"/>
        </w:tabs>
        <w:numPr>
          <w:ilvl w:val="1"/>
          <w:numId w:val="786"/>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options vested;</w:t>
      </w:r>
    </w:p>
    <w:p>
      <w:pPr>
        <w:spacing w:after="0" w:line="136" w:lineRule="exact"/>
        <w:rPr>
          <w:rFonts w:ascii="Times New Roman" w:cs="Times New Roman" w:eastAsia="Times New Roman" w:hAnsi="Times New Roman"/>
          <w:sz w:val="22"/>
          <w:szCs w:val="22"/>
          <w:color w:val="auto"/>
        </w:rPr>
      </w:pPr>
    </w:p>
    <w:p>
      <w:pPr>
        <w:ind w:left="1880" w:hanging="728"/>
        <w:spacing w:after="0"/>
        <w:tabs>
          <w:tab w:leader="none" w:pos="1880" w:val="left"/>
        </w:tabs>
        <w:numPr>
          <w:ilvl w:val="1"/>
          <w:numId w:val="786"/>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options exercised;</w:t>
      </w:r>
    </w:p>
    <w:p>
      <w:pPr>
        <w:spacing w:after="0" w:line="139" w:lineRule="exact"/>
        <w:rPr>
          <w:rFonts w:ascii="Times New Roman" w:cs="Times New Roman" w:eastAsia="Times New Roman" w:hAnsi="Times New Roman"/>
          <w:sz w:val="22"/>
          <w:szCs w:val="22"/>
          <w:color w:val="auto"/>
        </w:rPr>
      </w:pPr>
    </w:p>
    <w:p>
      <w:pPr>
        <w:ind w:left="1880" w:hanging="728"/>
        <w:spacing w:after="0"/>
        <w:tabs>
          <w:tab w:leader="none" w:pos="1880" w:val="left"/>
        </w:tabs>
        <w:numPr>
          <w:ilvl w:val="1"/>
          <w:numId w:val="786"/>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the exercise price;</w:t>
      </w:r>
    </w:p>
    <w:p>
      <w:pPr>
        <w:spacing w:after="0" w:line="136" w:lineRule="exact"/>
        <w:rPr>
          <w:rFonts w:ascii="Times New Roman" w:cs="Times New Roman" w:eastAsia="Times New Roman" w:hAnsi="Times New Roman"/>
          <w:sz w:val="22"/>
          <w:szCs w:val="22"/>
          <w:color w:val="auto"/>
        </w:rPr>
      </w:pPr>
    </w:p>
    <w:p>
      <w:pPr>
        <w:ind w:left="1880" w:hanging="728"/>
        <w:spacing w:after="0"/>
        <w:tabs>
          <w:tab w:leader="none" w:pos="1880" w:val="left"/>
        </w:tabs>
        <w:numPr>
          <w:ilvl w:val="1"/>
          <w:numId w:val="786"/>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the total number of shares arising as a result of exercise of option;</w:t>
      </w:r>
    </w:p>
    <w:p>
      <w:pPr>
        <w:spacing w:after="0" w:line="139" w:lineRule="exact"/>
        <w:rPr>
          <w:rFonts w:ascii="Times New Roman" w:cs="Times New Roman" w:eastAsia="Times New Roman" w:hAnsi="Times New Roman"/>
          <w:sz w:val="22"/>
          <w:szCs w:val="22"/>
          <w:color w:val="auto"/>
        </w:rPr>
      </w:pPr>
    </w:p>
    <w:p>
      <w:pPr>
        <w:ind w:left="1880" w:hanging="728"/>
        <w:spacing w:after="0"/>
        <w:tabs>
          <w:tab w:leader="none" w:pos="1880" w:val="left"/>
        </w:tabs>
        <w:numPr>
          <w:ilvl w:val="1"/>
          <w:numId w:val="786"/>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options lapsed;</w:t>
      </w:r>
    </w:p>
    <w:p>
      <w:pPr>
        <w:spacing w:after="0" w:line="136" w:lineRule="exact"/>
        <w:rPr>
          <w:rFonts w:ascii="Times New Roman" w:cs="Times New Roman" w:eastAsia="Times New Roman" w:hAnsi="Times New Roman"/>
          <w:sz w:val="22"/>
          <w:szCs w:val="22"/>
          <w:color w:val="auto"/>
        </w:rPr>
      </w:pPr>
    </w:p>
    <w:p>
      <w:pPr>
        <w:ind w:left="1880" w:hanging="728"/>
        <w:spacing w:after="0"/>
        <w:tabs>
          <w:tab w:leader="none" w:pos="1880" w:val="left"/>
        </w:tabs>
        <w:numPr>
          <w:ilvl w:val="1"/>
          <w:numId w:val="786"/>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variation of terms of options;</w:t>
      </w:r>
    </w:p>
    <w:p>
      <w:pPr>
        <w:spacing w:after="0" w:line="139" w:lineRule="exact"/>
        <w:rPr>
          <w:rFonts w:ascii="Times New Roman" w:cs="Times New Roman" w:eastAsia="Times New Roman" w:hAnsi="Times New Roman"/>
          <w:sz w:val="22"/>
          <w:szCs w:val="22"/>
          <w:color w:val="auto"/>
        </w:rPr>
      </w:pPr>
    </w:p>
    <w:p>
      <w:pPr>
        <w:ind w:left="1880" w:hanging="728"/>
        <w:spacing w:after="0"/>
        <w:tabs>
          <w:tab w:leader="none" w:pos="1880" w:val="left"/>
        </w:tabs>
        <w:numPr>
          <w:ilvl w:val="1"/>
          <w:numId w:val="786"/>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money realised by exercise of options;</w:t>
      </w:r>
    </w:p>
    <w:p>
      <w:pPr>
        <w:spacing w:after="0" w:line="137" w:lineRule="exact"/>
        <w:rPr>
          <w:rFonts w:ascii="Times New Roman" w:cs="Times New Roman" w:eastAsia="Times New Roman" w:hAnsi="Times New Roman"/>
          <w:sz w:val="22"/>
          <w:szCs w:val="22"/>
          <w:color w:val="auto"/>
        </w:rPr>
      </w:pPr>
    </w:p>
    <w:p>
      <w:pPr>
        <w:ind w:left="1880" w:hanging="728"/>
        <w:spacing w:after="0"/>
        <w:tabs>
          <w:tab w:leader="none" w:pos="1880" w:val="left"/>
        </w:tabs>
        <w:numPr>
          <w:ilvl w:val="1"/>
          <w:numId w:val="786"/>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total number of options in force;</w:t>
      </w:r>
    </w:p>
    <w:p>
      <w:pPr>
        <w:spacing w:after="0" w:line="139" w:lineRule="exact"/>
        <w:rPr>
          <w:rFonts w:ascii="Times New Roman" w:cs="Times New Roman" w:eastAsia="Times New Roman" w:hAnsi="Times New Roman"/>
          <w:sz w:val="22"/>
          <w:szCs w:val="22"/>
          <w:color w:val="auto"/>
        </w:rPr>
      </w:pPr>
    </w:p>
    <w:p>
      <w:pPr>
        <w:ind w:left="1880" w:hanging="728"/>
        <w:spacing w:after="0"/>
        <w:tabs>
          <w:tab w:leader="none" w:pos="1880" w:val="left"/>
        </w:tabs>
        <w:numPr>
          <w:ilvl w:val="1"/>
          <w:numId w:val="786"/>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employee-wise details of options granted to:</w:t>
      </w:r>
    </w:p>
    <w:p>
      <w:pPr>
        <w:spacing w:after="0" w:line="135" w:lineRule="exact"/>
        <w:rPr>
          <w:rFonts w:ascii="Times New Roman" w:cs="Times New Roman" w:eastAsia="Times New Roman" w:hAnsi="Times New Roman"/>
          <w:sz w:val="22"/>
          <w:szCs w:val="22"/>
          <w:color w:val="auto"/>
        </w:rPr>
      </w:pPr>
    </w:p>
    <w:p>
      <w:pPr>
        <w:ind w:left="2140" w:hanging="284"/>
        <w:spacing w:after="0"/>
        <w:tabs>
          <w:tab w:leader="none" w:pos="2140" w:val="left"/>
        </w:tabs>
        <w:numPr>
          <w:ilvl w:val="2"/>
          <w:numId w:val="786"/>
        </w:numPr>
        <w:rPr>
          <w:rFonts w:ascii="Symbol" w:cs="Symbol" w:eastAsia="Symbol" w:hAnsi="Symbol"/>
          <w:sz w:val="24"/>
          <w:szCs w:val="24"/>
          <w:color w:val="auto"/>
        </w:rPr>
      </w:pPr>
      <w:r>
        <w:rPr>
          <w:rFonts w:ascii="Times New Roman" w:cs="Times New Roman" w:eastAsia="Times New Roman" w:hAnsi="Times New Roman"/>
          <w:sz w:val="24"/>
          <w:szCs w:val="24"/>
          <w:color w:val="auto"/>
        </w:rPr>
        <w:t>key managerial personnel;</w:t>
      </w: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207</w:t>
      </w:r>
    </w:p>
    <w:p>
      <w:pPr>
        <w:sectPr>
          <w:pgSz w:w="11900" w:h="16836" w:orient="portrait"/>
          <w:cols w:equalWidth="0" w:num="1">
            <w:col w:w="9180"/>
          </w:cols>
          <w:pgMar w:left="1440" w:top="1156" w:right="1284" w:bottom="103" w:gutter="0" w:footer="0" w:header="0"/>
        </w:sectPr>
      </w:pPr>
    </w:p>
    <w:bookmarkStart w:id="207" w:name="page208"/>
    <w:bookmarkEnd w:id="207"/>
    <w:p>
      <w:pPr>
        <w:ind w:left="2140" w:hanging="284"/>
        <w:spacing w:after="0" w:line="335" w:lineRule="auto"/>
        <w:tabs>
          <w:tab w:leader="none" w:pos="2140" w:val="left"/>
        </w:tabs>
        <w:numPr>
          <w:ilvl w:val="2"/>
          <w:numId w:val="787"/>
        </w:numPr>
        <w:rPr>
          <w:rFonts w:ascii="Symbol" w:cs="Symbol" w:eastAsia="Symbol" w:hAnsi="Symbol"/>
          <w:sz w:val="24"/>
          <w:szCs w:val="24"/>
          <w:color w:val="auto"/>
        </w:rPr>
      </w:pPr>
      <w:r>
        <w:rPr>
          <w:rFonts w:ascii="Times New Roman" w:cs="Times New Roman" w:eastAsia="Times New Roman" w:hAnsi="Times New Roman"/>
          <w:sz w:val="24"/>
          <w:szCs w:val="24"/>
          <w:color w:val="auto"/>
        </w:rPr>
        <w:t>any other employee who receives a grant in any one year of options amounting to five per cent. or more of options granted during that year;</w:t>
      </w:r>
    </w:p>
    <w:p>
      <w:pPr>
        <w:spacing w:after="0" w:line="49" w:lineRule="exact"/>
        <w:rPr>
          <w:rFonts w:ascii="Symbol" w:cs="Symbol" w:eastAsia="Symbol" w:hAnsi="Symbol"/>
          <w:sz w:val="24"/>
          <w:szCs w:val="24"/>
          <w:color w:val="auto"/>
        </w:rPr>
      </w:pPr>
    </w:p>
    <w:p>
      <w:pPr>
        <w:jc w:val="both"/>
        <w:ind w:left="2140" w:hanging="284"/>
        <w:spacing w:after="0" w:line="343" w:lineRule="auto"/>
        <w:tabs>
          <w:tab w:leader="none" w:pos="2140" w:val="left"/>
        </w:tabs>
        <w:numPr>
          <w:ilvl w:val="2"/>
          <w:numId w:val="787"/>
        </w:numPr>
        <w:rPr>
          <w:rFonts w:ascii="Symbol" w:cs="Symbol" w:eastAsia="Symbol" w:hAnsi="Symbol"/>
          <w:sz w:val="24"/>
          <w:szCs w:val="24"/>
          <w:color w:val="auto"/>
        </w:rPr>
      </w:pPr>
      <w:r>
        <w:rPr>
          <w:rFonts w:ascii="Times New Roman" w:cs="Times New Roman" w:eastAsia="Times New Roman" w:hAnsi="Times New Roman"/>
          <w:sz w:val="24"/>
          <w:szCs w:val="24"/>
          <w:color w:val="auto"/>
        </w:rPr>
        <w:t>identified employees who were granted options, during any one year, equal to or exceeding one per cent. of the issued capital (excluding outstanding warrants and conversions) of the issuer at the time of grant;</w:t>
      </w:r>
    </w:p>
    <w:p>
      <w:pPr>
        <w:spacing w:after="0" w:line="34" w:lineRule="exact"/>
        <w:rPr>
          <w:rFonts w:ascii="Symbol" w:cs="Symbol" w:eastAsia="Symbol" w:hAnsi="Symbol"/>
          <w:sz w:val="24"/>
          <w:szCs w:val="24"/>
          <w:color w:val="auto"/>
        </w:rPr>
      </w:pPr>
    </w:p>
    <w:p>
      <w:pPr>
        <w:jc w:val="both"/>
        <w:ind w:left="1880" w:hanging="656"/>
        <w:spacing w:after="0" w:line="354" w:lineRule="auto"/>
        <w:tabs>
          <w:tab w:leader="none" w:pos="1880" w:val="left"/>
        </w:tabs>
        <w:numPr>
          <w:ilvl w:val="1"/>
          <w:numId w:val="787"/>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diluted Earnings Per Share pursuant to the issue of equity shares on exercise of options calculated in accordance with applicable accounting standard on ‘Earnings Per Share’.</w:t>
      </w:r>
    </w:p>
    <w:p>
      <w:pPr>
        <w:spacing w:after="0" w:line="20" w:lineRule="exact"/>
        <w:rPr>
          <w:rFonts w:ascii="Times New Roman" w:cs="Times New Roman" w:eastAsia="Times New Roman" w:hAnsi="Times New Roman"/>
          <w:sz w:val="22"/>
          <w:szCs w:val="22"/>
          <w:color w:val="auto"/>
        </w:rPr>
      </w:pPr>
    </w:p>
    <w:p>
      <w:pPr>
        <w:jc w:val="both"/>
        <w:ind w:left="1880" w:hanging="656"/>
        <w:spacing w:after="0" w:line="358" w:lineRule="auto"/>
        <w:tabs>
          <w:tab w:leader="none" w:pos="1880" w:val="left"/>
        </w:tabs>
        <w:numPr>
          <w:ilvl w:val="1"/>
          <w:numId w:val="787"/>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where the issuer has calculated the employee compensation cost using the intrinsic value of the stock options, the difference between the employee compensation cost so computed and the employee compensation cost that shall have been recognised if it had used the fair value of the options and the impact of this difference on profits and on the Earnings Per Share of the issuer.</w:t>
      </w:r>
    </w:p>
    <w:p>
      <w:pPr>
        <w:spacing w:after="0" w:line="14" w:lineRule="exact"/>
        <w:rPr>
          <w:rFonts w:ascii="Times New Roman" w:cs="Times New Roman" w:eastAsia="Times New Roman" w:hAnsi="Times New Roman"/>
          <w:sz w:val="22"/>
          <w:szCs w:val="22"/>
          <w:color w:val="auto"/>
        </w:rPr>
      </w:pPr>
    </w:p>
    <w:p>
      <w:pPr>
        <w:jc w:val="both"/>
        <w:ind w:left="1880" w:hanging="656"/>
        <w:spacing w:after="0" w:line="357" w:lineRule="auto"/>
        <w:tabs>
          <w:tab w:leader="none" w:pos="1880" w:val="left"/>
        </w:tabs>
        <w:numPr>
          <w:ilvl w:val="1"/>
          <w:numId w:val="787"/>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description of the pricing formula and the method and significant assumptions used during the year to estimate the fair values of options, including weighted-average information, namely, risk-free interest rate, expected life, expected volatility, expected dividends, and the price of the underlying share in market at the time of grant of the option.</w:t>
      </w:r>
    </w:p>
    <w:p>
      <w:pPr>
        <w:spacing w:after="0" w:line="19" w:lineRule="exact"/>
        <w:rPr>
          <w:rFonts w:ascii="Times New Roman" w:cs="Times New Roman" w:eastAsia="Times New Roman" w:hAnsi="Times New Roman"/>
          <w:sz w:val="22"/>
          <w:szCs w:val="22"/>
          <w:color w:val="auto"/>
        </w:rPr>
      </w:pPr>
    </w:p>
    <w:p>
      <w:pPr>
        <w:jc w:val="both"/>
        <w:ind w:left="1880" w:hanging="728"/>
        <w:spacing w:after="0" w:line="356" w:lineRule="auto"/>
        <w:tabs>
          <w:tab w:leader="none" w:pos="1880" w:val="left"/>
        </w:tabs>
        <w:numPr>
          <w:ilvl w:val="0"/>
          <w:numId w:val="788"/>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impact on the profits and on the Earnings Per Share of the last three years if the issuer had followed the accounting policies specified in Securities and Exchange Board of India (Share Based Employee Benefits) Regulations, 2014, in respect of options granted in the last three years.</w:t>
      </w:r>
    </w:p>
    <w:p>
      <w:pPr>
        <w:spacing w:after="0" w:line="19" w:lineRule="exact"/>
        <w:rPr>
          <w:rFonts w:ascii="Times New Roman" w:cs="Times New Roman" w:eastAsia="Times New Roman" w:hAnsi="Times New Roman"/>
          <w:sz w:val="22"/>
          <w:szCs w:val="22"/>
          <w:color w:val="auto"/>
        </w:rPr>
      </w:pPr>
    </w:p>
    <w:p>
      <w:pPr>
        <w:jc w:val="both"/>
        <w:ind w:left="1880" w:hanging="728"/>
        <w:spacing w:after="0" w:line="358" w:lineRule="auto"/>
        <w:tabs>
          <w:tab w:leader="none" w:pos="1880" w:val="left"/>
        </w:tabs>
        <w:numPr>
          <w:ilvl w:val="0"/>
          <w:numId w:val="788"/>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intention of the key managerial personnel and whole-time directors who are holders of equity shares allotted on exercise of options granted under an employee stock option scheme or allotted under an employee stock purchase scheme, to sell their equity shares within three months after the date of listing of the equity shares in the initial public offer (aggregate number of equity shares intended to be sold by the holders of options), if any. In case of an employee stock option scheme, this information same shall be disclosed regardless of whether the equity shares arise out of options exercised before or after the initial public offer.</w:t>
      </w:r>
    </w:p>
    <w:p>
      <w:pPr>
        <w:spacing w:after="0" w:line="20" w:lineRule="exact"/>
        <w:rPr>
          <w:rFonts w:ascii="Times New Roman" w:cs="Times New Roman" w:eastAsia="Times New Roman" w:hAnsi="Times New Roman"/>
          <w:sz w:val="22"/>
          <w:szCs w:val="22"/>
          <w:color w:val="auto"/>
        </w:rPr>
      </w:pPr>
    </w:p>
    <w:p>
      <w:pPr>
        <w:jc w:val="both"/>
        <w:ind w:left="1880" w:hanging="728"/>
        <w:spacing w:after="0" w:line="354" w:lineRule="auto"/>
        <w:tabs>
          <w:tab w:leader="none" w:pos="1880" w:val="left"/>
        </w:tabs>
        <w:numPr>
          <w:ilvl w:val="0"/>
          <w:numId w:val="788"/>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specific disclosures about the intention to sell equity shares arising out of an employee stock option scheme or allotted under an employee stock purchase scheme within three months after the date of listing, by directors,</w:t>
      </w:r>
    </w:p>
    <w:p>
      <w:pPr>
        <w:spacing w:after="0" w:line="231"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208</w:t>
      </w:r>
    </w:p>
    <w:p>
      <w:pPr>
        <w:sectPr>
          <w:pgSz w:w="11900" w:h="16836" w:orient="portrait"/>
          <w:cols w:equalWidth="0" w:num="1">
            <w:col w:w="9180"/>
          </w:cols>
          <w:pgMar w:left="1440" w:top="1173" w:right="1284" w:bottom="103" w:gutter="0" w:footer="0" w:header="0"/>
        </w:sectPr>
      </w:pPr>
    </w:p>
    <w:bookmarkStart w:id="208" w:name="page209"/>
    <w:bookmarkEnd w:id="208"/>
    <w:p>
      <w:pPr>
        <w:jc w:val="both"/>
        <w:ind w:left="2168"/>
        <w:spacing w:after="0" w:line="358" w:lineRule="auto"/>
        <w:rPr>
          <w:sz w:val="20"/>
          <w:szCs w:val="20"/>
          <w:color w:val="auto"/>
        </w:rPr>
      </w:pPr>
      <w:r>
        <w:rPr>
          <w:rFonts w:ascii="Times New Roman" w:cs="Times New Roman" w:eastAsia="Times New Roman" w:hAnsi="Times New Roman"/>
          <w:sz w:val="24"/>
          <w:szCs w:val="24"/>
          <w:color w:val="auto"/>
        </w:rPr>
        <w:t>senior managerial personnel and employees having equity shares issued under an employee stock option scheme or employee stock purchase scheme amounting to more than one per cent. of the issued capital (excluding outstanding warrants and conversions), which inter-alia shall include name, designation and quantum of the equity shares issued under an employee stock option scheme or employee stock purchase scheme and the quantum they intend to sell within three months.</w:t>
      </w:r>
    </w:p>
    <w:p>
      <w:pPr>
        <w:spacing w:after="0" w:line="16" w:lineRule="exact"/>
        <w:rPr>
          <w:sz w:val="20"/>
          <w:szCs w:val="20"/>
          <w:color w:val="auto"/>
        </w:rPr>
      </w:pPr>
    </w:p>
    <w:p>
      <w:pPr>
        <w:jc w:val="both"/>
        <w:ind w:left="2168" w:hanging="728"/>
        <w:spacing w:after="0" w:line="354" w:lineRule="auto"/>
        <w:tabs>
          <w:tab w:leader="none" w:pos="2168" w:val="left"/>
        </w:tabs>
        <w:numPr>
          <w:ilvl w:val="4"/>
          <w:numId w:val="789"/>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details of the number of shares issued in employee share purchase scheme, the price at which such shares are issued, employee-wise details of the shares issued to</w:t>
      </w:r>
    </w:p>
    <w:p>
      <w:pPr>
        <w:spacing w:after="0" w:line="10" w:lineRule="exact"/>
        <w:rPr>
          <w:rFonts w:ascii="Times New Roman" w:cs="Times New Roman" w:eastAsia="Times New Roman" w:hAnsi="Times New Roman"/>
          <w:sz w:val="22"/>
          <w:szCs w:val="22"/>
          <w:color w:val="auto"/>
        </w:rPr>
      </w:pPr>
    </w:p>
    <w:p>
      <w:pPr>
        <w:ind w:left="2808" w:hanging="647"/>
        <w:spacing w:after="0"/>
        <w:tabs>
          <w:tab w:leader="none" w:pos="2808" w:val="left"/>
        </w:tabs>
        <w:numPr>
          <w:ilvl w:val="5"/>
          <w:numId w:val="7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key managerial personnel;</w:t>
      </w:r>
    </w:p>
    <w:p>
      <w:pPr>
        <w:spacing w:after="0" w:line="149" w:lineRule="exact"/>
        <w:rPr>
          <w:rFonts w:ascii="Times New Roman" w:cs="Times New Roman" w:eastAsia="Times New Roman" w:hAnsi="Times New Roman"/>
          <w:sz w:val="24"/>
          <w:szCs w:val="24"/>
          <w:color w:val="auto"/>
        </w:rPr>
      </w:pPr>
    </w:p>
    <w:p>
      <w:pPr>
        <w:ind w:left="2808" w:hanging="647"/>
        <w:spacing w:after="0" w:line="350" w:lineRule="auto"/>
        <w:tabs>
          <w:tab w:leader="none" w:pos="2808" w:val="left"/>
        </w:tabs>
        <w:numPr>
          <w:ilvl w:val="5"/>
          <w:numId w:val="7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other employee who is issued shares in any one year amounting to 5 per cent. or more shares issued during that year;</w:t>
      </w:r>
    </w:p>
    <w:p>
      <w:pPr>
        <w:spacing w:after="0" w:line="23" w:lineRule="exact"/>
        <w:rPr>
          <w:rFonts w:ascii="Times New Roman" w:cs="Times New Roman" w:eastAsia="Times New Roman" w:hAnsi="Times New Roman"/>
          <w:sz w:val="24"/>
          <w:szCs w:val="24"/>
          <w:color w:val="auto"/>
        </w:rPr>
      </w:pPr>
    </w:p>
    <w:p>
      <w:pPr>
        <w:jc w:val="both"/>
        <w:ind w:left="2808" w:hanging="647"/>
        <w:spacing w:after="0" w:line="354" w:lineRule="auto"/>
        <w:tabs>
          <w:tab w:leader="none" w:pos="2808" w:val="left"/>
        </w:tabs>
        <w:numPr>
          <w:ilvl w:val="5"/>
          <w:numId w:val="7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identified employees who were issued shares during any one year equal to or exceeding 1 per cent. of the issued capital of the company at the time of issuance;</w:t>
      </w:r>
    </w:p>
    <w:p>
      <w:pPr>
        <w:spacing w:after="0" w:line="22" w:lineRule="exact"/>
        <w:rPr>
          <w:rFonts w:ascii="Times New Roman" w:cs="Times New Roman" w:eastAsia="Times New Roman" w:hAnsi="Times New Roman"/>
          <w:sz w:val="24"/>
          <w:szCs w:val="24"/>
          <w:color w:val="auto"/>
        </w:rPr>
      </w:pPr>
    </w:p>
    <w:p>
      <w:pPr>
        <w:jc w:val="both"/>
        <w:ind w:left="2168" w:hanging="728"/>
        <w:spacing w:after="0" w:line="354" w:lineRule="auto"/>
        <w:tabs>
          <w:tab w:leader="none" w:pos="2168" w:val="left"/>
        </w:tabs>
        <w:numPr>
          <w:ilvl w:val="4"/>
          <w:numId w:val="789"/>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diluted Earnings Per Share (EPS) pursuant to issuance of shares under employee share purchase scheme; and consideration received against the issuance of shares.</w:t>
      </w:r>
    </w:p>
    <w:p>
      <w:pPr>
        <w:spacing w:after="0" w:line="19" w:lineRule="exact"/>
        <w:rPr>
          <w:rFonts w:ascii="Times New Roman" w:cs="Times New Roman" w:eastAsia="Times New Roman" w:hAnsi="Times New Roman"/>
          <w:sz w:val="22"/>
          <w:szCs w:val="22"/>
          <w:color w:val="auto"/>
        </w:rPr>
      </w:pPr>
    </w:p>
    <w:p>
      <w:pPr>
        <w:jc w:val="both"/>
        <w:ind w:left="1448" w:hanging="368"/>
        <w:spacing w:after="0" w:line="357" w:lineRule="auto"/>
        <w:tabs>
          <w:tab w:leader="none" w:pos="1448" w:val="left"/>
        </w:tabs>
        <w:numPr>
          <w:ilvl w:val="3"/>
          <w:numId w:val="79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a further public offer by a listed issuer, which has earlier (after being a listed issuer) made any preferential allotment or bonus issue or qualified institutions placement of specified securities in the ten years preceding the date of the draft offer document/offer document, a confirmation that the relevant provisions of the regulations have been complied with.</w:t>
      </w:r>
    </w:p>
    <w:p>
      <w:pPr>
        <w:spacing w:after="0" w:line="200" w:lineRule="exact"/>
        <w:rPr>
          <w:rFonts w:ascii="Times New Roman" w:cs="Times New Roman" w:eastAsia="Times New Roman" w:hAnsi="Times New Roman"/>
          <w:sz w:val="24"/>
          <w:szCs w:val="24"/>
          <w:color w:val="auto"/>
        </w:rPr>
      </w:pPr>
    </w:p>
    <w:p>
      <w:pPr>
        <w:spacing w:after="0" w:line="224" w:lineRule="exact"/>
        <w:rPr>
          <w:rFonts w:ascii="Times New Roman" w:cs="Times New Roman" w:eastAsia="Times New Roman" w:hAnsi="Times New Roman"/>
          <w:sz w:val="24"/>
          <w:szCs w:val="24"/>
          <w:color w:val="auto"/>
        </w:rPr>
      </w:pPr>
    </w:p>
    <w:p>
      <w:pPr>
        <w:ind w:left="368" w:hanging="368"/>
        <w:spacing w:after="0"/>
        <w:tabs>
          <w:tab w:leader="none" w:pos="368" w:val="left"/>
        </w:tabs>
        <w:numPr>
          <w:ilvl w:val="0"/>
          <w:numId w:val="791"/>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b w:val="1"/>
          <w:bCs w:val="1"/>
          <w:color w:val="auto"/>
        </w:rPr>
        <w:t>Particulars of the issue:</w:t>
      </w:r>
    </w:p>
    <w:p>
      <w:pPr>
        <w:spacing w:after="0" w:line="132"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1"/>
          <w:numId w:val="791"/>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Objects of the issue:</w:t>
      </w:r>
    </w:p>
    <w:p>
      <w:pPr>
        <w:spacing w:after="0" w:line="132" w:lineRule="exact"/>
        <w:rPr>
          <w:rFonts w:ascii="Calibri" w:cs="Calibri" w:eastAsia="Calibri" w:hAnsi="Calibri"/>
          <w:sz w:val="22"/>
          <w:szCs w:val="22"/>
          <w:color w:val="auto"/>
        </w:rPr>
      </w:pPr>
    </w:p>
    <w:p>
      <w:pPr>
        <w:ind w:left="1448" w:hanging="728"/>
        <w:spacing w:after="0"/>
        <w:tabs>
          <w:tab w:leader="none" w:pos="1448" w:val="left"/>
        </w:tabs>
        <w:numPr>
          <w:ilvl w:val="2"/>
          <w:numId w:val="79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Objects of the issue.</w:t>
      </w:r>
    </w:p>
    <w:p>
      <w:pPr>
        <w:spacing w:after="0" w:line="139" w:lineRule="exact"/>
        <w:rPr>
          <w:rFonts w:ascii="Times New Roman" w:cs="Times New Roman" w:eastAsia="Times New Roman" w:hAnsi="Times New Roman"/>
          <w:sz w:val="24"/>
          <w:szCs w:val="24"/>
          <w:color w:val="auto"/>
        </w:rPr>
      </w:pPr>
    </w:p>
    <w:p>
      <w:pPr>
        <w:ind w:left="1448" w:hanging="728"/>
        <w:spacing w:after="0"/>
        <w:tabs>
          <w:tab w:leader="none" w:pos="1448" w:val="left"/>
        </w:tabs>
        <w:numPr>
          <w:ilvl w:val="2"/>
          <w:numId w:val="79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one of the objects of the issue is loan repayment:</w:t>
      </w:r>
    </w:p>
    <w:p>
      <w:pPr>
        <w:spacing w:after="0" w:line="149" w:lineRule="exact"/>
        <w:rPr>
          <w:sz w:val="20"/>
          <w:szCs w:val="20"/>
          <w:color w:val="auto"/>
        </w:rPr>
      </w:pPr>
    </w:p>
    <w:p>
      <w:pPr>
        <w:ind w:left="2008" w:hanging="568"/>
        <w:spacing w:after="0" w:line="350" w:lineRule="auto"/>
        <w:tabs>
          <w:tab w:leader="none" w:pos="2008" w:val="left"/>
        </w:tabs>
        <w:numPr>
          <w:ilvl w:val="1"/>
          <w:numId w:val="79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loan proposed to be repaid such as name of the lender, brief terms and conditions and amount outstanding;</w:t>
      </w:r>
    </w:p>
    <w:p>
      <w:pPr>
        <w:spacing w:after="0" w:line="23" w:lineRule="exact"/>
        <w:rPr>
          <w:rFonts w:ascii="Times New Roman" w:cs="Times New Roman" w:eastAsia="Times New Roman" w:hAnsi="Times New Roman"/>
          <w:sz w:val="24"/>
          <w:szCs w:val="24"/>
          <w:color w:val="auto"/>
        </w:rPr>
      </w:pPr>
    </w:p>
    <w:p>
      <w:pPr>
        <w:ind w:left="2008" w:hanging="568"/>
        <w:spacing w:after="0" w:line="350" w:lineRule="auto"/>
        <w:tabs>
          <w:tab w:leader="none" w:pos="2008" w:val="left"/>
        </w:tabs>
        <w:numPr>
          <w:ilvl w:val="1"/>
          <w:numId w:val="79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certificate from the statutory auditor certifying the utilization of loan for the purposed availed.</w:t>
      </w:r>
    </w:p>
    <w:p>
      <w:pPr>
        <w:spacing w:after="0" w:line="23" w:lineRule="exact"/>
        <w:rPr>
          <w:rFonts w:ascii="Times New Roman" w:cs="Times New Roman" w:eastAsia="Times New Roman" w:hAnsi="Times New Roman"/>
          <w:sz w:val="24"/>
          <w:szCs w:val="24"/>
          <w:color w:val="auto"/>
        </w:rPr>
      </w:pPr>
    </w:p>
    <w:p>
      <w:pPr>
        <w:ind w:left="1448" w:hanging="728"/>
        <w:spacing w:after="0" w:line="350" w:lineRule="auto"/>
        <w:tabs>
          <w:tab w:leader="none" w:pos="1448" w:val="left"/>
        </w:tabs>
        <w:numPr>
          <w:ilvl w:val="0"/>
          <w:numId w:val="79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one of the objects is investment in a joint venture or a subsidiary or an acquisition, following additional disclosures:</w:t>
      </w:r>
    </w:p>
    <w:p>
      <w:pPr>
        <w:spacing w:after="0" w:line="268"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209</w:t>
      </w:r>
    </w:p>
    <w:p>
      <w:pPr>
        <w:sectPr>
          <w:pgSz w:w="11900" w:h="16836" w:orient="portrait"/>
          <w:cols w:equalWidth="0" w:num="1">
            <w:col w:w="9468"/>
          </w:cols>
          <w:pgMar w:left="1152" w:top="1156" w:right="1284" w:bottom="103" w:gutter="0" w:footer="0" w:header="0"/>
        </w:sectPr>
      </w:pPr>
    </w:p>
    <w:bookmarkStart w:id="209" w:name="page210"/>
    <w:bookmarkEnd w:id="209"/>
    <w:p>
      <w:pPr>
        <w:ind w:left="1580" w:hanging="428"/>
        <w:spacing w:after="0"/>
        <w:tabs>
          <w:tab w:leader="none" w:pos="1580" w:val="left"/>
        </w:tabs>
        <w:numPr>
          <w:ilvl w:val="1"/>
          <w:numId w:val="79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the form of investment, i.e., equity, debt or any other instrument;</w:t>
      </w:r>
    </w:p>
    <w:p>
      <w:pPr>
        <w:spacing w:after="0" w:line="137" w:lineRule="exact"/>
        <w:rPr>
          <w:rFonts w:ascii="Times New Roman" w:cs="Times New Roman" w:eastAsia="Times New Roman" w:hAnsi="Times New Roman"/>
          <w:sz w:val="24"/>
          <w:szCs w:val="24"/>
          <w:color w:val="auto"/>
        </w:rPr>
      </w:pPr>
    </w:p>
    <w:p>
      <w:pPr>
        <w:ind w:left="1580" w:hanging="428"/>
        <w:spacing w:after="0"/>
        <w:tabs>
          <w:tab w:leader="none" w:pos="1580" w:val="left"/>
        </w:tabs>
        <w:numPr>
          <w:ilvl w:val="1"/>
          <w:numId w:val="79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form of investment has not been decided, a statement to that effect;</w:t>
      </w:r>
    </w:p>
    <w:p>
      <w:pPr>
        <w:spacing w:after="0" w:line="151" w:lineRule="exact"/>
        <w:rPr>
          <w:rFonts w:ascii="Times New Roman" w:cs="Times New Roman" w:eastAsia="Times New Roman" w:hAnsi="Times New Roman"/>
          <w:sz w:val="24"/>
          <w:szCs w:val="24"/>
          <w:color w:val="auto"/>
        </w:rPr>
      </w:pPr>
    </w:p>
    <w:p>
      <w:pPr>
        <w:ind w:left="1720" w:hanging="568"/>
        <w:spacing w:after="0" w:line="348" w:lineRule="auto"/>
        <w:tabs>
          <w:tab w:leader="none" w:pos="1576" w:val="left"/>
        </w:tabs>
        <w:numPr>
          <w:ilvl w:val="1"/>
          <w:numId w:val="79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investment is in debt instruments, complete details regarding rate of interest, nature of security, terms of repayment, subordination, etc.;</w:t>
      </w:r>
    </w:p>
    <w:p>
      <w:pPr>
        <w:spacing w:after="0" w:line="15" w:lineRule="exact"/>
        <w:rPr>
          <w:rFonts w:ascii="Times New Roman" w:cs="Times New Roman" w:eastAsia="Times New Roman" w:hAnsi="Times New Roman"/>
          <w:sz w:val="24"/>
          <w:szCs w:val="24"/>
          <w:color w:val="auto"/>
        </w:rPr>
      </w:pPr>
    </w:p>
    <w:p>
      <w:pPr>
        <w:ind w:left="1580" w:hanging="428"/>
        <w:spacing w:after="0"/>
        <w:tabs>
          <w:tab w:leader="none" w:pos="1580" w:val="left"/>
        </w:tabs>
        <w:numPr>
          <w:ilvl w:val="1"/>
          <w:numId w:val="79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Nature of benefit expected to accrue to the issuer as a result of the investment</w:t>
      </w:r>
    </w:p>
    <w:p>
      <w:pPr>
        <w:spacing w:after="0" w:line="149" w:lineRule="exact"/>
        <w:rPr>
          <w:rFonts w:ascii="Times New Roman" w:cs="Times New Roman" w:eastAsia="Times New Roman" w:hAnsi="Times New Roman"/>
          <w:sz w:val="24"/>
          <w:szCs w:val="24"/>
          <w:color w:val="auto"/>
        </w:rPr>
      </w:pPr>
    </w:p>
    <w:p>
      <w:pPr>
        <w:jc w:val="both"/>
        <w:ind w:left="1160" w:hanging="728"/>
        <w:spacing w:after="0" w:line="358" w:lineRule="auto"/>
        <w:tabs>
          <w:tab w:leader="none" w:pos="1160" w:val="left"/>
        </w:tabs>
        <w:numPr>
          <w:ilvl w:val="0"/>
          <w:numId w:val="7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one of the objects of the issue is to grant a loan to an entity other than a subsidiary, details of the loan agreements, including the rate of interest, whether secured or unsecured, duration, nature of security, terms of repayment, subordination etc. and the nature of benefit expected to accrue to the issuer as a result of the investment. If such a loan is to be granted to any of the group companies, details of the same.</w:t>
      </w:r>
    </w:p>
    <w:p>
      <w:pPr>
        <w:spacing w:after="0" w:line="14" w:lineRule="exact"/>
        <w:rPr>
          <w:rFonts w:ascii="Times New Roman" w:cs="Times New Roman" w:eastAsia="Times New Roman" w:hAnsi="Times New Roman"/>
          <w:sz w:val="24"/>
          <w:szCs w:val="24"/>
          <w:color w:val="auto"/>
        </w:rPr>
      </w:pPr>
    </w:p>
    <w:p>
      <w:pPr>
        <w:ind w:left="1160" w:hanging="728"/>
        <w:spacing w:after="0" w:line="350" w:lineRule="auto"/>
        <w:tabs>
          <w:tab w:leader="none" w:pos="1160" w:val="left"/>
        </w:tabs>
        <w:numPr>
          <w:ilvl w:val="0"/>
          <w:numId w:val="7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one of the objects of the issue is utilisation of the issue proceeds for long term working capital, the following additional disclosures on a standalone basis:</w:t>
      </w:r>
    </w:p>
    <w:p>
      <w:pPr>
        <w:spacing w:after="0" w:line="23" w:lineRule="exact"/>
        <w:rPr>
          <w:rFonts w:ascii="Times New Roman" w:cs="Times New Roman" w:eastAsia="Times New Roman" w:hAnsi="Times New Roman"/>
          <w:sz w:val="24"/>
          <w:szCs w:val="24"/>
          <w:color w:val="auto"/>
        </w:rPr>
      </w:pPr>
    </w:p>
    <w:p>
      <w:pPr>
        <w:ind w:left="1720" w:hanging="568"/>
        <w:spacing w:after="0" w:line="344" w:lineRule="auto"/>
        <w:tabs>
          <w:tab w:leader="none" w:pos="1720" w:val="left"/>
        </w:tabs>
        <w:numPr>
          <w:ilvl w:val="1"/>
          <w:numId w:val="795"/>
        </w:numPr>
        <w:rPr>
          <w:rFonts w:ascii="Calibri" w:cs="Calibri" w:eastAsia="Calibri" w:hAnsi="Calibri"/>
          <w:sz w:val="22"/>
          <w:szCs w:val="22"/>
          <w:color w:val="auto"/>
        </w:rPr>
      </w:pPr>
      <w:r>
        <w:rPr>
          <w:rFonts w:ascii="Times New Roman" w:cs="Times New Roman" w:eastAsia="Times New Roman" w:hAnsi="Times New Roman"/>
          <w:sz w:val="24"/>
          <w:szCs w:val="24"/>
          <w:color w:val="auto"/>
        </w:rPr>
        <w:t>Basis of estimation of working capital requirement along with the relevant assumptions.</w:t>
      </w:r>
    </w:p>
    <w:p>
      <w:pPr>
        <w:spacing w:after="0" w:line="26" w:lineRule="exact"/>
        <w:rPr>
          <w:rFonts w:ascii="Calibri" w:cs="Calibri" w:eastAsia="Calibri" w:hAnsi="Calibri"/>
          <w:sz w:val="22"/>
          <w:szCs w:val="22"/>
          <w:color w:val="auto"/>
        </w:rPr>
      </w:pPr>
    </w:p>
    <w:p>
      <w:pPr>
        <w:ind w:left="1720" w:hanging="568"/>
        <w:spacing w:after="0" w:line="344" w:lineRule="auto"/>
        <w:tabs>
          <w:tab w:leader="none" w:pos="1720" w:val="left"/>
        </w:tabs>
        <w:numPr>
          <w:ilvl w:val="1"/>
          <w:numId w:val="795"/>
        </w:numPr>
        <w:rPr>
          <w:rFonts w:ascii="Calibri" w:cs="Calibri" w:eastAsia="Calibri" w:hAnsi="Calibri"/>
          <w:sz w:val="22"/>
          <w:szCs w:val="22"/>
          <w:color w:val="auto"/>
        </w:rPr>
      </w:pPr>
      <w:r>
        <w:rPr>
          <w:rFonts w:ascii="Times New Roman" w:cs="Times New Roman" w:eastAsia="Times New Roman" w:hAnsi="Times New Roman"/>
          <w:sz w:val="24"/>
          <w:szCs w:val="24"/>
          <w:color w:val="auto"/>
        </w:rPr>
        <w:t>Reasons for raising additional working capital substantiating the same with relevant facts and figures.</w:t>
      </w:r>
    </w:p>
    <w:p>
      <w:pPr>
        <w:spacing w:after="0" w:line="26" w:lineRule="exact"/>
        <w:rPr>
          <w:rFonts w:ascii="Calibri" w:cs="Calibri" w:eastAsia="Calibri" w:hAnsi="Calibri"/>
          <w:sz w:val="22"/>
          <w:szCs w:val="22"/>
          <w:color w:val="auto"/>
        </w:rPr>
      </w:pPr>
    </w:p>
    <w:p>
      <w:pPr>
        <w:jc w:val="both"/>
        <w:ind w:left="1720" w:hanging="568"/>
        <w:spacing w:after="0" w:line="357" w:lineRule="auto"/>
        <w:tabs>
          <w:tab w:leader="none" w:pos="1720" w:val="left"/>
        </w:tabs>
        <w:numPr>
          <w:ilvl w:val="1"/>
          <w:numId w:val="795"/>
        </w:numPr>
        <w:rPr>
          <w:rFonts w:ascii="Calibri" w:cs="Calibri" w:eastAsia="Calibri" w:hAnsi="Calibri"/>
          <w:sz w:val="22"/>
          <w:szCs w:val="22"/>
          <w:color w:val="auto"/>
        </w:rPr>
      </w:pPr>
      <w:r>
        <w:rPr>
          <w:rFonts w:ascii="Times New Roman" w:cs="Times New Roman" w:eastAsia="Times New Roman" w:hAnsi="Times New Roman"/>
          <w:sz w:val="24"/>
          <w:szCs w:val="24"/>
          <w:color w:val="auto"/>
        </w:rPr>
        <w:t>Details of the projected working capital requirement, including detailed assessment of working capital after implementation of the project or achievement of objects of the issue, as the case may be, capacity utilisation assumptions, break up of expected current assets into raw materials, finished goods, work in progress, sundry debtors etc., with assumption about the holding norms for each type of current asset, total current liabilities, net current assets and envisaged sources of finance for net current assets, i.e., bank finance, institutional finance, own funds, etc.</w:t>
      </w:r>
    </w:p>
    <w:p>
      <w:pPr>
        <w:spacing w:after="0" w:line="17" w:lineRule="exact"/>
        <w:rPr>
          <w:rFonts w:ascii="Calibri" w:cs="Calibri" w:eastAsia="Calibri" w:hAnsi="Calibri"/>
          <w:sz w:val="22"/>
          <w:szCs w:val="22"/>
          <w:color w:val="auto"/>
        </w:rPr>
      </w:pPr>
    </w:p>
    <w:p>
      <w:pPr>
        <w:ind w:left="1720" w:hanging="568"/>
        <w:spacing w:after="0" w:line="344" w:lineRule="auto"/>
        <w:tabs>
          <w:tab w:leader="none" w:pos="1720" w:val="left"/>
        </w:tabs>
        <w:numPr>
          <w:ilvl w:val="1"/>
          <w:numId w:val="795"/>
        </w:numPr>
        <w:rPr>
          <w:rFonts w:ascii="Calibri" w:cs="Calibri" w:eastAsia="Calibri" w:hAnsi="Calibri"/>
          <w:sz w:val="22"/>
          <w:szCs w:val="22"/>
          <w:color w:val="auto"/>
        </w:rPr>
      </w:pPr>
      <w:r>
        <w:rPr>
          <w:rFonts w:ascii="Times New Roman" w:cs="Times New Roman" w:eastAsia="Times New Roman" w:hAnsi="Times New Roman"/>
          <w:sz w:val="24"/>
          <w:szCs w:val="24"/>
          <w:color w:val="auto"/>
        </w:rPr>
        <w:t>Total envisaged working capital requirement in a tabular form, the margin money thereof and the portion to be financed by any bank(s) or otherwise.</w:t>
      </w:r>
    </w:p>
    <w:p>
      <w:pPr>
        <w:spacing w:after="0" w:line="26" w:lineRule="exact"/>
        <w:rPr>
          <w:rFonts w:ascii="Calibri" w:cs="Calibri" w:eastAsia="Calibri" w:hAnsi="Calibri"/>
          <w:sz w:val="22"/>
          <w:szCs w:val="22"/>
          <w:color w:val="auto"/>
        </w:rPr>
      </w:pPr>
    </w:p>
    <w:p>
      <w:pPr>
        <w:jc w:val="both"/>
        <w:ind w:left="1720" w:hanging="568"/>
        <w:spacing w:after="0" w:line="355" w:lineRule="auto"/>
        <w:tabs>
          <w:tab w:leader="none" w:pos="1720" w:val="left"/>
        </w:tabs>
        <w:numPr>
          <w:ilvl w:val="1"/>
          <w:numId w:val="795"/>
        </w:numPr>
        <w:rPr>
          <w:rFonts w:ascii="Calibri" w:cs="Calibri" w:eastAsia="Calibri" w:hAnsi="Calibri"/>
          <w:sz w:val="22"/>
          <w:szCs w:val="22"/>
          <w:color w:val="auto"/>
        </w:rPr>
      </w:pPr>
      <w:r>
        <w:rPr>
          <w:rFonts w:ascii="Times New Roman" w:cs="Times New Roman" w:eastAsia="Times New Roman" w:hAnsi="Times New Roman"/>
          <w:sz w:val="24"/>
          <w:szCs w:val="24"/>
          <w:color w:val="auto"/>
        </w:rPr>
        <w:t>Details of the existing working capital available to the issuer with a break up for total current assets into raw materials, finished goods, work in progress, sundry debtors, etc., total current liabilities, net current assets and sources of finance for net current assets i.e. bank finance, institutional finance, own funds etc.</w:t>
      </w:r>
    </w:p>
    <w:p>
      <w:pPr>
        <w:spacing w:after="0" w:line="19" w:lineRule="exact"/>
        <w:rPr>
          <w:rFonts w:ascii="Calibri" w:cs="Calibri" w:eastAsia="Calibri" w:hAnsi="Calibri"/>
          <w:sz w:val="22"/>
          <w:szCs w:val="22"/>
          <w:color w:val="auto"/>
        </w:rPr>
      </w:pPr>
    </w:p>
    <w:p>
      <w:pPr>
        <w:ind w:left="1720" w:hanging="568"/>
        <w:spacing w:after="0" w:line="342" w:lineRule="auto"/>
        <w:tabs>
          <w:tab w:leader="none" w:pos="1720" w:val="left"/>
        </w:tabs>
        <w:numPr>
          <w:ilvl w:val="1"/>
          <w:numId w:val="795"/>
        </w:numPr>
        <w:rPr>
          <w:rFonts w:ascii="Calibri" w:cs="Calibri" w:eastAsia="Calibri" w:hAnsi="Calibri"/>
          <w:sz w:val="22"/>
          <w:szCs w:val="22"/>
          <w:color w:val="auto"/>
        </w:rPr>
      </w:pPr>
      <w:r>
        <w:rPr>
          <w:rFonts w:ascii="Times New Roman" w:cs="Times New Roman" w:eastAsia="Times New Roman" w:hAnsi="Times New Roman"/>
          <w:sz w:val="24"/>
          <w:szCs w:val="24"/>
          <w:color w:val="auto"/>
        </w:rPr>
        <w:t>If no working capital is shown as a part of project for which the issue is being made, the reasons for the same.</w:t>
      </w:r>
    </w:p>
    <w:p>
      <w:pPr>
        <w:spacing w:after="0" w:line="23" w:lineRule="exact"/>
        <w:rPr>
          <w:rFonts w:ascii="Calibri" w:cs="Calibri" w:eastAsia="Calibri" w:hAnsi="Calibri"/>
          <w:sz w:val="22"/>
          <w:szCs w:val="22"/>
          <w:color w:val="auto"/>
        </w:rPr>
      </w:pPr>
    </w:p>
    <w:p>
      <w:pPr>
        <w:ind w:left="1160" w:hanging="728"/>
        <w:spacing w:after="0"/>
        <w:tabs>
          <w:tab w:leader="none" w:pos="1160" w:val="left"/>
        </w:tabs>
        <w:numPr>
          <w:ilvl w:val="0"/>
          <w:numId w:val="7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Land:</w:t>
      </w:r>
    </w:p>
    <w:p>
      <w:pPr>
        <w:spacing w:after="0" w:line="389"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210</w:t>
      </w:r>
    </w:p>
    <w:p>
      <w:pPr>
        <w:sectPr>
          <w:pgSz w:w="11900" w:h="16836" w:orient="portrait"/>
          <w:cols w:equalWidth="0" w:num="1">
            <w:col w:w="9180"/>
          </w:cols>
          <w:pgMar w:left="1440" w:top="1144" w:right="1284" w:bottom="103" w:gutter="0" w:footer="0" w:header="0"/>
        </w:sectPr>
      </w:pPr>
    </w:p>
    <w:bookmarkStart w:id="210" w:name="page211"/>
    <w:bookmarkEnd w:id="210"/>
    <w:p>
      <w:pPr>
        <w:jc w:val="both"/>
        <w:ind w:left="1720" w:hanging="568"/>
        <w:spacing w:after="0" w:line="353" w:lineRule="auto"/>
        <w:tabs>
          <w:tab w:leader="none" w:pos="1720" w:val="left"/>
        </w:tabs>
        <w:numPr>
          <w:ilvl w:val="1"/>
          <w:numId w:val="796"/>
        </w:numPr>
        <w:rPr>
          <w:rFonts w:ascii="Calibri" w:cs="Calibri" w:eastAsia="Calibri" w:hAnsi="Calibri"/>
          <w:sz w:val="22"/>
          <w:szCs w:val="22"/>
          <w:color w:val="auto"/>
        </w:rPr>
      </w:pPr>
      <w:r>
        <w:rPr>
          <w:rFonts w:ascii="Times New Roman" w:cs="Times New Roman" w:eastAsia="Times New Roman" w:hAnsi="Times New Roman"/>
          <w:sz w:val="24"/>
          <w:szCs w:val="24"/>
          <w:color w:val="auto"/>
        </w:rPr>
        <w:t>Names of the entities from whom land has been acquired/ proposed to be acquired along with the cost of acquisition, and the relationship, if any, of such entities to any promoter or director of the issuer, in case the proceeds of the issue are being utilised for acquisition of land.</w:t>
      </w:r>
    </w:p>
    <w:p>
      <w:pPr>
        <w:spacing w:after="0" w:line="22" w:lineRule="exact"/>
        <w:rPr>
          <w:rFonts w:ascii="Calibri" w:cs="Calibri" w:eastAsia="Calibri" w:hAnsi="Calibri"/>
          <w:sz w:val="22"/>
          <w:szCs w:val="22"/>
          <w:color w:val="auto"/>
        </w:rPr>
      </w:pPr>
    </w:p>
    <w:p>
      <w:pPr>
        <w:jc w:val="both"/>
        <w:ind w:left="1720" w:hanging="568"/>
        <w:spacing w:after="0" w:line="350" w:lineRule="auto"/>
        <w:tabs>
          <w:tab w:leader="none" w:pos="1720" w:val="left"/>
        </w:tabs>
        <w:numPr>
          <w:ilvl w:val="1"/>
          <w:numId w:val="796"/>
        </w:numPr>
        <w:rPr>
          <w:rFonts w:ascii="Calibri" w:cs="Calibri" w:eastAsia="Calibri" w:hAnsi="Calibri"/>
          <w:sz w:val="22"/>
          <w:szCs w:val="22"/>
          <w:color w:val="auto"/>
        </w:rPr>
      </w:pPr>
      <w:r>
        <w:rPr>
          <w:rFonts w:ascii="Times New Roman" w:cs="Times New Roman" w:eastAsia="Times New Roman" w:hAnsi="Times New Roman"/>
          <w:sz w:val="24"/>
          <w:szCs w:val="24"/>
          <w:color w:val="auto"/>
        </w:rPr>
        <w:t>Details of whether the land acquired by the issuer is free from all encumbrances and has a clear title and whether it is registered in the name of the issuer.</w:t>
      </w:r>
    </w:p>
    <w:p>
      <w:pPr>
        <w:spacing w:after="0" w:line="22" w:lineRule="exact"/>
        <w:rPr>
          <w:rFonts w:ascii="Calibri" w:cs="Calibri" w:eastAsia="Calibri" w:hAnsi="Calibri"/>
          <w:sz w:val="22"/>
          <w:szCs w:val="22"/>
          <w:color w:val="auto"/>
        </w:rPr>
      </w:pPr>
    </w:p>
    <w:p>
      <w:pPr>
        <w:jc w:val="both"/>
        <w:ind w:left="1720" w:hanging="568"/>
        <w:spacing w:after="0" w:line="350" w:lineRule="auto"/>
        <w:tabs>
          <w:tab w:leader="none" w:pos="1720" w:val="left"/>
        </w:tabs>
        <w:numPr>
          <w:ilvl w:val="1"/>
          <w:numId w:val="796"/>
        </w:numPr>
        <w:rPr>
          <w:rFonts w:ascii="Calibri" w:cs="Calibri" w:eastAsia="Calibri" w:hAnsi="Calibri"/>
          <w:sz w:val="22"/>
          <w:szCs w:val="22"/>
          <w:color w:val="auto"/>
        </w:rPr>
      </w:pPr>
      <w:r>
        <w:rPr>
          <w:rFonts w:ascii="Times New Roman" w:cs="Times New Roman" w:eastAsia="Times New Roman" w:hAnsi="Times New Roman"/>
          <w:sz w:val="24"/>
          <w:szCs w:val="24"/>
          <w:color w:val="auto"/>
        </w:rPr>
        <w:t>Details of whether the issuer has applied/ received all the approvals pertaining to land. If no such approvals are required to be taken by the issuer, then this fact may be indicated by way of an affirmative statement.</w:t>
      </w:r>
    </w:p>
    <w:p>
      <w:pPr>
        <w:spacing w:after="0" w:line="25" w:lineRule="exact"/>
        <w:rPr>
          <w:rFonts w:ascii="Calibri" w:cs="Calibri" w:eastAsia="Calibri" w:hAnsi="Calibri"/>
          <w:sz w:val="22"/>
          <w:szCs w:val="22"/>
          <w:color w:val="auto"/>
        </w:rPr>
      </w:pPr>
    </w:p>
    <w:p>
      <w:pPr>
        <w:ind w:left="1720" w:hanging="568"/>
        <w:spacing w:after="0" w:line="342" w:lineRule="auto"/>
        <w:tabs>
          <w:tab w:leader="none" w:pos="1720" w:val="left"/>
        </w:tabs>
        <w:numPr>
          <w:ilvl w:val="1"/>
          <w:numId w:val="796"/>
        </w:numPr>
        <w:rPr>
          <w:rFonts w:ascii="Calibri" w:cs="Calibri" w:eastAsia="Calibri" w:hAnsi="Calibri"/>
          <w:sz w:val="22"/>
          <w:szCs w:val="22"/>
          <w:color w:val="auto"/>
        </w:rPr>
      </w:pPr>
      <w:r>
        <w:rPr>
          <w:rFonts w:ascii="Times New Roman" w:cs="Times New Roman" w:eastAsia="Times New Roman" w:hAnsi="Times New Roman"/>
          <w:sz w:val="24"/>
          <w:szCs w:val="24"/>
          <w:color w:val="auto"/>
        </w:rPr>
        <w:t>Figures appearing under this section shall be consistent with the figures appearing under the section "Cost of the Project".</w:t>
      </w:r>
    </w:p>
    <w:p>
      <w:pPr>
        <w:spacing w:after="0" w:line="23" w:lineRule="exact"/>
        <w:rPr>
          <w:rFonts w:ascii="Calibri" w:cs="Calibri" w:eastAsia="Calibri" w:hAnsi="Calibri"/>
          <w:sz w:val="22"/>
          <w:szCs w:val="22"/>
          <w:color w:val="auto"/>
        </w:rPr>
      </w:pPr>
    </w:p>
    <w:p>
      <w:pPr>
        <w:ind w:left="1160" w:hanging="728"/>
        <w:spacing w:after="0"/>
        <w:tabs>
          <w:tab w:leader="none" w:pos="1160" w:val="left"/>
        </w:tabs>
        <w:numPr>
          <w:ilvl w:val="0"/>
          <w:numId w:val="79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Project:</w:t>
      </w:r>
    </w:p>
    <w:p>
      <w:pPr>
        <w:spacing w:after="0" w:line="132" w:lineRule="exact"/>
        <w:rPr>
          <w:rFonts w:ascii="Times New Roman" w:cs="Times New Roman" w:eastAsia="Times New Roman" w:hAnsi="Times New Roman"/>
          <w:sz w:val="24"/>
          <w:szCs w:val="24"/>
          <w:color w:val="auto"/>
        </w:rPr>
      </w:pPr>
    </w:p>
    <w:p>
      <w:pPr>
        <w:ind w:left="1160"/>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one of the objects of the issue is to fund a project, details of:</w:t>
      </w:r>
    </w:p>
    <w:p>
      <w:pPr>
        <w:spacing w:after="0" w:line="139" w:lineRule="exact"/>
        <w:rPr>
          <w:rFonts w:ascii="Times New Roman" w:cs="Times New Roman" w:eastAsia="Times New Roman" w:hAnsi="Times New Roman"/>
          <w:sz w:val="24"/>
          <w:szCs w:val="24"/>
          <w:color w:val="auto"/>
        </w:rPr>
      </w:pPr>
    </w:p>
    <w:p>
      <w:pPr>
        <w:ind w:left="1520" w:hanging="368"/>
        <w:spacing w:after="0"/>
        <w:tabs>
          <w:tab w:leader="none" w:pos="1520" w:val="left"/>
        </w:tabs>
        <w:numPr>
          <w:ilvl w:val="1"/>
          <w:numId w:val="797"/>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location of the project;</w:t>
      </w:r>
    </w:p>
    <w:p>
      <w:pPr>
        <w:spacing w:after="0" w:line="136" w:lineRule="exact"/>
        <w:rPr>
          <w:rFonts w:ascii="Times New Roman" w:cs="Times New Roman" w:eastAsia="Times New Roman" w:hAnsi="Times New Roman"/>
          <w:sz w:val="22"/>
          <w:szCs w:val="22"/>
          <w:color w:val="auto"/>
        </w:rPr>
      </w:pPr>
    </w:p>
    <w:p>
      <w:pPr>
        <w:ind w:left="1520" w:hanging="368"/>
        <w:spacing w:after="0"/>
        <w:tabs>
          <w:tab w:leader="none" w:pos="1520" w:val="left"/>
        </w:tabs>
        <w:numPr>
          <w:ilvl w:val="1"/>
          <w:numId w:val="797"/>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plant and machinery, technology, process, etc.;</w:t>
      </w:r>
    </w:p>
    <w:p>
      <w:pPr>
        <w:spacing w:after="0" w:line="151" w:lineRule="exact"/>
        <w:rPr>
          <w:rFonts w:ascii="Times New Roman" w:cs="Times New Roman" w:eastAsia="Times New Roman" w:hAnsi="Times New Roman"/>
          <w:sz w:val="22"/>
          <w:szCs w:val="22"/>
          <w:color w:val="auto"/>
        </w:rPr>
      </w:pPr>
    </w:p>
    <w:p>
      <w:pPr>
        <w:jc w:val="both"/>
        <w:ind w:left="1880" w:hanging="368"/>
        <w:spacing w:after="0" w:line="356" w:lineRule="auto"/>
        <w:tabs>
          <w:tab w:leader="none" w:pos="1880" w:val="left"/>
        </w:tabs>
        <w:numPr>
          <w:ilvl w:val="2"/>
          <w:numId w:val="79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shall be given in a tabular form, which shall include the details of the machines required to be bought by the issuer, cost of the machines, name of the suppliers, date of placement of order and the date or expected date of supply, etc.</w:t>
      </w:r>
    </w:p>
    <w:p>
      <w:pPr>
        <w:spacing w:after="0" w:line="18" w:lineRule="exact"/>
        <w:rPr>
          <w:rFonts w:ascii="Times New Roman" w:cs="Times New Roman" w:eastAsia="Times New Roman" w:hAnsi="Times New Roman"/>
          <w:sz w:val="24"/>
          <w:szCs w:val="24"/>
          <w:color w:val="auto"/>
        </w:rPr>
      </w:pPr>
    </w:p>
    <w:p>
      <w:pPr>
        <w:ind w:left="1880" w:hanging="368"/>
        <w:spacing w:after="0" w:line="348" w:lineRule="auto"/>
        <w:tabs>
          <w:tab w:leader="none" w:pos="1880" w:val="left"/>
        </w:tabs>
        <w:numPr>
          <w:ilvl w:val="2"/>
          <w:numId w:val="79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machines are yet to be delivered, the date of quotations relied upon for the cost estimates given shall also be mentioned.</w:t>
      </w:r>
    </w:p>
    <w:p>
      <w:pPr>
        <w:spacing w:after="0" w:line="27" w:lineRule="exact"/>
        <w:rPr>
          <w:rFonts w:ascii="Times New Roman" w:cs="Times New Roman" w:eastAsia="Times New Roman" w:hAnsi="Times New Roman"/>
          <w:sz w:val="24"/>
          <w:szCs w:val="24"/>
          <w:color w:val="auto"/>
        </w:rPr>
      </w:pPr>
    </w:p>
    <w:p>
      <w:pPr>
        <w:ind w:left="1880" w:hanging="368"/>
        <w:spacing w:after="0" w:line="348" w:lineRule="auto"/>
        <w:tabs>
          <w:tab w:leader="none" w:pos="1880" w:val="left"/>
        </w:tabs>
        <w:numPr>
          <w:ilvl w:val="2"/>
          <w:numId w:val="79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percentage and value terms of the plant and machinery for which orders are yet to be placed shall be stated.</w:t>
      </w:r>
    </w:p>
    <w:p>
      <w:pPr>
        <w:spacing w:after="0" w:line="28" w:lineRule="exact"/>
        <w:rPr>
          <w:rFonts w:ascii="Times New Roman" w:cs="Times New Roman" w:eastAsia="Times New Roman" w:hAnsi="Times New Roman"/>
          <w:sz w:val="24"/>
          <w:szCs w:val="24"/>
          <w:color w:val="auto"/>
        </w:rPr>
      </w:pPr>
    </w:p>
    <w:p>
      <w:pPr>
        <w:jc w:val="both"/>
        <w:ind w:left="1520" w:hanging="368"/>
        <w:spacing w:after="0" w:line="357" w:lineRule="auto"/>
        <w:tabs>
          <w:tab w:leader="none" w:pos="1520" w:val="left"/>
        </w:tabs>
        <w:numPr>
          <w:ilvl w:val="1"/>
          <w:numId w:val="797"/>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The details of the second hand machinery bought or proposed to be bought, if any, including the age of the machines, balance estimated life, etc. shall also be given. collaboration, performance guarantee if any, or assistance in marketing by the collaborators. The following information regarding persons or entities with whom technical and financial agreements have been entered into shall be given:</w:t>
      </w:r>
    </w:p>
    <w:p>
      <w:pPr>
        <w:spacing w:after="0" w:line="8" w:lineRule="exact"/>
        <w:rPr>
          <w:rFonts w:ascii="Times New Roman" w:cs="Times New Roman" w:eastAsia="Times New Roman" w:hAnsi="Times New Roman"/>
          <w:sz w:val="22"/>
          <w:szCs w:val="22"/>
          <w:color w:val="auto"/>
        </w:rPr>
      </w:pPr>
    </w:p>
    <w:p>
      <w:pPr>
        <w:ind w:left="1880" w:hanging="368"/>
        <w:spacing w:after="0"/>
        <w:tabs>
          <w:tab w:leader="none" w:pos="1880" w:val="left"/>
        </w:tabs>
        <w:numPr>
          <w:ilvl w:val="2"/>
          <w:numId w:val="79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place of registration and year of incorporation.</w:t>
      </w:r>
    </w:p>
    <w:p>
      <w:pPr>
        <w:spacing w:after="0" w:line="137" w:lineRule="exact"/>
        <w:rPr>
          <w:rFonts w:ascii="Times New Roman" w:cs="Times New Roman" w:eastAsia="Times New Roman" w:hAnsi="Times New Roman"/>
          <w:sz w:val="24"/>
          <w:szCs w:val="24"/>
          <w:color w:val="auto"/>
        </w:rPr>
      </w:pPr>
    </w:p>
    <w:p>
      <w:pPr>
        <w:ind w:left="1880" w:hanging="368"/>
        <w:spacing w:after="0"/>
        <w:tabs>
          <w:tab w:leader="none" w:pos="1880" w:val="left"/>
        </w:tabs>
        <w:numPr>
          <w:ilvl w:val="2"/>
          <w:numId w:val="79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paid up share capital.</w:t>
      </w:r>
    </w:p>
    <w:p>
      <w:pPr>
        <w:spacing w:after="0" w:line="139" w:lineRule="exact"/>
        <w:rPr>
          <w:rFonts w:ascii="Times New Roman" w:cs="Times New Roman" w:eastAsia="Times New Roman" w:hAnsi="Times New Roman"/>
          <w:sz w:val="24"/>
          <w:szCs w:val="24"/>
          <w:color w:val="auto"/>
        </w:rPr>
      </w:pPr>
    </w:p>
    <w:p>
      <w:pPr>
        <w:ind w:left="1880" w:hanging="368"/>
        <w:spacing w:after="0"/>
        <w:tabs>
          <w:tab w:leader="none" w:pos="1880" w:val="left"/>
        </w:tabs>
        <w:numPr>
          <w:ilvl w:val="2"/>
          <w:numId w:val="79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turnover of the last financial year of operation.</w:t>
      </w:r>
    </w:p>
    <w:p>
      <w:pPr>
        <w:spacing w:after="0" w:line="136" w:lineRule="exact"/>
        <w:rPr>
          <w:rFonts w:ascii="Times New Roman" w:cs="Times New Roman" w:eastAsia="Times New Roman" w:hAnsi="Times New Roman"/>
          <w:sz w:val="24"/>
          <w:szCs w:val="24"/>
          <w:color w:val="auto"/>
        </w:rPr>
      </w:pPr>
    </w:p>
    <w:p>
      <w:pPr>
        <w:ind w:left="1880" w:hanging="368"/>
        <w:spacing w:after="0"/>
        <w:tabs>
          <w:tab w:leader="none" w:pos="1880" w:val="left"/>
        </w:tabs>
        <w:numPr>
          <w:ilvl w:val="2"/>
          <w:numId w:val="79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general information regarding such persons relevant to the issuer.</w:t>
      </w:r>
    </w:p>
    <w:p>
      <w:pPr>
        <w:spacing w:after="0" w:line="139" w:lineRule="exact"/>
        <w:rPr>
          <w:rFonts w:ascii="Times New Roman" w:cs="Times New Roman" w:eastAsia="Times New Roman" w:hAnsi="Times New Roman"/>
          <w:sz w:val="24"/>
          <w:szCs w:val="24"/>
          <w:color w:val="auto"/>
        </w:rPr>
      </w:pPr>
    </w:p>
    <w:p>
      <w:pPr>
        <w:ind w:left="1520" w:hanging="368"/>
        <w:spacing w:after="0"/>
        <w:tabs>
          <w:tab w:leader="none" w:pos="1520" w:val="left"/>
        </w:tabs>
        <w:numPr>
          <w:ilvl w:val="1"/>
          <w:numId w:val="797"/>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infrastructure facilities for raw materials and utilities like water, electricity, etc.</w:t>
      </w:r>
    </w:p>
    <w:p>
      <w:pPr>
        <w:spacing w:after="0" w:line="394"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211</w:t>
      </w:r>
    </w:p>
    <w:p>
      <w:pPr>
        <w:sectPr>
          <w:pgSz w:w="11900" w:h="16836" w:orient="portrait"/>
          <w:cols w:equalWidth="0" w:num="1">
            <w:col w:w="9180"/>
          </w:cols>
          <w:pgMar w:left="1440" w:top="1156" w:right="1284" w:bottom="103" w:gutter="0" w:footer="0" w:header="0"/>
        </w:sectPr>
      </w:pPr>
    </w:p>
    <w:bookmarkStart w:id="211" w:name="page212"/>
    <w:bookmarkEnd w:id="211"/>
    <w:p>
      <w:pPr>
        <w:ind w:left="1160" w:hanging="728"/>
        <w:spacing w:after="0"/>
        <w:tabs>
          <w:tab w:leader="none" w:pos="1160" w:val="left"/>
        </w:tabs>
        <w:numPr>
          <w:ilvl w:val="0"/>
          <w:numId w:val="79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Property:</w:t>
      </w:r>
    </w:p>
    <w:p>
      <w:pPr>
        <w:spacing w:after="0" w:line="144" w:lineRule="exact"/>
        <w:rPr>
          <w:rFonts w:ascii="Times New Roman" w:cs="Times New Roman" w:eastAsia="Times New Roman" w:hAnsi="Times New Roman"/>
          <w:sz w:val="24"/>
          <w:szCs w:val="24"/>
          <w:color w:val="auto"/>
        </w:rPr>
      </w:pPr>
    </w:p>
    <w:p>
      <w:pPr>
        <w:ind w:left="1160"/>
        <w:spacing w:after="0" w:line="350"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one of the object of the issue is to purchase any property, where arrangements have been made, details of:</w:t>
      </w:r>
    </w:p>
    <w:p>
      <w:pPr>
        <w:spacing w:after="0" w:line="10" w:lineRule="exact"/>
        <w:rPr>
          <w:rFonts w:ascii="Times New Roman" w:cs="Times New Roman" w:eastAsia="Times New Roman" w:hAnsi="Times New Roman"/>
          <w:sz w:val="24"/>
          <w:szCs w:val="24"/>
          <w:color w:val="auto"/>
        </w:rPr>
      </w:pPr>
    </w:p>
    <w:p>
      <w:pPr>
        <w:ind w:left="1660" w:hanging="508"/>
        <w:spacing w:after="0"/>
        <w:tabs>
          <w:tab w:leader="none" w:pos="1660" w:val="left"/>
        </w:tabs>
        <w:numPr>
          <w:ilvl w:val="1"/>
          <w:numId w:val="79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names address, descriptions and occupations of the vendors;</w:t>
      </w:r>
    </w:p>
    <w:p>
      <w:pPr>
        <w:spacing w:after="0" w:line="151" w:lineRule="exact"/>
        <w:rPr>
          <w:rFonts w:ascii="Times New Roman" w:cs="Times New Roman" w:eastAsia="Times New Roman" w:hAnsi="Times New Roman"/>
          <w:sz w:val="24"/>
          <w:szCs w:val="24"/>
          <w:color w:val="auto"/>
        </w:rPr>
      </w:pPr>
    </w:p>
    <w:p>
      <w:pPr>
        <w:jc w:val="both"/>
        <w:ind w:left="1660" w:hanging="508"/>
        <w:spacing w:after="0" w:line="356" w:lineRule="auto"/>
        <w:tabs>
          <w:tab w:leader="none" w:pos="1660" w:val="left"/>
        </w:tabs>
        <w:numPr>
          <w:ilvl w:val="1"/>
          <w:numId w:val="79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amount paid or payable in cash, shares or debentures to the vendor and, where there is more than one separate vendor, or the issuer is a sub purchaser, the amount so paid or payable to each vendor, specifying separately the amount, if any, paid or payable for goodwill;</w:t>
      </w:r>
    </w:p>
    <w:p>
      <w:pPr>
        <w:spacing w:after="0" w:line="19" w:lineRule="exact"/>
        <w:rPr>
          <w:rFonts w:ascii="Times New Roman" w:cs="Times New Roman" w:eastAsia="Times New Roman" w:hAnsi="Times New Roman"/>
          <w:sz w:val="24"/>
          <w:szCs w:val="24"/>
          <w:color w:val="auto"/>
        </w:rPr>
      </w:pPr>
    </w:p>
    <w:p>
      <w:pPr>
        <w:ind w:left="1660" w:hanging="508"/>
        <w:spacing w:after="0" w:line="348" w:lineRule="auto"/>
        <w:tabs>
          <w:tab w:leader="none" w:pos="1660" w:val="left"/>
        </w:tabs>
        <w:numPr>
          <w:ilvl w:val="1"/>
          <w:numId w:val="79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nature of the title or interest in such property acquired or to be acquired by the issuer;</w:t>
      </w:r>
    </w:p>
    <w:p>
      <w:pPr>
        <w:spacing w:after="0" w:line="27" w:lineRule="exact"/>
        <w:rPr>
          <w:rFonts w:ascii="Times New Roman" w:cs="Times New Roman" w:eastAsia="Times New Roman" w:hAnsi="Times New Roman"/>
          <w:sz w:val="24"/>
          <w:szCs w:val="24"/>
          <w:color w:val="auto"/>
        </w:rPr>
      </w:pPr>
    </w:p>
    <w:p>
      <w:pPr>
        <w:jc w:val="both"/>
        <w:ind w:left="1660" w:hanging="508"/>
        <w:spacing w:after="0" w:line="358" w:lineRule="auto"/>
        <w:tabs>
          <w:tab w:leader="none" w:pos="1660" w:val="left"/>
        </w:tabs>
        <w:numPr>
          <w:ilvl w:val="1"/>
          <w:numId w:val="79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short particulars of every transaction relating to the property completed within the two preceding years, in which any vendor of the property to the issuer or any person who is, or was at the time of the transaction, a promoter, or a director or proposed director of the issuer had any interest, direct or indirect, specifying the date of the transaction and the name of such promoter, director or proposed director and stating the amount payable by or to such vendor, promoter, director or proposed director in respect of the transaction.</w:t>
      </w:r>
    </w:p>
    <w:p>
      <w:pPr>
        <w:spacing w:after="0" w:line="15" w:lineRule="exact"/>
        <w:rPr>
          <w:rFonts w:ascii="Times New Roman" w:cs="Times New Roman" w:eastAsia="Times New Roman" w:hAnsi="Times New Roman"/>
          <w:sz w:val="24"/>
          <w:szCs w:val="24"/>
          <w:color w:val="auto"/>
        </w:rPr>
      </w:pPr>
    </w:p>
    <w:p>
      <w:pPr>
        <w:jc w:val="both"/>
        <w:ind w:left="1660" w:hanging="508"/>
        <w:spacing w:after="0" w:line="357" w:lineRule="auto"/>
        <w:tabs>
          <w:tab w:leader="none" w:pos="1660" w:val="left"/>
        </w:tabs>
        <w:numPr>
          <w:ilvl w:val="1"/>
          <w:numId w:val="79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property to which sub-clause (a) applies is a property purchased or acquired by the issuer or proposed to be purchased or acquired, which is to be paid for wholly or partly out of the proceeds of the issue or the purchase or acquisition of which has not been completed as of the date of the draft offer document or offer document, as the case may be.</w:t>
      </w:r>
    </w:p>
    <w:p>
      <w:pPr>
        <w:spacing w:after="0" w:line="11" w:lineRule="exact"/>
        <w:rPr>
          <w:rFonts w:ascii="Times New Roman" w:cs="Times New Roman" w:eastAsia="Times New Roman" w:hAnsi="Times New Roman"/>
          <w:sz w:val="24"/>
          <w:szCs w:val="24"/>
          <w:color w:val="auto"/>
        </w:rPr>
      </w:pPr>
    </w:p>
    <w:p>
      <w:pPr>
        <w:ind w:left="1160" w:hanging="728"/>
        <w:spacing w:after="0"/>
        <w:tabs>
          <w:tab w:leader="none" w:pos="1160" w:val="left"/>
        </w:tabs>
        <w:numPr>
          <w:ilvl w:val="0"/>
          <w:numId w:val="79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Plant/ Equipment/ Technology/ Process:</w:t>
      </w:r>
    </w:p>
    <w:p>
      <w:pPr>
        <w:spacing w:after="0" w:line="144" w:lineRule="exact"/>
        <w:rPr>
          <w:rFonts w:ascii="Times New Roman" w:cs="Times New Roman" w:eastAsia="Times New Roman" w:hAnsi="Times New Roman"/>
          <w:sz w:val="24"/>
          <w:szCs w:val="24"/>
          <w:color w:val="auto"/>
        </w:rPr>
      </w:pPr>
    </w:p>
    <w:p>
      <w:pPr>
        <w:ind w:left="1160"/>
        <w:spacing w:after="0" w:line="350"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one of the objects of the issue is to purchase any plant, machinery, technology, process, etc.</w:t>
      </w:r>
    </w:p>
    <w:p>
      <w:pPr>
        <w:spacing w:after="0" w:line="23" w:lineRule="exact"/>
        <w:rPr>
          <w:rFonts w:ascii="Times New Roman" w:cs="Times New Roman" w:eastAsia="Times New Roman" w:hAnsi="Times New Roman"/>
          <w:sz w:val="24"/>
          <w:szCs w:val="24"/>
          <w:color w:val="auto"/>
        </w:rPr>
      </w:pPr>
    </w:p>
    <w:p>
      <w:pPr>
        <w:jc w:val="both"/>
        <w:ind w:left="1520" w:hanging="368"/>
        <w:spacing w:after="0" w:line="354" w:lineRule="auto"/>
        <w:tabs>
          <w:tab w:leader="none" w:pos="1520" w:val="left"/>
        </w:tabs>
        <w:numPr>
          <w:ilvl w:val="1"/>
          <w:numId w:val="79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in a tabular form, which shall include the details of the equipment required to be bought by the issuer, cost of the equipment, name of the suppliers, date of placement of order and the date or expected date of supply,</w:t>
      </w:r>
    </w:p>
    <w:p>
      <w:pPr>
        <w:spacing w:after="0" w:line="10" w:lineRule="exact"/>
        <w:rPr>
          <w:sz w:val="20"/>
          <w:szCs w:val="20"/>
          <w:color w:val="auto"/>
        </w:rPr>
      </w:pPr>
    </w:p>
    <w:p>
      <w:pPr>
        <w:ind w:left="1520"/>
        <w:spacing w:after="0"/>
        <w:rPr>
          <w:sz w:val="20"/>
          <w:szCs w:val="20"/>
          <w:color w:val="auto"/>
        </w:rPr>
      </w:pPr>
      <w:r>
        <w:rPr>
          <w:rFonts w:ascii="Times New Roman" w:cs="Times New Roman" w:eastAsia="Times New Roman" w:hAnsi="Times New Roman"/>
          <w:sz w:val="24"/>
          <w:szCs w:val="24"/>
          <w:color w:val="auto"/>
        </w:rPr>
        <w:t>etc.</w:t>
      </w:r>
    </w:p>
    <w:p>
      <w:pPr>
        <w:spacing w:after="0" w:line="149" w:lineRule="exact"/>
        <w:rPr>
          <w:sz w:val="20"/>
          <w:szCs w:val="20"/>
          <w:color w:val="auto"/>
        </w:rPr>
      </w:pPr>
    </w:p>
    <w:p>
      <w:pPr>
        <w:ind w:left="1520" w:hanging="359"/>
        <w:spacing w:after="0" w:line="350" w:lineRule="auto"/>
        <w:rPr>
          <w:sz w:val="20"/>
          <w:szCs w:val="20"/>
          <w:color w:val="auto"/>
        </w:rPr>
      </w:pPr>
      <w:r>
        <w:rPr>
          <w:rFonts w:ascii="Times New Roman" w:cs="Times New Roman" w:eastAsia="Times New Roman" w:hAnsi="Times New Roman"/>
          <w:sz w:val="24"/>
          <w:szCs w:val="24"/>
          <w:color w:val="auto"/>
        </w:rPr>
        <w:t>(ii) In case the order for the equipment is yet to be placed, the date of quotations relied upon for the cost estimates given.</w:t>
      </w:r>
    </w:p>
    <w:p>
      <w:pPr>
        <w:spacing w:after="0" w:line="23" w:lineRule="exact"/>
        <w:rPr>
          <w:sz w:val="20"/>
          <w:szCs w:val="20"/>
          <w:color w:val="auto"/>
        </w:rPr>
      </w:pPr>
    </w:p>
    <w:p>
      <w:pPr>
        <w:ind w:left="1520" w:hanging="359"/>
        <w:spacing w:after="0" w:line="350" w:lineRule="auto"/>
        <w:rPr>
          <w:sz w:val="20"/>
          <w:szCs w:val="20"/>
          <w:color w:val="auto"/>
        </w:rPr>
      </w:pPr>
      <w:r>
        <w:rPr>
          <w:rFonts w:ascii="Times New Roman" w:cs="Times New Roman" w:eastAsia="Times New Roman" w:hAnsi="Times New Roman"/>
          <w:sz w:val="24"/>
          <w:szCs w:val="24"/>
          <w:color w:val="auto"/>
        </w:rPr>
        <w:t>(iii)The percentage and value terms of the equipment for which orders are yet to be placed.</w:t>
      </w:r>
    </w:p>
    <w:p>
      <w:pPr>
        <w:spacing w:after="0" w:line="23" w:lineRule="exact"/>
        <w:rPr>
          <w:sz w:val="20"/>
          <w:szCs w:val="20"/>
          <w:color w:val="auto"/>
        </w:rPr>
      </w:pPr>
    </w:p>
    <w:p>
      <w:pPr>
        <w:ind w:left="1520" w:hanging="368"/>
        <w:spacing w:after="0" w:line="350" w:lineRule="auto"/>
        <w:tabs>
          <w:tab w:leader="none" w:pos="1520" w:val="left"/>
        </w:tabs>
        <w:numPr>
          <w:ilvl w:val="0"/>
          <w:numId w:val="80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details of the second hand equipment bought or proposed to be bought, if any, including the age of the machines, balance estimated life, etc.</w:t>
      </w:r>
    </w:p>
    <w:p>
      <w:pPr>
        <w:spacing w:after="0" w:line="268"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212</w:t>
      </w:r>
    </w:p>
    <w:p>
      <w:pPr>
        <w:sectPr>
          <w:pgSz w:w="11900" w:h="16836" w:orient="portrait"/>
          <w:cols w:equalWidth="0" w:num="1">
            <w:col w:w="9180"/>
          </w:cols>
          <w:pgMar w:left="1440" w:top="1149" w:right="1284" w:bottom="103" w:gutter="0" w:footer="0" w:header="0"/>
        </w:sectPr>
      </w:pPr>
    </w:p>
    <w:bookmarkStart w:id="212" w:name="page213"/>
    <w:bookmarkEnd w:id="212"/>
    <w:p>
      <w:pPr>
        <w:jc w:val="both"/>
        <w:ind w:left="1304" w:hanging="728"/>
        <w:spacing w:after="0" w:line="356" w:lineRule="auto"/>
        <w:tabs>
          <w:tab w:leader="none" w:pos="1304" w:val="left"/>
        </w:tabs>
        <w:numPr>
          <w:ilvl w:val="2"/>
          <w:numId w:val="80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a public issue of secured convertible debt instruments,: description of the assets on which the security shall be created/asset cover, if required, shall be created, the basis for computation of the security cover, the valuation methods, the periodicity of such valuation and the ranking of the charge(s).</w:t>
      </w:r>
    </w:p>
    <w:p>
      <w:pPr>
        <w:spacing w:after="0" w:line="18" w:lineRule="exact"/>
        <w:rPr>
          <w:rFonts w:ascii="Times New Roman" w:cs="Times New Roman" w:eastAsia="Times New Roman" w:hAnsi="Times New Roman"/>
          <w:sz w:val="24"/>
          <w:szCs w:val="24"/>
          <w:color w:val="auto"/>
        </w:rPr>
      </w:pPr>
    </w:p>
    <w:p>
      <w:pPr>
        <w:ind w:left="1304" w:hanging="728"/>
        <w:spacing w:after="0" w:line="348" w:lineRule="auto"/>
        <w:tabs>
          <w:tab w:leader="none" w:pos="1304" w:val="left"/>
        </w:tabs>
        <w:numPr>
          <w:ilvl w:val="2"/>
          <w:numId w:val="80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warrants are issued, the objects for which the funds from conversions of warrants are proposed to be used.</w:t>
      </w:r>
    </w:p>
    <w:p>
      <w:pPr>
        <w:spacing w:after="0" w:line="200" w:lineRule="exact"/>
        <w:rPr>
          <w:rFonts w:ascii="Times New Roman" w:cs="Times New Roman" w:eastAsia="Times New Roman" w:hAnsi="Times New Roman"/>
          <w:sz w:val="24"/>
          <w:szCs w:val="24"/>
          <w:color w:val="auto"/>
        </w:rPr>
      </w:pPr>
    </w:p>
    <w:p>
      <w:pPr>
        <w:spacing w:after="0" w:line="225" w:lineRule="exact"/>
        <w:rPr>
          <w:rFonts w:ascii="Times New Roman" w:cs="Times New Roman" w:eastAsia="Times New Roman" w:hAnsi="Times New Roman"/>
          <w:sz w:val="24"/>
          <w:szCs w:val="24"/>
          <w:color w:val="auto"/>
        </w:rPr>
      </w:pPr>
    </w:p>
    <w:p>
      <w:pPr>
        <w:ind w:left="584" w:hanging="368"/>
        <w:spacing w:after="0"/>
        <w:tabs>
          <w:tab w:leader="none" w:pos="584" w:val="left"/>
        </w:tabs>
        <w:numPr>
          <w:ilvl w:val="1"/>
          <w:numId w:val="802"/>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Requirement of funds:</w:t>
      </w:r>
    </w:p>
    <w:p>
      <w:pPr>
        <w:spacing w:after="0" w:line="147" w:lineRule="exact"/>
        <w:rPr>
          <w:rFonts w:ascii="Calibri" w:cs="Calibri" w:eastAsia="Calibri" w:hAnsi="Calibri"/>
          <w:sz w:val="22"/>
          <w:szCs w:val="22"/>
          <w:color w:val="auto"/>
        </w:rPr>
      </w:pPr>
    </w:p>
    <w:p>
      <w:pPr>
        <w:jc w:val="both"/>
        <w:ind w:left="1304" w:hanging="728"/>
        <w:spacing w:after="0" w:line="354" w:lineRule="auto"/>
        <w:tabs>
          <w:tab w:leader="none" w:pos="1304" w:val="left"/>
        </w:tabs>
        <w:numPr>
          <w:ilvl w:val="2"/>
          <w:numId w:val="80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Where the issuer proposes to undertake more than one activity or project, such as diversification, modernisation, expansion, etc., the total project cost activity-wise or project wise, as the case may be.</w:t>
      </w:r>
    </w:p>
    <w:p>
      <w:pPr>
        <w:spacing w:after="0" w:line="19" w:lineRule="exact"/>
        <w:rPr>
          <w:rFonts w:ascii="Times New Roman" w:cs="Times New Roman" w:eastAsia="Times New Roman" w:hAnsi="Times New Roman"/>
          <w:sz w:val="24"/>
          <w:szCs w:val="24"/>
          <w:color w:val="auto"/>
        </w:rPr>
      </w:pPr>
    </w:p>
    <w:p>
      <w:pPr>
        <w:jc w:val="both"/>
        <w:ind w:left="1304" w:hanging="728"/>
        <w:spacing w:after="0" w:line="354" w:lineRule="auto"/>
        <w:tabs>
          <w:tab w:leader="none" w:pos="1304" w:val="left"/>
        </w:tabs>
        <w:numPr>
          <w:ilvl w:val="2"/>
          <w:numId w:val="80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Where the issuer is implementing the project in a phased manner, the cost of each phase, including the phase, if any, which has already been implemented, shall be separately given.</w:t>
      </w:r>
    </w:p>
    <w:p>
      <w:pPr>
        <w:spacing w:after="0" w:line="22" w:lineRule="exact"/>
        <w:rPr>
          <w:rFonts w:ascii="Times New Roman" w:cs="Times New Roman" w:eastAsia="Times New Roman" w:hAnsi="Times New Roman"/>
          <w:sz w:val="24"/>
          <w:szCs w:val="24"/>
          <w:color w:val="auto"/>
        </w:rPr>
      </w:pPr>
    </w:p>
    <w:p>
      <w:pPr>
        <w:jc w:val="both"/>
        <w:ind w:left="1304" w:hanging="728"/>
        <w:spacing w:after="0" w:line="356" w:lineRule="auto"/>
        <w:tabs>
          <w:tab w:leader="none" w:pos="1304" w:val="left"/>
        </w:tabs>
        <w:numPr>
          <w:ilvl w:val="2"/>
          <w:numId w:val="80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all material existing or anticipated transactions in relation to utilisation of the issue proceeds or project cost with promoters, promoter group, directors, key managerial personnel, and group companies. The relevant documents shall be included in the list of material documents for inspection.</w:t>
      </w:r>
    </w:p>
    <w:p>
      <w:pPr>
        <w:spacing w:after="0" w:line="200" w:lineRule="exact"/>
        <w:rPr>
          <w:rFonts w:ascii="Times New Roman" w:cs="Times New Roman" w:eastAsia="Times New Roman" w:hAnsi="Times New Roman"/>
          <w:sz w:val="24"/>
          <w:szCs w:val="24"/>
          <w:color w:val="auto"/>
        </w:rPr>
      </w:pPr>
    </w:p>
    <w:p>
      <w:pPr>
        <w:spacing w:after="0" w:line="217" w:lineRule="exact"/>
        <w:rPr>
          <w:rFonts w:ascii="Times New Roman" w:cs="Times New Roman" w:eastAsia="Times New Roman" w:hAnsi="Times New Roman"/>
          <w:sz w:val="24"/>
          <w:szCs w:val="24"/>
          <w:color w:val="auto"/>
        </w:rPr>
      </w:pPr>
    </w:p>
    <w:p>
      <w:pPr>
        <w:ind w:left="364" w:hanging="364"/>
        <w:spacing w:after="0"/>
        <w:tabs>
          <w:tab w:leader="none" w:pos="364" w:val="left"/>
        </w:tabs>
        <w:numPr>
          <w:ilvl w:val="0"/>
          <w:numId w:val="803"/>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Funding plan (means of finance):</w:t>
      </w:r>
    </w:p>
    <w:p>
      <w:pPr>
        <w:spacing w:after="0" w:line="146" w:lineRule="exact"/>
        <w:rPr>
          <w:rFonts w:ascii="Calibri" w:cs="Calibri" w:eastAsia="Calibri" w:hAnsi="Calibri"/>
          <w:sz w:val="22"/>
          <w:szCs w:val="22"/>
          <w:color w:val="auto"/>
        </w:rPr>
      </w:pPr>
    </w:p>
    <w:p>
      <w:pPr>
        <w:jc w:val="both"/>
        <w:ind w:left="1304" w:hanging="728"/>
        <w:spacing w:after="0" w:line="357" w:lineRule="auto"/>
        <w:tabs>
          <w:tab w:leader="none" w:pos="1304" w:val="left"/>
        </w:tabs>
        <w:numPr>
          <w:ilvl w:val="2"/>
          <w:numId w:val="80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 undertaking by the issuer confirming that firm arrangements of finance have been made through verifiable means towards seventy five per cent. of the stated means of finance for the project proposed to be funded from issue proceeds, excluding the amount to be raised through proposed issue and existing identifiable internal accruals.</w:t>
      </w:r>
    </w:p>
    <w:p>
      <w:pPr>
        <w:spacing w:after="0" w:line="16" w:lineRule="exact"/>
        <w:rPr>
          <w:rFonts w:ascii="Times New Roman" w:cs="Times New Roman" w:eastAsia="Times New Roman" w:hAnsi="Times New Roman"/>
          <w:sz w:val="24"/>
          <w:szCs w:val="24"/>
          <w:color w:val="auto"/>
        </w:rPr>
      </w:pPr>
    </w:p>
    <w:p>
      <w:pPr>
        <w:ind w:left="1304" w:hanging="728"/>
        <w:spacing w:after="0" w:line="350" w:lineRule="auto"/>
        <w:tabs>
          <w:tab w:leader="none" w:pos="1304" w:val="left"/>
        </w:tabs>
        <w:numPr>
          <w:ilvl w:val="2"/>
          <w:numId w:val="80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Balance portion of the means of finance for which no firm arrangement has been made without specification.</w:t>
      </w:r>
    </w:p>
    <w:p>
      <w:pPr>
        <w:spacing w:after="0" w:line="10" w:lineRule="exact"/>
        <w:rPr>
          <w:rFonts w:ascii="Times New Roman" w:cs="Times New Roman" w:eastAsia="Times New Roman" w:hAnsi="Times New Roman"/>
          <w:sz w:val="24"/>
          <w:szCs w:val="24"/>
          <w:color w:val="auto"/>
        </w:rPr>
      </w:pPr>
    </w:p>
    <w:p>
      <w:pPr>
        <w:ind w:left="1304" w:hanging="728"/>
        <w:spacing w:after="0"/>
        <w:tabs>
          <w:tab w:leader="none" w:pos="1304" w:val="left"/>
        </w:tabs>
        <w:numPr>
          <w:ilvl w:val="2"/>
          <w:numId w:val="80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funds tied up and the avenues for deployment of excess proceeds, if any.</w:t>
      </w:r>
    </w:p>
    <w:p>
      <w:pPr>
        <w:spacing w:after="0" w:line="200" w:lineRule="exact"/>
        <w:rPr>
          <w:rFonts w:ascii="Times New Roman" w:cs="Times New Roman" w:eastAsia="Times New Roman" w:hAnsi="Times New Roman"/>
          <w:sz w:val="24"/>
          <w:szCs w:val="24"/>
          <w:color w:val="auto"/>
        </w:rPr>
      </w:pPr>
    </w:p>
    <w:p>
      <w:pPr>
        <w:spacing w:after="0" w:line="349" w:lineRule="exact"/>
        <w:rPr>
          <w:rFonts w:ascii="Times New Roman" w:cs="Times New Roman" w:eastAsia="Times New Roman" w:hAnsi="Times New Roman"/>
          <w:sz w:val="24"/>
          <w:szCs w:val="24"/>
          <w:color w:val="auto"/>
        </w:rPr>
      </w:pPr>
    </w:p>
    <w:p>
      <w:pPr>
        <w:ind w:left="364" w:hanging="364"/>
        <w:spacing w:after="0"/>
        <w:tabs>
          <w:tab w:leader="none" w:pos="364" w:val="left"/>
        </w:tabs>
        <w:numPr>
          <w:ilvl w:val="0"/>
          <w:numId w:val="803"/>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Appraisal:</w:t>
      </w:r>
    </w:p>
    <w:p>
      <w:pPr>
        <w:spacing w:after="0" w:line="134" w:lineRule="exact"/>
        <w:rPr>
          <w:rFonts w:ascii="Calibri" w:cs="Calibri" w:eastAsia="Calibri" w:hAnsi="Calibri"/>
          <w:sz w:val="22"/>
          <w:szCs w:val="22"/>
          <w:color w:val="auto"/>
        </w:rPr>
      </w:pPr>
    </w:p>
    <w:p>
      <w:pPr>
        <w:ind w:left="1304" w:hanging="728"/>
        <w:spacing w:after="0"/>
        <w:tabs>
          <w:tab w:leader="none" w:pos="1304" w:val="left"/>
        </w:tabs>
        <w:numPr>
          <w:ilvl w:val="2"/>
          <w:numId w:val="80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Scope and purpose of the appraisal, if any, along with the date of appraisal.</w:t>
      </w:r>
    </w:p>
    <w:p>
      <w:pPr>
        <w:spacing w:after="0" w:line="137" w:lineRule="exact"/>
        <w:rPr>
          <w:rFonts w:ascii="Times New Roman" w:cs="Times New Roman" w:eastAsia="Times New Roman" w:hAnsi="Times New Roman"/>
          <w:sz w:val="24"/>
          <w:szCs w:val="24"/>
          <w:color w:val="auto"/>
        </w:rPr>
      </w:pPr>
    </w:p>
    <w:p>
      <w:pPr>
        <w:ind w:left="1304" w:hanging="728"/>
        <w:spacing w:after="0"/>
        <w:tabs>
          <w:tab w:leader="none" w:pos="1304" w:val="left"/>
        </w:tabs>
        <w:numPr>
          <w:ilvl w:val="2"/>
          <w:numId w:val="80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Cost of the project and means of finance shall be as per the appraisal report.</w:t>
      </w:r>
    </w:p>
    <w:p>
      <w:pPr>
        <w:spacing w:after="0" w:line="151" w:lineRule="exact"/>
        <w:rPr>
          <w:rFonts w:ascii="Times New Roman" w:cs="Times New Roman" w:eastAsia="Times New Roman" w:hAnsi="Times New Roman"/>
          <w:sz w:val="24"/>
          <w:szCs w:val="24"/>
          <w:color w:val="auto"/>
        </w:rPr>
      </w:pPr>
    </w:p>
    <w:p>
      <w:pPr>
        <w:ind w:left="1304" w:hanging="728"/>
        <w:spacing w:after="0" w:line="348" w:lineRule="auto"/>
        <w:tabs>
          <w:tab w:leader="none" w:pos="1304" w:val="left"/>
        </w:tabs>
        <w:numPr>
          <w:ilvl w:val="2"/>
          <w:numId w:val="80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Explanation of revision, if any, in the project cost and the means of finance after the date of issue of the appraisal report.</w:t>
      </w: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center"/>
        <w:ind w:right="136"/>
        <w:spacing w:after="0"/>
        <w:rPr>
          <w:sz w:val="20"/>
          <w:szCs w:val="20"/>
          <w:color w:val="auto"/>
        </w:rPr>
      </w:pPr>
      <w:r>
        <w:rPr>
          <w:rFonts w:ascii="Times New Roman" w:cs="Times New Roman" w:eastAsia="Times New Roman" w:hAnsi="Times New Roman"/>
          <w:sz w:val="24"/>
          <w:szCs w:val="24"/>
          <w:color w:val="auto"/>
        </w:rPr>
        <w:t>213</w:t>
      </w:r>
    </w:p>
    <w:p>
      <w:pPr>
        <w:sectPr>
          <w:pgSz w:w="11900" w:h="16836" w:orient="portrait"/>
          <w:cols w:equalWidth="0" w:num="1">
            <w:col w:w="9324"/>
          </w:cols>
          <w:pgMar w:left="1296" w:top="1156" w:right="1284" w:bottom="103" w:gutter="0" w:footer="0" w:header="0"/>
        </w:sectPr>
      </w:pPr>
    </w:p>
    <w:bookmarkStart w:id="213" w:name="page214"/>
    <w:bookmarkEnd w:id="213"/>
    <w:p>
      <w:pPr>
        <w:ind w:left="1304" w:hanging="728"/>
        <w:spacing w:after="0" w:line="348" w:lineRule="auto"/>
        <w:tabs>
          <w:tab w:leader="none" w:pos="1304" w:val="left"/>
        </w:tabs>
        <w:numPr>
          <w:ilvl w:val="1"/>
          <w:numId w:val="80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Weaknesses and threats, if any, given in the appraisal report, by way of risk factors.</w:t>
      </w:r>
    </w:p>
    <w:p>
      <w:pPr>
        <w:spacing w:after="0" w:line="15" w:lineRule="exact"/>
        <w:rPr>
          <w:rFonts w:ascii="Times New Roman" w:cs="Times New Roman" w:eastAsia="Times New Roman" w:hAnsi="Times New Roman"/>
          <w:sz w:val="24"/>
          <w:szCs w:val="24"/>
          <w:color w:val="auto"/>
        </w:rPr>
      </w:pPr>
    </w:p>
    <w:p>
      <w:pPr>
        <w:ind w:left="1304" w:hanging="728"/>
        <w:spacing w:after="0"/>
        <w:tabs>
          <w:tab w:leader="none" w:pos="1304" w:val="left"/>
        </w:tabs>
        <w:numPr>
          <w:ilvl w:val="1"/>
          <w:numId w:val="80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Disclaimer clauses of the appraisal report, as applicable.</w:t>
      </w:r>
    </w:p>
    <w:p>
      <w:pPr>
        <w:spacing w:after="0" w:line="200" w:lineRule="exact"/>
        <w:rPr>
          <w:rFonts w:ascii="Times New Roman" w:cs="Times New Roman" w:eastAsia="Times New Roman" w:hAnsi="Times New Roman"/>
          <w:sz w:val="24"/>
          <w:szCs w:val="24"/>
          <w:color w:val="auto"/>
        </w:rPr>
      </w:pPr>
    </w:p>
    <w:p>
      <w:pPr>
        <w:spacing w:after="0" w:line="364" w:lineRule="exact"/>
        <w:rPr>
          <w:rFonts w:ascii="Times New Roman" w:cs="Times New Roman" w:eastAsia="Times New Roman" w:hAnsi="Times New Roman"/>
          <w:sz w:val="24"/>
          <w:szCs w:val="24"/>
          <w:color w:val="auto"/>
        </w:rPr>
      </w:pPr>
    </w:p>
    <w:p>
      <w:pPr>
        <w:jc w:val="both"/>
        <w:ind w:left="364" w:hanging="364"/>
        <w:spacing w:after="0" w:line="353" w:lineRule="auto"/>
        <w:tabs>
          <w:tab w:leader="none" w:pos="364" w:val="left"/>
        </w:tabs>
        <w:numPr>
          <w:ilvl w:val="0"/>
          <w:numId w:val="805"/>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 xml:space="preserve">Schedule of implementation: </w:t>
      </w:r>
      <w:r>
        <w:rPr>
          <w:rFonts w:ascii="Times New Roman" w:cs="Times New Roman" w:eastAsia="Times New Roman" w:hAnsi="Times New Roman"/>
          <w:sz w:val="24"/>
          <w:szCs w:val="24"/>
          <w:color w:val="auto"/>
        </w:rPr>
        <w:t>Schedule of implementation of the project in a tabular form</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and the progress made so far, giving details of land acquisition, civil works, installation of plant and machinery, trial production, date of commercial production and reasons for delay, if any.</w:t>
      </w:r>
    </w:p>
    <w:p>
      <w:pPr>
        <w:spacing w:after="0" w:line="200" w:lineRule="exact"/>
        <w:rPr>
          <w:rFonts w:ascii="Calibri" w:cs="Calibri" w:eastAsia="Calibri" w:hAnsi="Calibri"/>
          <w:sz w:val="22"/>
          <w:szCs w:val="22"/>
          <w:color w:val="auto"/>
        </w:rPr>
      </w:pPr>
    </w:p>
    <w:p>
      <w:pPr>
        <w:spacing w:after="0" w:line="220" w:lineRule="exact"/>
        <w:rPr>
          <w:rFonts w:ascii="Calibri" w:cs="Calibri" w:eastAsia="Calibri" w:hAnsi="Calibri"/>
          <w:sz w:val="22"/>
          <w:szCs w:val="22"/>
          <w:color w:val="auto"/>
        </w:rPr>
      </w:pPr>
    </w:p>
    <w:p>
      <w:pPr>
        <w:ind w:left="364" w:hanging="364"/>
        <w:spacing w:after="0"/>
        <w:tabs>
          <w:tab w:leader="none" w:pos="364" w:val="left"/>
        </w:tabs>
        <w:numPr>
          <w:ilvl w:val="0"/>
          <w:numId w:val="805"/>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Deployment of Funds:</w:t>
      </w:r>
    </w:p>
    <w:p>
      <w:pPr>
        <w:spacing w:after="0" w:line="146" w:lineRule="exact"/>
        <w:rPr>
          <w:rFonts w:ascii="Calibri" w:cs="Calibri" w:eastAsia="Calibri" w:hAnsi="Calibri"/>
          <w:sz w:val="22"/>
          <w:szCs w:val="22"/>
          <w:color w:val="auto"/>
        </w:rPr>
      </w:pPr>
    </w:p>
    <w:p>
      <w:pPr>
        <w:jc w:val="both"/>
        <w:ind w:left="1304" w:hanging="728"/>
        <w:spacing w:after="0" w:line="356" w:lineRule="auto"/>
        <w:tabs>
          <w:tab w:leader="none" w:pos="1304" w:val="left"/>
        </w:tabs>
        <w:numPr>
          <w:ilvl w:val="1"/>
          <w:numId w:val="80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the sources of funds and the deployment of these funds on the project (where the issuer is raising capital for a project), up to a date not earlier than two months from the date of filing of the offer document, as certified by a statutory auditor of the issuer and the date of the certificate.</w:t>
      </w:r>
    </w:p>
    <w:p>
      <w:pPr>
        <w:spacing w:after="0" w:line="18" w:lineRule="exact"/>
        <w:rPr>
          <w:rFonts w:ascii="Times New Roman" w:cs="Times New Roman" w:eastAsia="Times New Roman" w:hAnsi="Times New Roman"/>
          <w:sz w:val="24"/>
          <w:szCs w:val="24"/>
          <w:color w:val="auto"/>
        </w:rPr>
      </w:pPr>
    </w:p>
    <w:p>
      <w:pPr>
        <w:jc w:val="both"/>
        <w:ind w:left="1304" w:hanging="728"/>
        <w:spacing w:after="0" w:line="356" w:lineRule="auto"/>
        <w:tabs>
          <w:tab w:leader="none" w:pos="1304" w:val="left"/>
        </w:tabs>
        <w:numPr>
          <w:ilvl w:val="1"/>
          <w:numId w:val="80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Where the promoters’ contribution has been brought prior to the public issue, which is utilised towards means of finance for the stated objects and has already been deployed by the issuer, a cash flow statement from the statutory auditor, disclosing the use of such funds received as promoters’ contribution.</w:t>
      </w:r>
    </w:p>
    <w:p>
      <w:pPr>
        <w:spacing w:after="0" w:line="200" w:lineRule="exact"/>
        <w:rPr>
          <w:rFonts w:ascii="Times New Roman" w:cs="Times New Roman" w:eastAsia="Times New Roman" w:hAnsi="Times New Roman"/>
          <w:sz w:val="24"/>
          <w:szCs w:val="24"/>
          <w:color w:val="auto"/>
        </w:rPr>
      </w:pPr>
    </w:p>
    <w:p>
      <w:pPr>
        <w:spacing w:after="0" w:line="231" w:lineRule="exact"/>
        <w:rPr>
          <w:rFonts w:ascii="Times New Roman" w:cs="Times New Roman" w:eastAsia="Times New Roman" w:hAnsi="Times New Roman"/>
          <w:sz w:val="24"/>
          <w:szCs w:val="24"/>
          <w:color w:val="auto"/>
        </w:rPr>
      </w:pPr>
    </w:p>
    <w:p>
      <w:pPr>
        <w:jc w:val="both"/>
        <w:ind w:left="364" w:hanging="364"/>
        <w:spacing w:after="0" w:line="350" w:lineRule="auto"/>
        <w:tabs>
          <w:tab w:leader="none" w:pos="364" w:val="left"/>
        </w:tabs>
        <w:numPr>
          <w:ilvl w:val="0"/>
          <w:numId w:val="805"/>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 xml:space="preserve">Sources of Financing of Funds Already Deployed: </w:t>
      </w:r>
      <w:r>
        <w:rPr>
          <w:rFonts w:ascii="Times New Roman" w:cs="Times New Roman" w:eastAsia="Times New Roman" w:hAnsi="Times New Roman"/>
          <w:sz w:val="24"/>
          <w:szCs w:val="24"/>
          <w:color w:val="auto"/>
        </w:rPr>
        <w:t>Means and source of financing,</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including details of bridge loan or other financial arrangement, which may be repaid from the proceeds of the issue.</w:t>
      </w:r>
    </w:p>
    <w:p>
      <w:pPr>
        <w:spacing w:after="0" w:line="200" w:lineRule="exact"/>
        <w:rPr>
          <w:rFonts w:ascii="Calibri" w:cs="Calibri" w:eastAsia="Calibri" w:hAnsi="Calibri"/>
          <w:sz w:val="22"/>
          <w:szCs w:val="22"/>
          <w:color w:val="auto"/>
        </w:rPr>
      </w:pPr>
    </w:p>
    <w:p>
      <w:pPr>
        <w:spacing w:after="0" w:line="238" w:lineRule="exact"/>
        <w:rPr>
          <w:rFonts w:ascii="Calibri" w:cs="Calibri" w:eastAsia="Calibri" w:hAnsi="Calibri"/>
          <w:sz w:val="22"/>
          <w:szCs w:val="22"/>
          <w:color w:val="auto"/>
        </w:rPr>
      </w:pPr>
    </w:p>
    <w:p>
      <w:pPr>
        <w:ind w:left="364" w:hanging="364"/>
        <w:spacing w:after="0" w:line="344" w:lineRule="auto"/>
        <w:tabs>
          <w:tab w:leader="none" w:pos="364" w:val="left"/>
        </w:tabs>
        <w:numPr>
          <w:ilvl w:val="0"/>
          <w:numId w:val="805"/>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 xml:space="preserve">Deployment of Balance Funds: </w:t>
      </w:r>
      <w:r>
        <w:rPr>
          <w:rFonts w:ascii="Times New Roman" w:cs="Times New Roman" w:eastAsia="Times New Roman" w:hAnsi="Times New Roman"/>
          <w:sz w:val="24"/>
          <w:szCs w:val="24"/>
          <w:color w:val="auto"/>
        </w:rPr>
        <w:t>Year-wise break-up of the expenditure proposed to be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incurred on the project.</w:t>
      </w:r>
    </w:p>
    <w:p>
      <w:pPr>
        <w:spacing w:after="0" w:line="200" w:lineRule="exact"/>
        <w:rPr>
          <w:rFonts w:ascii="Calibri" w:cs="Calibri" w:eastAsia="Calibri" w:hAnsi="Calibri"/>
          <w:sz w:val="22"/>
          <w:szCs w:val="22"/>
          <w:color w:val="auto"/>
        </w:rPr>
      </w:pPr>
    </w:p>
    <w:p>
      <w:pPr>
        <w:spacing w:after="0" w:line="241" w:lineRule="exact"/>
        <w:rPr>
          <w:rFonts w:ascii="Calibri" w:cs="Calibri" w:eastAsia="Calibri" w:hAnsi="Calibri"/>
          <w:sz w:val="22"/>
          <w:szCs w:val="22"/>
          <w:color w:val="auto"/>
        </w:rPr>
      </w:pPr>
    </w:p>
    <w:p>
      <w:pPr>
        <w:ind w:left="364" w:hanging="364"/>
        <w:spacing w:after="0" w:line="342" w:lineRule="auto"/>
        <w:tabs>
          <w:tab w:leader="none" w:pos="364" w:val="left"/>
        </w:tabs>
        <w:numPr>
          <w:ilvl w:val="0"/>
          <w:numId w:val="805"/>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 xml:space="preserve">Interim Use of Funds: </w:t>
      </w:r>
      <w:r>
        <w:rPr>
          <w:rFonts w:ascii="Times New Roman" w:cs="Times New Roman" w:eastAsia="Times New Roman" w:hAnsi="Times New Roman"/>
          <w:sz w:val="24"/>
          <w:szCs w:val="24"/>
          <w:color w:val="auto"/>
        </w:rPr>
        <w:t>A statement that net issue proceeds pending utilization (for the stated</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objects) shall be deposited only in the scheduled commercial banks.</w:t>
      </w:r>
    </w:p>
    <w:p>
      <w:pPr>
        <w:spacing w:after="0" w:line="200" w:lineRule="exact"/>
        <w:rPr>
          <w:rFonts w:ascii="Calibri" w:cs="Calibri" w:eastAsia="Calibri" w:hAnsi="Calibri"/>
          <w:sz w:val="22"/>
          <w:szCs w:val="22"/>
          <w:color w:val="auto"/>
        </w:rPr>
      </w:pPr>
    </w:p>
    <w:p>
      <w:pPr>
        <w:spacing w:after="0" w:line="244" w:lineRule="exact"/>
        <w:rPr>
          <w:rFonts w:ascii="Calibri" w:cs="Calibri" w:eastAsia="Calibri" w:hAnsi="Calibri"/>
          <w:sz w:val="22"/>
          <w:szCs w:val="22"/>
          <w:color w:val="auto"/>
        </w:rPr>
      </w:pPr>
    </w:p>
    <w:p>
      <w:pPr>
        <w:jc w:val="both"/>
        <w:ind w:left="364" w:hanging="364"/>
        <w:spacing w:after="0" w:line="350" w:lineRule="auto"/>
        <w:tabs>
          <w:tab w:leader="none" w:pos="364" w:val="left"/>
        </w:tabs>
        <w:numPr>
          <w:ilvl w:val="0"/>
          <w:numId w:val="805"/>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 xml:space="preserve">Expenses of the Issue: </w:t>
      </w:r>
      <w:r>
        <w:rPr>
          <w:rFonts w:ascii="Times New Roman" w:cs="Times New Roman" w:eastAsia="Times New Roman" w:hAnsi="Times New Roman"/>
          <w:sz w:val="24"/>
          <w:szCs w:val="24"/>
          <w:color w:val="auto"/>
        </w:rPr>
        <w:t>Expenses of the issue along with a break up for each item of</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expense, including details of the fees payable to separately as under (in terms of amount, as a percentage of total issue expenses and as a percentage of total issue size):</w:t>
      </w:r>
    </w:p>
    <w:p>
      <w:pPr>
        <w:spacing w:after="0" w:line="13" w:lineRule="exact"/>
        <w:rPr>
          <w:rFonts w:ascii="Calibri" w:cs="Calibri" w:eastAsia="Calibri" w:hAnsi="Calibri"/>
          <w:sz w:val="22"/>
          <w:szCs w:val="22"/>
          <w:color w:val="auto"/>
        </w:rPr>
      </w:pPr>
    </w:p>
    <w:p>
      <w:pPr>
        <w:ind w:left="1304" w:hanging="728"/>
        <w:spacing w:after="0"/>
        <w:tabs>
          <w:tab w:leader="none" w:pos="1304" w:val="left"/>
        </w:tabs>
        <w:numPr>
          <w:ilvl w:val="1"/>
          <w:numId w:val="80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Lead manager(s) fees including underwriting commission</w:t>
      </w:r>
    </w:p>
    <w:p>
      <w:pPr>
        <w:spacing w:after="0" w:line="136" w:lineRule="exact"/>
        <w:rPr>
          <w:rFonts w:ascii="Times New Roman" w:cs="Times New Roman" w:eastAsia="Times New Roman" w:hAnsi="Times New Roman"/>
          <w:sz w:val="24"/>
          <w:szCs w:val="24"/>
          <w:color w:val="auto"/>
        </w:rPr>
      </w:pPr>
    </w:p>
    <w:p>
      <w:pPr>
        <w:ind w:left="1304" w:hanging="728"/>
        <w:spacing w:after="0"/>
        <w:tabs>
          <w:tab w:leader="none" w:pos="1304" w:val="left"/>
        </w:tabs>
        <w:numPr>
          <w:ilvl w:val="1"/>
          <w:numId w:val="80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Brokerage, selling commission and upload fees</w:t>
      </w:r>
    </w:p>
    <w:p>
      <w:pPr>
        <w:spacing w:after="0" w:line="139" w:lineRule="exact"/>
        <w:rPr>
          <w:rFonts w:ascii="Times New Roman" w:cs="Times New Roman" w:eastAsia="Times New Roman" w:hAnsi="Times New Roman"/>
          <w:sz w:val="24"/>
          <w:szCs w:val="24"/>
          <w:color w:val="auto"/>
        </w:rPr>
      </w:pPr>
    </w:p>
    <w:p>
      <w:pPr>
        <w:ind w:left="1304" w:hanging="728"/>
        <w:spacing w:after="0"/>
        <w:tabs>
          <w:tab w:leader="none" w:pos="1304" w:val="left"/>
        </w:tabs>
        <w:numPr>
          <w:ilvl w:val="1"/>
          <w:numId w:val="80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Registrars to the issue</w:t>
      </w:r>
    </w:p>
    <w:p>
      <w:pPr>
        <w:spacing w:after="0" w:line="394" w:lineRule="exact"/>
        <w:rPr>
          <w:sz w:val="20"/>
          <w:szCs w:val="20"/>
          <w:color w:val="auto"/>
        </w:rPr>
      </w:pPr>
    </w:p>
    <w:p>
      <w:pPr>
        <w:jc w:val="center"/>
        <w:ind w:right="136"/>
        <w:spacing w:after="0"/>
        <w:rPr>
          <w:sz w:val="20"/>
          <w:szCs w:val="20"/>
          <w:color w:val="auto"/>
        </w:rPr>
      </w:pPr>
      <w:r>
        <w:rPr>
          <w:rFonts w:ascii="Times New Roman" w:cs="Times New Roman" w:eastAsia="Times New Roman" w:hAnsi="Times New Roman"/>
          <w:sz w:val="24"/>
          <w:szCs w:val="24"/>
          <w:color w:val="auto"/>
        </w:rPr>
        <w:t>214</w:t>
      </w:r>
    </w:p>
    <w:p>
      <w:pPr>
        <w:sectPr>
          <w:pgSz w:w="11900" w:h="16836" w:orient="portrait"/>
          <w:cols w:equalWidth="0" w:num="1">
            <w:col w:w="9324"/>
          </w:cols>
          <w:pgMar w:left="1296" w:top="1156" w:right="1284" w:bottom="103" w:gutter="0" w:footer="0" w:header="0"/>
        </w:sectPr>
      </w:pPr>
    </w:p>
    <w:bookmarkStart w:id="214" w:name="page215"/>
    <w:bookmarkEnd w:id="214"/>
    <w:p>
      <w:pPr>
        <w:ind w:left="1304" w:hanging="728"/>
        <w:spacing w:after="0"/>
        <w:tabs>
          <w:tab w:leader="none" w:pos="1304" w:val="left"/>
        </w:tabs>
        <w:numPr>
          <w:ilvl w:val="1"/>
          <w:numId w:val="80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Legal Advisors</w:t>
      </w:r>
    </w:p>
    <w:p>
      <w:pPr>
        <w:spacing w:after="0" w:line="137" w:lineRule="exact"/>
        <w:rPr>
          <w:rFonts w:ascii="Times New Roman" w:cs="Times New Roman" w:eastAsia="Times New Roman" w:hAnsi="Times New Roman"/>
          <w:sz w:val="24"/>
          <w:szCs w:val="24"/>
          <w:color w:val="auto"/>
        </w:rPr>
      </w:pPr>
    </w:p>
    <w:p>
      <w:pPr>
        <w:ind w:left="1304" w:hanging="728"/>
        <w:spacing w:after="0"/>
        <w:tabs>
          <w:tab w:leader="none" w:pos="1304" w:val="left"/>
        </w:tabs>
        <w:numPr>
          <w:ilvl w:val="1"/>
          <w:numId w:val="80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Advertising and marketing expenses</w:t>
      </w:r>
    </w:p>
    <w:p>
      <w:pPr>
        <w:spacing w:after="0" w:line="139" w:lineRule="exact"/>
        <w:rPr>
          <w:rFonts w:ascii="Times New Roman" w:cs="Times New Roman" w:eastAsia="Times New Roman" w:hAnsi="Times New Roman"/>
          <w:sz w:val="24"/>
          <w:szCs w:val="24"/>
          <w:color w:val="auto"/>
        </w:rPr>
      </w:pPr>
    </w:p>
    <w:p>
      <w:pPr>
        <w:ind w:left="1304" w:hanging="728"/>
        <w:spacing w:after="0"/>
        <w:tabs>
          <w:tab w:leader="none" w:pos="1304" w:val="left"/>
        </w:tabs>
        <w:numPr>
          <w:ilvl w:val="1"/>
          <w:numId w:val="80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Regulators including stock exchanges</w:t>
      </w:r>
    </w:p>
    <w:p>
      <w:pPr>
        <w:spacing w:after="0" w:line="136" w:lineRule="exact"/>
        <w:rPr>
          <w:rFonts w:ascii="Times New Roman" w:cs="Times New Roman" w:eastAsia="Times New Roman" w:hAnsi="Times New Roman"/>
          <w:sz w:val="24"/>
          <w:szCs w:val="24"/>
          <w:color w:val="auto"/>
        </w:rPr>
      </w:pPr>
    </w:p>
    <w:p>
      <w:pPr>
        <w:ind w:left="1304" w:hanging="728"/>
        <w:spacing w:after="0"/>
        <w:tabs>
          <w:tab w:leader="none" w:pos="1304" w:val="left"/>
        </w:tabs>
        <w:numPr>
          <w:ilvl w:val="1"/>
          <w:numId w:val="80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Printing and distribution of issue stationary</w:t>
      </w:r>
    </w:p>
    <w:p>
      <w:pPr>
        <w:spacing w:after="0" w:line="139" w:lineRule="exact"/>
        <w:rPr>
          <w:rFonts w:ascii="Times New Roman" w:cs="Times New Roman" w:eastAsia="Times New Roman" w:hAnsi="Times New Roman"/>
          <w:sz w:val="24"/>
          <w:szCs w:val="24"/>
          <w:color w:val="auto"/>
        </w:rPr>
      </w:pPr>
    </w:p>
    <w:p>
      <w:pPr>
        <w:ind w:left="1304" w:hanging="728"/>
        <w:spacing w:after="0"/>
        <w:tabs>
          <w:tab w:leader="none" w:pos="1304" w:val="left"/>
        </w:tabs>
        <w:numPr>
          <w:ilvl w:val="1"/>
          <w:numId w:val="80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Others, if any (to be specified).</w:t>
      </w:r>
    </w:p>
    <w:p>
      <w:pPr>
        <w:spacing w:after="0" w:line="200" w:lineRule="exact"/>
        <w:rPr>
          <w:rFonts w:ascii="Times New Roman" w:cs="Times New Roman" w:eastAsia="Times New Roman" w:hAnsi="Times New Roman"/>
          <w:sz w:val="24"/>
          <w:szCs w:val="24"/>
          <w:color w:val="auto"/>
        </w:rPr>
      </w:pPr>
    </w:p>
    <w:p>
      <w:pPr>
        <w:spacing w:after="0" w:line="349" w:lineRule="exact"/>
        <w:rPr>
          <w:rFonts w:ascii="Times New Roman" w:cs="Times New Roman" w:eastAsia="Times New Roman" w:hAnsi="Times New Roman"/>
          <w:sz w:val="24"/>
          <w:szCs w:val="24"/>
          <w:color w:val="auto"/>
        </w:rPr>
      </w:pPr>
    </w:p>
    <w:p>
      <w:pPr>
        <w:ind w:left="364" w:hanging="364"/>
        <w:spacing w:after="0"/>
        <w:tabs>
          <w:tab w:leader="none" w:pos="364" w:val="left"/>
        </w:tabs>
        <w:numPr>
          <w:ilvl w:val="0"/>
          <w:numId w:val="807"/>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Basis for Issue Price:</w:t>
      </w:r>
    </w:p>
    <w:p>
      <w:pPr>
        <w:spacing w:after="0" w:line="144" w:lineRule="exact"/>
        <w:rPr>
          <w:rFonts w:ascii="Calibri" w:cs="Calibri" w:eastAsia="Calibri" w:hAnsi="Calibri"/>
          <w:sz w:val="22"/>
          <w:szCs w:val="22"/>
          <w:color w:val="auto"/>
        </w:rPr>
      </w:pPr>
    </w:p>
    <w:p>
      <w:pPr>
        <w:jc w:val="both"/>
        <w:ind w:left="1304" w:right="180" w:hanging="728"/>
        <w:spacing w:after="0" w:line="354" w:lineRule="auto"/>
        <w:tabs>
          <w:tab w:leader="none" w:pos="1304" w:val="left"/>
        </w:tabs>
        <w:numPr>
          <w:ilvl w:val="1"/>
          <w:numId w:val="80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basis for issue price, floor price or price band, as the case may be, on a consolidated basis, after giving effect to any bonus or split of shares undertaken after the last balance sheet date:</w:t>
      </w:r>
    </w:p>
    <w:p>
      <w:pPr>
        <w:spacing w:after="0" w:line="22" w:lineRule="exact"/>
        <w:rPr>
          <w:rFonts w:ascii="Times New Roman" w:cs="Times New Roman" w:eastAsia="Times New Roman" w:hAnsi="Times New Roman"/>
          <w:sz w:val="24"/>
          <w:szCs w:val="24"/>
          <w:color w:val="auto"/>
        </w:rPr>
      </w:pPr>
    </w:p>
    <w:p>
      <w:pPr>
        <w:ind w:left="2084" w:right="180" w:hanging="572"/>
        <w:spacing w:after="0" w:line="342" w:lineRule="auto"/>
        <w:tabs>
          <w:tab w:leader="none" w:pos="2084" w:val="left"/>
        </w:tabs>
        <w:numPr>
          <w:ilvl w:val="2"/>
          <w:numId w:val="807"/>
        </w:numPr>
        <w:rPr>
          <w:rFonts w:ascii="Calibri" w:cs="Calibri" w:eastAsia="Calibri" w:hAnsi="Calibri"/>
          <w:sz w:val="22"/>
          <w:szCs w:val="22"/>
          <w:color w:val="auto"/>
        </w:rPr>
      </w:pPr>
      <w:r>
        <w:rPr>
          <w:rFonts w:ascii="Times New Roman" w:cs="Times New Roman" w:eastAsia="Times New Roman" w:hAnsi="Times New Roman"/>
          <w:sz w:val="24"/>
          <w:szCs w:val="24"/>
          <w:color w:val="auto"/>
        </w:rPr>
        <w:t>Earnings Per Share and Diluted Earnings Per Share, pre-issue, for the last three years (as adjusted for changes in capital).</w:t>
      </w:r>
    </w:p>
    <w:p>
      <w:pPr>
        <w:spacing w:after="0" w:line="11" w:lineRule="exact"/>
        <w:rPr>
          <w:rFonts w:ascii="Calibri" w:cs="Calibri" w:eastAsia="Calibri" w:hAnsi="Calibri"/>
          <w:sz w:val="22"/>
          <w:szCs w:val="22"/>
          <w:color w:val="auto"/>
        </w:rPr>
      </w:pPr>
    </w:p>
    <w:p>
      <w:pPr>
        <w:ind w:left="2084" w:hanging="572"/>
        <w:spacing w:after="0"/>
        <w:tabs>
          <w:tab w:leader="none" w:pos="2084" w:val="left"/>
        </w:tabs>
        <w:numPr>
          <w:ilvl w:val="2"/>
          <w:numId w:val="807"/>
        </w:numPr>
        <w:rPr>
          <w:rFonts w:ascii="Calibri" w:cs="Calibri" w:eastAsia="Calibri" w:hAnsi="Calibri"/>
          <w:sz w:val="22"/>
          <w:szCs w:val="22"/>
          <w:color w:val="auto"/>
        </w:rPr>
      </w:pPr>
      <w:r>
        <w:rPr>
          <w:rFonts w:ascii="Times New Roman" w:cs="Times New Roman" w:eastAsia="Times New Roman" w:hAnsi="Times New Roman"/>
          <w:sz w:val="24"/>
          <w:szCs w:val="24"/>
          <w:color w:val="auto"/>
        </w:rPr>
        <w:t>Price to Earnings ratio pre-issue.</w:t>
      </w:r>
    </w:p>
    <w:p>
      <w:pPr>
        <w:spacing w:after="0" w:line="129" w:lineRule="exact"/>
        <w:rPr>
          <w:rFonts w:ascii="Calibri" w:cs="Calibri" w:eastAsia="Calibri" w:hAnsi="Calibri"/>
          <w:sz w:val="22"/>
          <w:szCs w:val="22"/>
          <w:color w:val="auto"/>
        </w:rPr>
      </w:pPr>
    </w:p>
    <w:p>
      <w:pPr>
        <w:ind w:left="2084" w:hanging="572"/>
        <w:spacing w:after="0"/>
        <w:tabs>
          <w:tab w:leader="none" w:pos="2084" w:val="left"/>
        </w:tabs>
        <w:numPr>
          <w:ilvl w:val="2"/>
          <w:numId w:val="807"/>
        </w:numPr>
        <w:rPr>
          <w:rFonts w:ascii="Calibri" w:cs="Calibri" w:eastAsia="Calibri" w:hAnsi="Calibri"/>
          <w:sz w:val="22"/>
          <w:szCs w:val="22"/>
          <w:color w:val="auto"/>
        </w:rPr>
      </w:pPr>
      <w:r>
        <w:rPr>
          <w:rFonts w:ascii="Times New Roman" w:cs="Times New Roman" w:eastAsia="Times New Roman" w:hAnsi="Times New Roman"/>
          <w:sz w:val="24"/>
          <w:szCs w:val="24"/>
          <w:color w:val="auto"/>
        </w:rPr>
        <w:t>Average Return on Net Worth in the last three years.</w:t>
      </w:r>
    </w:p>
    <w:p>
      <w:pPr>
        <w:spacing w:after="0" w:line="132" w:lineRule="exact"/>
        <w:rPr>
          <w:rFonts w:ascii="Calibri" w:cs="Calibri" w:eastAsia="Calibri" w:hAnsi="Calibri"/>
          <w:sz w:val="22"/>
          <w:szCs w:val="22"/>
          <w:color w:val="auto"/>
        </w:rPr>
      </w:pPr>
    </w:p>
    <w:p>
      <w:pPr>
        <w:ind w:left="2084" w:hanging="572"/>
        <w:spacing w:after="0"/>
        <w:tabs>
          <w:tab w:leader="none" w:pos="2084" w:val="left"/>
        </w:tabs>
        <w:numPr>
          <w:ilvl w:val="2"/>
          <w:numId w:val="807"/>
        </w:numPr>
        <w:rPr>
          <w:rFonts w:ascii="Calibri" w:cs="Calibri" w:eastAsia="Calibri" w:hAnsi="Calibri"/>
          <w:sz w:val="22"/>
          <w:szCs w:val="22"/>
          <w:color w:val="auto"/>
        </w:rPr>
      </w:pPr>
      <w:r>
        <w:rPr>
          <w:rFonts w:ascii="Times New Roman" w:cs="Times New Roman" w:eastAsia="Times New Roman" w:hAnsi="Times New Roman"/>
          <w:sz w:val="24"/>
          <w:szCs w:val="24"/>
          <w:color w:val="auto"/>
        </w:rPr>
        <w:t>Net Asset Value per share based on the last balance sheet.</w:t>
      </w:r>
    </w:p>
    <w:p>
      <w:pPr>
        <w:spacing w:after="0" w:line="149" w:lineRule="exact"/>
        <w:rPr>
          <w:rFonts w:ascii="Calibri" w:cs="Calibri" w:eastAsia="Calibri" w:hAnsi="Calibri"/>
          <w:sz w:val="22"/>
          <w:szCs w:val="22"/>
          <w:color w:val="auto"/>
        </w:rPr>
      </w:pPr>
    </w:p>
    <w:p>
      <w:pPr>
        <w:ind w:left="2084" w:right="180" w:hanging="572"/>
        <w:spacing w:after="0" w:line="344" w:lineRule="auto"/>
        <w:tabs>
          <w:tab w:leader="none" w:pos="2084" w:val="left"/>
        </w:tabs>
        <w:numPr>
          <w:ilvl w:val="2"/>
          <w:numId w:val="807"/>
        </w:numPr>
        <w:rPr>
          <w:rFonts w:ascii="Calibri" w:cs="Calibri" w:eastAsia="Calibri" w:hAnsi="Calibri"/>
          <w:sz w:val="22"/>
          <w:szCs w:val="22"/>
          <w:color w:val="auto"/>
        </w:rPr>
      </w:pPr>
      <w:r>
        <w:rPr>
          <w:rFonts w:ascii="Times New Roman" w:cs="Times New Roman" w:eastAsia="Times New Roman" w:hAnsi="Times New Roman"/>
          <w:sz w:val="24"/>
          <w:szCs w:val="24"/>
          <w:color w:val="auto"/>
        </w:rPr>
        <w:t>Net Asset Value per share after the issue and comparison thereof with the issue price.</w:t>
      </w:r>
    </w:p>
    <w:p>
      <w:pPr>
        <w:spacing w:after="0" w:line="26" w:lineRule="exact"/>
        <w:rPr>
          <w:rFonts w:ascii="Calibri" w:cs="Calibri" w:eastAsia="Calibri" w:hAnsi="Calibri"/>
          <w:sz w:val="22"/>
          <w:szCs w:val="22"/>
          <w:color w:val="auto"/>
        </w:rPr>
      </w:pPr>
    </w:p>
    <w:p>
      <w:pPr>
        <w:ind w:left="2084" w:right="180" w:hanging="572"/>
        <w:spacing w:after="0" w:line="344" w:lineRule="auto"/>
        <w:tabs>
          <w:tab w:leader="none" w:pos="2084" w:val="left"/>
        </w:tabs>
        <w:numPr>
          <w:ilvl w:val="2"/>
          <w:numId w:val="807"/>
        </w:numPr>
        <w:rPr>
          <w:rFonts w:ascii="Calibri" w:cs="Calibri" w:eastAsia="Calibri" w:hAnsi="Calibri"/>
          <w:sz w:val="22"/>
          <w:szCs w:val="22"/>
          <w:color w:val="auto"/>
        </w:rPr>
      </w:pPr>
      <w:r>
        <w:rPr>
          <w:rFonts w:ascii="Times New Roman" w:cs="Times New Roman" w:eastAsia="Times New Roman" w:hAnsi="Times New Roman"/>
          <w:sz w:val="24"/>
          <w:szCs w:val="24"/>
          <w:color w:val="auto"/>
        </w:rPr>
        <w:t>An illustrative format of disclosure in respect of the basis for issue price is given hereunder: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1292225</wp:posOffset>
                </wp:positionH>
                <wp:positionV relativeFrom="paragraph">
                  <wp:posOffset>280035</wp:posOffset>
                </wp:positionV>
                <wp:extent cx="4744085" cy="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44085" cy="4763"/>
                        </a:xfrm>
                        <a:prstGeom prst="line">
                          <a:avLst/>
                        </a:prstGeom>
                        <a:solidFill>
                          <a:srgbClr val="FFFFFF"/>
                        </a:solidFill>
                        <a:ln w="6096">
                          <a:solidFill>
                            <a:srgbClr val="808080"/>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1.75pt,22.05pt" to="475.3pt,22.05pt" o:allowincell="f" strokecolor="#808080" strokeweight="0.48pt"/>
            </w:pict>
          </mc:Fallback>
        </mc:AlternateContent>
        <mc:AlternateContent>
          <mc:Choice Requires="wps">
            <w:drawing>
              <wp:anchor simplePos="0" relativeHeight="251657728" behindDoc="1" locked="0" layoutInCell="0" allowOverlap="1">
                <wp:simplePos x="0" y="0"/>
                <wp:positionH relativeFrom="column">
                  <wp:posOffset>1292225</wp:posOffset>
                </wp:positionH>
                <wp:positionV relativeFrom="paragraph">
                  <wp:posOffset>1888490</wp:posOffset>
                </wp:positionV>
                <wp:extent cx="4744085" cy="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44085" cy="4763"/>
                        </a:xfrm>
                        <a:prstGeom prst="line">
                          <a:avLst/>
                        </a:prstGeom>
                        <a:solidFill>
                          <a:srgbClr val="FFFFFF"/>
                        </a:solidFill>
                        <a:ln w="6095">
                          <a:solidFill>
                            <a:srgbClr val="80808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1.75pt,148.7pt" to="475.3pt,148.7pt" o:allowincell="f" strokecolor="#808080" strokeweight="0.4799pt"/>
            </w:pict>
          </mc:Fallback>
        </mc:AlternateContent>
        <mc:AlternateContent>
          <mc:Choice Requires="wps">
            <w:drawing>
              <wp:anchor simplePos="0" relativeHeight="251657728" behindDoc="1" locked="0" layoutInCell="0" allowOverlap="1">
                <wp:simplePos x="0" y="0"/>
                <wp:positionH relativeFrom="column">
                  <wp:posOffset>1295400</wp:posOffset>
                </wp:positionH>
                <wp:positionV relativeFrom="paragraph">
                  <wp:posOffset>277495</wp:posOffset>
                </wp:positionV>
                <wp:extent cx="0" cy="376301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763010"/>
                        </a:xfrm>
                        <a:prstGeom prst="line">
                          <a:avLst/>
                        </a:prstGeom>
                        <a:solidFill>
                          <a:srgbClr val="FFFFFF"/>
                        </a:solidFill>
                        <a:ln w="6095">
                          <a:solidFill>
                            <a:srgbClr val="80808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2pt,21.85pt" to="102pt,318.15pt" o:allowincell="f" strokecolor="#808080" strokeweight="0.4799pt"/>
            </w:pict>
          </mc:Fallback>
        </mc:AlternateContent>
        <mc:AlternateContent>
          <mc:Choice Requires="wps">
            <w:drawing>
              <wp:anchor simplePos="0" relativeHeight="251657728" behindDoc="1" locked="0" layoutInCell="0" allowOverlap="1">
                <wp:simplePos x="0" y="0"/>
                <wp:positionH relativeFrom="column">
                  <wp:posOffset>1694815</wp:posOffset>
                </wp:positionH>
                <wp:positionV relativeFrom="paragraph">
                  <wp:posOffset>277495</wp:posOffset>
                </wp:positionV>
                <wp:extent cx="0" cy="376301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763010"/>
                        </a:xfrm>
                        <a:prstGeom prst="line">
                          <a:avLst/>
                        </a:prstGeom>
                        <a:solidFill>
                          <a:srgbClr val="FFFFFF"/>
                        </a:solidFill>
                        <a:ln w="6095">
                          <a:solidFill>
                            <a:srgbClr val="80808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3.45pt,21.85pt" to="133.45pt,318.15pt" o:allowincell="f" strokecolor="#808080" strokeweight="0.4799pt"/>
            </w:pict>
          </mc:Fallback>
        </mc:AlternateContent>
        <mc:AlternateContent>
          <mc:Choice Requires="wps">
            <w:drawing>
              <wp:anchor simplePos="0" relativeHeight="251657728" behindDoc="1" locked="0" layoutInCell="0" allowOverlap="1">
                <wp:simplePos x="0" y="0"/>
                <wp:positionH relativeFrom="column">
                  <wp:posOffset>4881880</wp:posOffset>
                </wp:positionH>
                <wp:positionV relativeFrom="paragraph">
                  <wp:posOffset>277495</wp:posOffset>
                </wp:positionV>
                <wp:extent cx="0" cy="376301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763010"/>
                        </a:xfrm>
                        <a:prstGeom prst="line">
                          <a:avLst/>
                        </a:prstGeom>
                        <a:solidFill>
                          <a:srgbClr val="FFFFFF"/>
                        </a:solidFill>
                        <a:ln w="6096">
                          <a:solidFill>
                            <a:srgbClr val="80808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4.4pt,21.85pt" to="384.4pt,318.15pt" o:allowincell="f" strokecolor="#808080" strokeweight="0.48pt"/>
            </w:pict>
          </mc:Fallback>
        </mc:AlternateContent>
        <mc:AlternateContent>
          <mc:Choice Requires="wps">
            <w:drawing>
              <wp:anchor simplePos="0" relativeHeight="251657728" behindDoc="1" locked="0" layoutInCell="0" allowOverlap="1">
                <wp:simplePos x="0" y="0"/>
                <wp:positionH relativeFrom="column">
                  <wp:posOffset>6033135</wp:posOffset>
                </wp:positionH>
                <wp:positionV relativeFrom="paragraph">
                  <wp:posOffset>277495</wp:posOffset>
                </wp:positionV>
                <wp:extent cx="0" cy="376301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763010"/>
                        </a:xfrm>
                        <a:prstGeom prst="line">
                          <a:avLst/>
                        </a:prstGeom>
                        <a:solidFill>
                          <a:srgbClr val="FFFFFF"/>
                        </a:solidFill>
                        <a:ln w="6095">
                          <a:solidFill>
                            <a:srgbClr val="80808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75.05pt,21.85pt" to="475.05pt,318.15pt" o:allowincell="f" strokecolor="#808080" strokeweight="0.4799pt"/>
            </w:pict>
          </mc:Fallback>
        </mc:AlternateContent>
      </w:r>
    </w:p>
    <w:p>
      <w:pPr>
        <w:spacing w:after="0" w:line="200" w:lineRule="exact"/>
        <w:rPr>
          <w:sz w:val="20"/>
          <w:szCs w:val="20"/>
          <w:color w:val="auto"/>
        </w:rPr>
      </w:pPr>
    </w:p>
    <w:p>
      <w:pPr>
        <w:spacing w:after="0" w:line="224" w:lineRule="exact"/>
        <w:rPr>
          <w:sz w:val="20"/>
          <w:szCs w:val="20"/>
          <w:color w:val="auto"/>
        </w:rPr>
      </w:pPr>
    </w:p>
    <w:tbl>
      <w:tblPr>
        <w:tblLayout w:type="fixed"/>
        <w:tblInd w:w="2044" w:type="dxa"/>
        <w:tblCellMar>
          <w:top w:w="0" w:type="dxa"/>
          <w:left w:w="0" w:type="dxa"/>
          <w:bottom w:w="0" w:type="dxa"/>
          <w:right w:w="0" w:type="dxa"/>
        </w:tblCellMar>
      </w:tblPr>
      <w:tr>
        <w:trPr>
          <w:trHeight w:val="276"/>
        </w:trPr>
        <w:tc>
          <w:tcPr>
            <w:tcW w:w="560" w:type="dxa"/>
            <w:vAlign w:val="bottom"/>
          </w:tcPr>
          <w:p>
            <w:pPr>
              <w:jc w:val="right"/>
              <w:ind w:right="70"/>
              <w:spacing w:after="0"/>
              <w:rPr>
                <w:sz w:val="20"/>
                <w:szCs w:val="20"/>
                <w:color w:val="auto"/>
              </w:rPr>
            </w:pPr>
            <w:r>
              <w:rPr>
                <w:rFonts w:ascii="Times New Roman" w:cs="Times New Roman" w:eastAsia="Times New Roman" w:hAnsi="Times New Roman"/>
                <w:sz w:val="22"/>
                <w:szCs w:val="22"/>
                <w:color w:val="auto"/>
              </w:rPr>
              <w:t>(1)</w:t>
            </w:r>
          </w:p>
        </w:tc>
        <w:tc>
          <w:tcPr>
            <w:tcW w:w="5540" w:type="dxa"/>
            <w:vAlign w:val="bottom"/>
            <w:gridSpan w:val="2"/>
          </w:tcPr>
          <w:p>
            <w:pPr>
              <w:ind w:left="180"/>
              <w:spacing w:after="0"/>
              <w:rPr>
                <w:sz w:val="20"/>
                <w:szCs w:val="20"/>
                <w:color w:val="auto"/>
              </w:rPr>
            </w:pPr>
            <w:r>
              <w:rPr>
                <w:rFonts w:ascii="Times New Roman" w:cs="Times New Roman" w:eastAsia="Times New Roman" w:hAnsi="Times New Roman"/>
                <w:sz w:val="24"/>
                <w:szCs w:val="24"/>
                <w:b w:val="1"/>
                <w:bCs w:val="1"/>
                <w:color w:val="auto"/>
              </w:rPr>
              <w:t>Adjusted  Earnings  Per  Share  (EPS)  and</w:t>
            </w:r>
          </w:p>
        </w:tc>
        <w:tc>
          <w:tcPr>
            <w:tcW w:w="1360" w:type="dxa"/>
            <w:vAlign w:val="bottom"/>
          </w:tcPr>
          <w:p>
            <w:pPr>
              <w:spacing w:after="0"/>
              <w:rPr>
                <w:sz w:val="23"/>
                <w:szCs w:val="23"/>
                <w:color w:val="auto"/>
              </w:rPr>
            </w:pPr>
          </w:p>
        </w:tc>
      </w:tr>
      <w:tr>
        <w:trPr>
          <w:trHeight w:val="413"/>
        </w:trPr>
        <w:tc>
          <w:tcPr>
            <w:tcW w:w="560" w:type="dxa"/>
            <w:vAlign w:val="bottom"/>
          </w:tcPr>
          <w:p>
            <w:pPr>
              <w:spacing w:after="0"/>
              <w:rPr>
                <w:sz w:val="24"/>
                <w:szCs w:val="24"/>
                <w:color w:val="auto"/>
              </w:rPr>
            </w:pPr>
          </w:p>
        </w:tc>
        <w:tc>
          <w:tcPr>
            <w:tcW w:w="5540" w:type="dxa"/>
            <w:vAlign w:val="bottom"/>
            <w:gridSpan w:val="2"/>
          </w:tcPr>
          <w:p>
            <w:pPr>
              <w:ind w:left="180"/>
              <w:spacing w:after="0"/>
              <w:rPr>
                <w:sz w:val="20"/>
                <w:szCs w:val="20"/>
                <w:color w:val="auto"/>
              </w:rPr>
            </w:pPr>
            <w:r>
              <w:rPr>
                <w:rFonts w:ascii="Times New Roman" w:cs="Times New Roman" w:eastAsia="Times New Roman" w:hAnsi="Times New Roman"/>
                <w:sz w:val="24"/>
                <w:szCs w:val="24"/>
                <w:b w:val="1"/>
                <w:bCs w:val="1"/>
                <w:color w:val="auto"/>
              </w:rPr>
              <w:t>Adjusted Diluted EPS</w:t>
            </w:r>
          </w:p>
        </w:tc>
        <w:tc>
          <w:tcPr>
            <w:tcW w:w="1360" w:type="dxa"/>
            <w:vAlign w:val="bottom"/>
          </w:tcPr>
          <w:p>
            <w:pPr>
              <w:spacing w:after="0"/>
              <w:rPr>
                <w:sz w:val="24"/>
                <w:szCs w:val="24"/>
                <w:color w:val="auto"/>
              </w:rPr>
            </w:pPr>
          </w:p>
        </w:tc>
      </w:tr>
      <w:tr>
        <w:trPr>
          <w:trHeight w:val="142"/>
        </w:trPr>
        <w:tc>
          <w:tcPr>
            <w:tcW w:w="560" w:type="dxa"/>
            <w:vAlign w:val="bottom"/>
            <w:tcBorders>
              <w:bottom w:val="single" w:sz="8" w:color="808080"/>
            </w:tcBorders>
          </w:tcPr>
          <w:p>
            <w:pPr>
              <w:spacing w:after="0"/>
              <w:rPr>
                <w:sz w:val="12"/>
                <w:szCs w:val="12"/>
                <w:color w:val="auto"/>
              </w:rPr>
            </w:pPr>
          </w:p>
        </w:tc>
        <w:tc>
          <w:tcPr>
            <w:tcW w:w="740" w:type="dxa"/>
            <w:vAlign w:val="bottom"/>
            <w:tcBorders>
              <w:bottom w:val="single" w:sz="8" w:color="808080"/>
            </w:tcBorders>
          </w:tcPr>
          <w:p>
            <w:pPr>
              <w:spacing w:after="0"/>
              <w:rPr>
                <w:sz w:val="12"/>
                <w:szCs w:val="12"/>
                <w:color w:val="auto"/>
              </w:rPr>
            </w:pPr>
          </w:p>
        </w:tc>
        <w:tc>
          <w:tcPr>
            <w:tcW w:w="4800" w:type="dxa"/>
            <w:vAlign w:val="bottom"/>
            <w:tcBorders>
              <w:bottom w:val="single" w:sz="8" w:color="808080"/>
            </w:tcBorders>
          </w:tcPr>
          <w:p>
            <w:pPr>
              <w:spacing w:after="0"/>
              <w:rPr>
                <w:sz w:val="12"/>
                <w:szCs w:val="12"/>
                <w:color w:val="auto"/>
              </w:rPr>
            </w:pPr>
          </w:p>
        </w:tc>
        <w:tc>
          <w:tcPr>
            <w:tcW w:w="1360" w:type="dxa"/>
            <w:vAlign w:val="bottom"/>
            <w:tcBorders>
              <w:bottom w:val="single" w:sz="8" w:color="808080"/>
            </w:tcBorders>
          </w:tcPr>
          <w:p>
            <w:pPr>
              <w:spacing w:after="0"/>
              <w:rPr>
                <w:sz w:val="12"/>
                <w:szCs w:val="12"/>
                <w:color w:val="auto"/>
              </w:rPr>
            </w:pPr>
          </w:p>
        </w:tc>
      </w:tr>
      <w:tr>
        <w:trPr>
          <w:trHeight w:val="262"/>
        </w:trPr>
        <w:tc>
          <w:tcPr>
            <w:tcW w:w="560" w:type="dxa"/>
            <w:vAlign w:val="bottom"/>
          </w:tcPr>
          <w:p>
            <w:pPr>
              <w:spacing w:after="0"/>
              <w:rPr>
                <w:sz w:val="22"/>
                <w:szCs w:val="22"/>
                <w:color w:val="auto"/>
              </w:rPr>
            </w:pPr>
          </w:p>
        </w:tc>
        <w:tc>
          <w:tcPr>
            <w:tcW w:w="740" w:type="dxa"/>
            <w:vAlign w:val="bottom"/>
          </w:tcPr>
          <w:p>
            <w:pPr>
              <w:ind w:left="180"/>
              <w:spacing w:after="0" w:line="262" w:lineRule="exact"/>
              <w:rPr>
                <w:sz w:val="20"/>
                <w:szCs w:val="20"/>
                <w:color w:val="auto"/>
              </w:rPr>
            </w:pPr>
            <w:r>
              <w:rPr>
                <w:rFonts w:ascii="Calibri" w:cs="Calibri" w:eastAsia="Calibri" w:hAnsi="Calibri"/>
                <w:sz w:val="22"/>
                <w:szCs w:val="22"/>
                <w:color w:val="auto"/>
              </w:rPr>
              <w:t>(a)</w:t>
            </w:r>
          </w:p>
        </w:tc>
        <w:tc>
          <w:tcPr>
            <w:tcW w:w="4800" w:type="dxa"/>
            <w:vAlign w:val="bottom"/>
          </w:tcPr>
          <w:p>
            <w:pPr>
              <w:ind w:left="300"/>
              <w:spacing w:after="0" w:line="262" w:lineRule="exact"/>
              <w:rPr>
                <w:sz w:val="20"/>
                <w:szCs w:val="20"/>
                <w:color w:val="auto"/>
              </w:rPr>
            </w:pPr>
            <w:r>
              <w:rPr>
                <w:rFonts w:ascii="Times New Roman" w:cs="Times New Roman" w:eastAsia="Times New Roman" w:hAnsi="Times New Roman"/>
                <w:sz w:val="24"/>
                <w:szCs w:val="24"/>
                <w:color w:val="auto"/>
              </w:rPr>
              <w:t>Financial Year 1</w:t>
            </w:r>
          </w:p>
        </w:tc>
        <w:tc>
          <w:tcPr>
            <w:tcW w:w="1360" w:type="dxa"/>
            <w:vAlign w:val="bottom"/>
          </w:tcPr>
          <w:p>
            <w:pPr>
              <w:jc w:val="right"/>
              <w:spacing w:after="0" w:line="262" w:lineRule="exact"/>
              <w:rPr>
                <w:sz w:val="20"/>
                <w:szCs w:val="20"/>
                <w:color w:val="auto"/>
              </w:rPr>
            </w:pPr>
            <w:r>
              <w:rPr>
                <w:rFonts w:ascii="Times New Roman" w:cs="Times New Roman" w:eastAsia="Times New Roman" w:hAnsi="Times New Roman"/>
                <w:sz w:val="24"/>
                <w:szCs w:val="24"/>
                <w:color w:val="auto"/>
              </w:rPr>
              <w:t>` 0.41</w:t>
            </w:r>
          </w:p>
        </w:tc>
      </w:tr>
      <w:tr>
        <w:trPr>
          <w:trHeight w:val="140"/>
        </w:trPr>
        <w:tc>
          <w:tcPr>
            <w:tcW w:w="560" w:type="dxa"/>
            <w:vAlign w:val="bottom"/>
            <w:tcBorders>
              <w:bottom w:val="single" w:sz="8" w:color="808080"/>
            </w:tcBorders>
          </w:tcPr>
          <w:p>
            <w:pPr>
              <w:spacing w:after="0"/>
              <w:rPr>
                <w:sz w:val="12"/>
                <w:szCs w:val="12"/>
                <w:color w:val="auto"/>
              </w:rPr>
            </w:pPr>
          </w:p>
        </w:tc>
        <w:tc>
          <w:tcPr>
            <w:tcW w:w="740" w:type="dxa"/>
            <w:vAlign w:val="bottom"/>
            <w:tcBorders>
              <w:bottom w:val="single" w:sz="8" w:color="808080"/>
            </w:tcBorders>
          </w:tcPr>
          <w:p>
            <w:pPr>
              <w:spacing w:after="0"/>
              <w:rPr>
                <w:sz w:val="12"/>
                <w:szCs w:val="12"/>
                <w:color w:val="auto"/>
              </w:rPr>
            </w:pPr>
          </w:p>
        </w:tc>
        <w:tc>
          <w:tcPr>
            <w:tcW w:w="4800" w:type="dxa"/>
            <w:vAlign w:val="bottom"/>
            <w:tcBorders>
              <w:bottom w:val="single" w:sz="8" w:color="808080"/>
            </w:tcBorders>
          </w:tcPr>
          <w:p>
            <w:pPr>
              <w:spacing w:after="0"/>
              <w:rPr>
                <w:sz w:val="12"/>
                <w:szCs w:val="12"/>
                <w:color w:val="auto"/>
              </w:rPr>
            </w:pPr>
          </w:p>
        </w:tc>
        <w:tc>
          <w:tcPr>
            <w:tcW w:w="1360" w:type="dxa"/>
            <w:vAlign w:val="bottom"/>
            <w:tcBorders>
              <w:bottom w:val="single" w:sz="8" w:color="808080"/>
            </w:tcBorders>
          </w:tcPr>
          <w:p>
            <w:pPr>
              <w:spacing w:after="0"/>
              <w:rPr>
                <w:sz w:val="12"/>
                <w:szCs w:val="12"/>
                <w:color w:val="auto"/>
              </w:rPr>
            </w:pPr>
          </w:p>
        </w:tc>
      </w:tr>
      <w:tr>
        <w:trPr>
          <w:trHeight w:val="265"/>
        </w:trPr>
        <w:tc>
          <w:tcPr>
            <w:tcW w:w="560" w:type="dxa"/>
            <w:vAlign w:val="bottom"/>
          </w:tcPr>
          <w:p>
            <w:pPr>
              <w:spacing w:after="0"/>
              <w:rPr>
                <w:sz w:val="23"/>
                <w:szCs w:val="23"/>
                <w:color w:val="auto"/>
              </w:rPr>
            </w:pPr>
          </w:p>
        </w:tc>
        <w:tc>
          <w:tcPr>
            <w:tcW w:w="740" w:type="dxa"/>
            <w:vAlign w:val="bottom"/>
          </w:tcPr>
          <w:p>
            <w:pPr>
              <w:ind w:left="180"/>
              <w:spacing w:after="0" w:line="265" w:lineRule="exact"/>
              <w:rPr>
                <w:sz w:val="20"/>
                <w:szCs w:val="20"/>
                <w:color w:val="auto"/>
              </w:rPr>
            </w:pPr>
            <w:r>
              <w:rPr>
                <w:rFonts w:ascii="Calibri" w:cs="Calibri" w:eastAsia="Calibri" w:hAnsi="Calibri"/>
                <w:sz w:val="22"/>
                <w:szCs w:val="22"/>
                <w:color w:val="auto"/>
              </w:rPr>
              <w:t>(b)</w:t>
            </w:r>
          </w:p>
        </w:tc>
        <w:tc>
          <w:tcPr>
            <w:tcW w:w="4800" w:type="dxa"/>
            <w:vAlign w:val="bottom"/>
          </w:tcPr>
          <w:p>
            <w:pPr>
              <w:ind w:left="300"/>
              <w:spacing w:after="0" w:line="264" w:lineRule="exact"/>
              <w:rPr>
                <w:sz w:val="20"/>
                <w:szCs w:val="20"/>
                <w:color w:val="auto"/>
              </w:rPr>
            </w:pPr>
            <w:r>
              <w:rPr>
                <w:rFonts w:ascii="Times New Roman" w:cs="Times New Roman" w:eastAsia="Times New Roman" w:hAnsi="Times New Roman"/>
                <w:sz w:val="24"/>
                <w:szCs w:val="24"/>
                <w:color w:val="auto"/>
              </w:rPr>
              <w:t>Financial Year 2</w:t>
            </w:r>
          </w:p>
        </w:tc>
        <w:tc>
          <w:tcPr>
            <w:tcW w:w="1360" w:type="dxa"/>
            <w:vAlign w:val="bottom"/>
          </w:tcPr>
          <w:p>
            <w:pPr>
              <w:jc w:val="right"/>
              <w:spacing w:after="0" w:line="264" w:lineRule="exact"/>
              <w:rPr>
                <w:sz w:val="20"/>
                <w:szCs w:val="20"/>
                <w:color w:val="auto"/>
              </w:rPr>
            </w:pPr>
            <w:r>
              <w:rPr>
                <w:rFonts w:ascii="Times New Roman" w:cs="Times New Roman" w:eastAsia="Times New Roman" w:hAnsi="Times New Roman"/>
                <w:sz w:val="24"/>
                <w:szCs w:val="24"/>
                <w:color w:val="auto"/>
              </w:rPr>
              <w:t>` 8.39</w:t>
            </w:r>
          </w:p>
        </w:tc>
      </w:tr>
      <w:tr>
        <w:trPr>
          <w:trHeight w:val="140"/>
        </w:trPr>
        <w:tc>
          <w:tcPr>
            <w:tcW w:w="560" w:type="dxa"/>
            <w:vAlign w:val="bottom"/>
            <w:tcBorders>
              <w:bottom w:val="single" w:sz="8" w:color="808080"/>
            </w:tcBorders>
          </w:tcPr>
          <w:p>
            <w:pPr>
              <w:spacing w:after="0"/>
              <w:rPr>
                <w:sz w:val="12"/>
                <w:szCs w:val="12"/>
                <w:color w:val="auto"/>
              </w:rPr>
            </w:pPr>
          </w:p>
        </w:tc>
        <w:tc>
          <w:tcPr>
            <w:tcW w:w="740" w:type="dxa"/>
            <w:vAlign w:val="bottom"/>
            <w:tcBorders>
              <w:bottom w:val="single" w:sz="8" w:color="808080"/>
            </w:tcBorders>
          </w:tcPr>
          <w:p>
            <w:pPr>
              <w:spacing w:after="0"/>
              <w:rPr>
                <w:sz w:val="12"/>
                <w:szCs w:val="12"/>
                <w:color w:val="auto"/>
              </w:rPr>
            </w:pPr>
          </w:p>
        </w:tc>
        <w:tc>
          <w:tcPr>
            <w:tcW w:w="4800" w:type="dxa"/>
            <w:vAlign w:val="bottom"/>
            <w:tcBorders>
              <w:bottom w:val="single" w:sz="8" w:color="808080"/>
            </w:tcBorders>
          </w:tcPr>
          <w:p>
            <w:pPr>
              <w:spacing w:after="0"/>
              <w:rPr>
                <w:sz w:val="12"/>
                <w:szCs w:val="12"/>
                <w:color w:val="auto"/>
              </w:rPr>
            </w:pPr>
          </w:p>
        </w:tc>
        <w:tc>
          <w:tcPr>
            <w:tcW w:w="1360" w:type="dxa"/>
            <w:vAlign w:val="bottom"/>
            <w:tcBorders>
              <w:bottom w:val="single" w:sz="8" w:color="808080"/>
            </w:tcBorders>
          </w:tcPr>
          <w:p>
            <w:pPr>
              <w:spacing w:after="0"/>
              <w:rPr>
                <w:sz w:val="12"/>
                <w:szCs w:val="12"/>
                <w:color w:val="auto"/>
              </w:rPr>
            </w:pPr>
          </w:p>
        </w:tc>
      </w:tr>
      <w:tr>
        <w:trPr>
          <w:trHeight w:val="262"/>
        </w:trPr>
        <w:tc>
          <w:tcPr>
            <w:tcW w:w="560" w:type="dxa"/>
            <w:vAlign w:val="bottom"/>
          </w:tcPr>
          <w:p>
            <w:pPr>
              <w:spacing w:after="0"/>
              <w:rPr>
                <w:sz w:val="22"/>
                <w:szCs w:val="22"/>
                <w:color w:val="auto"/>
              </w:rPr>
            </w:pPr>
          </w:p>
        </w:tc>
        <w:tc>
          <w:tcPr>
            <w:tcW w:w="740" w:type="dxa"/>
            <w:vAlign w:val="bottom"/>
          </w:tcPr>
          <w:p>
            <w:pPr>
              <w:ind w:left="180"/>
              <w:spacing w:after="0" w:line="262" w:lineRule="exact"/>
              <w:rPr>
                <w:sz w:val="20"/>
                <w:szCs w:val="20"/>
                <w:color w:val="auto"/>
              </w:rPr>
            </w:pPr>
            <w:r>
              <w:rPr>
                <w:rFonts w:ascii="Calibri" w:cs="Calibri" w:eastAsia="Calibri" w:hAnsi="Calibri"/>
                <w:sz w:val="22"/>
                <w:szCs w:val="22"/>
                <w:color w:val="auto"/>
              </w:rPr>
              <w:t>(c)</w:t>
            </w:r>
          </w:p>
        </w:tc>
        <w:tc>
          <w:tcPr>
            <w:tcW w:w="4800" w:type="dxa"/>
            <w:vAlign w:val="bottom"/>
          </w:tcPr>
          <w:p>
            <w:pPr>
              <w:ind w:left="300"/>
              <w:spacing w:after="0" w:line="262" w:lineRule="exact"/>
              <w:rPr>
                <w:sz w:val="20"/>
                <w:szCs w:val="20"/>
                <w:color w:val="auto"/>
              </w:rPr>
            </w:pPr>
            <w:r>
              <w:rPr>
                <w:rFonts w:ascii="Times New Roman" w:cs="Times New Roman" w:eastAsia="Times New Roman" w:hAnsi="Times New Roman"/>
                <w:sz w:val="24"/>
                <w:szCs w:val="24"/>
                <w:color w:val="auto"/>
              </w:rPr>
              <w:t>Financial Year 3</w:t>
            </w:r>
          </w:p>
        </w:tc>
        <w:tc>
          <w:tcPr>
            <w:tcW w:w="1360" w:type="dxa"/>
            <w:vAlign w:val="bottom"/>
          </w:tcPr>
          <w:p>
            <w:pPr>
              <w:jc w:val="right"/>
              <w:spacing w:after="0" w:line="262" w:lineRule="exact"/>
              <w:rPr>
                <w:sz w:val="20"/>
                <w:szCs w:val="20"/>
                <w:color w:val="auto"/>
              </w:rPr>
            </w:pPr>
            <w:r>
              <w:rPr>
                <w:rFonts w:ascii="Times New Roman" w:cs="Times New Roman" w:eastAsia="Times New Roman" w:hAnsi="Times New Roman"/>
                <w:sz w:val="24"/>
                <w:szCs w:val="24"/>
                <w:color w:val="auto"/>
              </w:rPr>
              <w:t>` 13.82</w:t>
            </w:r>
          </w:p>
        </w:tc>
      </w:tr>
      <w:tr>
        <w:trPr>
          <w:trHeight w:val="143"/>
        </w:trPr>
        <w:tc>
          <w:tcPr>
            <w:tcW w:w="560" w:type="dxa"/>
            <w:vAlign w:val="bottom"/>
            <w:tcBorders>
              <w:bottom w:val="single" w:sz="8" w:color="808080"/>
            </w:tcBorders>
          </w:tcPr>
          <w:p>
            <w:pPr>
              <w:spacing w:after="0"/>
              <w:rPr>
                <w:sz w:val="12"/>
                <w:szCs w:val="12"/>
                <w:color w:val="auto"/>
              </w:rPr>
            </w:pPr>
          </w:p>
        </w:tc>
        <w:tc>
          <w:tcPr>
            <w:tcW w:w="740" w:type="dxa"/>
            <w:vAlign w:val="bottom"/>
            <w:tcBorders>
              <w:bottom w:val="single" w:sz="8" w:color="808080"/>
            </w:tcBorders>
          </w:tcPr>
          <w:p>
            <w:pPr>
              <w:spacing w:after="0"/>
              <w:rPr>
                <w:sz w:val="12"/>
                <w:szCs w:val="12"/>
                <w:color w:val="auto"/>
              </w:rPr>
            </w:pPr>
          </w:p>
        </w:tc>
        <w:tc>
          <w:tcPr>
            <w:tcW w:w="4800" w:type="dxa"/>
            <w:vAlign w:val="bottom"/>
            <w:tcBorders>
              <w:bottom w:val="single" w:sz="8" w:color="808080"/>
            </w:tcBorders>
          </w:tcPr>
          <w:p>
            <w:pPr>
              <w:spacing w:after="0"/>
              <w:rPr>
                <w:sz w:val="12"/>
                <w:szCs w:val="12"/>
                <w:color w:val="auto"/>
              </w:rPr>
            </w:pPr>
          </w:p>
        </w:tc>
        <w:tc>
          <w:tcPr>
            <w:tcW w:w="1360" w:type="dxa"/>
            <w:vAlign w:val="bottom"/>
            <w:tcBorders>
              <w:bottom w:val="single" w:sz="8" w:color="808080"/>
            </w:tcBorders>
          </w:tcPr>
          <w:p>
            <w:pPr>
              <w:spacing w:after="0"/>
              <w:rPr>
                <w:sz w:val="12"/>
                <w:szCs w:val="12"/>
                <w:color w:val="auto"/>
              </w:rPr>
            </w:pPr>
          </w:p>
        </w:tc>
      </w:tr>
      <w:tr>
        <w:trPr>
          <w:trHeight w:val="262"/>
        </w:trPr>
        <w:tc>
          <w:tcPr>
            <w:tcW w:w="560" w:type="dxa"/>
            <w:vAlign w:val="bottom"/>
          </w:tcPr>
          <w:p>
            <w:pPr>
              <w:spacing w:after="0"/>
              <w:rPr>
                <w:sz w:val="22"/>
                <w:szCs w:val="22"/>
                <w:color w:val="auto"/>
              </w:rPr>
            </w:pPr>
          </w:p>
        </w:tc>
        <w:tc>
          <w:tcPr>
            <w:tcW w:w="740" w:type="dxa"/>
            <w:vAlign w:val="bottom"/>
          </w:tcPr>
          <w:p>
            <w:pPr>
              <w:ind w:left="180"/>
              <w:spacing w:after="0" w:line="262" w:lineRule="exact"/>
              <w:rPr>
                <w:sz w:val="20"/>
                <w:szCs w:val="20"/>
                <w:color w:val="auto"/>
              </w:rPr>
            </w:pPr>
            <w:r>
              <w:rPr>
                <w:rFonts w:ascii="Calibri" w:cs="Calibri" w:eastAsia="Calibri" w:hAnsi="Calibri"/>
                <w:sz w:val="22"/>
                <w:szCs w:val="22"/>
                <w:color w:val="auto"/>
              </w:rPr>
              <w:t>(d)</w:t>
            </w:r>
          </w:p>
        </w:tc>
        <w:tc>
          <w:tcPr>
            <w:tcW w:w="4800" w:type="dxa"/>
            <w:vAlign w:val="bottom"/>
          </w:tcPr>
          <w:p>
            <w:pPr>
              <w:ind w:left="300"/>
              <w:spacing w:after="0" w:line="262" w:lineRule="exact"/>
              <w:rPr>
                <w:sz w:val="20"/>
                <w:szCs w:val="20"/>
                <w:color w:val="auto"/>
              </w:rPr>
            </w:pPr>
            <w:r>
              <w:rPr>
                <w:rFonts w:ascii="Times New Roman" w:cs="Times New Roman" w:eastAsia="Times New Roman" w:hAnsi="Times New Roman"/>
                <w:sz w:val="24"/>
                <w:szCs w:val="24"/>
                <w:color w:val="auto"/>
              </w:rPr>
              <w:t>Weighted Average</w:t>
            </w:r>
          </w:p>
        </w:tc>
        <w:tc>
          <w:tcPr>
            <w:tcW w:w="1360" w:type="dxa"/>
            <w:vAlign w:val="bottom"/>
          </w:tcPr>
          <w:p>
            <w:pPr>
              <w:jc w:val="right"/>
              <w:spacing w:after="0" w:line="262" w:lineRule="exact"/>
              <w:rPr>
                <w:sz w:val="20"/>
                <w:szCs w:val="20"/>
                <w:color w:val="auto"/>
              </w:rPr>
            </w:pPr>
            <w:r>
              <w:rPr>
                <w:rFonts w:ascii="Times New Roman" w:cs="Times New Roman" w:eastAsia="Times New Roman" w:hAnsi="Times New Roman"/>
                <w:sz w:val="24"/>
                <w:szCs w:val="24"/>
                <w:color w:val="auto"/>
              </w:rPr>
              <w:t>` 10.94</w:t>
            </w:r>
          </w:p>
        </w:tc>
      </w:tr>
    </w:tbl>
    <w:p>
      <w:pPr>
        <w:spacing w:after="0" w:line="150" w:lineRule="exact"/>
        <w:rPr>
          <w:sz w:val="20"/>
          <w:szCs w:val="20"/>
          <w:color w:val="auto"/>
        </w:rPr>
      </w:pPr>
    </w:p>
    <w:tbl>
      <w:tblPr>
        <w:tblLayout w:type="fixed"/>
        <w:tblInd w:w="2044" w:type="dxa"/>
        <w:tblCellMar>
          <w:top w:w="0" w:type="dxa"/>
          <w:left w:w="0" w:type="dxa"/>
          <w:bottom w:w="0" w:type="dxa"/>
          <w:right w:w="0" w:type="dxa"/>
        </w:tblCellMar>
      </w:tblPr>
      <w:tr>
        <w:trPr>
          <w:trHeight w:val="276"/>
        </w:trPr>
        <w:tc>
          <w:tcPr>
            <w:tcW w:w="560" w:type="dxa"/>
            <w:vAlign w:val="bottom"/>
          </w:tcPr>
          <w:p>
            <w:pPr>
              <w:jc w:val="right"/>
              <w:ind w:right="70"/>
              <w:spacing w:after="0"/>
              <w:rPr>
                <w:sz w:val="20"/>
                <w:szCs w:val="20"/>
                <w:color w:val="auto"/>
              </w:rPr>
            </w:pPr>
            <w:r>
              <w:rPr>
                <w:rFonts w:ascii="Times New Roman" w:cs="Times New Roman" w:eastAsia="Times New Roman" w:hAnsi="Times New Roman"/>
                <w:sz w:val="22"/>
                <w:szCs w:val="22"/>
                <w:color w:val="auto"/>
              </w:rPr>
              <w:t>(2)</w:t>
            </w:r>
          </w:p>
        </w:tc>
        <w:tc>
          <w:tcPr>
            <w:tcW w:w="5600" w:type="dxa"/>
            <w:vAlign w:val="bottom"/>
            <w:gridSpan w:val="2"/>
          </w:tcPr>
          <w:p>
            <w:pPr>
              <w:ind w:left="180"/>
              <w:spacing w:after="0"/>
              <w:rPr>
                <w:sz w:val="20"/>
                <w:szCs w:val="20"/>
                <w:color w:val="auto"/>
              </w:rPr>
            </w:pPr>
            <w:r>
              <w:rPr>
                <w:rFonts w:ascii="Times New Roman" w:cs="Times New Roman" w:eastAsia="Times New Roman" w:hAnsi="Times New Roman"/>
                <w:sz w:val="24"/>
                <w:szCs w:val="24"/>
                <w:b w:val="1"/>
                <w:bCs w:val="1"/>
                <w:color w:val="auto"/>
              </w:rPr>
              <w:t>Price to Earnings Ratio (P/E) in relation to</w:t>
            </w:r>
          </w:p>
        </w:tc>
        <w:tc>
          <w:tcPr>
            <w:tcW w:w="1300" w:type="dxa"/>
            <w:vAlign w:val="bottom"/>
          </w:tcPr>
          <w:p>
            <w:pPr>
              <w:spacing w:after="0"/>
              <w:rPr>
                <w:sz w:val="23"/>
                <w:szCs w:val="23"/>
                <w:color w:val="auto"/>
              </w:rPr>
            </w:pPr>
          </w:p>
        </w:tc>
      </w:tr>
      <w:tr>
        <w:trPr>
          <w:trHeight w:val="413"/>
        </w:trPr>
        <w:tc>
          <w:tcPr>
            <w:tcW w:w="560" w:type="dxa"/>
            <w:vAlign w:val="bottom"/>
          </w:tcPr>
          <w:p>
            <w:pPr>
              <w:spacing w:after="0"/>
              <w:rPr>
                <w:sz w:val="24"/>
                <w:szCs w:val="24"/>
                <w:color w:val="auto"/>
              </w:rPr>
            </w:pPr>
          </w:p>
        </w:tc>
        <w:tc>
          <w:tcPr>
            <w:tcW w:w="5600" w:type="dxa"/>
            <w:vAlign w:val="bottom"/>
            <w:gridSpan w:val="2"/>
          </w:tcPr>
          <w:p>
            <w:pPr>
              <w:ind w:left="180"/>
              <w:spacing w:after="0"/>
              <w:rPr>
                <w:sz w:val="20"/>
                <w:szCs w:val="20"/>
                <w:color w:val="auto"/>
              </w:rPr>
            </w:pPr>
            <w:r>
              <w:rPr>
                <w:rFonts w:ascii="Times New Roman" w:cs="Times New Roman" w:eastAsia="Times New Roman" w:hAnsi="Times New Roman"/>
                <w:sz w:val="24"/>
                <w:szCs w:val="24"/>
                <w:b w:val="1"/>
                <w:bCs w:val="1"/>
                <w:color w:val="auto"/>
              </w:rPr>
              <w:t>Issue Price</w:t>
            </w:r>
          </w:p>
        </w:tc>
        <w:tc>
          <w:tcPr>
            <w:tcW w:w="1300" w:type="dxa"/>
            <w:vAlign w:val="bottom"/>
          </w:tcPr>
          <w:p>
            <w:pPr>
              <w:spacing w:after="0"/>
              <w:rPr>
                <w:sz w:val="24"/>
                <w:szCs w:val="24"/>
                <w:color w:val="auto"/>
              </w:rPr>
            </w:pPr>
          </w:p>
        </w:tc>
      </w:tr>
      <w:tr>
        <w:trPr>
          <w:trHeight w:val="142"/>
        </w:trPr>
        <w:tc>
          <w:tcPr>
            <w:tcW w:w="560" w:type="dxa"/>
            <w:vAlign w:val="bottom"/>
            <w:tcBorders>
              <w:bottom w:val="single" w:sz="8" w:color="808080"/>
            </w:tcBorders>
          </w:tcPr>
          <w:p>
            <w:pPr>
              <w:spacing w:after="0"/>
              <w:rPr>
                <w:sz w:val="12"/>
                <w:szCs w:val="12"/>
                <w:color w:val="auto"/>
              </w:rPr>
            </w:pPr>
          </w:p>
        </w:tc>
        <w:tc>
          <w:tcPr>
            <w:tcW w:w="5600" w:type="dxa"/>
            <w:vAlign w:val="bottom"/>
            <w:tcBorders>
              <w:bottom w:val="single" w:sz="8" w:color="808080"/>
            </w:tcBorders>
            <w:gridSpan w:val="2"/>
          </w:tcPr>
          <w:p>
            <w:pPr>
              <w:spacing w:after="0"/>
              <w:rPr>
                <w:sz w:val="12"/>
                <w:szCs w:val="12"/>
                <w:color w:val="auto"/>
              </w:rPr>
            </w:pPr>
          </w:p>
        </w:tc>
        <w:tc>
          <w:tcPr>
            <w:tcW w:w="1300" w:type="dxa"/>
            <w:vAlign w:val="bottom"/>
            <w:tcBorders>
              <w:bottom w:val="single" w:sz="8" w:color="808080"/>
            </w:tcBorders>
          </w:tcPr>
          <w:p>
            <w:pPr>
              <w:spacing w:after="0"/>
              <w:rPr>
                <w:sz w:val="12"/>
                <w:szCs w:val="12"/>
                <w:color w:val="auto"/>
              </w:rPr>
            </w:pPr>
          </w:p>
        </w:tc>
      </w:tr>
      <w:tr>
        <w:trPr>
          <w:trHeight w:val="262"/>
        </w:trPr>
        <w:tc>
          <w:tcPr>
            <w:tcW w:w="560" w:type="dxa"/>
            <w:vAlign w:val="bottom"/>
          </w:tcPr>
          <w:p>
            <w:pPr>
              <w:spacing w:after="0"/>
              <w:rPr>
                <w:sz w:val="22"/>
                <w:szCs w:val="22"/>
                <w:color w:val="auto"/>
              </w:rPr>
            </w:pPr>
          </w:p>
        </w:tc>
        <w:tc>
          <w:tcPr>
            <w:tcW w:w="5600" w:type="dxa"/>
            <w:vAlign w:val="bottom"/>
            <w:gridSpan w:val="2"/>
          </w:tcPr>
          <w:p>
            <w:pPr>
              <w:ind w:left="180"/>
              <w:spacing w:after="0" w:line="262" w:lineRule="exact"/>
              <w:rPr>
                <w:sz w:val="20"/>
                <w:szCs w:val="20"/>
                <w:color w:val="auto"/>
              </w:rPr>
            </w:pPr>
            <w:r>
              <w:rPr>
                <w:rFonts w:ascii="Calibri" w:cs="Calibri" w:eastAsia="Calibri" w:hAnsi="Calibri"/>
                <w:sz w:val="22"/>
                <w:szCs w:val="22"/>
                <w:color w:val="auto"/>
              </w:rPr>
              <w:t xml:space="preserve">(a)  </w:t>
            </w:r>
            <w:r>
              <w:rPr>
                <w:rFonts w:ascii="Times New Roman" w:cs="Times New Roman" w:eastAsia="Times New Roman" w:hAnsi="Times New Roman"/>
                <w:sz w:val="24"/>
                <w:szCs w:val="24"/>
                <w:color w:val="auto"/>
              </w:rPr>
              <w:t>Based on Financial Year 3 EPS</w:t>
            </w:r>
          </w:p>
        </w:tc>
        <w:tc>
          <w:tcPr>
            <w:tcW w:w="1300" w:type="dxa"/>
            <w:vAlign w:val="bottom"/>
          </w:tcPr>
          <w:p>
            <w:pPr>
              <w:jc w:val="right"/>
              <w:spacing w:after="0" w:line="262" w:lineRule="exact"/>
              <w:rPr>
                <w:sz w:val="20"/>
                <w:szCs w:val="20"/>
                <w:color w:val="auto"/>
              </w:rPr>
            </w:pPr>
            <w:r>
              <w:rPr>
                <w:rFonts w:ascii="Times New Roman" w:cs="Times New Roman" w:eastAsia="Times New Roman" w:hAnsi="Times New Roman"/>
                <w:sz w:val="24"/>
                <w:szCs w:val="24"/>
                <w:color w:val="auto"/>
              </w:rPr>
              <w:t>37.63</w:t>
            </w:r>
          </w:p>
        </w:tc>
      </w:tr>
      <w:tr>
        <w:trPr>
          <w:trHeight w:val="140"/>
        </w:trPr>
        <w:tc>
          <w:tcPr>
            <w:tcW w:w="560" w:type="dxa"/>
            <w:vAlign w:val="bottom"/>
            <w:tcBorders>
              <w:bottom w:val="single" w:sz="8" w:color="808080"/>
            </w:tcBorders>
          </w:tcPr>
          <w:p>
            <w:pPr>
              <w:spacing w:after="0"/>
              <w:rPr>
                <w:sz w:val="12"/>
                <w:szCs w:val="12"/>
                <w:color w:val="auto"/>
              </w:rPr>
            </w:pPr>
          </w:p>
        </w:tc>
        <w:tc>
          <w:tcPr>
            <w:tcW w:w="5600" w:type="dxa"/>
            <w:vAlign w:val="bottom"/>
            <w:tcBorders>
              <w:bottom w:val="single" w:sz="8" w:color="808080"/>
            </w:tcBorders>
            <w:gridSpan w:val="2"/>
          </w:tcPr>
          <w:p>
            <w:pPr>
              <w:spacing w:after="0"/>
              <w:rPr>
                <w:sz w:val="12"/>
                <w:szCs w:val="12"/>
                <w:color w:val="auto"/>
              </w:rPr>
            </w:pPr>
          </w:p>
        </w:tc>
        <w:tc>
          <w:tcPr>
            <w:tcW w:w="1300" w:type="dxa"/>
            <w:vAlign w:val="bottom"/>
            <w:tcBorders>
              <w:bottom w:val="single" w:sz="8" w:color="808080"/>
            </w:tcBorders>
          </w:tcPr>
          <w:p>
            <w:pPr>
              <w:spacing w:after="0"/>
              <w:rPr>
                <w:sz w:val="12"/>
                <w:szCs w:val="12"/>
                <w:color w:val="auto"/>
              </w:rPr>
            </w:pPr>
          </w:p>
        </w:tc>
      </w:tr>
      <w:tr>
        <w:trPr>
          <w:trHeight w:val="262"/>
        </w:trPr>
        <w:tc>
          <w:tcPr>
            <w:tcW w:w="560" w:type="dxa"/>
            <w:vAlign w:val="bottom"/>
          </w:tcPr>
          <w:p>
            <w:pPr>
              <w:spacing w:after="0"/>
              <w:rPr>
                <w:sz w:val="22"/>
                <w:szCs w:val="22"/>
                <w:color w:val="auto"/>
              </w:rPr>
            </w:pPr>
          </w:p>
        </w:tc>
        <w:tc>
          <w:tcPr>
            <w:tcW w:w="5600" w:type="dxa"/>
            <w:vAlign w:val="bottom"/>
            <w:gridSpan w:val="2"/>
          </w:tcPr>
          <w:p>
            <w:pPr>
              <w:ind w:left="180"/>
              <w:spacing w:after="0" w:line="262" w:lineRule="exact"/>
              <w:rPr>
                <w:sz w:val="20"/>
                <w:szCs w:val="20"/>
                <w:color w:val="auto"/>
              </w:rPr>
            </w:pPr>
            <w:r>
              <w:rPr>
                <w:rFonts w:ascii="Calibri" w:cs="Calibri" w:eastAsia="Calibri" w:hAnsi="Calibri"/>
                <w:sz w:val="22"/>
                <w:szCs w:val="22"/>
                <w:color w:val="auto"/>
              </w:rPr>
              <w:t xml:space="preserve">(b)  </w:t>
            </w:r>
            <w:r>
              <w:rPr>
                <w:rFonts w:ascii="Times New Roman" w:cs="Times New Roman" w:eastAsia="Times New Roman" w:hAnsi="Times New Roman"/>
                <w:sz w:val="24"/>
                <w:szCs w:val="24"/>
                <w:color w:val="auto"/>
              </w:rPr>
              <w:t>Industry P/E</w:t>
            </w:r>
          </w:p>
        </w:tc>
        <w:tc>
          <w:tcPr>
            <w:tcW w:w="1300" w:type="dxa"/>
            <w:vAlign w:val="bottom"/>
          </w:tcPr>
          <w:p>
            <w:pPr>
              <w:spacing w:after="0"/>
              <w:rPr>
                <w:sz w:val="22"/>
                <w:szCs w:val="22"/>
                <w:color w:val="auto"/>
              </w:rPr>
            </w:pPr>
          </w:p>
        </w:tc>
      </w:tr>
      <w:tr>
        <w:trPr>
          <w:trHeight w:val="143"/>
        </w:trPr>
        <w:tc>
          <w:tcPr>
            <w:tcW w:w="560" w:type="dxa"/>
            <w:vAlign w:val="bottom"/>
            <w:tcBorders>
              <w:bottom w:val="single" w:sz="8" w:color="808080"/>
            </w:tcBorders>
          </w:tcPr>
          <w:p>
            <w:pPr>
              <w:spacing w:after="0"/>
              <w:rPr>
                <w:sz w:val="12"/>
                <w:szCs w:val="12"/>
                <w:color w:val="auto"/>
              </w:rPr>
            </w:pPr>
          </w:p>
        </w:tc>
        <w:tc>
          <w:tcPr>
            <w:tcW w:w="980" w:type="dxa"/>
            <w:vAlign w:val="bottom"/>
            <w:tcBorders>
              <w:bottom w:val="single" w:sz="8" w:color="808080"/>
            </w:tcBorders>
          </w:tcPr>
          <w:p>
            <w:pPr>
              <w:spacing w:after="0"/>
              <w:rPr>
                <w:sz w:val="12"/>
                <w:szCs w:val="12"/>
                <w:color w:val="auto"/>
              </w:rPr>
            </w:pPr>
          </w:p>
        </w:tc>
        <w:tc>
          <w:tcPr>
            <w:tcW w:w="4620" w:type="dxa"/>
            <w:vAlign w:val="bottom"/>
            <w:tcBorders>
              <w:bottom w:val="single" w:sz="8" w:color="808080"/>
            </w:tcBorders>
          </w:tcPr>
          <w:p>
            <w:pPr>
              <w:spacing w:after="0"/>
              <w:rPr>
                <w:sz w:val="12"/>
                <w:szCs w:val="12"/>
                <w:color w:val="auto"/>
              </w:rPr>
            </w:pPr>
          </w:p>
        </w:tc>
        <w:tc>
          <w:tcPr>
            <w:tcW w:w="1300" w:type="dxa"/>
            <w:vAlign w:val="bottom"/>
            <w:tcBorders>
              <w:bottom w:val="single" w:sz="8" w:color="808080"/>
            </w:tcBorders>
          </w:tcPr>
          <w:p>
            <w:pPr>
              <w:spacing w:after="0"/>
              <w:rPr>
                <w:sz w:val="12"/>
                <w:szCs w:val="12"/>
                <w:color w:val="auto"/>
              </w:rPr>
            </w:pPr>
          </w:p>
        </w:tc>
      </w:tr>
      <w:tr>
        <w:trPr>
          <w:trHeight w:val="262"/>
        </w:trPr>
        <w:tc>
          <w:tcPr>
            <w:tcW w:w="560" w:type="dxa"/>
            <w:vAlign w:val="bottom"/>
          </w:tcPr>
          <w:p>
            <w:pPr>
              <w:spacing w:after="0"/>
              <w:rPr>
                <w:sz w:val="22"/>
                <w:szCs w:val="22"/>
                <w:color w:val="auto"/>
              </w:rPr>
            </w:pPr>
          </w:p>
        </w:tc>
        <w:tc>
          <w:tcPr>
            <w:tcW w:w="980" w:type="dxa"/>
            <w:vAlign w:val="bottom"/>
          </w:tcPr>
          <w:p>
            <w:pPr>
              <w:ind w:left="620"/>
              <w:spacing w:after="0" w:line="262" w:lineRule="exact"/>
              <w:rPr>
                <w:sz w:val="20"/>
                <w:szCs w:val="20"/>
                <w:color w:val="auto"/>
              </w:rPr>
            </w:pPr>
            <w:r>
              <w:rPr>
                <w:rFonts w:ascii="Calibri" w:cs="Calibri" w:eastAsia="Calibri" w:hAnsi="Calibri"/>
                <w:sz w:val="22"/>
                <w:szCs w:val="22"/>
                <w:color w:val="auto"/>
              </w:rPr>
              <w:t>(i)</w:t>
            </w:r>
          </w:p>
        </w:tc>
        <w:tc>
          <w:tcPr>
            <w:tcW w:w="4620" w:type="dxa"/>
            <w:vAlign w:val="bottom"/>
          </w:tcPr>
          <w:p>
            <w:pPr>
              <w:ind w:left="60"/>
              <w:spacing w:after="0" w:line="262" w:lineRule="exact"/>
              <w:rPr>
                <w:sz w:val="20"/>
                <w:szCs w:val="20"/>
                <w:color w:val="auto"/>
              </w:rPr>
            </w:pPr>
            <w:r>
              <w:rPr>
                <w:rFonts w:ascii="Times New Roman" w:cs="Times New Roman" w:eastAsia="Times New Roman" w:hAnsi="Times New Roman"/>
                <w:sz w:val="24"/>
                <w:szCs w:val="24"/>
                <w:color w:val="auto"/>
              </w:rPr>
              <w:t>Highest</w:t>
            </w:r>
          </w:p>
        </w:tc>
        <w:tc>
          <w:tcPr>
            <w:tcW w:w="1300" w:type="dxa"/>
            <w:vAlign w:val="bottom"/>
          </w:tcPr>
          <w:p>
            <w:pPr>
              <w:jc w:val="right"/>
              <w:spacing w:after="0" w:line="262" w:lineRule="exact"/>
              <w:rPr>
                <w:sz w:val="20"/>
                <w:szCs w:val="20"/>
                <w:color w:val="auto"/>
              </w:rPr>
            </w:pPr>
            <w:r>
              <w:rPr>
                <w:rFonts w:ascii="Times New Roman" w:cs="Times New Roman" w:eastAsia="Times New Roman" w:hAnsi="Times New Roman"/>
                <w:sz w:val="24"/>
                <w:szCs w:val="24"/>
                <w:color w:val="auto"/>
              </w:rPr>
              <w:t>61.2</w:t>
            </w:r>
          </w:p>
        </w:tc>
      </w:tr>
      <w:tr>
        <w:trPr>
          <w:trHeight w:val="143"/>
        </w:trPr>
        <w:tc>
          <w:tcPr>
            <w:tcW w:w="560" w:type="dxa"/>
            <w:vAlign w:val="bottom"/>
            <w:tcBorders>
              <w:bottom w:val="single" w:sz="8" w:color="808080"/>
            </w:tcBorders>
          </w:tcPr>
          <w:p>
            <w:pPr>
              <w:spacing w:after="0"/>
              <w:rPr>
                <w:sz w:val="12"/>
                <w:szCs w:val="12"/>
                <w:color w:val="auto"/>
              </w:rPr>
            </w:pPr>
          </w:p>
        </w:tc>
        <w:tc>
          <w:tcPr>
            <w:tcW w:w="980" w:type="dxa"/>
            <w:vAlign w:val="bottom"/>
            <w:tcBorders>
              <w:bottom w:val="single" w:sz="8" w:color="808080"/>
            </w:tcBorders>
          </w:tcPr>
          <w:p>
            <w:pPr>
              <w:spacing w:after="0"/>
              <w:rPr>
                <w:sz w:val="12"/>
                <w:szCs w:val="12"/>
                <w:color w:val="auto"/>
              </w:rPr>
            </w:pPr>
          </w:p>
        </w:tc>
        <w:tc>
          <w:tcPr>
            <w:tcW w:w="4620" w:type="dxa"/>
            <w:vAlign w:val="bottom"/>
            <w:tcBorders>
              <w:bottom w:val="single" w:sz="8" w:color="808080"/>
            </w:tcBorders>
          </w:tcPr>
          <w:p>
            <w:pPr>
              <w:spacing w:after="0"/>
              <w:rPr>
                <w:sz w:val="12"/>
                <w:szCs w:val="12"/>
                <w:color w:val="auto"/>
              </w:rPr>
            </w:pPr>
          </w:p>
        </w:tc>
        <w:tc>
          <w:tcPr>
            <w:tcW w:w="1300" w:type="dxa"/>
            <w:vAlign w:val="bottom"/>
            <w:tcBorders>
              <w:bottom w:val="single" w:sz="8" w:color="808080"/>
            </w:tcBorders>
          </w:tcPr>
          <w:p>
            <w:pPr>
              <w:spacing w:after="0"/>
              <w:rPr>
                <w:sz w:val="12"/>
                <w:szCs w:val="12"/>
                <w:color w:val="auto"/>
              </w:rPr>
            </w:pPr>
          </w:p>
        </w:tc>
      </w:tr>
      <w:tr>
        <w:trPr>
          <w:trHeight w:val="262"/>
        </w:trPr>
        <w:tc>
          <w:tcPr>
            <w:tcW w:w="560" w:type="dxa"/>
            <w:vAlign w:val="bottom"/>
          </w:tcPr>
          <w:p>
            <w:pPr>
              <w:spacing w:after="0"/>
              <w:rPr>
                <w:sz w:val="22"/>
                <w:szCs w:val="22"/>
                <w:color w:val="auto"/>
              </w:rPr>
            </w:pPr>
          </w:p>
        </w:tc>
        <w:tc>
          <w:tcPr>
            <w:tcW w:w="980" w:type="dxa"/>
            <w:vAlign w:val="bottom"/>
          </w:tcPr>
          <w:p>
            <w:pPr>
              <w:ind w:left="620"/>
              <w:spacing w:after="0" w:line="262" w:lineRule="exact"/>
              <w:rPr>
                <w:sz w:val="20"/>
                <w:szCs w:val="20"/>
                <w:color w:val="auto"/>
              </w:rPr>
            </w:pPr>
            <w:r>
              <w:rPr>
                <w:rFonts w:ascii="Calibri" w:cs="Calibri" w:eastAsia="Calibri" w:hAnsi="Calibri"/>
                <w:sz w:val="22"/>
                <w:szCs w:val="22"/>
                <w:color w:val="auto"/>
              </w:rPr>
              <w:t>(ii)</w:t>
            </w:r>
          </w:p>
        </w:tc>
        <w:tc>
          <w:tcPr>
            <w:tcW w:w="4620" w:type="dxa"/>
            <w:vAlign w:val="bottom"/>
          </w:tcPr>
          <w:p>
            <w:pPr>
              <w:ind w:left="60"/>
              <w:spacing w:after="0" w:line="262" w:lineRule="exact"/>
              <w:rPr>
                <w:sz w:val="20"/>
                <w:szCs w:val="20"/>
                <w:color w:val="auto"/>
              </w:rPr>
            </w:pPr>
            <w:r>
              <w:rPr>
                <w:rFonts w:ascii="Times New Roman" w:cs="Times New Roman" w:eastAsia="Times New Roman" w:hAnsi="Times New Roman"/>
                <w:sz w:val="24"/>
                <w:szCs w:val="24"/>
                <w:color w:val="auto"/>
              </w:rPr>
              <w:t>Lowest</w:t>
            </w:r>
          </w:p>
        </w:tc>
        <w:tc>
          <w:tcPr>
            <w:tcW w:w="1300" w:type="dxa"/>
            <w:vAlign w:val="bottom"/>
          </w:tcPr>
          <w:p>
            <w:pPr>
              <w:jc w:val="right"/>
              <w:spacing w:after="0" w:line="262" w:lineRule="exact"/>
              <w:rPr>
                <w:sz w:val="20"/>
                <w:szCs w:val="20"/>
                <w:color w:val="auto"/>
              </w:rPr>
            </w:pPr>
            <w:r>
              <w:rPr>
                <w:rFonts w:ascii="Times New Roman" w:cs="Times New Roman" w:eastAsia="Times New Roman" w:hAnsi="Times New Roman"/>
                <w:sz w:val="24"/>
                <w:szCs w:val="24"/>
                <w:color w:val="auto"/>
              </w:rPr>
              <w:t>0.8</w:t>
            </w:r>
          </w:p>
        </w:tc>
      </w:tr>
      <w:tr>
        <w:trPr>
          <w:trHeight w:val="140"/>
        </w:trPr>
        <w:tc>
          <w:tcPr>
            <w:tcW w:w="560" w:type="dxa"/>
            <w:vAlign w:val="bottom"/>
            <w:tcBorders>
              <w:bottom w:val="single" w:sz="8" w:color="808080"/>
            </w:tcBorders>
          </w:tcPr>
          <w:p>
            <w:pPr>
              <w:spacing w:after="0"/>
              <w:rPr>
                <w:sz w:val="12"/>
                <w:szCs w:val="12"/>
                <w:color w:val="auto"/>
              </w:rPr>
            </w:pPr>
          </w:p>
        </w:tc>
        <w:tc>
          <w:tcPr>
            <w:tcW w:w="980" w:type="dxa"/>
            <w:vAlign w:val="bottom"/>
            <w:tcBorders>
              <w:bottom w:val="single" w:sz="8" w:color="808080"/>
            </w:tcBorders>
          </w:tcPr>
          <w:p>
            <w:pPr>
              <w:spacing w:after="0"/>
              <w:rPr>
                <w:sz w:val="12"/>
                <w:szCs w:val="12"/>
                <w:color w:val="auto"/>
              </w:rPr>
            </w:pPr>
          </w:p>
        </w:tc>
        <w:tc>
          <w:tcPr>
            <w:tcW w:w="4620" w:type="dxa"/>
            <w:vAlign w:val="bottom"/>
            <w:tcBorders>
              <w:bottom w:val="single" w:sz="8" w:color="808080"/>
            </w:tcBorders>
          </w:tcPr>
          <w:p>
            <w:pPr>
              <w:spacing w:after="0"/>
              <w:rPr>
                <w:sz w:val="12"/>
                <w:szCs w:val="12"/>
                <w:color w:val="auto"/>
              </w:rPr>
            </w:pPr>
          </w:p>
        </w:tc>
        <w:tc>
          <w:tcPr>
            <w:tcW w:w="1300" w:type="dxa"/>
            <w:vAlign w:val="bottom"/>
            <w:tcBorders>
              <w:bottom w:val="single" w:sz="8" w:color="808080"/>
            </w:tcBorders>
          </w:tcPr>
          <w:p>
            <w:pPr>
              <w:spacing w:after="0"/>
              <w:rPr>
                <w:sz w:val="12"/>
                <w:szCs w:val="12"/>
                <w:color w:val="auto"/>
              </w:rPr>
            </w:pPr>
          </w:p>
        </w:tc>
      </w:tr>
      <w:tr>
        <w:trPr>
          <w:trHeight w:val="262"/>
        </w:trPr>
        <w:tc>
          <w:tcPr>
            <w:tcW w:w="560" w:type="dxa"/>
            <w:vAlign w:val="bottom"/>
          </w:tcPr>
          <w:p>
            <w:pPr>
              <w:spacing w:after="0"/>
              <w:rPr>
                <w:sz w:val="22"/>
                <w:szCs w:val="22"/>
                <w:color w:val="auto"/>
              </w:rPr>
            </w:pPr>
          </w:p>
        </w:tc>
        <w:tc>
          <w:tcPr>
            <w:tcW w:w="980" w:type="dxa"/>
            <w:vAlign w:val="bottom"/>
          </w:tcPr>
          <w:p>
            <w:pPr>
              <w:ind w:left="620"/>
              <w:spacing w:after="0" w:line="262" w:lineRule="exact"/>
              <w:rPr>
                <w:sz w:val="20"/>
                <w:szCs w:val="20"/>
                <w:color w:val="auto"/>
              </w:rPr>
            </w:pPr>
            <w:r>
              <w:rPr>
                <w:rFonts w:ascii="Calibri" w:cs="Calibri" w:eastAsia="Calibri" w:hAnsi="Calibri"/>
                <w:sz w:val="22"/>
                <w:szCs w:val="22"/>
                <w:color w:val="auto"/>
              </w:rPr>
              <w:t>(iii)</w:t>
            </w:r>
          </w:p>
        </w:tc>
        <w:tc>
          <w:tcPr>
            <w:tcW w:w="4620" w:type="dxa"/>
            <w:vAlign w:val="bottom"/>
          </w:tcPr>
          <w:p>
            <w:pPr>
              <w:ind w:left="60"/>
              <w:spacing w:after="0" w:line="262" w:lineRule="exact"/>
              <w:rPr>
                <w:sz w:val="20"/>
                <w:szCs w:val="20"/>
                <w:color w:val="auto"/>
              </w:rPr>
            </w:pPr>
            <w:r>
              <w:rPr>
                <w:rFonts w:ascii="Times New Roman" w:cs="Times New Roman" w:eastAsia="Times New Roman" w:hAnsi="Times New Roman"/>
                <w:sz w:val="24"/>
                <w:szCs w:val="24"/>
                <w:color w:val="auto"/>
              </w:rPr>
              <w:t>Average</w:t>
            </w:r>
          </w:p>
        </w:tc>
        <w:tc>
          <w:tcPr>
            <w:tcW w:w="1300" w:type="dxa"/>
            <w:vAlign w:val="bottom"/>
          </w:tcPr>
          <w:p>
            <w:pPr>
              <w:jc w:val="right"/>
              <w:spacing w:after="0" w:line="262" w:lineRule="exact"/>
              <w:rPr>
                <w:sz w:val="20"/>
                <w:szCs w:val="20"/>
                <w:color w:val="auto"/>
              </w:rPr>
            </w:pPr>
            <w:r>
              <w:rPr>
                <w:rFonts w:ascii="Times New Roman" w:cs="Times New Roman" w:eastAsia="Times New Roman" w:hAnsi="Times New Roman"/>
                <w:sz w:val="24"/>
                <w:szCs w:val="24"/>
                <w:color w:val="auto"/>
              </w:rPr>
              <w:t>25.3</w:t>
            </w:r>
          </w:p>
        </w:tc>
      </w:tr>
      <w:tr>
        <w:trPr>
          <w:trHeight w:val="143"/>
        </w:trPr>
        <w:tc>
          <w:tcPr>
            <w:tcW w:w="560" w:type="dxa"/>
            <w:vAlign w:val="bottom"/>
            <w:tcBorders>
              <w:bottom w:val="single" w:sz="8" w:color="808080"/>
            </w:tcBorders>
          </w:tcPr>
          <w:p>
            <w:pPr>
              <w:spacing w:after="0"/>
              <w:rPr>
                <w:sz w:val="12"/>
                <w:szCs w:val="12"/>
                <w:color w:val="auto"/>
              </w:rPr>
            </w:pPr>
          </w:p>
        </w:tc>
        <w:tc>
          <w:tcPr>
            <w:tcW w:w="5600" w:type="dxa"/>
            <w:vAlign w:val="bottom"/>
            <w:tcBorders>
              <w:bottom w:val="single" w:sz="8" w:color="808080"/>
            </w:tcBorders>
            <w:gridSpan w:val="2"/>
          </w:tcPr>
          <w:p>
            <w:pPr>
              <w:spacing w:after="0"/>
              <w:rPr>
                <w:sz w:val="12"/>
                <w:szCs w:val="12"/>
                <w:color w:val="auto"/>
              </w:rPr>
            </w:pPr>
          </w:p>
        </w:tc>
        <w:tc>
          <w:tcPr>
            <w:tcW w:w="1300" w:type="dxa"/>
            <w:vAlign w:val="bottom"/>
            <w:tcBorders>
              <w:bottom w:val="single" w:sz="8" w:color="808080"/>
            </w:tcBorders>
          </w:tcPr>
          <w:p>
            <w:pPr>
              <w:spacing w:after="0"/>
              <w:rPr>
                <w:sz w:val="12"/>
                <w:szCs w:val="12"/>
                <w:color w:val="auto"/>
              </w:rPr>
            </w:pPr>
          </w:p>
        </w:tc>
      </w:tr>
      <w:tr>
        <w:trPr>
          <w:trHeight w:val="258"/>
        </w:trPr>
        <w:tc>
          <w:tcPr>
            <w:tcW w:w="560" w:type="dxa"/>
            <w:vAlign w:val="bottom"/>
          </w:tcPr>
          <w:p>
            <w:pPr>
              <w:spacing w:after="0"/>
              <w:rPr>
                <w:sz w:val="22"/>
                <w:szCs w:val="22"/>
                <w:color w:val="auto"/>
              </w:rPr>
            </w:pPr>
          </w:p>
        </w:tc>
        <w:tc>
          <w:tcPr>
            <w:tcW w:w="5600" w:type="dxa"/>
            <w:vAlign w:val="bottom"/>
            <w:gridSpan w:val="2"/>
          </w:tcPr>
          <w:p>
            <w:pPr>
              <w:ind w:left="180"/>
              <w:spacing w:after="0" w:line="258" w:lineRule="exact"/>
              <w:rPr>
                <w:sz w:val="20"/>
                <w:szCs w:val="20"/>
                <w:color w:val="auto"/>
              </w:rPr>
            </w:pPr>
            <w:r>
              <w:rPr>
                <w:rFonts w:ascii="Times New Roman" w:cs="Times New Roman" w:eastAsia="Times New Roman" w:hAnsi="Times New Roman"/>
                <w:sz w:val="24"/>
                <w:szCs w:val="24"/>
                <w:color w:val="auto"/>
              </w:rPr>
              <w:t>(*Indicate relevant source)</w:t>
            </w:r>
          </w:p>
        </w:tc>
        <w:tc>
          <w:tcPr>
            <w:tcW w:w="1300" w:type="dxa"/>
            <w:vAlign w:val="bottom"/>
          </w:tcPr>
          <w:p>
            <w:pPr>
              <w:spacing w:after="0"/>
              <w:rPr>
                <w:sz w:val="22"/>
                <w:szCs w:val="22"/>
                <w:color w:val="auto"/>
              </w:rPr>
            </w:pPr>
          </w:p>
        </w:tc>
      </w:tr>
      <w:tr>
        <w:trPr>
          <w:trHeight w:val="147"/>
        </w:trPr>
        <w:tc>
          <w:tcPr>
            <w:tcW w:w="560" w:type="dxa"/>
            <w:vAlign w:val="bottom"/>
            <w:tcBorders>
              <w:bottom w:val="single" w:sz="8" w:color="808080"/>
            </w:tcBorders>
          </w:tcPr>
          <w:p>
            <w:pPr>
              <w:spacing w:after="0"/>
              <w:rPr>
                <w:sz w:val="12"/>
                <w:szCs w:val="12"/>
                <w:color w:val="auto"/>
              </w:rPr>
            </w:pPr>
          </w:p>
        </w:tc>
        <w:tc>
          <w:tcPr>
            <w:tcW w:w="980" w:type="dxa"/>
            <w:vAlign w:val="bottom"/>
            <w:tcBorders>
              <w:bottom w:val="single" w:sz="8" w:color="808080"/>
            </w:tcBorders>
          </w:tcPr>
          <w:p>
            <w:pPr>
              <w:spacing w:after="0"/>
              <w:rPr>
                <w:sz w:val="12"/>
                <w:szCs w:val="12"/>
                <w:color w:val="auto"/>
              </w:rPr>
            </w:pPr>
          </w:p>
        </w:tc>
        <w:tc>
          <w:tcPr>
            <w:tcW w:w="4620" w:type="dxa"/>
            <w:vAlign w:val="bottom"/>
            <w:tcBorders>
              <w:bottom w:val="single" w:sz="8" w:color="808080"/>
            </w:tcBorders>
          </w:tcPr>
          <w:p>
            <w:pPr>
              <w:spacing w:after="0"/>
              <w:rPr>
                <w:sz w:val="12"/>
                <w:szCs w:val="12"/>
                <w:color w:val="auto"/>
              </w:rPr>
            </w:pPr>
          </w:p>
        </w:tc>
        <w:tc>
          <w:tcPr>
            <w:tcW w:w="1300" w:type="dxa"/>
            <w:vAlign w:val="bottom"/>
            <w:tcBorders>
              <w:bottom w:val="single" w:sz="8" w:color="808080"/>
            </w:tcBorders>
          </w:tcPr>
          <w:p>
            <w:pPr>
              <w:spacing w:after="0"/>
              <w:rPr>
                <w:sz w:val="12"/>
                <w:szCs w:val="12"/>
                <w:color w:val="auto"/>
              </w:rPr>
            </w:pPr>
          </w:p>
        </w:tc>
      </w:tr>
      <w:tr>
        <w:trPr>
          <w:trHeight w:val="798"/>
        </w:trPr>
        <w:tc>
          <w:tcPr>
            <w:tcW w:w="56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4620" w:type="dxa"/>
            <w:vAlign w:val="bottom"/>
          </w:tcPr>
          <w:p>
            <w:pPr>
              <w:jc w:val="right"/>
              <w:ind w:right="3320"/>
              <w:spacing w:after="0"/>
              <w:rPr>
                <w:sz w:val="20"/>
                <w:szCs w:val="20"/>
                <w:color w:val="auto"/>
              </w:rPr>
            </w:pPr>
            <w:r>
              <w:rPr>
                <w:rFonts w:ascii="Times New Roman" w:cs="Times New Roman" w:eastAsia="Times New Roman" w:hAnsi="Times New Roman"/>
                <w:sz w:val="24"/>
                <w:szCs w:val="24"/>
                <w:color w:val="auto"/>
              </w:rPr>
              <w:t>215</w:t>
            </w:r>
          </w:p>
        </w:tc>
        <w:tc>
          <w:tcPr>
            <w:tcW w:w="1300" w:type="dxa"/>
            <w:vAlign w:val="bottom"/>
          </w:tcPr>
          <w:p>
            <w:pPr>
              <w:spacing w:after="0"/>
              <w:rPr>
                <w:sz w:val="24"/>
                <w:szCs w:val="24"/>
                <w:color w:val="auto"/>
              </w:rPr>
            </w:pPr>
          </w:p>
        </w:tc>
      </w:tr>
    </w:tbl>
    <w:p>
      <w:pPr>
        <w:sectPr>
          <w:pgSz w:w="11900" w:h="16836" w:orient="portrait"/>
          <w:cols w:equalWidth="0" w:num="1">
            <w:col w:w="9504"/>
          </w:cols>
          <w:pgMar w:left="1296" w:top="1144" w:right="1104" w:bottom="103" w:gutter="0" w:footer="0" w:header="0"/>
        </w:sectPr>
      </w:pPr>
    </w:p>
    <w:bookmarkStart w:id="215" w:name="page216"/>
    <w:bookmarkEnd w:id="215"/>
    <w:p>
      <w:pPr>
        <w:spacing w:after="0" w:line="1"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2115820</wp:posOffset>
                </wp:positionH>
                <wp:positionV relativeFrom="page">
                  <wp:posOffset>734060</wp:posOffset>
                </wp:positionV>
                <wp:extent cx="4743450" cy="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43450" cy="4763"/>
                        </a:xfrm>
                        <a:prstGeom prst="line">
                          <a:avLst/>
                        </a:prstGeom>
                        <a:solidFill>
                          <a:srgbClr val="FFFFFF"/>
                        </a:solidFill>
                        <a:ln w="6096">
                          <a:solidFill>
                            <a:srgbClr val="80808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66.6pt,57.8pt" to="540.1pt,57.8pt" o:allowincell="f" strokecolor="#80808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2115820</wp:posOffset>
                </wp:positionH>
                <wp:positionV relativeFrom="page">
                  <wp:posOffset>2080260</wp:posOffset>
                </wp:positionV>
                <wp:extent cx="4743450" cy="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43450" cy="4763"/>
                        </a:xfrm>
                        <a:prstGeom prst="line">
                          <a:avLst/>
                        </a:prstGeom>
                        <a:solidFill>
                          <a:srgbClr val="FFFFFF"/>
                        </a:solidFill>
                        <a:ln w="6095">
                          <a:solidFill>
                            <a:srgbClr val="80808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66.6pt,163.8pt" to="540.1pt,163.8pt" o:allowincell="f" strokecolor="#80808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2118995</wp:posOffset>
                </wp:positionH>
                <wp:positionV relativeFrom="page">
                  <wp:posOffset>730885</wp:posOffset>
                </wp:positionV>
                <wp:extent cx="0" cy="2430145"/>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430145"/>
                        </a:xfrm>
                        <a:prstGeom prst="line">
                          <a:avLst/>
                        </a:prstGeom>
                        <a:solidFill>
                          <a:srgbClr val="FFFFFF"/>
                        </a:solidFill>
                        <a:ln w="6095">
                          <a:solidFill>
                            <a:srgbClr val="80808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66.85pt,57.55pt" to="166.85pt,248.9pt" o:allowincell="f" strokecolor="#80808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2517775</wp:posOffset>
                </wp:positionH>
                <wp:positionV relativeFrom="page">
                  <wp:posOffset>730885</wp:posOffset>
                </wp:positionV>
                <wp:extent cx="0" cy="2430145"/>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430145"/>
                        </a:xfrm>
                        <a:prstGeom prst="line">
                          <a:avLst/>
                        </a:prstGeom>
                        <a:solidFill>
                          <a:srgbClr val="FFFFFF"/>
                        </a:solidFill>
                        <a:ln w="6095">
                          <a:solidFill>
                            <a:srgbClr val="808080"/>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98.25pt,57.55pt" to="198.25pt,248.9pt" o:allowincell="f" strokecolor="#80808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5705475</wp:posOffset>
                </wp:positionH>
                <wp:positionV relativeFrom="page">
                  <wp:posOffset>730885</wp:posOffset>
                </wp:positionV>
                <wp:extent cx="0" cy="2430145"/>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430145"/>
                        </a:xfrm>
                        <a:prstGeom prst="line">
                          <a:avLst/>
                        </a:prstGeom>
                        <a:solidFill>
                          <a:srgbClr val="FFFFFF"/>
                        </a:solidFill>
                        <a:ln w="6096">
                          <a:solidFill>
                            <a:srgbClr val="80808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449.25pt,57.55pt" to="449.25pt,248.9pt" o:allowincell="f" strokecolor="#80808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2115820</wp:posOffset>
                </wp:positionH>
                <wp:positionV relativeFrom="page">
                  <wp:posOffset>3157855</wp:posOffset>
                </wp:positionV>
                <wp:extent cx="4743450" cy="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43450" cy="4763"/>
                        </a:xfrm>
                        <a:prstGeom prst="line">
                          <a:avLst/>
                        </a:prstGeom>
                        <a:solidFill>
                          <a:srgbClr val="FFFFFF"/>
                        </a:solidFill>
                        <a:ln w="6096">
                          <a:solidFill>
                            <a:srgbClr val="808080"/>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66.6pt,248.65pt" to="540.1pt,248.65pt" o:allowincell="f" strokecolor="#80808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6856095</wp:posOffset>
                </wp:positionH>
                <wp:positionV relativeFrom="page">
                  <wp:posOffset>730885</wp:posOffset>
                </wp:positionV>
                <wp:extent cx="0" cy="2430145"/>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430145"/>
                        </a:xfrm>
                        <a:prstGeom prst="line">
                          <a:avLst/>
                        </a:prstGeom>
                        <a:solidFill>
                          <a:srgbClr val="FFFFFF"/>
                        </a:solidFill>
                        <a:ln w="6095">
                          <a:solidFill>
                            <a:srgbClr val="808080"/>
                          </a:solidFill>
                          <a:miter lim="800000"/>
                          <a:headEnd/>
                          <a:tailEnd/>
                        </a:ln>
                      </wps:spPr>
                      <wps:bodyPr/>
                    </wps:wsp>
                  </a:graphicData>
                </a:graphic>
              </wp:anchor>
            </w:drawing>
          </mc:Choice>
          <mc:Fallback>
            <w:pict>
              <v:line id="Shape 30" o:spid="_x0000_s105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39.85pt,57.55pt" to="539.85pt,248.9pt" o:allowincell="f" strokecolor="#808080" strokeweight="0.4799pt">
                <w10:wrap anchorx="page" anchory="page"/>
              </v:line>
            </w:pict>
          </mc:Fallback>
        </mc:AlternateContent>
      </w:r>
    </w:p>
    <w:tbl>
      <w:tblPr>
        <w:tblLayout w:type="fixed"/>
        <w:tblInd w:w="1900" w:type="dxa"/>
        <w:tblCellMar>
          <w:top w:w="0" w:type="dxa"/>
          <w:left w:w="0" w:type="dxa"/>
          <w:bottom w:w="0" w:type="dxa"/>
          <w:right w:w="0" w:type="dxa"/>
        </w:tblCellMar>
      </w:tblPr>
      <w:tr>
        <w:trPr>
          <w:trHeight w:val="276"/>
        </w:trPr>
        <w:tc>
          <w:tcPr>
            <w:tcW w:w="560" w:type="dxa"/>
            <w:vAlign w:val="bottom"/>
          </w:tcPr>
          <w:p>
            <w:pPr>
              <w:jc w:val="right"/>
              <w:ind w:right="70"/>
              <w:spacing w:after="0"/>
              <w:rPr>
                <w:sz w:val="20"/>
                <w:szCs w:val="20"/>
                <w:color w:val="auto"/>
              </w:rPr>
            </w:pPr>
            <w:r>
              <w:rPr>
                <w:rFonts w:ascii="Times New Roman" w:cs="Times New Roman" w:eastAsia="Times New Roman" w:hAnsi="Times New Roman"/>
                <w:sz w:val="22"/>
                <w:szCs w:val="22"/>
                <w:color w:val="auto"/>
              </w:rPr>
              <w:t>(3)</w:t>
            </w:r>
          </w:p>
        </w:tc>
        <w:tc>
          <w:tcPr>
            <w:tcW w:w="3880" w:type="dxa"/>
            <w:vAlign w:val="bottom"/>
            <w:gridSpan w:val="2"/>
          </w:tcPr>
          <w:p>
            <w:pPr>
              <w:ind w:left="180"/>
              <w:spacing w:after="0"/>
              <w:rPr>
                <w:sz w:val="20"/>
                <w:szCs w:val="20"/>
                <w:color w:val="auto"/>
              </w:rPr>
            </w:pPr>
            <w:r>
              <w:rPr>
                <w:rFonts w:ascii="Times New Roman" w:cs="Times New Roman" w:eastAsia="Times New Roman" w:hAnsi="Times New Roman"/>
                <w:sz w:val="24"/>
                <w:szCs w:val="24"/>
                <w:b w:val="1"/>
                <w:bCs w:val="1"/>
                <w:color w:val="auto"/>
              </w:rPr>
              <w:t>Return on Net Worth</w:t>
            </w:r>
          </w:p>
        </w:tc>
        <w:tc>
          <w:tcPr>
            <w:tcW w:w="3020" w:type="dxa"/>
            <w:vAlign w:val="bottom"/>
          </w:tcPr>
          <w:p>
            <w:pPr>
              <w:spacing w:after="0"/>
              <w:rPr>
                <w:sz w:val="23"/>
                <w:szCs w:val="23"/>
                <w:color w:val="auto"/>
              </w:rPr>
            </w:pPr>
          </w:p>
        </w:tc>
      </w:tr>
      <w:tr>
        <w:trPr>
          <w:trHeight w:val="142"/>
        </w:trPr>
        <w:tc>
          <w:tcPr>
            <w:tcW w:w="560" w:type="dxa"/>
            <w:vAlign w:val="bottom"/>
            <w:tcBorders>
              <w:bottom w:val="single" w:sz="8" w:color="808080"/>
            </w:tcBorders>
          </w:tcPr>
          <w:p>
            <w:pPr>
              <w:spacing w:after="0"/>
              <w:rPr>
                <w:sz w:val="12"/>
                <w:szCs w:val="12"/>
                <w:color w:val="auto"/>
              </w:rPr>
            </w:pPr>
          </w:p>
        </w:tc>
        <w:tc>
          <w:tcPr>
            <w:tcW w:w="520" w:type="dxa"/>
            <w:vAlign w:val="bottom"/>
            <w:tcBorders>
              <w:bottom w:val="single" w:sz="8" w:color="808080"/>
            </w:tcBorders>
          </w:tcPr>
          <w:p>
            <w:pPr>
              <w:spacing w:after="0"/>
              <w:rPr>
                <w:sz w:val="12"/>
                <w:szCs w:val="12"/>
                <w:color w:val="auto"/>
              </w:rPr>
            </w:pPr>
          </w:p>
        </w:tc>
        <w:tc>
          <w:tcPr>
            <w:tcW w:w="3360" w:type="dxa"/>
            <w:vAlign w:val="bottom"/>
            <w:tcBorders>
              <w:bottom w:val="single" w:sz="8" w:color="808080"/>
            </w:tcBorders>
          </w:tcPr>
          <w:p>
            <w:pPr>
              <w:spacing w:after="0"/>
              <w:rPr>
                <w:sz w:val="12"/>
                <w:szCs w:val="12"/>
                <w:color w:val="auto"/>
              </w:rPr>
            </w:pPr>
          </w:p>
        </w:tc>
        <w:tc>
          <w:tcPr>
            <w:tcW w:w="3020" w:type="dxa"/>
            <w:vAlign w:val="bottom"/>
            <w:tcBorders>
              <w:bottom w:val="single" w:sz="8" w:color="808080"/>
            </w:tcBorders>
          </w:tcPr>
          <w:p>
            <w:pPr>
              <w:spacing w:after="0"/>
              <w:rPr>
                <w:sz w:val="12"/>
                <w:szCs w:val="12"/>
                <w:color w:val="auto"/>
              </w:rPr>
            </w:pPr>
          </w:p>
        </w:tc>
      </w:tr>
      <w:tr>
        <w:trPr>
          <w:trHeight w:val="262"/>
        </w:trPr>
        <w:tc>
          <w:tcPr>
            <w:tcW w:w="560" w:type="dxa"/>
            <w:vAlign w:val="bottom"/>
          </w:tcPr>
          <w:p>
            <w:pPr>
              <w:spacing w:after="0"/>
              <w:rPr>
                <w:sz w:val="22"/>
                <w:szCs w:val="22"/>
                <w:color w:val="auto"/>
              </w:rPr>
            </w:pPr>
          </w:p>
        </w:tc>
        <w:tc>
          <w:tcPr>
            <w:tcW w:w="520" w:type="dxa"/>
            <w:vAlign w:val="bottom"/>
          </w:tcPr>
          <w:p>
            <w:pPr>
              <w:ind w:left="180"/>
              <w:spacing w:after="0" w:line="262" w:lineRule="exact"/>
              <w:rPr>
                <w:sz w:val="20"/>
                <w:szCs w:val="20"/>
                <w:color w:val="auto"/>
              </w:rPr>
            </w:pPr>
            <w:r>
              <w:rPr>
                <w:rFonts w:ascii="Calibri" w:cs="Calibri" w:eastAsia="Calibri" w:hAnsi="Calibri"/>
                <w:sz w:val="22"/>
                <w:szCs w:val="22"/>
                <w:color w:val="auto"/>
              </w:rPr>
              <w:t>(a)</w:t>
            </w:r>
          </w:p>
        </w:tc>
        <w:tc>
          <w:tcPr>
            <w:tcW w:w="3360" w:type="dxa"/>
            <w:vAlign w:val="bottom"/>
          </w:tcPr>
          <w:p>
            <w:pPr>
              <w:ind w:left="100"/>
              <w:spacing w:after="0" w:line="262" w:lineRule="exact"/>
              <w:rPr>
                <w:sz w:val="20"/>
                <w:szCs w:val="20"/>
                <w:color w:val="auto"/>
              </w:rPr>
            </w:pPr>
            <w:r>
              <w:rPr>
                <w:rFonts w:ascii="Times New Roman" w:cs="Times New Roman" w:eastAsia="Times New Roman" w:hAnsi="Times New Roman"/>
                <w:sz w:val="24"/>
                <w:szCs w:val="24"/>
                <w:color w:val="auto"/>
              </w:rPr>
              <w:t>Financial Year 1</w:t>
            </w:r>
          </w:p>
        </w:tc>
        <w:tc>
          <w:tcPr>
            <w:tcW w:w="3020" w:type="dxa"/>
            <w:vAlign w:val="bottom"/>
          </w:tcPr>
          <w:p>
            <w:pPr>
              <w:ind w:left="1480"/>
              <w:spacing w:after="0" w:line="262" w:lineRule="exact"/>
              <w:rPr>
                <w:sz w:val="20"/>
                <w:szCs w:val="20"/>
                <w:color w:val="auto"/>
              </w:rPr>
            </w:pPr>
            <w:r>
              <w:rPr>
                <w:rFonts w:ascii="Times New Roman" w:cs="Times New Roman" w:eastAsia="Times New Roman" w:hAnsi="Times New Roman"/>
                <w:sz w:val="24"/>
                <w:szCs w:val="24"/>
                <w:color w:val="auto"/>
              </w:rPr>
              <w:t>27.36 per cent.</w:t>
            </w:r>
          </w:p>
        </w:tc>
      </w:tr>
      <w:tr>
        <w:trPr>
          <w:trHeight w:val="140"/>
        </w:trPr>
        <w:tc>
          <w:tcPr>
            <w:tcW w:w="560" w:type="dxa"/>
            <w:vAlign w:val="bottom"/>
            <w:tcBorders>
              <w:bottom w:val="single" w:sz="8" w:color="808080"/>
            </w:tcBorders>
          </w:tcPr>
          <w:p>
            <w:pPr>
              <w:spacing w:after="0"/>
              <w:rPr>
                <w:sz w:val="12"/>
                <w:szCs w:val="12"/>
                <w:color w:val="auto"/>
              </w:rPr>
            </w:pPr>
          </w:p>
        </w:tc>
        <w:tc>
          <w:tcPr>
            <w:tcW w:w="520" w:type="dxa"/>
            <w:vAlign w:val="bottom"/>
            <w:tcBorders>
              <w:bottom w:val="single" w:sz="8" w:color="808080"/>
            </w:tcBorders>
          </w:tcPr>
          <w:p>
            <w:pPr>
              <w:spacing w:after="0"/>
              <w:rPr>
                <w:sz w:val="12"/>
                <w:szCs w:val="12"/>
                <w:color w:val="auto"/>
              </w:rPr>
            </w:pPr>
          </w:p>
        </w:tc>
        <w:tc>
          <w:tcPr>
            <w:tcW w:w="3360" w:type="dxa"/>
            <w:vAlign w:val="bottom"/>
            <w:tcBorders>
              <w:bottom w:val="single" w:sz="8" w:color="808080"/>
            </w:tcBorders>
          </w:tcPr>
          <w:p>
            <w:pPr>
              <w:spacing w:after="0"/>
              <w:rPr>
                <w:sz w:val="12"/>
                <w:szCs w:val="12"/>
                <w:color w:val="auto"/>
              </w:rPr>
            </w:pPr>
          </w:p>
        </w:tc>
        <w:tc>
          <w:tcPr>
            <w:tcW w:w="3020" w:type="dxa"/>
            <w:vAlign w:val="bottom"/>
            <w:tcBorders>
              <w:bottom w:val="single" w:sz="8" w:color="808080"/>
            </w:tcBorders>
          </w:tcPr>
          <w:p>
            <w:pPr>
              <w:spacing w:after="0"/>
              <w:rPr>
                <w:sz w:val="12"/>
                <w:szCs w:val="12"/>
                <w:color w:val="auto"/>
              </w:rPr>
            </w:pPr>
          </w:p>
        </w:tc>
      </w:tr>
      <w:tr>
        <w:trPr>
          <w:trHeight w:val="262"/>
        </w:trPr>
        <w:tc>
          <w:tcPr>
            <w:tcW w:w="560" w:type="dxa"/>
            <w:vAlign w:val="bottom"/>
          </w:tcPr>
          <w:p>
            <w:pPr>
              <w:spacing w:after="0"/>
              <w:rPr>
                <w:sz w:val="22"/>
                <w:szCs w:val="22"/>
                <w:color w:val="auto"/>
              </w:rPr>
            </w:pPr>
          </w:p>
        </w:tc>
        <w:tc>
          <w:tcPr>
            <w:tcW w:w="520" w:type="dxa"/>
            <w:vAlign w:val="bottom"/>
          </w:tcPr>
          <w:p>
            <w:pPr>
              <w:ind w:left="180"/>
              <w:spacing w:after="0" w:line="262" w:lineRule="exact"/>
              <w:rPr>
                <w:sz w:val="20"/>
                <w:szCs w:val="20"/>
                <w:color w:val="auto"/>
              </w:rPr>
            </w:pPr>
            <w:r>
              <w:rPr>
                <w:rFonts w:ascii="Calibri" w:cs="Calibri" w:eastAsia="Calibri" w:hAnsi="Calibri"/>
                <w:sz w:val="22"/>
                <w:szCs w:val="22"/>
                <w:color w:val="auto"/>
              </w:rPr>
              <w:t>(b)</w:t>
            </w:r>
          </w:p>
        </w:tc>
        <w:tc>
          <w:tcPr>
            <w:tcW w:w="3360" w:type="dxa"/>
            <w:vAlign w:val="bottom"/>
          </w:tcPr>
          <w:p>
            <w:pPr>
              <w:ind w:left="100"/>
              <w:spacing w:after="0" w:line="262" w:lineRule="exact"/>
              <w:rPr>
                <w:sz w:val="20"/>
                <w:szCs w:val="20"/>
                <w:color w:val="auto"/>
              </w:rPr>
            </w:pPr>
            <w:r>
              <w:rPr>
                <w:rFonts w:ascii="Times New Roman" w:cs="Times New Roman" w:eastAsia="Times New Roman" w:hAnsi="Times New Roman"/>
                <w:sz w:val="24"/>
                <w:szCs w:val="24"/>
                <w:color w:val="auto"/>
              </w:rPr>
              <w:t>Financial Year 2</w:t>
            </w:r>
          </w:p>
        </w:tc>
        <w:tc>
          <w:tcPr>
            <w:tcW w:w="3020" w:type="dxa"/>
            <w:vAlign w:val="bottom"/>
          </w:tcPr>
          <w:p>
            <w:pPr>
              <w:ind w:left="1480"/>
              <w:spacing w:after="0" w:line="262" w:lineRule="exact"/>
              <w:rPr>
                <w:sz w:val="20"/>
                <w:szCs w:val="20"/>
                <w:color w:val="auto"/>
              </w:rPr>
            </w:pPr>
            <w:r>
              <w:rPr>
                <w:rFonts w:ascii="Times New Roman" w:cs="Times New Roman" w:eastAsia="Times New Roman" w:hAnsi="Times New Roman"/>
                <w:sz w:val="24"/>
                <w:szCs w:val="24"/>
                <w:color w:val="auto"/>
              </w:rPr>
              <w:t>28.77 per cent.</w:t>
            </w:r>
          </w:p>
        </w:tc>
      </w:tr>
      <w:tr>
        <w:trPr>
          <w:trHeight w:val="143"/>
        </w:trPr>
        <w:tc>
          <w:tcPr>
            <w:tcW w:w="560" w:type="dxa"/>
            <w:vAlign w:val="bottom"/>
            <w:tcBorders>
              <w:bottom w:val="single" w:sz="8" w:color="808080"/>
            </w:tcBorders>
          </w:tcPr>
          <w:p>
            <w:pPr>
              <w:spacing w:after="0"/>
              <w:rPr>
                <w:sz w:val="12"/>
                <w:szCs w:val="12"/>
                <w:color w:val="auto"/>
              </w:rPr>
            </w:pPr>
          </w:p>
        </w:tc>
        <w:tc>
          <w:tcPr>
            <w:tcW w:w="520" w:type="dxa"/>
            <w:vAlign w:val="bottom"/>
            <w:tcBorders>
              <w:bottom w:val="single" w:sz="8" w:color="808080"/>
            </w:tcBorders>
          </w:tcPr>
          <w:p>
            <w:pPr>
              <w:spacing w:after="0"/>
              <w:rPr>
                <w:sz w:val="12"/>
                <w:szCs w:val="12"/>
                <w:color w:val="auto"/>
              </w:rPr>
            </w:pPr>
          </w:p>
        </w:tc>
        <w:tc>
          <w:tcPr>
            <w:tcW w:w="3360" w:type="dxa"/>
            <w:vAlign w:val="bottom"/>
            <w:tcBorders>
              <w:bottom w:val="single" w:sz="8" w:color="808080"/>
            </w:tcBorders>
          </w:tcPr>
          <w:p>
            <w:pPr>
              <w:spacing w:after="0"/>
              <w:rPr>
                <w:sz w:val="12"/>
                <w:szCs w:val="12"/>
                <w:color w:val="auto"/>
              </w:rPr>
            </w:pPr>
          </w:p>
        </w:tc>
        <w:tc>
          <w:tcPr>
            <w:tcW w:w="3020" w:type="dxa"/>
            <w:vAlign w:val="bottom"/>
            <w:tcBorders>
              <w:bottom w:val="single" w:sz="8" w:color="808080"/>
            </w:tcBorders>
          </w:tcPr>
          <w:p>
            <w:pPr>
              <w:spacing w:after="0"/>
              <w:rPr>
                <w:sz w:val="12"/>
                <w:szCs w:val="12"/>
                <w:color w:val="auto"/>
              </w:rPr>
            </w:pPr>
          </w:p>
        </w:tc>
      </w:tr>
      <w:tr>
        <w:trPr>
          <w:trHeight w:val="262"/>
        </w:trPr>
        <w:tc>
          <w:tcPr>
            <w:tcW w:w="560" w:type="dxa"/>
            <w:vAlign w:val="bottom"/>
          </w:tcPr>
          <w:p>
            <w:pPr>
              <w:spacing w:after="0"/>
              <w:rPr>
                <w:sz w:val="22"/>
                <w:szCs w:val="22"/>
                <w:color w:val="auto"/>
              </w:rPr>
            </w:pPr>
          </w:p>
        </w:tc>
        <w:tc>
          <w:tcPr>
            <w:tcW w:w="520" w:type="dxa"/>
            <w:vAlign w:val="bottom"/>
          </w:tcPr>
          <w:p>
            <w:pPr>
              <w:ind w:left="180"/>
              <w:spacing w:after="0" w:line="262" w:lineRule="exact"/>
              <w:rPr>
                <w:sz w:val="20"/>
                <w:szCs w:val="20"/>
                <w:color w:val="auto"/>
              </w:rPr>
            </w:pPr>
            <w:r>
              <w:rPr>
                <w:rFonts w:ascii="Calibri" w:cs="Calibri" w:eastAsia="Calibri" w:hAnsi="Calibri"/>
                <w:sz w:val="22"/>
                <w:szCs w:val="22"/>
                <w:color w:val="auto"/>
              </w:rPr>
              <w:t>(c)</w:t>
            </w:r>
          </w:p>
        </w:tc>
        <w:tc>
          <w:tcPr>
            <w:tcW w:w="3360" w:type="dxa"/>
            <w:vAlign w:val="bottom"/>
          </w:tcPr>
          <w:p>
            <w:pPr>
              <w:ind w:left="100"/>
              <w:spacing w:after="0" w:line="262" w:lineRule="exact"/>
              <w:rPr>
                <w:sz w:val="20"/>
                <w:szCs w:val="20"/>
                <w:color w:val="auto"/>
              </w:rPr>
            </w:pPr>
            <w:r>
              <w:rPr>
                <w:rFonts w:ascii="Times New Roman" w:cs="Times New Roman" w:eastAsia="Times New Roman" w:hAnsi="Times New Roman"/>
                <w:sz w:val="24"/>
                <w:szCs w:val="24"/>
                <w:color w:val="auto"/>
              </w:rPr>
              <w:t>Financial Year 3</w:t>
            </w:r>
          </w:p>
        </w:tc>
        <w:tc>
          <w:tcPr>
            <w:tcW w:w="3020" w:type="dxa"/>
            <w:vAlign w:val="bottom"/>
          </w:tcPr>
          <w:p>
            <w:pPr>
              <w:ind w:left="1480"/>
              <w:spacing w:after="0" w:line="262" w:lineRule="exact"/>
              <w:rPr>
                <w:sz w:val="20"/>
                <w:szCs w:val="20"/>
                <w:color w:val="auto"/>
              </w:rPr>
            </w:pPr>
            <w:r>
              <w:rPr>
                <w:rFonts w:ascii="Times New Roman" w:cs="Times New Roman" w:eastAsia="Times New Roman" w:hAnsi="Times New Roman"/>
                <w:sz w:val="24"/>
                <w:szCs w:val="24"/>
                <w:color w:val="auto"/>
              </w:rPr>
              <w:t>33.45 per cent.</w:t>
            </w:r>
          </w:p>
        </w:tc>
      </w:tr>
      <w:tr>
        <w:trPr>
          <w:trHeight w:val="143"/>
        </w:trPr>
        <w:tc>
          <w:tcPr>
            <w:tcW w:w="560" w:type="dxa"/>
            <w:vAlign w:val="bottom"/>
            <w:tcBorders>
              <w:bottom w:val="single" w:sz="8" w:color="808080"/>
            </w:tcBorders>
          </w:tcPr>
          <w:p>
            <w:pPr>
              <w:spacing w:after="0"/>
              <w:rPr>
                <w:sz w:val="12"/>
                <w:szCs w:val="12"/>
                <w:color w:val="auto"/>
              </w:rPr>
            </w:pPr>
          </w:p>
        </w:tc>
        <w:tc>
          <w:tcPr>
            <w:tcW w:w="520" w:type="dxa"/>
            <w:vAlign w:val="bottom"/>
            <w:tcBorders>
              <w:bottom w:val="single" w:sz="8" w:color="808080"/>
            </w:tcBorders>
          </w:tcPr>
          <w:p>
            <w:pPr>
              <w:spacing w:after="0"/>
              <w:rPr>
                <w:sz w:val="12"/>
                <w:szCs w:val="12"/>
                <w:color w:val="auto"/>
              </w:rPr>
            </w:pPr>
          </w:p>
        </w:tc>
        <w:tc>
          <w:tcPr>
            <w:tcW w:w="3360" w:type="dxa"/>
            <w:vAlign w:val="bottom"/>
            <w:tcBorders>
              <w:bottom w:val="single" w:sz="8" w:color="808080"/>
            </w:tcBorders>
          </w:tcPr>
          <w:p>
            <w:pPr>
              <w:spacing w:after="0"/>
              <w:rPr>
                <w:sz w:val="12"/>
                <w:szCs w:val="12"/>
                <w:color w:val="auto"/>
              </w:rPr>
            </w:pPr>
          </w:p>
        </w:tc>
        <w:tc>
          <w:tcPr>
            <w:tcW w:w="3020" w:type="dxa"/>
            <w:vAlign w:val="bottom"/>
            <w:tcBorders>
              <w:bottom w:val="single" w:sz="8" w:color="808080"/>
            </w:tcBorders>
          </w:tcPr>
          <w:p>
            <w:pPr>
              <w:spacing w:after="0"/>
              <w:rPr>
                <w:sz w:val="12"/>
                <w:szCs w:val="12"/>
                <w:color w:val="auto"/>
              </w:rPr>
            </w:pPr>
          </w:p>
        </w:tc>
      </w:tr>
      <w:tr>
        <w:trPr>
          <w:trHeight w:val="262"/>
        </w:trPr>
        <w:tc>
          <w:tcPr>
            <w:tcW w:w="560" w:type="dxa"/>
            <w:vAlign w:val="bottom"/>
          </w:tcPr>
          <w:p>
            <w:pPr>
              <w:spacing w:after="0"/>
              <w:rPr>
                <w:sz w:val="22"/>
                <w:szCs w:val="22"/>
                <w:color w:val="auto"/>
              </w:rPr>
            </w:pPr>
          </w:p>
        </w:tc>
        <w:tc>
          <w:tcPr>
            <w:tcW w:w="520" w:type="dxa"/>
            <w:vAlign w:val="bottom"/>
          </w:tcPr>
          <w:p>
            <w:pPr>
              <w:ind w:left="180"/>
              <w:spacing w:after="0" w:line="262" w:lineRule="exact"/>
              <w:rPr>
                <w:sz w:val="20"/>
                <w:szCs w:val="20"/>
                <w:color w:val="auto"/>
              </w:rPr>
            </w:pPr>
            <w:r>
              <w:rPr>
                <w:rFonts w:ascii="Calibri" w:cs="Calibri" w:eastAsia="Calibri" w:hAnsi="Calibri"/>
                <w:sz w:val="22"/>
                <w:szCs w:val="22"/>
                <w:color w:val="auto"/>
              </w:rPr>
              <w:t>(d)</w:t>
            </w:r>
          </w:p>
        </w:tc>
        <w:tc>
          <w:tcPr>
            <w:tcW w:w="3360" w:type="dxa"/>
            <w:vAlign w:val="bottom"/>
          </w:tcPr>
          <w:p>
            <w:pPr>
              <w:ind w:left="100"/>
              <w:spacing w:after="0" w:line="262" w:lineRule="exact"/>
              <w:rPr>
                <w:sz w:val="20"/>
                <w:szCs w:val="20"/>
                <w:color w:val="auto"/>
              </w:rPr>
            </w:pPr>
            <w:r>
              <w:rPr>
                <w:rFonts w:ascii="Times New Roman" w:cs="Times New Roman" w:eastAsia="Times New Roman" w:hAnsi="Times New Roman"/>
                <w:sz w:val="24"/>
                <w:szCs w:val="24"/>
                <w:color w:val="auto"/>
              </w:rPr>
              <w:t>Weighted Average</w:t>
            </w:r>
          </w:p>
        </w:tc>
        <w:tc>
          <w:tcPr>
            <w:tcW w:w="3020" w:type="dxa"/>
            <w:vAlign w:val="bottom"/>
          </w:tcPr>
          <w:p>
            <w:pPr>
              <w:ind w:left="1480"/>
              <w:spacing w:after="0" w:line="262" w:lineRule="exact"/>
              <w:rPr>
                <w:sz w:val="20"/>
                <w:szCs w:val="20"/>
                <w:color w:val="auto"/>
              </w:rPr>
            </w:pPr>
            <w:r>
              <w:rPr>
                <w:rFonts w:ascii="Times New Roman" w:cs="Times New Roman" w:eastAsia="Times New Roman" w:hAnsi="Times New Roman"/>
                <w:sz w:val="24"/>
                <w:szCs w:val="24"/>
                <w:color w:val="auto"/>
              </w:rPr>
              <w:t>30.88 per cent.</w:t>
            </w:r>
          </w:p>
        </w:tc>
      </w:tr>
    </w:tbl>
    <w:p>
      <w:pPr>
        <w:spacing w:after="0" w:line="147" w:lineRule="exact"/>
        <w:rPr>
          <w:sz w:val="20"/>
          <w:szCs w:val="20"/>
          <w:color w:val="auto"/>
        </w:rPr>
      </w:pPr>
    </w:p>
    <w:tbl>
      <w:tblPr>
        <w:tblLayout w:type="fixed"/>
        <w:tblInd w:w="1900" w:type="dxa"/>
        <w:tblCellMar>
          <w:top w:w="0" w:type="dxa"/>
          <w:left w:w="0" w:type="dxa"/>
          <w:bottom w:w="0" w:type="dxa"/>
          <w:right w:w="0" w:type="dxa"/>
        </w:tblCellMar>
      </w:tblPr>
      <w:tr>
        <w:trPr>
          <w:trHeight w:val="276"/>
        </w:trPr>
        <w:tc>
          <w:tcPr>
            <w:tcW w:w="560" w:type="dxa"/>
            <w:vAlign w:val="bottom"/>
          </w:tcPr>
          <w:p>
            <w:pPr>
              <w:jc w:val="right"/>
              <w:ind w:right="70"/>
              <w:spacing w:after="0"/>
              <w:rPr>
                <w:sz w:val="20"/>
                <w:szCs w:val="20"/>
                <w:color w:val="auto"/>
              </w:rPr>
            </w:pPr>
            <w:r>
              <w:rPr>
                <w:rFonts w:ascii="Times New Roman" w:cs="Times New Roman" w:eastAsia="Times New Roman" w:hAnsi="Times New Roman"/>
                <w:sz w:val="22"/>
                <w:szCs w:val="22"/>
                <w:color w:val="auto"/>
              </w:rPr>
              <w:t>(4)</w:t>
            </w:r>
          </w:p>
        </w:tc>
        <w:tc>
          <w:tcPr>
            <w:tcW w:w="4900" w:type="dxa"/>
            <w:vAlign w:val="bottom"/>
            <w:gridSpan w:val="2"/>
          </w:tcPr>
          <w:p>
            <w:pPr>
              <w:ind w:left="180"/>
              <w:spacing w:after="0"/>
              <w:rPr>
                <w:sz w:val="20"/>
                <w:szCs w:val="20"/>
                <w:color w:val="auto"/>
              </w:rPr>
            </w:pPr>
            <w:r>
              <w:rPr>
                <w:rFonts w:ascii="Times New Roman" w:cs="Times New Roman" w:eastAsia="Times New Roman" w:hAnsi="Times New Roman"/>
                <w:sz w:val="24"/>
                <w:szCs w:val="24"/>
                <w:b w:val="1"/>
                <w:bCs w:val="1"/>
                <w:color w:val="auto"/>
              </w:rPr>
              <w:t>Net Asset Value</w:t>
            </w:r>
          </w:p>
        </w:tc>
        <w:tc>
          <w:tcPr>
            <w:tcW w:w="2000" w:type="dxa"/>
            <w:vAlign w:val="bottom"/>
          </w:tcPr>
          <w:p>
            <w:pPr>
              <w:spacing w:after="0"/>
              <w:rPr>
                <w:sz w:val="23"/>
                <w:szCs w:val="23"/>
                <w:color w:val="auto"/>
              </w:rPr>
            </w:pPr>
          </w:p>
        </w:tc>
      </w:tr>
      <w:tr>
        <w:trPr>
          <w:trHeight w:val="142"/>
        </w:trPr>
        <w:tc>
          <w:tcPr>
            <w:tcW w:w="560" w:type="dxa"/>
            <w:vAlign w:val="bottom"/>
            <w:tcBorders>
              <w:bottom w:val="single" w:sz="8" w:color="808080"/>
            </w:tcBorders>
          </w:tcPr>
          <w:p>
            <w:pPr>
              <w:spacing w:after="0"/>
              <w:rPr>
                <w:sz w:val="12"/>
                <w:szCs w:val="12"/>
                <w:color w:val="auto"/>
              </w:rPr>
            </w:pPr>
          </w:p>
        </w:tc>
        <w:tc>
          <w:tcPr>
            <w:tcW w:w="4900" w:type="dxa"/>
            <w:vAlign w:val="bottom"/>
            <w:tcBorders>
              <w:bottom w:val="single" w:sz="8" w:color="808080"/>
            </w:tcBorders>
            <w:gridSpan w:val="2"/>
          </w:tcPr>
          <w:p>
            <w:pPr>
              <w:spacing w:after="0"/>
              <w:rPr>
                <w:sz w:val="12"/>
                <w:szCs w:val="12"/>
                <w:color w:val="auto"/>
              </w:rPr>
            </w:pPr>
          </w:p>
        </w:tc>
        <w:tc>
          <w:tcPr>
            <w:tcW w:w="2000" w:type="dxa"/>
            <w:vAlign w:val="bottom"/>
            <w:tcBorders>
              <w:bottom w:val="single" w:sz="8" w:color="808080"/>
            </w:tcBorders>
          </w:tcPr>
          <w:p>
            <w:pPr>
              <w:spacing w:after="0"/>
              <w:rPr>
                <w:sz w:val="12"/>
                <w:szCs w:val="12"/>
                <w:color w:val="auto"/>
              </w:rPr>
            </w:pPr>
          </w:p>
        </w:tc>
      </w:tr>
      <w:tr>
        <w:trPr>
          <w:trHeight w:val="262"/>
        </w:trPr>
        <w:tc>
          <w:tcPr>
            <w:tcW w:w="560" w:type="dxa"/>
            <w:vAlign w:val="bottom"/>
          </w:tcPr>
          <w:p>
            <w:pPr>
              <w:spacing w:after="0"/>
              <w:rPr>
                <w:sz w:val="22"/>
                <w:szCs w:val="22"/>
                <w:color w:val="auto"/>
              </w:rPr>
            </w:pPr>
          </w:p>
        </w:tc>
        <w:tc>
          <w:tcPr>
            <w:tcW w:w="4900" w:type="dxa"/>
            <w:vAlign w:val="bottom"/>
            <w:gridSpan w:val="2"/>
          </w:tcPr>
          <w:p>
            <w:pPr>
              <w:ind w:left="180"/>
              <w:spacing w:after="0" w:line="262" w:lineRule="exact"/>
              <w:rPr>
                <w:sz w:val="20"/>
                <w:szCs w:val="20"/>
                <w:color w:val="auto"/>
              </w:rPr>
            </w:pPr>
            <w:r>
              <w:rPr>
                <w:rFonts w:ascii="Calibri" w:cs="Calibri" w:eastAsia="Calibri" w:hAnsi="Calibri"/>
                <w:sz w:val="22"/>
                <w:szCs w:val="22"/>
                <w:color w:val="auto"/>
              </w:rPr>
              <w:t xml:space="preserve">(a)  </w:t>
            </w:r>
            <w:r>
              <w:rPr>
                <w:rFonts w:ascii="Times New Roman" w:cs="Times New Roman" w:eastAsia="Times New Roman" w:hAnsi="Times New Roman"/>
                <w:sz w:val="24"/>
                <w:szCs w:val="24"/>
                <w:color w:val="auto"/>
              </w:rPr>
              <w:t>As at last day of Financial Year 3</w:t>
            </w:r>
          </w:p>
        </w:tc>
        <w:tc>
          <w:tcPr>
            <w:tcW w:w="2000" w:type="dxa"/>
            <w:vAlign w:val="bottom"/>
          </w:tcPr>
          <w:p>
            <w:pPr>
              <w:jc w:val="right"/>
              <w:spacing w:after="0" w:line="262" w:lineRule="exact"/>
              <w:rPr>
                <w:sz w:val="20"/>
                <w:szCs w:val="20"/>
                <w:color w:val="auto"/>
              </w:rPr>
            </w:pPr>
            <w:r>
              <w:rPr>
                <w:rFonts w:ascii="Times New Roman" w:cs="Times New Roman" w:eastAsia="Times New Roman" w:hAnsi="Times New Roman"/>
                <w:sz w:val="24"/>
                <w:szCs w:val="24"/>
                <w:color w:val="auto"/>
              </w:rPr>
              <w:t>` 46.40</w:t>
            </w:r>
          </w:p>
        </w:tc>
      </w:tr>
      <w:tr>
        <w:trPr>
          <w:trHeight w:val="143"/>
        </w:trPr>
        <w:tc>
          <w:tcPr>
            <w:tcW w:w="560" w:type="dxa"/>
            <w:vAlign w:val="bottom"/>
            <w:tcBorders>
              <w:bottom w:val="single" w:sz="8" w:color="808080"/>
            </w:tcBorders>
          </w:tcPr>
          <w:p>
            <w:pPr>
              <w:spacing w:after="0"/>
              <w:rPr>
                <w:sz w:val="12"/>
                <w:szCs w:val="12"/>
                <w:color w:val="auto"/>
              </w:rPr>
            </w:pPr>
          </w:p>
        </w:tc>
        <w:tc>
          <w:tcPr>
            <w:tcW w:w="520" w:type="dxa"/>
            <w:vAlign w:val="bottom"/>
            <w:tcBorders>
              <w:bottom w:val="single" w:sz="8" w:color="808080"/>
            </w:tcBorders>
          </w:tcPr>
          <w:p>
            <w:pPr>
              <w:spacing w:after="0"/>
              <w:rPr>
                <w:sz w:val="12"/>
                <w:szCs w:val="12"/>
                <w:color w:val="auto"/>
              </w:rPr>
            </w:pPr>
          </w:p>
        </w:tc>
        <w:tc>
          <w:tcPr>
            <w:tcW w:w="4380" w:type="dxa"/>
            <w:vAlign w:val="bottom"/>
            <w:tcBorders>
              <w:bottom w:val="single" w:sz="8" w:color="808080"/>
            </w:tcBorders>
          </w:tcPr>
          <w:p>
            <w:pPr>
              <w:spacing w:after="0"/>
              <w:rPr>
                <w:sz w:val="12"/>
                <w:szCs w:val="12"/>
                <w:color w:val="auto"/>
              </w:rPr>
            </w:pPr>
          </w:p>
        </w:tc>
        <w:tc>
          <w:tcPr>
            <w:tcW w:w="2000" w:type="dxa"/>
            <w:vAlign w:val="bottom"/>
            <w:tcBorders>
              <w:bottom w:val="single" w:sz="8" w:color="808080"/>
            </w:tcBorders>
          </w:tcPr>
          <w:p>
            <w:pPr>
              <w:spacing w:after="0"/>
              <w:rPr>
                <w:sz w:val="12"/>
                <w:szCs w:val="12"/>
                <w:color w:val="auto"/>
              </w:rPr>
            </w:pPr>
          </w:p>
        </w:tc>
      </w:tr>
      <w:tr>
        <w:trPr>
          <w:trHeight w:val="262"/>
        </w:trPr>
        <w:tc>
          <w:tcPr>
            <w:tcW w:w="560" w:type="dxa"/>
            <w:vAlign w:val="bottom"/>
          </w:tcPr>
          <w:p>
            <w:pPr>
              <w:spacing w:after="0"/>
              <w:rPr>
                <w:sz w:val="22"/>
                <w:szCs w:val="22"/>
                <w:color w:val="auto"/>
              </w:rPr>
            </w:pPr>
          </w:p>
        </w:tc>
        <w:tc>
          <w:tcPr>
            <w:tcW w:w="520" w:type="dxa"/>
            <w:vAlign w:val="bottom"/>
          </w:tcPr>
          <w:p>
            <w:pPr>
              <w:ind w:left="180"/>
              <w:spacing w:after="0" w:line="262" w:lineRule="exact"/>
              <w:rPr>
                <w:sz w:val="20"/>
                <w:szCs w:val="20"/>
                <w:color w:val="auto"/>
              </w:rPr>
            </w:pPr>
            <w:r>
              <w:rPr>
                <w:rFonts w:ascii="Calibri" w:cs="Calibri" w:eastAsia="Calibri" w:hAnsi="Calibri"/>
                <w:sz w:val="22"/>
                <w:szCs w:val="22"/>
                <w:color w:val="auto"/>
              </w:rPr>
              <w:t>(b)</w:t>
            </w:r>
          </w:p>
        </w:tc>
        <w:tc>
          <w:tcPr>
            <w:tcW w:w="4380" w:type="dxa"/>
            <w:vAlign w:val="bottom"/>
          </w:tcPr>
          <w:p>
            <w:pPr>
              <w:ind w:left="100"/>
              <w:spacing w:after="0" w:line="262" w:lineRule="exact"/>
              <w:rPr>
                <w:sz w:val="20"/>
                <w:szCs w:val="20"/>
                <w:color w:val="auto"/>
              </w:rPr>
            </w:pPr>
            <w:r>
              <w:rPr>
                <w:rFonts w:ascii="Times New Roman" w:cs="Times New Roman" w:eastAsia="Times New Roman" w:hAnsi="Times New Roman"/>
                <w:sz w:val="24"/>
                <w:szCs w:val="24"/>
                <w:color w:val="auto"/>
              </w:rPr>
              <w:t>After issue</w:t>
            </w:r>
          </w:p>
        </w:tc>
        <w:tc>
          <w:tcPr>
            <w:tcW w:w="2000" w:type="dxa"/>
            <w:vAlign w:val="bottom"/>
          </w:tcPr>
          <w:p>
            <w:pPr>
              <w:jc w:val="right"/>
              <w:spacing w:after="0" w:line="262" w:lineRule="exact"/>
              <w:rPr>
                <w:sz w:val="20"/>
                <w:szCs w:val="20"/>
                <w:color w:val="auto"/>
              </w:rPr>
            </w:pPr>
            <w:r>
              <w:rPr>
                <w:rFonts w:ascii="Times New Roman" w:cs="Times New Roman" w:eastAsia="Times New Roman" w:hAnsi="Times New Roman"/>
                <w:sz w:val="24"/>
                <w:szCs w:val="24"/>
                <w:color w:val="auto"/>
              </w:rPr>
              <w:t>` 94.29</w:t>
            </w:r>
          </w:p>
        </w:tc>
      </w:tr>
      <w:tr>
        <w:trPr>
          <w:trHeight w:val="140"/>
        </w:trPr>
        <w:tc>
          <w:tcPr>
            <w:tcW w:w="560" w:type="dxa"/>
            <w:vAlign w:val="bottom"/>
            <w:tcBorders>
              <w:bottom w:val="single" w:sz="8" w:color="808080"/>
            </w:tcBorders>
          </w:tcPr>
          <w:p>
            <w:pPr>
              <w:spacing w:after="0"/>
              <w:rPr>
                <w:sz w:val="12"/>
                <w:szCs w:val="12"/>
                <w:color w:val="auto"/>
              </w:rPr>
            </w:pPr>
          </w:p>
        </w:tc>
        <w:tc>
          <w:tcPr>
            <w:tcW w:w="520" w:type="dxa"/>
            <w:vAlign w:val="bottom"/>
            <w:tcBorders>
              <w:bottom w:val="single" w:sz="8" w:color="808080"/>
            </w:tcBorders>
          </w:tcPr>
          <w:p>
            <w:pPr>
              <w:spacing w:after="0"/>
              <w:rPr>
                <w:sz w:val="12"/>
                <w:szCs w:val="12"/>
                <w:color w:val="auto"/>
              </w:rPr>
            </w:pPr>
          </w:p>
        </w:tc>
        <w:tc>
          <w:tcPr>
            <w:tcW w:w="4380" w:type="dxa"/>
            <w:vAlign w:val="bottom"/>
            <w:tcBorders>
              <w:bottom w:val="single" w:sz="8" w:color="808080"/>
            </w:tcBorders>
          </w:tcPr>
          <w:p>
            <w:pPr>
              <w:spacing w:after="0"/>
              <w:rPr>
                <w:sz w:val="12"/>
                <w:szCs w:val="12"/>
                <w:color w:val="auto"/>
              </w:rPr>
            </w:pPr>
          </w:p>
        </w:tc>
        <w:tc>
          <w:tcPr>
            <w:tcW w:w="2000" w:type="dxa"/>
            <w:vAlign w:val="bottom"/>
            <w:tcBorders>
              <w:bottom w:val="single" w:sz="8" w:color="808080"/>
            </w:tcBorders>
          </w:tcPr>
          <w:p>
            <w:pPr>
              <w:spacing w:after="0"/>
              <w:rPr>
                <w:sz w:val="12"/>
                <w:szCs w:val="12"/>
                <w:color w:val="auto"/>
              </w:rPr>
            </w:pPr>
          </w:p>
        </w:tc>
      </w:tr>
      <w:tr>
        <w:trPr>
          <w:trHeight w:val="263"/>
        </w:trPr>
        <w:tc>
          <w:tcPr>
            <w:tcW w:w="560" w:type="dxa"/>
            <w:vAlign w:val="bottom"/>
          </w:tcPr>
          <w:p>
            <w:pPr>
              <w:spacing w:after="0"/>
              <w:rPr>
                <w:sz w:val="22"/>
                <w:szCs w:val="22"/>
                <w:color w:val="auto"/>
              </w:rPr>
            </w:pPr>
          </w:p>
        </w:tc>
        <w:tc>
          <w:tcPr>
            <w:tcW w:w="520" w:type="dxa"/>
            <w:vAlign w:val="bottom"/>
          </w:tcPr>
          <w:p>
            <w:pPr>
              <w:ind w:left="180"/>
              <w:spacing w:after="0" w:line="262" w:lineRule="exact"/>
              <w:rPr>
                <w:sz w:val="20"/>
                <w:szCs w:val="20"/>
                <w:color w:val="auto"/>
              </w:rPr>
            </w:pPr>
            <w:r>
              <w:rPr>
                <w:rFonts w:ascii="Calibri" w:cs="Calibri" w:eastAsia="Calibri" w:hAnsi="Calibri"/>
                <w:sz w:val="22"/>
                <w:szCs w:val="22"/>
                <w:color w:val="auto"/>
              </w:rPr>
              <w:t>(c)</w:t>
            </w:r>
          </w:p>
        </w:tc>
        <w:tc>
          <w:tcPr>
            <w:tcW w:w="4380" w:type="dxa"/>
            <w:vAlign w:val="bottom"/>
          </w:tcPr>
          <w:p>
            <w:pPr>
              <w:ind w:left="100"/>
              <w:spacing w:after="0" w:line="263" w:lineRule="exact"/>
              <w:rPr>
                <w:sz w:val="20"/>
                <w:szCs w:val="20"/>
                <w:color w:val="auto"/>
              </w:rPr>
            </w:pPr>
            <w:r>
              <w:rPr>
                <w:rFonts w:ascii="Times New Roman" w:cs="Times New Roman" w:eastAsia="Times New Roman" w:hAnsi="Times New Roman"/>
                <w:sz w:val="24"/>
                <w:szCs w:val="24"/>
                <w:color w:val="auto"/>
              </w:rPr>
              <w:t>Issue price</w:t>
            </w:r>
          </w:p>
        </w:tc>
        <w:tc>
          <w:tcPr>
            <w:tcW w:w="2000" w:type="dxa"/>
            <w:vAlign w:val="bottom"/>
          </w:tcPr>
          <w:p>
            <w:pPr>
              <w:jc w:val="right"/>
              <w:spacing w:after="0" w:line="263" w:lineRule="exact"/>
              <w:rPr>
                <w:sz w:val="20"/>
                <w:szCs w:val="20"/>
                <w:color w:val="auto"/>
              </w:rPr>
            </w:pPr>
            <w:r>
              <w:rPr>
                <w:rFonts w:ascii="Times New Roman" w:cs="Times New Roman" w:eastAsia="Times New Roman" w:hAnsi="Times New Roman"/>
                <w:sz w:val="24"/>
                <w:szCs w:val="24"/>
                <w:color w:val="auto"/>
              </w:rPr>
              <w:t>` 520.00</w:t>
            </w:r>
          </w:p>
        </w:tc>
      </w:tr>
    </w:tbl>
    <w:p>
      <w:pPr>
        <w:spacing w:after="0" w:line="157" w:lineRule="exact"/>
        <w:rPr>
          <w:sz w:val="20"/>
          <w:szCs w:val="20"/>
          <w:color w:val="auto"/>
        </w:rPr>
      </w:pPr>
    </w:p>
    <w:p>
      <w:pPr>
        <w:ind w:left="1580" w:right="180" w:firstLine="64"/>
        <w:spacing w:after="0" w:line="350" w:lineRule="auto"/>
        <w:tabs>
          <w:tab w:leader="none" w:pos="1894" w:val="left"/>
        </w:tabs>
        <w:numPr>
          <w:ilvl w:val="1"/>
          <w:numId w:val="808"/>
        </w:numPr>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i w:val="1"/>
          <w:iCs w:val="1"/>
          <w:color w:val="auto"/>
        </w:rPr>
        <w:t>Formula or basis for calculation of these financial ratios to also be disclosed.</w:t>
      </w:r>
    </w:p>
    <w:p>
      <w:pPr>
        <w:spacing w:after="0" w:line="200" w:lineRule="exact"/>
        <w:rPr>
          <w:rFonts w:ascii="Times New Roman" w:cs="Times New Roman" w:eastAsia="Times New Roman" w:hAnsi="Times New Roman"/>
          <w:sz w:val="24"/>
          <w:szCs w:val="24"/>
          <w:i w:val="1"/>
          <w:iCs w:val="1"/>
          <w:color w:val="auto"/>
        </w:rPr>
      </w:pPr>
    </w:p>
    <w:p>
      <w:pPr>
        <w:spacing w:after="0" w:line="216" w:lineRule="exact"/>
        <w:rPr>
          <w:rFonts w:ascii="Times New Roman" w:cs="Times New Roman" w:eastAsia="Times New Roman" w:hAnsi="Times New Roman"/>
          <w:sz w:val="24"/>
          <w:szCs w:val="24"/>
          <w:i w:val="1"/>
          <w:iCs w:val="1"/>
          <w:color w:val="auto"/>
        </w:rPr>
      </w:pPr>
    </w:p>
    <w:p>
      <w:pPr>
        <w:ind w:left="1940" w:hanging="572"/>
        <w:spacing w:after="0"/>
        <w:tabs>
          <w:tab w:leader="none" w:pos="1940" w:val="left"/>
        </w:tabs>
        <w:numPr>
          <w:ilvl w:val="0"/>
          <w:numId w:val="808"/>
        </w:numPr>
        <w:rPr>
          <w:rFonts w:ascii="Calibri" w:cs="Calibri" w:eastAsia="Calibri" w:hAnsi="Calibri"/>
          <w:sz w:val="22"/>
          <w:szCs w:val="22"/>
          <w:color w:val="auto"/>
        </w:rPr>
      </w:pPr>
      <w:r>
        <w:rPr>
          <w:rFonts w:ascii="Times New Roman" w:cs="Times New Roman" w:eastAsia="Times New Roman" w:hAnsi="Times New Roman"/>
          <w:sz w:val="24"/>
          <w:szCs w:val="24"/>
          <w:color w:val="auto"/>
        </w:rPr>
        <w:t>Comparison of accounting ratios of the issuer as mentioned in items (a) to</w:t>
      </w:r>
    </w:p>
    <w:p>
      <w:pPr>
        <w:spacing w:after="0" w:line="151" w:lineRule="exact"/>
        <w:rPr>
          <w:rFonts w:ascii="Calibri" w:cs="Calibri" w:eastAsia="Calibri" w:hAnsi="Calibri"/>
          <w:sz w:val="22"/>
          <w:szCs w:val="22"/>
          <w:color w:val="auto"/>
        </w:rPr>
      </w:pPr>
    </w:p>
    <w:p>
      <w:pPr>
        <w:jc w:val="both"/>
        <w:ind w:left="1940" w:right="180" w:firstLine="5"/>
        <w:spacing w:after="0" w:line="357" w:lineRule="auto"/>
        <w:tabs>
          <w:tab w:leader="none" w:pos="2264" w:val="left"/>
        </w:tabs>
        <w:numPr>
          <w:ilvl w:val="2"/>
          <w:numId w:val="80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above with the industry average and with the accounting ratios of the peer group (i.e. companies of comparable size in the same industry), indicating the source from which industry average and accounting ratios of the peer group has been taken. In this regard, the following shall be ensured:</w:t>
      </w:r>
    </w:p>
    <w:p>
      <w:pPr>
        <w:spacing w:after="0" w:line="33" w:lineRule="exact"/>
        <w:rPr>
          <w:rFonts w:ascii="Times New Roman" w:cs="Times New Roman" w:eastAsia="Times New Roman" w:hAnsi="Times New Roman"/>
          <w:sz w:val="24"/>
          <w:szCs w:val="24"/>
          <w:color w:val="auto"/>
        </w:rPr>
      </w:pPr>
    </w:p>
    <w:p>
      <w:pPr>
        <w:jc w:val="both"/>
        <w:ind w:left="2600" w:right="180" w:hanging="367"/>
        <w:spacing w:after="0" w:line="349" w:lineRule="auto"/>
        <w:tabs>
          <w:tab w:leader="none" w:pos="2600" w:val="left"/>
        </w:tabs>
        <w:numPr>
          <w:ilvl w:val="3"/>
          <w:numId w:val="808"/>
        </w:numPr>
        <w:rPr>
          <w:rFonts w:ascii="Symbol" w:cs="Symbol" w:eastAsia="Symbol" w:hAnsi="Symbol"/>
          <w:sz w:val="24"/>
          <w:szCs w:val="24"/>
          <w:color w:val="auto"/>
        </w:rPr>
      </w:pPr>
      <w:r>
        <w:rPr>
          <w:rFonts w:ascii="Times New Roman" w:cs="Times New Roman" w:eastAsia="Times New Roman" w:hAnsi="Times New Roman"/>
          <w:sz w:val="24"/>
          <w:szCs w:val="24"/>
          <w:color w:val="auto"/>
        </w:rPr>
        <w:t>Consistency in comparison of financial ratios of issuer with companies in the peer group, i.e., ratios on consolidated basis (wherever applicable) of issuer shall be compared with ratios on consolidated basis (wherever applicable) of peer group,</w:t>
      </w:r>
    </w:p>
    <w:p>
      <w:pPr>
        <w:spacing w:after="0" w:line="15" w:lineRule="exact"/>
        <w:rPr>
          <w:sz w:val="20"/>
          <w:szCs w:val="20"/>
          <w:color w:val="auto"/>
        </w:rPr>
      </w:pPr>
    </w:p>
    <w:p>
      <w:pPr>
        <w:ind w:left="2600"/>
        <w:spacing w:after="0"/>
        <w:rPr>
          <w:sz w:val="20"/>
          <w:szCs w:val="20"/>
          <w:color w:val="auto"/>
        </w:rPr>
      </w:pPr>
      <w:r>
        <w:rPr>
          <w:rFonts w:ascii="Times New Roman" w:cs="Times New Roman" w:eastAsia="Times New Roman" w:hAnsi="Times New Roman"/>
          <w:sz w:val="24"/>
          <w:szCs w:val="24"/>
          <w:color w:val="auto"/>
        </w:rPr>
        <w:t>respectively.</w:t>
      </w:r>
    </w:p>
    <w:p>
      <w:pPr>
        <w:spacing w:after="0" w:line="150" w:lineRule="exact"/>
        <w:rPr>
          <w:sz w:val="20"/>
          <w:szCs w:val="20"/>
          <w:color w:val="auto"/>
        </w:rPr>
      </w:pPr>
    </w:p>
    <w:p>
      <w:pPr>
        <w:jc w:val="both"/>
        <w:ind w:left="1940" w:right="180"/>
        <w:spacing w:after="0" w:line="354" w:lineRule="auto"/>
        <w:rPr>
          <w:sz w:val="20"/>
          <w:szCs w:val="20"/>
          <w:color w:val="auto"/>
        </w:rPr>
      </w:pPr>
      <w:r>
        <w:rPr>
          <w:rFonts w:ascii="Times New Roman" w:cs="Times New Roman" w:eastAsia="Times New Roman" w:hAnsi="Times New Roman"/>
          <w:sz w:val="24"/>
          <w:szCs w:val="24"/>
          <w:color w:val="auto"/>
        </w:rPr>
        <w:t>Financial information relating to companies in the peer group shall be extracted from the regulatory filings made by such companies to compute the corresponding financial ratios.</w:t>
      </w:r>
    </w:p>
    <w:p>
      <w:pPr>
        <w:spacing w:after="0" w:line="20" w:lineRule="exact"/>
        <w:rPr>
          <w:sz w:val="20"/>
          <w:szCs w:val="20"/>
          <w:color w:val="auto"/>
        </w:rPr>
      </w:pPr>
    </w:p>
    <w:p>
      <w:pPr>
        <w:jc w:val="both"/>
        <w:ind w:left="1940" w:right="180" w:hanging="572"/>
        <w:spacing w:after="0" w:line="350" w:lineRule="auto"/>
        <w:tabs>
          <w:tab w:leader="none" w:pos="1940" w:val="left"/>
        </w:tabs>
        <w:numPr>
          <w:ilvl w:val="0"/>
          <w:numId w:val="809"/>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fact of dilution of financial ratios consequent upon issue of bonus shares, if any, and justification of the issue price after taking into account the diluted ratios with reference to the expanded capital.</w:t>
      </w:r>
    </w:p>
    <w:p>
      <w:pPr>
        <w:spacing w:after="0" w:line="5" w:lineRule="exact"/>
        <w:rPr>
          <w:rFonts w:ascii="Calibri" w:cs="Calibri" w:eastAsia="Calibri" w:hAnsi="Calibri"/>
          <w:sz w:val="22"/>
          <w:szCs w:val="22"/>
          <w:color w:val="auto"/>
        </w:rPr>
      </w:pPr>
    </w:p>
    <w:p>
      <w:pPr>
        <w:ind w:left="1940" w:hanging="572"/>
        <w:spacing w:after="0"/>
        <w:tabs>
          <w:tab w:leader="none" w:pos="1940" w:val="left"/>
        </w:tabs>
        <w:numPr>
          <w:ilvl w:val="0"/>
          <w:numId w:val="809"/>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following statement in case of a book built issue :</w:t>
      </w:r>
    </w:p>
    <w:p>
      <w:pPr>
        <w:spacing w:after="0" w:line="149" w:lineRule="exact"/>
        <w:rPr>
          <w:rFonts w:ascii="Calibri" w:cs="Calibri" w:eastAsia="Calibri" w:hAnsi="Calibri"/>
          <w:sz w:val="22"/>
          <w:szCs w:val="22"/>
          <w:color w:val="auto"/>
        </w:rPr>
      </w:pPr>
    </w:p>
    <w:p>
      <w:pPr>
        <w:ind w:left="1940" w:right="180"/>
        <w:spacing w:after="0" w:line="350" w:lineRule="auto"/>
        <w:rPr>
          <w:rFonts w:ascii="Calibri" w:cs="Calibri" w:eastAsia="Calibri" w:hAnsi="Calibri"/>
          <w:sz w:val="22"/>
          <w:szCs w:val="22"/>
          <w:color w:val="auto"/>
        </w:rPr>
      </w:pPr>
      <w:r>
        <w:rPr>
          <w:rFonts w:ascii="Times New Roman" w:cs="Times New Roman" w:eastAsia="Times New Roman" w:hAnsi="Times New Roman"/>
          <w:sz w:val="24"/>
          <w:szCs w:val="24"/>
          <w:color w:val="auto"/>
        </w:rPr>
        <w:t>"The price band/floor price/issue price has been determined by the issuer in consultation with the lead manager(s), on the basis of book-building."</w:t>
      </w:r>
    </w:p>
    <w:p>
      <w:pPr>
        <w:spacing w:after="0" w:line="4" w:lineRule="exact"/>
        <w:rPr>
          <w:rFonts w:ascii="Calibri" w:cs="Calibri" w:eastAsia="Calibri" w:hAnsi="Calibri"/>
          <w:sz w:val="22"/>
          <w:szCs w:val="22"/>
          <w:color w:val="auto"/>
        </w:rPr>
      </w:pPr>
    </w:p>
    <w:p>
      <w:pPr>
        <w:ind w:left="1940" w:hanging="572"/>
        <w:spacing w:after="0"/>
        <w:tabs>
          <w:tab w:leader="none" w:pos="1940" w:val="left"/>
        </w:tabs>
        <w:numPr>
          <w:ilvl w:val="0"/>
          <w:numId w:val="809"/>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following statement In case of a fixed price issue :</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jc w:val="center"/>
        <w:ind w:right="480"/>
        <w:spacing w:after="0"/>
        <w:rPr>
          <w:sz w:val="20"/>
          <w:szCs w:val="20"/>
          <w:color w:val="auto"/>
        </w:rPr>
      </w:pPr>
      <w:r>
        <w:rPr>
          <w:rFonts w:ascii="Times New Roman" w:cs="Times New Roman" w:eastAsia="Times New Roman" w:hAnsi="Times New Roman"/>
          <w:sz w:val="24"/>
          <w:szCs w:val="24"/>
          <w:color w:val="auto"/>
        </w:rPr>
        <w:t>216</w:t>
      </w:r>
    </w:p>
    <w:p>
      <w:pPr>
        <w:sectPr>
          <w:pgSz w:w="11900" w:h="16836" w:orient="portrait"/>
          <w:cols w:equalWidth="0" w:num="1">
            <w:col w:w="9360"/>
          </w:cols>
          <w:pgMar w:left="1440" w:top="1158" w:right="1104" w:bottom="103" w:gutter="0" w:footer="0" w:header="0"/>
        </w:sectPr>
      </w:pPr>
    </w:p>
    <w:bookmarkStart w:id="216" w:name="page217"/>
    <w:bookmarkEnd w:id="216"/>
    <w:p>
      <w:pPr>
        <w:jc w:val="both"/>
        <w:ind w:left="2228"/>
        <w:spacing w:after="0" w:line="354" w:lineRule="auto"/>
        <w:rPr>
          <w:sz w:val="20"/>
          <w:szCs w:val="20"/>
          <w:color w:val="auto"/>
        </w:rPr>
      </w:pPr>
      <w:r>
        <w:rPr>
          <w:rFonts w:ascii="Times New Roman" w:cs="Times New Roman" w:eastAsia="Times New Roman" w:hAnsi="Times New Roman"/>
          <w:sz w:val="24"/>
          <w:szCs w:val="24"/>
          <w:color w:val="auto"/>
        </w:rPr>
        <w:t>"The issue price has been determined by the issuer in consultation with the lead manager(s) and justified by the issuer in consultation with the lead manager(s) on the basis of the above information.”</w:t>
      </w:r>
    </w:p>
    <w:p>
      <w:pPr>
        <w:spacing w:after="0" w:line="20" w:lineRule="exact"/>
        <w:rPr>
          <w:sz w:val="20"/>
          <w:szCs w:val="20"/>
          <w:color w:val="auto"/>
        </w:rPr>
      </w:pPr>
    </w:p>
    <w:p>
      <w:pPr>
        <w:jc w:val="both"/>
        <w:ind w:left="2228" w:hanging="572"/>
        <w:spacing w:after="0" w:line="355" w:lineRule="auto"/>
        <w:tabs>
          <w:tab w:leader="none" w:pos="2228" w:val="left"/>
        </w:tabs>
        <w:numPr>
          <w:ilvl w:val="5"/>
          <w:numId w:val="810"/>
        </w:numPr>
        <w:rPr>
          <w:rFonts w:ascii="Calibri" w:cs="Calibri" w:eastAsia="Calibri" w:hAnsi="Calibri"/>
          <w:sz w:val="22"/>
          <w:szCs w:val="22"/>
          <w:color w:val="auto"/>
        </w:rPr>
      </w:pPr>
      <w:r>
        <w:rPr>
          <w:rFonts w:ascii="Times New Roman" w:cs="Times New Roman" w:eastAsia="Times New Roman" w:hAnsi="Times New Roman"/>
          <w:sz w:val="24"/>
          <w:szCs w:val="24"/>
          <w:color w:val="auto"/>
        </w:rPr>
        <w:t>Accounting ratios in support of basis of the issue price shall be calculated after giving effect to the consequent increase in capital on account of compulsory conversions outstanding, as well as on the assumption that the options outstanding, if any, to subscribe for additional capital will be exercised.</w:t>
      </w:r>
    </w:p>
    <w:p>
      <w:pPr>
        <w:spacing w:after="0" w:line="20" w:lineRule="exact"/>
        <w:rPr>
          <w:rFonts w:ascii="Calibri" w:cs="Calibri" w:eastAsia="Calibri" w:hAnsi="Calibri"/>
          <w:sz w:val="22"/>
          <w:szCs w:val="22"/>
          <w:color w:val="auto"/>
        </w:rPr>
      </w:pPr>
    </w:p>
    <w:p>
      <w:pPr>
        <w:jc w:val="both"/>
        <w:ind w:left="1448" w:hanging="728"/>
        <w:spacing w:after="0" w:line="357" w:lineRule="auto"/>
        <w:tabs>
          <w:tab w:leader="none" w:pos="1448" w:val="left"/>
        </w:tabs>
        <w:numPr>
          <w:ilvl w:val="3"/>
          <w:numId w:val="8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Issue of debt instruments bearing interest less than the bank rate: Whenever fully convertible debt instruments are issued bearing interest at a rate less than the bank rate, disclosures about the price that would work out to the investor, taking into account the notional interest loss on the investment from the date of allotment of fully convertible debt instruments to the date(s) of conversions).</w:t>
      </w:r>
    </w:p>
    <w:p>
      <w:pPr>
        <w:spacing w:after="0" w:line="200" w:lineRule="exact"/>
        <w:rPr>
          <w:rFonts w:ascii="Times New Roman" w:cs="Times New Roman" w:eastAsia="Times New Roman" w:hAnsi="Times New Roman"/>
          <w:sz w:val="24"/>
          <w:szCs w:val="24"/>
          <w:color w:val="auto"/>
        </w:rPr>
      </w:pPr>
    </w:p>
    <w:p>
      <w:pPr>
        <w:spacing w:after="0" w:line="231" w:lineRule="exact"/>
        <w:rPr>
          <w:rFonts w:ascii="Times New Roman" w:cs="Times New Roman" w:eastAsia="Times New Roman" w:hAnsi="Times New Roman"/>
          <w:sz w:val="24"/>
          <w:szCs w:val="24"/>
          <w:color w:val="auto"/>
        </w:rPr>
      </w:pPr>
    </w:p>
    <w:p>
      <w:pPr>
        <w:jc w:val="both"/>
        <w:ind w:left="508" w:hanging="364"/>
        <w:spacing w:after="0" w:line="353" w:lineRule="auto"/>
        <w:tabs>
          <w:tab w:leader="none" w:pos="508" w:val="left"/>
        </w:tabs>
        <w:numPr>
          <w:ilvl w:val="1"/>
          <w:numId w:val="812"/>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 xml:space="preserve">Tax Benefits: </w:t>
      </w:r>
      <w:r>
        <w:rPr>
          <w:rFonts w:ascii="Times New Roman" w:cs="Times New Roman" w:eastAsia="Times New Roman" w:hAnsi="Times New Roman"/>
          <w:sz w:val="24"/>
          <w:szCs w:val="24"/>
          <w:color w:val="auto"/>
        </w:rPr>
        <w:t>Any special tax benefits (under direct and indirect tax laws) for the issuer and</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its shareholders and its material subsidiaries identified in accordance with the Securities and Exchange Board of India (Listing Obligations and Disclosure Requirements) Regulations, 2015.</w:t>
      </w:r>
    </w:p>
    <w:p>
      <w:pPr>
        <w:spacing w:after="0" w:line="200" w:lineRule="exact"/>
        <w:rPr>
          <w:rFonts w:ascii="Calibri" w:cs="Calibri" w:eastAsia="Calibri" w:hAnsi="Calibri"/>
          <w:sz w:val="22"/>
          <w:szCs w:val="22"/>
          <w:color w:val="auto"/>
        </w:rPr>
      </w:pPr>
    </w:p>
    <w:p>
      <w:pPr>
        <w:spacing w:after="0" w:line="227" w:lineRule="exact"/>
        <w:rPr>
          <w:rFonts w:ascii="Calibri" w:cs="Calibri" w:eastAsia="Calibri" w:hAnsi="Calibri"/>
          <w:sz w:val="22"/>
          <w:szCs w:val="22"/>
          <w:color w:val="auto"/>
        </w:rPr>
      </w:pPr>
    </w:p>
    <w:p>
      <w:pPr>
        <w:ind w:left="728" w:hanging="728"/>
        <w:spacing w:after="0"/>
        <w:tabs>
          <w:tab w:leader="none" w:pos="728" w:val="left"/>
        </w:tabs>
        <w:numPr>
          <w:ilvl w:val="0"/>
          <w:numId w:val="813"/>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b w:val="1"/>
          <w:bCs w:val="1"/>
          <w:color w:val="auto"/>
        </w:rPr>
        <w:t>About the Issuer:</w:t>
      </w:r>
    </w:p>
    <w:p>
      <w:pPr>
        <w:spacing w:after="0" w:line="132" w:lineRule="exact"/>
        <w:rPr>
          <w:rFonts w:ascii="Times New Roman" w:cs="Times New Roman" w:eastAsia="Times New Roman" w:hAnsi="Times New Roman"/>
          <w:sz w:val="22"/>
          <w:szCs w:val="22"/>
          <w:color w:val="auto"/>
        </w:rPr>
      </w:pPr>
    </w:p>
    <w:p>
      <w:pPr>
        <w:ind w:left="728" w:hanging="368"/>
        <w:spacing w:after="0"/>
        <w:tabs>
          <w:tab w:leader="none" w:pos="728" w:val="left"/>
        </w:tabs>
        <w:numPr>
          <w:ilvl w:val="2"/>
          <w:numId w:val="813"/>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Industry Overview</w:t>
      </w:r>
    </w:p>
    <w:p>
      <w:pPr>
        <w:spacing w:after="0" w:line="129" w:lineRule="exact"/>
        <w:rPr>
          <w:rFonts w:ascii="Calibri" w:cs="Calibri" w:eastAsia="Calibri" w:hAnsi="Calibri"/>
          <w:sz w:val="22"/>
          <w:szCs w:val="22"/>
          <w:color w:val="auto"/>
        </w:rPr>
      </w:pPr>
    </w:p>
    <w:p>
      <w:pPr>
        <w:ind w:left="728" w:hanging="368"/>
        <w:spacing w:after="0"/>
        <w:tabs>
          <w:tab w:leader="none" w:pos="728" w:val="left"/>
        </w:tabs>
        <w:numPr>
          <w:ilvl w:val="2"/>
          <w:numId w:val="813"/>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Business Overview</w:t>
      </w:r>
    </w:p>
    <w:p>
      <w:pPr>
        <w:spacing w:after="0" w:line="132" w:lineRule="exact"/>
        <w:rPr>
          <w:rFonts w:ascii="Calibri" w:cs="Calibri" w:eastAsia="Calibri" w:hAnsi="Calibri"/>
          <w:sz w:val="22"/>
          <w:szCs w:val="22"/>
          <w:color w:val="auto"/>
        </w:rPr>
      </w:pPr>
    </w:p>
    <w:p>
      <w:pPr>
        <w:ind w:left="1448" w:hanging="728"/>
        <w:spacing w:after="0"/>
        <w:tabs>
          <w:tab w:leader="none" w:pos="1448" w:val="left"/>
        </w:tabs>
        <w:numPr>
          <w:ilvl w:val="3"/>
          <w:numId w:val="813"/>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Details of the business of the issuer:</w:t>
      </w:r>
    </w:p>
    <w:p>
      <w:pPr>
        <w:spacing w:after="0" w:line="125" w:lineRule="exact"/>
        <w:rPr>
          <w:rFonts w:ascii="Calibri" w:cs="Calibri" w:eastAsia="Calibri" w:hAnsi="Calibri"/>
          <w:sz w:val="22"/>
          <w:szCs w:val="22"/>
          <w:color w:val="auto"/>
        </w:rPr>
      </w:pPr>
    </w:p>
    <w:p>
      <w:pPr>
        <w:ind w:left="2008" w:hanging="568"/>
        <w:spacing w:after="0"/>
        <w:tabs>
          <w:tab w:leader="none" w:pos="2008" w:val="left"/>
        </w:tabs>
        <w:numPr>
          <w:ilvl w:val="4"/>
          <w:numId w:val="813"/>
        </w:numPr>
        <w:rPr>
          <w:rFonts w:ascii="Calibri" w:cs="Calibri" w:eastAsia="Calibri" w:hAnsi="Calibri"/>
          <w:sz w:val="22"/>
          <w:szCs w:val="22"/>
          <w:color w:val="auto"/>
        </w:rPr>
      </w:pPr>
      <w:r>
        <w:rPr>
          <w:rFonts w:ascii="Times New Roman" w:cs="Times New Roman" w:eastAsia="Times New Roman" w:hAnsi="Times New Roman"/>
          <w:sz w:val="24"/>
          <w:szCs w:val="24"/>
          <w:color w:val="auto"/>
        </w:rPr>
        <w:t>Primary business of the Issuer;</w:t>
      </w:r>
    </w:p>
    <w:p>
      <w:pPr>
        <w:spacing w:after="0" w:line="132" w:lineRule="exact"/>
        <w:rPr>
          <w:rFonts w:ascii="Calibri" w:cs="Calibri" w:eastAsia="Calibri" w:hAnsi="Calibri"/>
          <w:sz w:val="22"/>
          <w:szCs w:val="22"/>
          <w:color w:val="auto"/>
        </w:rPr>
      </w:pPr>
    </w:p>
    <w:p>
      <w:pPr>
        <w:ind w:left="2008" w:hanging="568"/>
        <w:spacing w:after="0"/>
        <w:tabs>
          <w:tab w:leader="none" w:pos="2008" w:val="left"/>
        </w:tabs>
        <w:numPr>
          <w:ilvl w:val="4"/>
          <w:numId w:val="813"/>
        </w:numPr>
        <w:rPr>
          <w:rFonts w:ascii="Calibri" w:cs="Calibri" w:eastAsia="Calibri" w:hAnsi="Calibri"/>
          <w:sz w:val="22"/>
          <w:szCs w:val="22"/>
          <w:color w:val="auto"/>
        </w:rPr>
      </w:pPr>
      <w:r>
        <w:rPr>
          <w:rFonts w:ascii="Times New Roman" w:cs="Times New Roman" w:eastAsia="Times New Roman" w:hAnsi="Times New Roman"/>
          <w:sz w:val="24"/>
          <w:szCs w:val="24"/>
          <w:color w:val="auto"/>
        </w:rPr>
        <w:t>Plant, machinery, technology, process, etc.</w:t>
      </w:r>
    </w:p>
    <w:p>
      <w:pPr>
        <w:spacing w:after="0" w:line="149" w:lineRule="exact"/>
        <w:rPr>
          <w:rFonts w:ascii="Calibri" w:cs="Calibri" w:eastAsia="Calibri" w:hAnsi="Calibri"/>
          <w:sz w:val="22"/>
          <w:szCs w:val="22"/>
          <w:color w:val="auto"/>
        </w:rPr>
      </w:pPr>
    </w:p>
    <w:p>
      <w:pPr>
        <w:jc w:val="both"/>
        <w:ind w:left="2008" w:hanging="568"/>
        <w:spacing w:after="0" w:line="350" w:lineRule="auto"/>
        <w:tabs>
          <w:tab w:leader="none" w:pos="2008" w:val="left"/>
        </w:tabs>
        <w:numPr>
          <w:ilvl w:val="4"/>
          <w:numId w:val="813"/>
        </w:numPr>
        <w:rPr>
          <w:rFonts w:ascii="Calibri" w:cs="Calibri" w:eastAsia="Calibri" w:hAnsi="Calibri"/>
          <w:sz w:val="22"/>
          <w:szCs w:val="22"/>
          <w:color w:val="auto"/>
        </w:rPr>
      </w:pPr>
      <w:r>
        <w:rPr>
          <w:rFonts w:ascii="Times New Roman" w:cs="Times New Roman" w:eastAsia="Times New Roman" w:hAnsi="Times New Roman"/>
          <w:sz w:val="24"/>
          <w:szCs w:val="24"/>
          <w:color w:val="auto"/>
        </w:rPr>
        <w:t>Description of subsisting collaborations,, any performance guarantee or assistance in marketing by the collaborators, infrastructure facilities for raw materials and utilities like water, electricity, etc.</w:t>
      </w:r>
    </w:p>
    <w:p>
      <w:pPr>
        <w:spacing w:after="0" w:line="5" w:lineRule="exact"/>
        <w:rPr>
          <w:rFonts w:ascii="Calibri" w:cs="Calibri" w:eastAsia="Calibri" w:hAnsi="Calibri"/>
          <w:sz w:val="22"/>
          <w:szCs w:val="22"/>
          <w:color w:val="auto"/>
        </w:rPr>
      </w:pPr>
    </w:p>
    <w:p>
      <w:pPr>
        <w:ind w:left="2008" w:hanging="568"/>
        <w:spacing w:after="0"/>
        <w:tabs>
          <w:tab w:leader="none" w:pos="2008" w:val="left"/>
        </w:tabs>
        <w:numPr>
          <w:ilvl w:val="4"/>
          <w:numId w:val="813"/>
        </w:numPr>
        <w:rPr>
          <w:rFonts w:ascii="Calibri" w:cs="Calibri" w:eastAsia="Calibri" w:hAnsi="Calibri"/>
          <w:sz w:val="22"/>
          <w:szCs w:val="22"/>
          <w:color w:val="auto"/>
        </w:rPr>
      </w:pPr>
      <w:r>
        <w:rPr>
          <w:rFonts w:ascii="Times New Roman" w:cs="Times New Roman" w:eastAsia="Times New Roman" w:hAnsi="Times New Roman"/>
          <w:sz w:val="24"/>
          <w:szCs w:val="24"/>
          <w:color w:val="auto"/>
        </w:rPr>
        <w:t>Products or services of the issuer:</w:t>
      </w:r>
    </w:p>
    <w:p>
      <w:pPr>
        <w:spacing w:after="0" w:line="136" w:lineRule="exact"/>
        <w:rPr>
          <w:rFonts w:ascii="Calibri" w:cs="Calibri" w:eastAsia="Calibri" w:hAnsi="Calibri"/>
          <w:sz w:val="22"/>
          <w:szCs w:val="22"/>
          <w:color w:val="auto"/>
        </w:rPr>
      </w:pPr>
    </w:p>
    <w:p>
      <w:pPr>
        <w:ind w:left="2948" w:hanging="715"/>
        <w:spacing w:after="0"/>
        <w:tabs>
          <w:tab w:leader="none" w:pos="2948" w:val="left"/>
        </w:tabs>
        <w:numPr>
          <w:ilvl w:val="6"/>
          <w:numId w:val="8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Nature of the product(s)/services, and the end users.</w:t>
      </w:r>
    </w:p>
    <w:p>
      <w:pPr>
        <w:spacing w:after="0" w:line="139" w:lineRule="exact"/>
        <w:rPr>
          <w:rFonts w:ascii="Times New Roman" w:cs="Times New Roman" w:eastAsia="Times New Roman" w:hAnsi="Times New Roman"/>
          <w:sz w:val="24"/>
          <w:szCs w:val="24"/>
          <w:color w:val="auto"/>
        </w:rPr>
      </w:pPr>
    </w:p>
    <w:p>
      <w:pPr>
        <w:ind w:left="2948" w:hanging="715"/>
        <w:spacing w:after="0"/>
        <w:tabs>
          <w:tab w:leader="none" w:pos="2948" w:val="left"/>
        </w:tabs>
        <w:numPr>
          <w:ilvl w:val="6"/>
          <w:numId w:val="8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Approach to marketing of products and services</w:t>
      </w:r>
    </w:p>
    <w:p>
      <w:pPr>
        <w:spacing w:after="0" w:line="200" w:lineRule="exact"/>
        <w:rPr>
          <w:rFonts w:ascii="Times New Roman" w:cs="Times New Roman" w:eastAsia="Times New Roman" w:hAnsi="Times New Roman"/>
          <w:sz w:val="24"/>
          <w:szCs w:val="24"/>
          <w:color w:val="auto"/>
        </w:rPr>
      </w:pPr>
    </w:p>
    <w:p>
      <w:pPr>
        <w:spacing w:after="0" w:line="364" w:lineRule="exact"/>
        <w:rPr>
          <w:rFonts w:ascii="Times New Roman" w:cs="Times New Roman" w:eastAsia="Times New Roman" w:hAnsi="Times New Roman"/>
          <w:sz w:val="24"/>
          <w:szCs w:val="24"/>
          <w:color w:val="auto"/>
        </w:rPr>
      </w:pPr>
    </w:p>
    <w:p>
      <w:pPr>
        <w:ind w:left="1448" w:hanging="728"/>
        <w:spacing w:after="0" w:line="342" w:lineRule="auto"/>
        <w:tabs>
          <w:tab w:leader="none" w:pos="1448" w:val="left"/>
        </w:tabs>
        <w:numPr>
          <w:ilvl w:val="3"/>
          <w:numId w:val="813"/>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 xml:space="preserve">Business Strategy: </w:t>
      </w:r>
      <w:r>
        <w:rPr>
          <w:rFonts w:ascii="Times New Roman" w:cs="Times New Roman" w:eastAsia="Times New Roman" w:hAnsi="Times New Roman"/>
          <w:sz w:val="24"/>
          <w:szCs w:val="24"/>
          <w:color w:val="auto"/>
        </w:rPr>
        <w:t>Description of the business strategy of the issuer, without any</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forecast of projections relating to the financial performance of the issuer</w:t>
      </w: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217</w:t>
      </w:r>
    </w:p>
    <w:p>
      <w:pPr>
        <w:sectPr>
          <w:pgSz w:w="11900" w:h="16836" w:orient="portrait"/>
          <w:cols w:equalWidth="0" w:num="1">
            <w:col w:w="9468"/>
          </w:cols>
          <w:pgMar w:left="1152" w:top="1156" w:right="1284" w:bottom="103" w:gutter="0" w:footer="0" w:header="0"/>
        </w:sectPr>
      </w:pPr>
    </w:p>
    <w:bookmarkStart w:id="217" w:name="page218"/>
    <w:bookmarkEnd w:id="217"/>
    <w:p>
      <w:pPr>
        <w:jc w:val="both"/>
        <w:ind w:left="1160" w:hanging="728"/>
        <w:spacing w:after="0" w:line="350" w:lineRule="auto"/>
        <w:tabs>
          <w:tab w:leader="none" w:pos="1160" w:val="left"/>
        </w:tabs>
        <w:numPr>
          <w:ilvl w:val="1"/>
          <w:numId w:val="814"/>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Capacity and Capacity Utilisation</w:t>
      </w:r>
      <w:r>
        <w:rPr>
          <w:rFonts w:ascii="Times New Roman" w:cs="Times New Roman" w:eastAsia="Times New Roman" w:hAnsi="Times New Roman"/>
          <w:sz w:val="24"/>
          <w:szCs w:val="24"/>
          <w:color w:val="auto"/>
        </w:rPr>
        <w:t>: A table shall be incorporated giving the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existing installed capacities for each product, capacity utilisation for such products in the previous three years.</w:t>
      </w:r>
    </w:p>
    <w:p>
      <w:pPr>
        <w:spacing w:after="0" w:line="200" w:lineRule="exact"/>
        <w:rPr>
          <w:rFonts w:ascii="Calibri" w:cs="Calibri" w:eastAsia="Calibri" w:hAnsi="Calibri"/>
          <w:sz w:val="22"/>
          <w:szCs w:val="22"/>
          <w:color w:val="auto"/>
        </w:rPr>
      </w:pPr>
    </w:p>
    <w:p>
      <w:pPr>
        <w:spacing w:after="0" w:line="223" w:lineRule="exact"/>
        <w:rPr>
          <w:rFonts w:ascii="Calibri" w:cs="Calibri" w:eastAsia="Calibri" w:hAnsi="Calibri"/>
          <w:sz w:val="22"/>
          <w:szCs w:val="22"/>
          <w:color w:val="auto"/>
        </w:rPr>
      </w:pPr>
    </w:p>
    <w:p>
      <w:pPr>
        <w:ind w:left="1160" w:hanging="728"/>
        <w:spacing w:after="0"/>
        <w:tabs>
          <w:tab w:leader="none" w:pos="1160" w:val="left"/>
        </w:tabs>
        <w:numPr>
          <w:ilvl w:val="1"/>
          <w:numId w:val="814"/>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Intellectual Property Rights:</w:t>
      </w:r>
    </w:p>
    <w:p>
      <w:pPr>
        <w:spacing w:after="0" w:line="144" w:lineRule="exact"/>
        <w:rPr>
          <w:rFonts w:ascii="Calibri" w:cs="Calibri" w:eastAsia="Calibri" w:hAnsi="Calibri"/>
          <w:sz w:val="22"/>
          <w:szCs w:val="22"/>
          <w:color w:val="auto"/>
        </w:rPr>
      </w:pPr>
    </w:p>
    <w:p>
      <w:pPr>
        <w:jc w:val="both"/>
        <w:ind w:left="1940" w:hanging="788"/>
        <w:spacing w:after="0" w:line="350" w:lineRule="auto"/>
        <w:tabs>
          <w:tab w:leader="none" w:pos="1940" w:val="left"/>
        </w:tabs>
        <w:numPr>
          <w:ilvl w:val="2"/>
          <w:numId w:val="814"/>
        </w:numPr>
        <w:rPr>
          <w:rFonts w:ascii="Calibri" w:cs="Calibri" w:eastAsia="Calibri" w:hAnsi="Calibri"/>
          <w:sz w:val="22"/>
          <w:szCs w:val="22"/>
          <w:color w:val="auto"/>
        </w:rPr>
      </w:pPr>
      <w:r>
        <w:rPr>
          <w:rFonts w:ascii="Times New Roman" w:cs="Times New Roman" w:eastAsia="Times New Roman" w:hAnsi="Times New Roman"/>
          <w:sz w:val="24"/>
          <w:szCs w:val="24"/>
          <w:color w:val="auto"/>
        </w:rPr>
        <w:t>If the issuer is entitled to certain intellectual property rights such as trademarks, brand names, etc. whether the same are legally held by the issuer and whether all formalities in this regard have been complied with.</w:t>
      </w:r>
    </w:p>
    <w:p>
      <w:pPr>
        <w:spacing w:after="0" w:line="25" w:lineRule="exact"/>
        <w:rPr>
          <w:rFonts w:ascii="Calibri" w:cs="Calibri" w:eastAsia="Calibri" w:hAnsi="Calibri"/>
          <w:sz w:val="22"/>
          <w:szCs w:val="22"/>
          <w:color w:val="auto"/>
        </w:rPr>
      </w:pPr>
    </w:p>
    <w:p>
      <w:pPr>
        <w:ind w:left="1940" w:hanging="788"/>
        <w:spacing w:after="0" w:line="367" w:lineRule="auto"/>
        <w:tabs>
          <w:tab w:leader="none" w:pos="1940" w:val="left"/>
        </w:tabs>
        <w:numPr>
          <w:ilvl w:val="2"/>
          <w:numId w:val="814"/>
        </w:numPr>
        <w:rPr>
          <w:rFonts w:ascii="Calibri" w:cs="Calibri" w:eastAsia="Calibri" w:hAnsi="Calibri"/>
          <w:sz w:val="21"/>
          <w:szCs w:val="21"/>
          <w:color w:val="auto"/>
        </w:rPr>
      </w:pPr>
      <w:r>
        <w:rPr>
          <w:rFonts w:ascii="Times New Roman" w:cs="Times New Roman" w:eastAsia="Times New Roman" w:hAnsi="Times New Roman"/>
          <w:sz w:val="23"/>
          <w:szCs w:val="23"/>
          <w:color w:val="auto"/>
        </w:rPr>
        <w:t>In case any of the material intellectual property rights are not registered in the name of the issuer, the name of the entity with which these are registered.</w:t>
      </w:r>
    </w:p>
    <w:p>
      <w:pPr>
        <w:spacing w:after="0" w:line="8" w:lineRule="exact"/>
        <w:rPr>
          <w:rFonts w:ascii="Calibri" w:cs="Calibri" w:eastAsia="Calibri" w:hAnsi="Calibri"/>
          <w:sz w:val="21"/>
          <w:szCs w:val="21"/>
          <w:color w:val="auto"/>
        </w:rPr>
      </w:pPr>
    </w:p>
    <w:p>
      <w:pPr>
        <w:jc w:val="both"/>
        <w:ind w:left="1940" w:hanging="788"/>
        <w:spacing w:after="0" w:line="370" w:lineRule="auto"/>
        <w:tabs>
          <w:tab w:leader="none" w:pos="1940" w:val="left"/>
        </w:tabs>
        <w:numPr>
          <w:ilvl w:val="2"/>
          <w:numId w:val="814"/>
        </w:numPr>
        <w:rPr>
          <w:rFonts w:ascii="Calibri" w:cs="Calibri" w:eastAsia="Calibri" w:hAnsi="Calibri"/>
          <w:sz w:val="21"/>
          <w:szCs w:val="21"/>
          <w:color w:val="auto"/>
        </w:rPr>
      </w:pPr>
      <w:r>
        <w:rPr>
          <w:rFonts w:ascii="Times New Roman" w:cs="Times New Roman" w:eastAsia="Times New Roman" w:hAnsi="Times New Roman"/>
          <w:sz w:val="23"/>
          <w:szCs w:val="23"/>
          <w:color w:val="auto"/>
        </w:rPr>
        <w:t>In case the intellectual property rights are registered in the name of an entity in which the promoters are interested, the salient features of the agreement entered into for the use of the intellectual property rights by the issuer.</w:t>
      </w:r>
    </w:p>
    <w:p>
      <w:pPr>
        <w:spacing w:after="0" w:line="200" w:lineRule="exact"/>
        <w:rPr>
          <w:rFonts w:ascii="Calibri" w:cs="Calibri" w:eastAsia="Calibri" w:hAnsi="Calibri"/>
          <w:sz w:val="21"/>
          <w:szCs w:val="21"/>
          <w:color w:val="auto"/>
        </w:rPr>
      </w:pPr>
    </w:p>
    <w:p>
      <w:pPr>
        <w:spacing w:after="0" w:line="203" w:lineRule="exact"/>
        <w:rPr>
          <w:rFonts w:ascii="Calibri" w:cs="Calibri" w:eastAsia="Calibri" w:hAnsi="Calibri"/>
          <w:sz w:val="21"/>
          <w:szCs w:val="21"/>
          <w:color w:val="auto"/>
        </w:rPr>
      </w:pPr>
    </w:p>
    <w:p>
      <w:pPr>
        <w:ind w:left="1160" w:hanging="728"/>
        <w:spacing w:after="0"/>
        <w:tabs>
          <w:tab w:leader="none" w:pos="1160" w:val="left"/>
        </w:tabs>
        <w:numPr>
          <w:ilvl w:val="1"/>
          <w:numId w:val="814"/>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 xml:space="preserve">Property: </w:t>
      </w:r>
      <w:r>
        <w:rPr>
          <w:rFonts w:ascii="Times New Roman" w:cs="Times New Roman" w:eastAsia="Times New Roman" w:hAnsi="Times New Roman"/>
          <w:sz w:val="24"/>
          <w:szCs w:val="24"/>
          <w:color w:val="auto"/>
        </w:rPr>
        <w:t>Details of its material properties</w:t>
      </w:r>
    </w:p>
    <w:p>
      <w:pPr>
        <w:spacing w:after="0" w:line="200" w:lineRule="exact"/>
        <w:rPr>
          <w:rFonts w:ascii="Calibri" w:cs="Calibri" w:eastAsia="Calibri" w:hAnsi="Calibri"/>
          <w:sz w:val="22"/>
          <w:szCs w:val="22"/>
          <w:color w:val="auto"/>
        </w:rPr>
      </w:pPr>
    </w:p>
    <w:p>
      <w:pPr>
        <w:spacing w:after="0" w:line="350" w:lineRule="exact"/>
        <w:rPr>
          <w:rFonts w:ascii="Calibri" w:cs="Calibri" w:eastAsia="Calibri" w:hAnsi="Calibri"/>
          <w:sz w:val="22"/>
          <w:szCs w:val="22"/>
          <w:color w:val="auto"/>
        </w:rPr>
      </w:pPr>
    </w:p>
    <w:p>
      <w:pPr>
        <w:ind w:left="440" w:hanging="368"/>
        <w:spacing w:after="0"/>
        <w:tabs>
          <w:tab w:leader="none" w:pos="440" w:val="left"/>
        </w:tabs>
        <w:numPr>
          <w:ilvl w:val="0"/>
          <w:numId w:val="815"/>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Key Industry-Regulations (if applicable):</w:t>
      </w:r>
    </w:p>
    <w:p>
      <w:pPr>
        <w:spacing w:after="0" w:line="200" w:lineRule="exact"/>
        <w:rPr>
          <w:rFonts w:ascii="Calibri" w:cs="Calibri" w:eastAsia="Calibri" w:hAnsi="Calibri"/>
          <w:sz w:val="22"/>
          <w:szCs w:val="22"/>
          <w:color w:val="auto"/>
        </w:rPr>
      </w:pPr>
    </w:p>
    <w:p>
      <w:pPr>
        <w:spacing w:after="0" w:line="344" w:lineRule="exact"/>
        <w:rPr>
          <w:rFonts w:ascii="Calibri" w:cs="Calibri" w:eastAsia="Calibri" w:hAnsi="Calibri"/>
          <w:sz w:val="22"/>
          <w:szCs w:val="22"/>
          <w:color w:val="auto"/>
        </w:rPr>
      </w:pPr>
    </w:p>
    <w:p>
      <w:pPr>
        <w:ind w:left="440" w:hanging="368"/>
        <w:spacing w:after="0"/>
        <w:tabs>
          <w:tab w:leader="none" w:pos="440" w:val="left"/>
        </w:tabs>
        <w:numPr>
          <w:ilvl w:val="0"/>
          <w:numId w:val="815"/>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History and Corporate Structure of the issuer:</w:t>
      </w:r>
    </w:p>
    <w:p>
      <w:pPr>
        <w:spacing w:after="0" w:line="132" w:lineRule="exact"/>
        <w:rPr>
          <w:rFonts w:ascii="Calibri" w:cs="Calibri" w:eastAsia="Calibri" w:hAnsi="Calibri"/>
          <w:sz w:val="22"/>
          <w:szCs w:val="22"/>
          <w:color w:val="auto"/>
        </w:rPr>
      </w:pPr>
    </w:p>
    <w:p>
      <w:pPr>
        <w:ind w:left="1160" w:hanging="728"/>
        <w:spacing w:after="0"/>
        <w:tabs>
          <w:tab w:leader="none" w:pos="1160" w:val="left"/>
        </w:tabs>
        <w:numPr>
          <w:ilvl w:val="1"/>
          <w:numId w:val="8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History including the following details:</w:t>
      </w:r>
    </w:p>
    <w:p>
      <w:pPr>
        <w:spacing w:after="0" w:line="151" w:lineRule="exact"/>
        <w:rPr>
          <w:rFonts w:ascii="Times New Roman" w:cs="Times New Roman" w:eastAsia="Times New Roman" w:hAnsi="Times New Roman"/>
          <w:sz w:val="24"/>
          <w:szCs w:val="24"/>
          <w:color w:val="auto"/>
        </w:rPr>
      </w:pPr>
    </w:p>
    <w:p>
      <w:pPr>
        <w:jc w:val="both"/>
        <w:ind w:left="1880" w:hanging="728"/>
        <w:spacing w:after="0" w:line="355" w:lineRule="auto"/>
        <w:tabs>
          <w:tab w:leader="none" w:pos="1880" w:val="left"/>
        </w:tabs>
        <w:numPr>
          <w:ilvl w:val="2"/>
          <w:numId w:val="815"/>
        </w:numPr>
        <w:rPr>
          <w:rFonts w:ascii="Calibri" w:cs="Calibri" w:eastAsia="Calibri" w:hAnsi="Calibri"/>
          <w:sz w:val="22"/>
          <w:szCs w:val="22"/>
          <w:color w:val="auto"/>
        </w:rPr>
      </w:pPr>
      <w:r>
        <w:rPr>
          <w:rFonts w:ascii="Times New Roman" w:cs="Times New Roman" w:eastAsia="Times New Roman" w:hAnsi="Times New Roman"/>
          <w:sz w:val="24"/>
          <w:szCs w:val="24"/>
          <w:color w:val="auto"/>
        </w:rPr>
        <w:t>Details of the issuer such as the date of incorporation, date of commencement of business, date of conversion of partnership into limited company or private limited company to public limited company, as applicable, dates on which names have been changed, if applicable, reasons for change of name, changes in registered offices of the issuer and reasons thereof.</w:t>
      </w:r>
    </w:p>
    <w:p>
      <w:pPr>
        <w:spacing w:after="0" w:line="5" w:lineRule="exact"/>
        <w:rPr>
          <w:rFonts w:ascii="Calibri" w:cs="Calibri" w:eastAsia="Calibri" w:hAnsi="Calibri"/>
          <w:sz w:val="22"/>
          <w:szCs w:val="22"/>
          <w:color w:val="auto"/>
        </w:rPr>
      </w:pPr>
    </w:p>
    <w:p>
      <w:pPr>
        <w:ind w:left="1880" w:hanging="728"/>
        <w:spacing w:after="0"/>
        <w:tabs>
          <w:tab w:leader="none" w:pos="1880" w:val="left"/>
        </w:tabs>
        <w:numPr>
          <w:ilvl w:val="2"/>
          <w:numId w:val="815"/>
        </w:numPr>
        <w:rPr>
          <w:rFonts w:ascii="Calibri" w:cs="Calibri" w:eastAsia="Calibri" w:hAnsi="Calibri"/>
          <w:sz w:val="22"/>
          <w:szCs w:val="22"/>
          <w:color w:val="auto"/>
        </w:rPr>
      </w:pPr>
      <w:r>
        <w:rPr>
          <w:rFonts w:ascii="Times New Roman" w:cs="Times New Roman" w:eastAsia="Times New Roman" w:hAnsi="Times New Roman"/>
          <w:sz w:val="24"/>
          <w:szCs w:val="24"/>
          <w:color w:val="auto"/>
        </w:rPr>
        <w:t>Details of the major events in the history of the issuer, such as:</w:t>
      </w:r>
    </w:p>
    <w:p>
      <w:pPr>
        <w:spacing w:after="0" w:line="136" w:lineRule="exact"/>
        <w:rPr>
          <w:rFonts w:ascii="Calibri" w:cs="Calibri" w:eastAsia="Calibri" w:hAnsi="Calibri"/>
          <w:sz w:val="22"/>
          <w:szCs w:val="22"/>
          <w:color w:val="auto"/>
        </w:rPr>
      </w:pPr>
    </w:p>
    <w:p>
      <w:pPr>
        <w:ind w:left="2660" w:hanging="715"/>
        <w:spacing w:after="0"/>
        <w:tabs>
          <w:tab w:leader="none" w:pos="2660" w:val="left"/>
        </w:tabs>
        <w:numPr>
          <w:ilvl w:val="3"/>
          <w:numId w:val="8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Significant financial or strategic partnerships</w:t>
      </w:r>
    </w:p>
    <w:p>
      <w:pPr>
        <w:spacing w:after="0" w:line="139" w:lineRule="exact"/>
        <w:rPr>
          <w:rFonts w:ascii="Times New Roman" w:cs="Times New Roman" w:eastAsia="Times New Roman" w:hAnsi="Times New Roman"/>
          <w:sz w:val="24"/>
          <w:szCs w:val="24"/>
          <w:color w:val="auto"/>
        </w:rPr>
      </w:pPr>
    </w:p>
    <w:p>
      <w:pPr>
        <w:ind w:left="2660" w:hanging="715"/>
        <w:spacing w:after="0"/>
        <w:tabs>
          <w:tab w:leader="none" w:pos="2660" w:val="left"/>
        </w:tabs>
        <w:numPr>
          <w:ilvl w:val="3"/>
          <w:numId w:val="8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Time/cost overrun in setting up projects</w:t>
      </w:r>
    </w:p>
    <w:p>
      <w:pPr>
        <w:spacing w:after="0" w:line="136" w:lineRule="exact"/>
        <w:rPr>
          <w:rFonts w:ascii="Times New Roman" w:cs="Times New Roman" w:eastAsia="Times New Roman" w:hAnsi="Times New Roman"/>
          <w:sz w:val="24"/>
          <w:szCs w:val="24"/>
          <w:color w:val="auto"/>
        </w:rPr>
      </w:pPr>
    </w:p>
    <w:p>
      <w:pPr>
        <w:ind w:left="2660" w:hanging="715"/>
        <w:spacing w:after="0"/>
        <w:tabs>
          <w:tab w:leader="none" w:pos="2660" w:val="left"/>
        </w:tabs>
        <w:numPr>
          <w:ilvl w:val="3"/>
          <w:numId w:val="8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Capacity/facility creation, location of plants</w:t>
      </w:r>
    </w:p>
    <w:p>
      <w:pPr>
        <w:spacing w:after="0" w:line="151" w:lineRule="exact"/>
        <w:rPr>
          <w:rFonts w:ascii="Times New Roman" w:cs="Times New Roman" w:eastAsia="Times New Roman" w:hAnsi="Times New Roman"/>
          <w:sz w:val="24"/>
          <w:szCs w:val="24"/>
          <w:color w:val="auto"/>
        </w:rPr>
      </w:pPr>
    </w:p>
    <w:p>
      <w:pPr>
        <w:ind w:left="2660" w:hanging="715"/>
        <w:spacing w:after="0" w:line="348" w:lineRule="auto"/>
        <w:tabs>
          <w:tab w:leader="none" w:pos="2660" w:val="left"/>
        </w:tabs>
        <w:numPr>
          <w:ilvl w:val="3"/>
          <w:numId w:val="8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launch of key products or services, entry in new geographies or exit from existing markets</w:t>
      </w:r>
    </w:p>
    <w:p>
      <w:pPr>
        <w:spacing w:after="0" w:line="15" w:lineRule="exact"/>
        <w:rPr>
          <w:rFonts w:ascii="Times New Roman" w:cs="Times New Roman" w:eastAsia="Times New Roman" w:hAnsi="Times New Roman"/>
          <w:sz w:val="24"/>
          <w:szCs w:val="24"/>
          <w:color w:val="auto"/>
        </w:rPr>
      </w:pPr>
    </w:p>
    <w:p>
      <w:pPr>
        <w:ind w:left="2660" w:hanging="715"/>
        <w:spacing w:after="0"/>
        <w:tabs>
          <w:tab w:leader="none" w:pos="2660" w:val="left"/>
        </w:tabs>
        <w:numPr>
          <w:ilvl w:val="3"/>
          <w:numId w:val="8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Key awards, accreditations or recognition</w:t>
      </w:r>
    </w:p>
    <w:p>
      <w:pPr>
        <w:spacing w:after="0" w:line="149" w:lineRule="exact"/>
        <w:rPr>
          <w:rFonts w:ascii="Times New Roman" w:cs="Times New Roman" w:eastAsia="Times New Roman" w:hAnsi="Times New Roman"/>
          <w:sz w:val="24"/>
          <w:szCs w:val="24"/>
          <w:color w:val="auto"/>
        </w:rPr>
      </w:pPr>
    </w:p>
    <w:p>
      <w:pPr>
        <w:ind w:left="2660" w:hanging="715"/>
        <w:spacing w:after="0" w:line="350" w:lineRule="auto"/>
        <w:tabs>
          <w:tab w:leader="none" w:pos="2660" w:val="left"/>
        </w:tabs>
        <w:numPr>
          <w:ilvl w:val="3"/>
          <w:numId w:val="8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Defaults or rescheduling/ restructuring of borrowings with financial institutions/ banks</w:t>
      </w:r>
    </w:p>
    <w:p>
      <w:pPr>
        <w:spacing w:after="0" w:line="268"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218</w:t>
      </w:r>
    </w:p>
    <w:p>
      <w:pPr>
        <w:sectPr>
          <w:pgSz w:w="11900" w:h="16836" w:orient="portrait"/>
          <w:cols w:equalWidth="0" w:num="1">
            <w:col w:w="9180"/>
          </w:cols>
          <w:pgMar w:left="1440" w:top="1156" w:right="1284" w:bottom="103" w:gutter="0" w:footer="0" w:header="0"/>
        </w:sectPr>
      </w:pPr>
    </w:p>
    <w:bookmarkStart w:id="218" w:name="page219"/>
    <w:bookmarkEnd w:id="218"/>
    <w:p>
      <w:pPr>
        <w:jc w:val="both"/>
        <w:ind w:left="1880" w:hanging="719"/>
        <w:spacing w:after="0" w:line="350" w:lineRule="auto"/>
        <w:tabs>
          <w:tab w:leader="none" w:pos="1860" w:val="left"/>
        </w:tabs>
        <w:rPr>
          <w:sz w:val="20"/>
          <w:szCs w:val="20"/>
          <w:color w:val="auto"/>
        </w:rPr>
      </w:pPr>
      <w:r>
        <w:rPr>
          <w:rFonts w:ascii="Calibri" w:cs="Calibri" w:eastAsia="Calibri" w:hAnsi="Calibri"/>
          <w:sz w:val="22"/>
          <w:szCs w:val="22"/>
          <w:color w:val="auto"/>
        </w:rPr>
        <w:t>(c)</w:t>
      </w:r>
      <w:r>
        <w:rPr>
          <w:sz w:val="20"/>
          <w:szCs w:val="20"/>
          <w:color w:val="auto"/>
        </w:rPr>
        <w:tab/>
      </w:r>
      <w:r>
        <w:rPr>
          <w:rFonts w:ascii="Times New Roman" w:cs="Times New Roman" w:eastAsia="Times New Roman" w:hAnsi="Times New Roman"/>
          <w:sz w:val="24"/>
          <w:szCs w:val="24"/>
          <w:color w:val="auto"/>
        </w:rPr>
        <w:t>Details regarding material acquisitions or divestments of business/undertakings, mergers, amalgamation, any revaluation of assets etc., if any, in the last ten years.</w:t>
      </w:r>
    </w:p>
    <w:p>
      <w:pPr>
        <w:spacing w:after="0" w:line="200" w:lineRule="exact"/>
        <w:rPr>
          <w:sz w:val="20"/>
          <w:szCs w:val="20"/>
          <w:color w:val="auto"/>
        </w:rPr>
      </w:pPr>
    </w:p>
    <w:p>
      <w:pPr>
        <w:spacing w:after="0" w:line="239" w:lineRule="exact"/>
        <w:rPr>
          <w:sz w:val="20"/>
          <w:szCs w:val="20"/>
          <w:color w:val="auto"/>
        </w:rPr>
      </w:pPr>
    </w:p>
    <w:p>
      <w:pPr>
        <w:jc w:val="both"/>
        <w:ind w:left="1160" w:hanging="728"/>
        <w:spacing w:after="0" w:line="354" w:lineRule="auto"/>
        <w:tabs>
          <w:tab w:leader="none" w:pos="1218" w:val="left"/>
        </w:tabs>
        <w:numPr>
          <w:ilvl w:val="1"/>
          <w:numId w:val="81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Main objects as set out in the Memorandum of Association of the issuer and dates on which the Memorandum of Association of the issuer has been amended citing the details of such amendments in the last ten years</w:t>
      </w:r>
    </w:p>
    <w:p>
      <w:pPr>
        <w:spacing w:after="0" w:line="200" w:lineRule="exact"/>
        <w:rPr>
          <w:rFonts w:ascii="Times New Roman" w:cs="Times New Roman" w:eastAsia="Times New Roman" w:hAnsi="Times New Roman"/>
          <w:sz w:val="24"/>
          <w:szCs w:val="24"/>
          <w:color w:val="auto"/>
        </w:rPr>
      </w:pPr>
    </w:p>
    <w:p>
      <w:pPr>
        <w:spacing w:after="0" w:line="235" w:lineRule="exact"/>
        <w:rPr>
          <w:rFonts w:ascii="Times New Roman" w:cs="Times New Roman" w:eastAsia="Times New Roman" w:hAnsi="Times New Roman"/>
          <w:sz w:val="24"/>
          <w:szCs w:val="24"/>
          <w:color w:val="auto"/>
        </w:rPr>
      </w:pPr>
    </w:p>
    <w:p>
      <w:pPr>
        <w:ind w:left="1160" w:hanging="728"/>
        <w:spacing w:after="0" w:line="348" w:lineRule="auto"/>
        <w:tabs>
          <w:tab w:leader="none" w:pos="1160" w:val="left"/>
        </w:tabs>
        <w:numPr>
          <w:ilvl w:val="1"/>
          <w:numId w:val="81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regarding holding company, subsidiary/subsidiaries and joint venture(s), if applicable, of the issuer including:</w:t>
      </w:r>
    </w:p>
    <w:p>
      <w:pPr>
        <w:spacing w:after="0" w:line="8" w:lineRule="exact"/>
        <w:rPr>
          <w:rFonts w:ascii="Times New Roman" w:cs="Times New Roman" w:eastAsia="Times New Roman" w:hAnsi="Times New Roman"/>
          <w:sz w:val="24"/>
          <w:szCs w:val="24"/>
          <w:color w:val="auto"/>
        </w:rPr>
      </w:pPr>
    </w:p>
    <w:p>
      <w:pPr>
        <w:ind w:left="1880" w:hanging="728"/>
        <w:spacing w:after="0"/>
        <w:tabs>
          <w:tab w:leader="none" w:pos="1880" w:val="left"/>
        </w:tabs>
        <w:numPr>
          <w:ilvl w:val="2"/>
          <w:numId w:val="816"/>
        </w:numPr>
        <w:rPr>
          <w:rFonts w:ascii="Calibri" w:cs="Calibri" w:eastAsia="Calibri" w:hAnsi="Calibri"/>
          <w:sz w:val="22"/>
          <w:szCs w:val="22"/>
          <w:color w:val="auto"/>
        </w:rPr>
      </w:pPr>
      <w:r>
        <w:rPr>
          <w:rFonts w:ascii="Times New Roman" w:cs="Times New Roman" w:eastAsia="Times New Roman" w:hAnsi="Times New Roman"/>
          <w:sz w:val="24"/>
          <w:szCs w:val="24"/>
          <w:color w:val="auto"/>
        </w:rPr>
        <w:t>Name of the holding company/subsidiary/joint venture;</w:t>
      </w:r>
    </w:p>
    <w:p>
      <w:pPr>
        <w:spacing w:after="0" w:line="129" w:lineRule="exact"/>
        <w:rPr>
          <w:rFonts w:ascii="Calibri" w:cs="Calibri" w:eastAsia="Calibri" w:hAnsi="Calibri"/>
          <w:sz w:val="22"/>
          <w:szCs w:val="22"/>
          <w:color w:val="auto"/>
        </w:rPr>
      </w:pPr>
    </w:p>
    <w:p>
      <w:pPr>
        <w:ind w:left="1880" w:hanging="728"/>
        <w:spacing w:after="0"/>
        <w:tabs>
          <w:tab w:leader="none" w:pos="1880" w:val="left"/>
        </w:tabs>
        <w:numPr>
          <w:ilvl w:val="2"/>
          <w:numId w:val="816"/>
        </w:numPr>
        <w:rPr>
          <w:rFonts w:ascii="Calibri" w:cs="Calibri" w:eastAsia="Calibri" w:hAnsi="Calibri"/>
          <w:sz w:val="22"/>
          <w:szCs w:val="22"/>
          <w:color w:val="auto"/>
        </w:rPr>
      </w:pPr>
      <w:r>
        <w:rPr>
          <w:rFonts w:ascii="Times New Roman" w:cs="Times New Roman" w:eastAsia="Times New Roman" w:hAnsi="Times New Roman"/>
          <w:sz w:val="24"/>
          <w:szCs w:val="24"/>
          <w:color w:val="auto"/>
        </w:rPr>
        <w:t>nature of business;</w:t>
      </w:r>
    </w:p>
    <w:p>
      <w:pPr>
        <w:spacing w:after="0" w:line="132" w:lineRule="exact"/>
        <w:rPr>
          <w:rFonts w:ascii="Calibri" w:cs="Calibri" w:eastAsia="Calibri" w:hAnsi="Calibri"/>
          <w:sz w:val="22"/>
          <w:szCs w:val="22"/>
          <w:color w:val="auto"/>
        </w:rPr>
      </w:pPr>
    </w:p>
    <w:p>
      <w:pPr>
        <w:ind w:left="1880" w:hanging="728"/>
        <w:spacing w:after="0"/>
        <w:tabs>
          <w:tab w:leader="none" w:pos="1880" w:val="left"/>
        </w:tabs>
        <w:numPr>
          <w:ilvl w:val="2"/>
          <w:numId w:val="816"/>
        </w:numPr>
        <w:rPr>
          <w:rFonts w:ascii="Calibri" w:cs="Calibri" w:eastAsia="Calibri" w:hAnsi="Calibri"/>
          <w:sz w:val="22"/>
          <w:szCs w:val="22"/>
          <w:color w:val="auto"/>
        </w:rPr>
      </w:pPr>
      <w:r>
        <w:rPr>
          <w:rFonts w:ascii="Times New Roman" w:cs="Times New Roman" w:eastAsia="Times New Roman" w:hAnsi="Times New Roman"/>
          <w:sz w:val="24"/>
          <w:szCs w:val="24"/>
          <w:color w:val="auto"/>
        </w:rPr>
        <w:t>capital structure;</w:t>
      </w:r>
    </w:p>
    <w:p>
      <w:pPr>
        <w:spacing w:after="0" w:line="129" w:lineRule="exact"/>
        <w:rPr>
          <w:rFonts w:ascii="Calibri" w:cs="Calibri" w:eastAsia="Calibri" w:hAnsi="Calibri"/>
          <w:sz w:val="22"/>
          <w:szCs w:val="22"/>
          <w:color w:val="auto"/>
        </w:rPr>
      </w:pPr>
    </w:p>
    <w:p>
      <w:pPr>
        <w:ind w:left="1880" w:hanging="728"/>
        <w:spacing w:after="0"/>
        <w:tabs>
          <w:tab w:leader="none" w:pos="1880" w:val="left"/>
        </w:tabs>
        <w:numPr>
          <w:ilvl w:val="2"/>
          <w:numId w:val="816"/>
        </w:numPr>
        <w:rPr>
          <w:rFonts w:ascii="Calibri" w:cs="Calibri" w:eastAsia="Calibri" w:hAnsi="Calibri"/>
          <w:sz w:val="22"/>
          <w:szCs w:val="22"/>
          <w:color w:val="auto"/>
        </w:rPr>
      </w:pPr>
      <w:r>
        <w:rPr>
          <w:rFonts w:ascii="Times New Roman" w:cs="Times New Roman" w:eastAsia="Times New Roman" w:hAnsi="Times New Roman"/>
          <w:sz w:val="24"/>
          <w:szCs w:val="24"/>
          <w:color w:val="auto"/>
        </w:rPr>
        <w:t>shareholding of the issuer;</w:t>
      </w:r>
    </w:p>
    <w:p>
      <w:pPr>
        <w:spacing w:after="0" w:line="151" w:lineRule="exact"/>
        <w:rPr>
          <w:rFonts w:ascii="Calibri" w:cs="Calibri" w:eastAsia="Calibri" w:hAnsi="Calibri"/>
          <w:sz w:val="22"/>
          <w:szCs w:val="22"/>
          <w:color w:val="auto"/>
        </w:rPr>
      </w:pPr>
    </w:p>
    <w:p>
      <w:pPr>
        <w:ind w:left="1880" w:hanging="728"/>
        <w:spacing w:after="0" w:line="342" w:lineRule="auto"/>
        <w:tabs>
          <w:tab w:leader="none" w:pos="1880" w:val="left"/>
        </w:tabs>
        <w:numPr>
          <w:ilvl w:val="2"/>
          <w:numId w:val="816"/>
        </w:numPr>
        <w:rPr>
          <w:rFonts w:ascii="Calibri" w:cs="Calibri" w:eastAsia="Calibri" w:hAnsi="Calibri"/>
          <w:sz w:val="22"/>
          <w:szCs w:val="22"/>
          <w:color w:val="auto"/>
        </w:rPr>
      </w:pPr>
      <w:r>
        <w:rPr>
          <w:rFonts w:ascii="Times New Roman" w:cs="Times New Roman" w:eastAsia="Times New Roman" w:hAnsi="Times New Roman"/>
          <w:sz w:val="24"/>
          <w:szCs w:val="24"/>
          <w:color w:val="auto"/>
        </w:rPr>
        <w:t>amount of accumulated profits or losses of the subsidiary(ies) not accounted for by the issuer.</w:t>
      </w:r>
    </w:p>
    <w:p>
      <w:pPr>
        <w:spacing w:after="0" w:line="200" w:lineRule="exact"/>
        <w:rPr>
          <w:rFonts w:ascii="Calibri" w:cs="Calibri" w:eastAsia="Calibri" w:hAnsi="Calibri"/>
          <w:sz w:val="22"/>
          <w:szCs w:val="22"/>
          <w:color w:val="auto"/>
        </w:rPr>
      </w:pPr>
    </w:p>
    <w:p>
      <w:pPr>
        <w:spacing w:after="0" w:line="229" w:lineRule="exact"/>
        <w:rPr>
          <w:rFonts w:ascii="Calibri" w:cs="Calibri" w:eastAsia="Calibri" w:hAnsi="Calibri"/>
          <w:sz w:val="22"/>
          <w:szCs w:val="22"/>
          <w:color w:val="auto"/>
        </w:rPr>
      </w:pPr>
    </w:p>
    <w:p>
      <w:pPr>
        <w:ind w:left="440" w:hanging="368"/>
        <w:spacing w:after="0"/>
        <w:tabs>
          <w:tab w:leader="none" w:pos="440" w:val="left"/>
        </w:tabs>
        <w:numPr>
          <w:ilvl w:val="0"/>
          <w:numId w:val="817"/>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Shareholders' agreements and other agreements:</w:t>
      </w:r>
    </w:p>
    <w:p>
      <w:pPr>
        <w:spacing w:after="0" w:line="147" w:lineRule="exact"/>
        <w:rPr>
          <w:sz w:val="20"/>
          <w:szCs w:val="20"/>
          <w:color w:val="auto"/>
        </w:rPr>
      </w:pPr>
    </w:p>
    <w:p>
      <w:pPr>
        <w:ind w:left="1160" w:hanging="728"/>
        <w:spacing w:after="0" w:line="348" w:lineRule="auto"/>
        <w:tabs>
          <w:tab w:leader="none" w:pos="1160" w:val="left"/>
        </w:tabs>
        <w:numPr>
          <w:ilvl w:val="0"/>
          <w:numId w:val="818"/>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Key terms of all subsisting shareholders’ agreements, if any (to be provided even if the issuer is not a party to such an agreement, but is aware of such an agreement).</w:t>
      </w:r>
    </w:p>
    <w:p>
      <w:pPr>
        <w:spacing w:after="0" w:line="27" w:lineRule="exact"/>
        <w:rPr>
          <w:rFonts w:ascii="Times New Roman" w:cs="Times New Roman" w:eastAsia="Times New Roman" w:hAnsi="Times New Roman"/>
          <w:sz w:val="22"/>
          <w:szCs w:val="22"/>
          <w:color w:val="auto"/>
        </w:rPr>
      </w:pPr>
    </w:p>
    <w:p>
      <w:pPr>
        <w:jc w:val="both"/>
        <w:ind w:left="1160" w:hanging="728"/>
        <w:spacing w:after="0" w:line="356" w:lineRule="auto"/>
        <w:tabs>
          <w:tab w:leader="none" w:pos="1160" w:val="left"/>
        </w:tabs>
        <w:numPr>
          <w:ilvl w:val="0"/>
          <w:numId w:val="818"/>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Any agreement entered into by a key managerial personnel or director or promoter or any other employee of the issuer, either by themselves or on behalf of any other person, with any shareholder or any other third party with regard to compensation or profit sharing in connection with dealings in the securities of the issuer.</w:t>
      </w:r>
    </w:p>
    <w:p>
      <w:pPr>
        <w:spacing w:after="0" w:line="19" w:lineRule="exact"/>
        <w:rPr>
          <w:rFonts w:ascii="Times New Roman" w:cs="Times New Roman" w:eastAsia="Times New Roman" w:hAnsi="Times New Roman"/>
          <w:sz w:val="22"/>
          <w:szCs w:val="22"/>
          <w:color w:val="auto"/>
        </w:rPr>
      </w:pPr>
    </w:p>
    <w:p>
      <w:pPr>
        <w:jc w:val="both"/>
        <w:ind w:left="1160" w:hanging="728"/>
        <w:spacing w:after="0" w:line="356" w:lineRule="auto"/>
        <w:tabs>
          <w:tab w:leader="none" w:pos="1160" w:val="left"/>
        </w:tabs>
        <w:numPr>
          <w:ilvl w:val="0"/>
          <w:numId w:val="818"/>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Guarantees, if any, given to third parties by the promoter offering its shares in the proposed offer for sale, stating reasons, amount, obligations on the issuer, period of guarantee, financial implications in case of default, security available, consideration etc.</w:t>
      </w:r>
    </w:p>
    <w:p>
      <w:pPr>
        <w:spacing w:after="0" w:line="18" w:lineRule="exact"/>
        <w:rPr>
          <w:rFonts w:ascii="Times New Roman" w:cs="Times New Roman" w:eastAsia="Times New Roman" w:hAnsi="Times New Roman"/>
          <w:sz w:val="22"/>
          <w:szCs w:val="22"/>
          <w:color w:val="auto"/>
        </w:rPr>
      </w:pPr>
    </w:p>
    <w:p>
      <w:pPr>
        <w:jc w:val="both"/>
        <w:ind w:left="1160" w:hanging="728"/>
        <w:spacing w:after="0" w:line="354" w:lineRule="auto"/>
        <w:tabs>
          <w:tab w:leader="none" w:pos="1160" w:val="left"/>
        </w:tabs>
        <w:numPr>
          <w:ilvl w:val="0"/>
          <w:numId w:val="818"/>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Key terms. dates, parties to and general nature of any other subsisting material agreements including with strategic partners, joint venture partners and/or financial partners, entered into, other than in the ordinary course of business of the issuer.</w:t>
      </w:r>
    </w:p>
    <w:p>
      <w:pPr>
        <w:spacing w:after="0" w:line="20" w:lineRule="exact"/>
        <w:rPr>
          <w:rFonts w:ascii="Times New Roman" w:cs="Times New Roman" w:eastAsia="Times New Roman" w:hAnsi="Times New Roman"/>
          <w:sz w:val="22"/>
          <w:szCs w:val="22"/>
          <w:color w:val="auto"/>
        </w:rPr>
      </w:pPr>
    </w:p>
    <w:p>
      <w:pPr>
        <w:ind w:left="1160" w:hanging="728"/>
        <w:spacing w:after="0" w:line="350" w:lineRule="auto"/>
        <w:tabs>
          <w:tab w:leader="none" w:pos="1160" w:val="left"/>
        </w:tabs>
        <w:numPr>
          <w:ilvl w:val="0"/>
          <w:numId w:val="818"/>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All such shareholders' agreements and other agreements shall be included in the list of material contracts as required under sub-item (1) of Item (17).</w:t>
      </w:r>
    </w:p>
    <w:p>
      <w:pPr>
        <w:spacing w:after="0" w:line="200" w:lineRule="exact"/>
        <w:rPr>
          <w:sz w:val="20"/>
          <w:szCs w:val="20"/>
          <w:color w:val="auto"/>
        </w:rPr>
      </w:pPr>
    </w:p>
    <w:p>
      <w:pPr>
        <w:spacing w:after="0" w:line="224" w:lineRule="exact"/>
        <w:rPr>
          <w:sz w:val="20"/>
          <w:szCs w:val="20"/>
          <w:color w:val="auto"/>
        </w:rPr>
      </w:pPr>
    </w:p>
    <w:p>
      <w:pPr>
        <w:ind w:left="440" w:hanging="368"/>
        <w:spacing w:after="0"/>
        <w:tabs>
          <w:tab w:leader="none" w:pos="440" w:val="left"/>
        </w:tabs>
        <w:numPr>
          <w:ilvl w:val="0"/>
          <w:numId w:val="819"/>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Management:</w:t>
      </w:r>
    </w:p>
    <w:p>
      <w:pPr>
        <w:spacing w:after="0" w:line="389"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219</w:t>
      </w:r>
    </w:p>
    <w:p>
      <w:pPr>
        <w:sectPr>
          <w:pgSz w:w="11900" w:h="16836" w:orient="portrait"/>
          <w:cols w:equalWidth="0" w:num="1">
            <w:col w:w="9180"/>
          </w:cols>
          <w:pgMar w:left="1440" w:top="1156" w:right="1284" w:bottom="103" w:gutter="0" w:footer="0" w:header="0"/>
        </w:sectPr>
      </w:pPr>
    </w:p>
    <w:bookmarkStart w:id="219" w:name="page220"/>
    <w:bookmarkEnd w:id="219"/>
    <w:p>
      <w:pPr>
        <w:ind w:left="1160" w:hanging="728"/>
        <w:spacing w:after="0"/>
        <w:tabs>
          <w:tab w:leader="none" w:pos="1160" w:val="left"/>
        </w:tabs>
        <w:numPr>
          <w:ilvl w:val="0"/>
          <w:numId w:val="820"/>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b w:val="1"/>
          <w:bCs w:val="1"/>
          <w:color w:val="auto"/>
        </w:rPr>
        <w:t>Board of Directors:</w:t>
      </w:r>
    </w:p>
    <w:p>
      <w:pPr>
        <w:spacing w:after="0" w:line="144" w:lineRule="exact"/>
        <w:rPr>
          <w:rFonts w:ascii="Times New Roman" w:cs="Times New Roman" w:eastAsia="Times New Roman" w:hAnsi="Times New Roman"/>
          <w:sz w:val="22"/>
          <w:szCs w:val="22"/>
          <w:color w:val="auto"/>
        </w:rPr>
      </w:pPr>
    </w:p>
    <w:p>
      <w:pPr>
        <w:jc w:val="both"/>
        <w:ind w:left="1720" w:hanging="568"/>
        <w:spacing w:after="0" w:line="355" w:lineRule="auto"/>
        <w:tabs>
          <w:tab w:leader="none" w:pos="1720" w:val="left"/>
        </w:tabs>
        <w:numPr>
          <w:ilvl w:val="1"/>
          <w:numId w:val="820"/>
        </w:numPr>
        <w:rPr>
          <w:rFonts w:ascii="Calibri" w:cs="Calibri" w:eastAsia="Calibri" w:hAnsi="Calibri"/>
          <w:sz w:val="22"/>
          <w:szCs w:val="22"/>
          <w:color w:val="auto"/>
        </w:rPr>
      </w:pPr>
      <w:r>
        <w:rPr>
          <w:rFonts w:ascii="Times New Roman" w:cs="Times New Roman" w:eastAsia="Times New Roman" w:hAnsi="Times New Roman"/>
          <w:sz w:val="24"/>
          <w:szCs w:val="24"/>
          <w:color w:val="auto"/>
        </w:rPr>
        <w:t>Name, Director Identification Number, date of birth, age, qualifications, experience, address, occupation and date of expiration of the current term of office of manager, managing director, and other directors (including nominee directors and, whole-time directors), period of directorship, and their directorships in other companies.</w:t>
      </w:r>
    </w:p>
    <w:p>
      <w:pPr>
        <w:spacing w:after="0" w:line="19" w:lineRule="exact"/>
        <w:rPr>
          <w:rFonts w:ascii="Calibri" w:cs="Calibri" w:eastAsia="Calibri" w:hAnsi="Calibri"/>
          <w:sz w:val="22"/>
          <w:szCs w:val="22"/>
          <w:color w:val="auto"/>
        </w:rPr>
      </w:pPr>
    </w:p>
    <w:p>
      <w:pPr>
        <w:jc w:val="both"/>
        <w:ind w:left="1720" w:hanging="568"/>
        <w:spacing w:after="0" w:line="350" w:lineRule="auto"/>
        <w:tabs>
          <w:tab w:leader="none" w:pos="1720" w:val="left"/>
        </w:tabs>
        <w:numPr>
          <w:ilvl w:val="1"/>
          <w:numId w:val="820"/>
        </w:numPr>
        <w:rPr>
          <w:rFonts w:ascii="Calibri" w:cs="Calibri" w:eastAsia="Calibri" w:hAnsi="Calibri"/>
          <w:sz w:val="22"/>
          <w:szCs w:val="22"/>
          <w:color w:val="auto"/>
        </w:rPr>
      </w:pPr>
      <w:r>
        <w:rPr>
          <w:rFonts w:ascii="Times New Roman" w:cs="Times New Roman" w:eastAsia="Times New Roman" w:hAnsi="Times New Roman"/>
          <w:sz w:val="24"/>
          <w:szCs w:val="24"/>
          <w:color w:val="auto"/>
        </w:rPr>
        <w:t>For each person, details of current and past directorship(s) in listed companies whose shares have been/were suspended from being traded on any of the stock exchanges, during his/her tenure, as follows:</w:t>
      </w:r>
    </w:p>
    <w:p>
      <w:pPr>
        <w:spacing w:after="0" w:line="4" w:lineRule="exact"/>
        <w:rPr>
          <w:rFonts w:ascii="Calibri" w:cs="Calibri" w:eastAsia="Calibri" w:hAnsi="Calibri"/>
          <w:sz w:val="22"/>
          <w:szCs w:val="22"/>
          <w:color w:val="auto"/>
        </w:rPr>
      </w:pPr>
    </w:p>
    <w:p>
      <w:pPr>
        <w:ind w:left="2420" w:hanging="374"/>
        <w:spacing w:after="0"/>
        <w:tabs>
          <w:tab w:leader="none" w:pos="2420" w:val="left"/>
        </w:tabs>
        <w:numPr>
          <w:ilvl w:val="2"/>
          <w:numId w:val="820"/>
        </w:numPr>
        <w:rPr>
          <w:rFonts w:ascii="Calibri" w:cs="Calibri" w:eastAsia="Calibri" w:hAnsi="Calibri"/>
          <w:sz w:val="22"/>
          <w:szCs w:val="22"/>
          <w:color w:val="auto"/>
        </w:rPr>
      </w:pPr>
      <w:r>
        <w:rPr>
          <w:rFonts w:ascii="Times New Roman" w:cs="Times New Roman" w:eastAsia="Times New Roman" w:hAnsi="Times New Roman"/>
          <w:sz w:val="24"/>
          <w:szCs w:val="24"/>
          <w:color w:val="auto"/>
        </w:rPr>
        <w:t>Name of the Company:</w:t>
      </w:r>
    </w:p>
    <w:p>
      <w:pPr>
        <w:spacing w:after="0" w:line="132" w:lineRule="exact"/>
        <w:rPr>
          <w:rFonts w:ascii="Calibri" w:cs="Calibri" w:eastAsia="Calibri" w:hAnsi="Calibri"/>
          <w:sz w:val="22"/>
          <w:szCs w:val="22"/>
          <w:color w:val="auto"/>
        </w:rPr>
      </w:pPr>
    </w:p>
    <w:p>
      <w:pPr>
        <w:ind w:left="2420" w:hanging="374"/>
        <w:spacing w:after="0"/>
        <w:tabs>
          <w:tab w:leader="none" w:pos="2420" w:val="left"/>
        </w:tabs>
        <w:numPr>
          <w:ilvl w:val="2"/>
          <w:numId w:val="820"/>
        </w:numPr>
        <w:rPr>
          <w:rFonts w:ascii="Calibri" w:cs="Calibri" w:eastAsia="Calibri" w:hAnsi="Calibri"/>
          <w:sz w:val="22"/>
          <w:szCs w:val="22"/>
          <w:color w:val="auto"/>
        </w:rPr>
      </w:pPr>
      <w:r>
        <w:rPr>
          <w:rFonts w:ascii="Times New Roman" w:cs="Times New Roman" w:eastAsia="Times New Roman" w:hAnsi="Times New Roman"/>
          <w:sz w:val="24"/>
          <w:szCs w:val="24"/>
          <w:color w:val="auto"/>
        </w:rPr>
        <w:t>Listed on (give names of the stock exchange(s)):</w:t>
      </w:r>
    </w:p>
    <w:p>
      <w:pPr>
        <w:spacing w:after="0" w:line="129" w:lineRule="exact"/>
        <w:rPr>
          <w:rFonts w:ascii="Calibri" w:cs="Calibri" w:eastAsia="Calibri" w:hAnsi="Calibri"/>
          <w:sz w:val="22"/>
          <w:szCs w:val="22"/>
          <w:color w:val="auto"/>
        </w:rPr>
      </w:pPr>
    </w:p>
    <w:p>
      <w:pPr>
        <w:ind w:left="2420" w:hanging="374"/>
        <w:spacing w:after="0"/>
        <w:tabs>
          <w:tab w:leader="none" w:pos="2420" w:val="left"/>
        </w:tabs>
        <w:numPr>
          <w:ilvl w:val="2"/>
          <w:numId w:val="820"/>
        </w:numPr>
        <w:rPr>
          <w:rFonts w:ascii="Calibri" w:cs="Calibri" w:eastAsia="Calibri" w:hAnsi="Calibri"/>
          <w:sz w:val="22"/>
          <w:szCs w:val="22"/>
          <w:color w:val="auto"/>
        </w:rPr>
      </w:pPr>
      <w:r>
        <w:rPr>
          <w:rFonts w:ascii="Times New Roman" w:cs="Times New Roman" w:eastAsia="Times New Roman" w:hAnsi="Times New Roman"/>
          <w:sz w:val="24"/>
          <w:szCs w:val="24"/>
          <w:color w:val="auto"/>
        </w:rPr>
        <w:t>Date of suspension on the stock exchanges:</w:t>
      </w:r>
    </w:p>
    <w:p>
      <w:pPr>
        <w:spacing w:after="0" w:line="151" w:lineRule="exact"/>
        <w:rPr>
          <w:rFonts w:ascii="Calibri" w:cs="Calibri" w:eastAsia="Calibri" w:hAnsi="Calibri"/>
          <w:sz w:val="22"/>
          <w:szCs w:val="22"/>
          <w:color w:val="auto"/>
        </w:rPr>
      </w:pPr>
    </w:p>
    <w:p>
      <w:pPr>
        <w:ind w:left="2400" w:hanging="354"/>
        <w:spacing w:after="0" w:line="342" w:lineRule="auto"/>
        <w:tabs>
          <w:tab w:leader="none" w:pos="2407" w:val="left"/>
        </w:tabs>
        <w:numPr>
          <w:ilvl w:val="2"/>
          <w:numId w:val="820"/>
        </w:numPr>
        <w:rPr>
          <w:rFonts w:ascii="Calibri" w:cs="Calibri" w:eastAsia="Calibri" w:hAnsi="Calibri"/>
          <w:sz w:val="22"/>
          <w:szCs w:val="22"/>
          <w:color w:val="auto"/>
        </w:rPr>
      </w:pPr>
      <w:r>
        <w:rPr>
          <w:rFonts w:ascii="Times New Roman" w:cs="Times New Roman" w:eastAsia="Times New Roman" w:hAnsi="Times New Roman"/>
          <w:sz w:val="24"/>
          <w:szCs w:val="24"/>
          <w:color w:val="auto"/>
        </w:rPr>
        <w:t>If trading suspended for more than three months, reasons for suspension and period of suspension.</w:t>
      </w:r>
    </w:p>
    <w:p>
      <w:pPr>
        <w:spacing w:after="0" w:line="31" w:lineRule="exact"/>
        <w:rPr>
          <w:rFonts w:ascii="Calibri" w:cs="Calibri" w:eastAsia="Calibri" w:hAnsi="Calibri"/>
          <w:sz w:val="22"/>
          <w:szCs w:val="22"/>
          <w:color w:val="auto"/>
        </w:rPr>
      </w:pPr>
    </w:p>
    <w:p>
      <w:pPr>
        <w:ind w:left="2400" w:hanging="354"/>
        <w:spacing w:after="0" w:line="342" w:lineRule="auto"/>
        <w:tabs>
          <w:tab w:leader="none" w:pos="2407" w:val="left"/>
        </w:tabs>
        <w:numPr>
          <w:ilvl w:val="2"/>
          <w:numId w:val="820"/>
        </w:numPr>
        <w:rPr>
          <w:rFonts w:ascii="Calibri" w:cs="Calibri" w:eastAsia="Calibri" w:hAnsi="Calibri"/>
          <w:sz w:val="22"/>
          <w:szCs w:val="22"/>
          <w:color w:val="auto"/>
        </w:rPr>
      </w:pPr>
      <w:r>
        <w:rPr>
          <w:rFonts w:ascii="Times New Roman" w:cs="Times New Roman" w:eastAsia="Times New Roman" w:hAnsi="Times New Roman"/>
          <w:sz w:val="24"/>
          <w:szCs w:val="24"/>
          <w:color w:val="auto"/>
        </w:rPr>
        <w:t>If the suspension of trading revoked, the date of revocation of suspension.</w:t>
      </w:r>
    </w:p>
    <w:p>
      <w:pPr>
        <w:spacing w:after="0" w:line="31" w:lineRule="exact"/>
        <w:rPr>
          <w:rFonts w:ascii="Calibri" w:cs="Calibri" w:eastAsia="Calibri" w:hAnsi="Calibri"/>
          <w:sz w:val="22"/>
          <w:szCs w:val="22"/>
          <w:color w:val="auto"/>
        </w:rPr>
      </w:pPr>
    </w:p>
    <w:p>
      <w:pPr>
        <w:ind w:left="2400" w:hanging="354"/>
        <w:spacing w:after="0" w:line="342" w:lineRule="auto"/>
        <w:tabs>
          <w:tab w:leader="none" w:pos="2407" w:val="left"/>
        </w:tabs>
        <w:numPr>
          <w:ilvl w:val="2"/>
          <w:numId w:val="820"/>
        </w:numPr>
        <w:rPr>
          <w:rFonts w:ascii="Calibri" w:cs="Calibri" w:eastAsia="Calibri" w:hAnsi="Calibri"/>
          <w:sz w:val="22"/>
          <w:szCs w:val="22"/>
          <w:color w:val="auto"/>
        </w:rPr>
      </w:pPr>
      <w:r>
        <w:rPr>
          <w:rFonts w:ascii="Times New Roman" w:cs="Times New Roman" w:eastAsia="Times New Roman" w:hAnsi="Times New Roman"/>
          <w:sz w:val="24"/>
          <w:szCs w:val="24"/>
          <w:color w:val="auto"/>
        </w:rPr>
        <w:t>Term (along with relevant dates) of the director in the above company(ies).</w:t>
      </w:r>
    </w:p>
    <w:p>
      <w:pPr>
        <w:spacing w:after="0" w:line="31" w:lineRule="exact"/>
        <w:rPr>
          <w:sz w:val="20"/>
          <w:szCs w:val="20"/>
          <w:color w:val="auto"/>
        </w:rPr>
      </w:pPr>
    </w:p>
    <w:p>
      <w:pPr>
        <w:jc w:val="both"/>
        <w:ind w:left="1880"/>
        <w:spacing w:after="0" w:line="354" w:lineRule="auto"/>
        <w:rPr>
          <w:sz w:val="20"/>
          <w:szCs w:val="20"/>
          <w:color w:val="auto"/>
        </w:rPr>
      </w:pPr>
      <w:r>
        <w:rPr>
          <w:rFonts w:ascii="Times New Roman" w:cs="Times New Roman" w:eastAsia="Times New Roman" w:hAnsi="Times New Roman"/>
          <w:sz w:val="24"/>
          <w:szCs w:val="24"/>
          <w:color w:val="auto"/>
        </w:rPr>
        <w:t>(The above details shall be given for the preceding five years. In case of fast track issues filed under the provisions of these regulations, the period of five years shall be reckoned on the date of filing of the offer document.)</w:t>
      </w:r>
    </w:p>
    <w:p>
      <w:pPr>
        <w:spacing w:after="0" w:line="20" w:lineRule="exact"/>
        <w:rPr>
          <w:sz w:val="20"/>
          <w:szCs w:val="20"/>
          <w:color w:val="auto"/>
        </w:rPr>
      </w:pPr>
    </w:p>
    <w:p>
      <w:pPr>
        <w:jc w:val="both"/>
        <w:ind w:left="1720" w:hanging="568"/>
        <w:spacing w:after="0" w:line="350" w:lineRule="auto"/>
        <w:tabs>
          <w:tab w:leader="none" w:pos="1720" w:val="left"/>
        </w:tabs>
        <w:numPr>
          <w:ilvl w:val="0"/>
          <w:numId w:val="821"/>
        </w:numPr>
        <w:rPr>
          <w:rFonts w:ascii="Calibri" w:cs="Calibri" w:eastAsia="Calibri" w:hAnsi="Calibri"/>
          <w:sz w:val="22"/>
          <w:szCs w:val="22"/>
          <w:color w:val="auto"/>
        </w:rPr>
      </w:pPr>
      <w:r>
        <w:rPr>
          <w:rFonts w:ascii="Times New Roman" w:cs="Times New Roman" w:eastAsia="Times New Roman" w:hAnsi="Times New Roman"/>
          <w:sz w:val="24"/>
          <w:szCs w:val="24"/>
          <w:color w:val="auto"/>
        </w:rPr>
        <w:t>For each person, details of current and past directorship(s) in listed companies which have been/were delisted from the stock exchange(s), during his/her tenure, as follows:</w:t>
      </w:r>
    </w:p>
    <w:p>
      <w:pPr>
        <w:spacing w:after="0" w:line="12" w:lineRule="exact"/>
        <w:rPr>
          <w:rFonts w:ascii="Calibri" w:cs="Calibri" w:eastAsia="Calibri" w:hAnsi="Calibri"/>
          <w:sz w:val="22"/>
          <w:szCs w:val="22"/>
          <w:color w:val="auto"/>
        </w:rPr>
      </w:pPr>
    </w:p>
    <w:p>
      <w:pPr>
        <w:ind w:left="2420" w:hanging="367"/>
        <w:spacing w:after="0"/>
        <w:tabs>
          <w:tab w:leader="none" w:pos="2420" w:val="left"/>
        </w:tabs>
        <w:numPr>
          <w:ilvl w:val="2"/>
          <w:numId w:val="821"/>
        </w:numPr>
        <w:rPr>
          <w:rFonts w:ascii="Symbol" w:cs="Symbol" w:eastAsia="Symbol" w:hAnsi="Symbol"/>
          <w:sz w:val="24"/>
          <w:szCs w:val="24"/>
          <w:color w:val="auto"/>
        </w:rPr>
      </w:pPr>
      <w:r>
        <w:rPr>
          <w:rFonts w:ascii="Times New Roman" w:cs="Times New Roman" w:eastAsia="Times New Roman" w:hAnsi="Times New Roman"/>
          <w:sz w:val="24"/>
          <w:szCs w:val="24"/>
          <w:color w:val="auto"/>
        </w:rPr>
        <w:t>Name of the Company:</w:t>
      </w:r>
    </w:p>
    <w:p>
      <w:pPr>
        <w:spacing w:after="0" w:line="135" w:lineRule="exact"/>
        <w:rPr>
          <w:rFonts w:ascii="Symbol" w:cs="Symbol" w:eastAsia="Symbol" w:hAnsi="Symbol"/>
          <w:sz w:val="24"/>
          <w:szCs w:val="24"/>
          <w:color w:val="auto"/>
        </w:rPr>
      </w:pPr>
    </w:p>
    <w:p>
      <w:pPr>
        <w:ind w:left="2420" w:hanging="367"/>
        <w:spacing w:after="0"/>
        <w:tabs>
          <w:tab w:leader="none" w:pos="2420" w:val="left"/>
        </w:tabs>
        <w:numPr>
          <w:ilvl w:val="2"/>
          <w:numId w:val="821"/>
        </w:numPr>
        <w:rPr>
          <w:rFonts w:ascii="Symbol" w:cs="Symbol" w:eastAsia="Symbol" w:hAnsi="Symbol"/>
          <w:sz w:val="24"/>
          <w:szCs w:val="24"/>
          <w:color w:val="auto"/>
        </w:rPr>
      </w:pPr>
      <w:r>
        <w:rPr>
          <w:rFonts w:ascii="Times New Roman" w:cs="Times New Roman" w:eastAsia="Times New Roman" w:hAnsi="Times New Roman"/>
          <w:sz w:val="24"/>
          <w:szCs w:val="24"/>
          <w:color w:val="auto"/>
        </w:rPr>
        <w:t>Listed on [give name of the stock exchange(s)]:</w:t>
      </w:r>
    </w:p>
    <w:p>
      <w:pPr>
        <w:spacing w:after="0" w:line="137" w:lineRule="exact"/>
        <w:rPr>
          <w:rFonts w:ascii="Symbol" w:cs="Symbol" w:eastAsia="Symbol" w:hAnsi="Symbol"/>
          <w:sz w:val="24"/>
          <w:szCs w:val="24"/>
          <w:color w:val="auto"/>
        </w:rPr>
      </w:pPr>
    </w:p>
    <w:p>
      <w:pPr>
        <w:ind w:left="2420" w:hanging="367"/>
        <w:spacing w:after="0"/>
        <w:tabs>
          <w:tab w:leader="none" w:pos="2420" w:val="left"/>
        </w:tabs>
        <w:numPr>
          <w:ilvl w:val="2"/>
          <w:numId w:val="821"/>
        </w:numPr>
        <w:rPr>
          <w:rFonts w:ascii="Symbol" w:cs="Symbol" w:eastAsia="Symbol" w:hAnsi="Symbol"/>
          <w:sz w:val="24"/>
          <w:szCs w:val="24"/>
          <w:color w:val="auto"/>
        </w:rPr>
      </w:pPr>
      <w:r>
        <w:rPr>
          <w:rFonts w:ascii="Times New Roman" w:cs="Times New Roman" w:eastAsia="Times New Roman" w:hAnsi="Times New Roman"/>
          <w:sz w:val="24"/>
          <w:szCs w:val="24"/>
          <w:color w:val="auto"/>
        </w:rPr>
        <w:t>Date of delisting on the stock exchange(s):</w:t>
      </w:r>
    </w:p>
    <w:p>
      <w:pPr>
        <w:spacing w:after="0" w:line="137" w:lineRule="exact"/>
        <w:rPr>
          <w:rFonts w:ascii="Symbol" w:cs="Symbol" w:eastAsia="Symbol" w:hAnsi="Symbol"/>
          <w:sz w:val="24"/>
          <w:szCs w:val="24"/>
          <w:color w:val="auto"/>
        </w:rPr>
      </w:pPr>
    </w:p>
    <w:p>
      <w:pPr>
        <w:ind w:left="2420" w:hanging="367"/>
        <w:spacing w:after="0"/>
        <w:tabs>
          <w:tab w:leader="none" w:pos="2420" w:val="left"/>
        </w:tabs>
        <w:numPr>
          <w:ilvl w:val="2"/>
          <w:numId w:val="821"/>
        </w:numPr>
        <w:rPr>
          <w:rFonts w:ascii="Symbol" w:cs="Symbol" w:eastAsia="Symbol" w:hAnsi="Symbol"/>
          <w:sz w:val="24"/>
          <w:szCs w:val="24"/>
          <w:color w:val="auto"/>
        </w:rPr>
      </w:pPr>
      <w:r>
        <w:rPr>
          <w:rFonts w:ascii="Times New Roman" w:cs="Times New Roman" w:eastAsia="Times New Roman" w:hAnsi="Times New Roman"/>
          <w:sz w:val="24"/>
          <w:szCs w:val="24"/>
          <w:color w:val="auto"/>
        </w:rPr>
        <w:t>Compulsory or voluntary delisting:</w:t>
      </w:r>
    </w:p>
    <w:p>
      <w:pPr>
        <w:spacing w:after="0" w:line="135" w:lineRule="exact"/>
        <w:rPr>
          <w:rFonts w:ascii="Symbol" w:cs="Symbol" w:eastAsia="Symbol" w:hAnsi="Symbol"/>
          <w:sz w:val="24"/>
          <w:szCs w:val="24"/>
          <w:color w:val="auto"/>
        </w:rPr>
      </w:pPr>
    </w:p>
    <w:p>
      <w:pPr>
        <w:ind w:left="2420" w:hanging="367"/>
        <w:spacing w:after="0"/>
        <w:tabs>
          <w:tab w:leader="none" w:pos="2420" w:val="left"/>
        </w:tabs>
        <w:numPr>
          <w:ilvl w:val="2"/>
          <w:numId w:val="821"/>
        </w:numPr>
        <w:rPr>
          <w:rFonts w:ascii="Symbol" w:cs="Symbol" w:eastAsia="Symbol" w:hAnsi="Symbol"/>
          <w:sz w:val="24"/>
          <w:szCs w:val="24"/>
          <w:color w:val="auto"/>
        </w:rPr>
      </w:pPr>
      <w:r>
        <w:rPr>
          <w:rFonts w:ascii="Times New Roman" w:cs="Times New Roman" w:eastAsia="Times New Roman" w:hAnsi="Times New Roman"/>
          <w:sz w:val="24"/>
          <w:szCs w:val="24"/>
          <w:color w:val="auto"/>
        </w:rPr>
        <w:t>Reasons for delisting:</w:t>
      </w:r>
    </w:p>
    <w:p>
      <w:pPr>
        <w:spacing w:after="0" w:line="137" w:lineRule="exact"/>
        <w:rPr>
          <w:rFonts w:ascii="Symbol" w:cs="Symbol" w:eastAsia="Symbol" w:hAnsi="Symbol"/>
          <w:sz w:val="24"/>
          <w:szCs w:val="24"/>
          <w:color w:val="auto"/>
        </w:rPr>
      </w:pPr>
    </w:p>
    <w:p>
      <w:pPr>
        <w:ind w:left="2420" w:hanging="367"/>
        <w:spacing w:after="0"/>
        <w:tabs>
          <w:tab w:leader="none" w:pos="2420" w:val="left"/>
        </w:tabs>
        <w:numPr>
          <w:ilvl w:val="2"/>
          <w:numId w:val="821"/>
        </w:numPr>
        <w:rPr>
          <w:rFonts w:ascii="Symbol" w:cs="Symbol" w:eastAsia="Symbol" w:hAnsi="Symbol"/>
          <w:sz w:val="24"/>
          <w:szCs w:val="24"/>
          <w:color w:val="auto"/>
        </w:rPr>
      </w:pPr>
      <w:r>
        <w:rPr>
          <w:rFonts w:ascii="Times New Roman" w:cs="Times New Roman" w:eastAsia="Times New Roman" w:hAnsi="Times New Roman"/>
          <w:sz w:val="24"/>
          <w:szCs w:val="24"/>
          <w:color w:val="auto"/>
        </w:rPr>
        <w:t>If relisted, date of relisting on [give name of the stock exchange(s)]</w:t>
      </w:r>
    </w:p>
    <w:p>
      <w:pPr>
        <w:spacing w:after="0" w:line="168" w:lineRule="exact"/>
        <w:rPr>
          <w:rFonts w:ascii="Symbol" w:cs="Symbol" w:eastAsia="Symbol" w:hAnsi="Symbol"/>
          <w:sz w:val="24"/>
          <w:szCs w:val="24"/>
          <w:color w:val="auto"/>
        </w:rPr>
      </w:pPr>
    </w:p>
    <w:p>
      <w:pPr>
        <w:ind w:left="2420" w:hanging="367"/>
        <w:spacing w:after="0" w:line="333" w:lineRule="auto"/>
        <w:tabs>
          <w:tab w:leader="none" w:pos="2420" w:val="left"/>
        </w:tabs>
        <w:numPr>
          <w:ilvl w:val="2"/>
          <w:numId w:val="821"/>
        </w:numPr>
        <w:rPr>
          <w:rFonts w:ascii="Symbol" w:cs="Symbol" w:eastAsia="Symbol" w:hAnsi="Symbol"/>
          <w:sz w:val="24"/>
          <w:szCs w:val="24"/>
          <w:color w:val="auto"/>
        </w:rPr>
      </w:pPr>
      <w:r>
        <w:rPr>
          <w:rFonts w:ascii="Times New Roman" w:cs="Times New Roman" w:eastAsia="Times New Roman" w:hAnsi="Times New Roman"/>
          <w:sz w:val="24"/>
          <w:szCs w:val="24"/>
          <w:color w:val="auto"/>
        </w:rPr>
        <w:t>Term (along with relevant dates) of the director in the above company/companies.</w:t>
      </w:r>
    </w:p>
    <w:p>
      <w:pPr>
        <w:spacing w:after="0" w:line="37" w:lineRule="exact"/>
        <w:rPr>
          <w:rFonts w:ascii="Symbol" w:cs="Symbol" w:eastAsia="Symbol" w:hAnsi="Symbol"/>
          <w:sz w:val="24"/>
          <w:szCs w:val="24"/>
          <w:color w:val="auto"/>
        </w:rPr>
      </w:pPr>
    </w:p>
    <w:p>
      <w:pPr>
        <w:ind w:left="1720" w:hanging="352"/>
        <w:spacing w:after="0" w:line="342" w:lineRule="auto"/>
        <w:tabs>
          <w:tab w:leader="none" w:pos="1720" w:val="left"/>
        </w:tabs>
        <w:numPr>
          <w:ilvl w:val="1"/>
          <w:numId w:val="821"/>
        </w:numPr>
        <w:rPr>
          <w:rFonts w:ascii="Calibri" w:cs="Calibri" w:eastAsia="Calibri" w:hAnsi="Calibri"/>
          <w:sz w:val="22"/>
          <w:szCs w:val="22"/>
          <w:color w:val="auto"/>
        </w:rPr>
      </w:pPr>
      <w:r>
        <w:rPr>
          <w:rFonts w:ascii="Times New Roman" w:cs="Times New Roman" w:eastAsia="Times New Roman" w:hAnsi="Times New Roman"/>
          <w:sz w:val="24"/>
          <w:szCs w:val="24"/>
          <w:color w:val="auto"/>
        </w:rPr>
        <w:t>Nature of any family relationship between any of the directors or any of the directors and key managerial personnel.</w:t>
      </w:r>
    </w:p>
    <w:p>
      <w:pPr>
        <w:spacing w:after="0" w:line="200" w:lineRule="exact"/>
        <w:rPr>
          <w:sz w:val="20"/>
          <w:szCs w:val="20"/>
          <w:color w:val="auto"/>
        </w:rPr>
      </w:pPr>
    </w:p>
    <w:p>
      <w:pPr>
        <w:spacing w:after="0" w:line="369"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220</w:t>
      </w:r>
    </w:p>
    <w:p>
      <w:pPr>
        <w:sectPr>
          <w:pgSz w:w="11900" w:h="16836" w:orient="portrait"/>
          <w:cols w:equalWidth="0" w:num="1">
            <w:col w:w="9180"/>
          </w:cols>
          <w:pgMar w:left="1440" w:top="1149" w:right="1284" w:bottom="103" w:gutter="0" w:footer="0" w:header="0"/>
        </w:sectPr>
      </w:pPr>
    </w:p>
    <w:bookmarkStart w:id="220" w:name="page221"/>
    <w:bookmarkEnd w:id="220"/>
    <w:p>
      <w:pPr>
        <w:jc w:val="both"/>
        <w:ind w:left="1720" w:hanging="352"/>
        <w:spacing w:after="0" w:line="350" w:lineRule="auto"/>
        <w:tabs>
          <w:tab w:leader="none" w:pos="1720" w:val="left"/>
        </w:tabs>
        <w:numPr>
          <w:ilvl w:val="2"/>
          <w:numId w:val="822"/>
        </w:numPr>
        <w:rPr>
          <w:rFonts w:ascii="Calibri" w:cs="Calibri" w:eastAsia="Calibri" w:hAnsi="Calibri"/>
          <w:sz w:val="22"/>
          <w:szCs w:val="22"/>
          <w:color w:val="auto"/>
        </w:rPr>
      </w:pPr>
      <w:r>
        <w:rPr>
          <w:rFonts w:ascii="Times New Roman" w:cs="Times New Roman" w:eastAsia="Times New Roman" w:hAnsi="Times New Roman"/>
          <w:sz w:val="24"/>
          <w:szCs w:val="24"/>
          <w:color w:val="auto"/>
        </w:rPr>
        <w:t>Any arrangement or understanding with major shareholders, customers, suppliers or others, pursuant to which of the directors was selected as a director or member of senior management.</w:t>
      </w:r>
    </w:p>
    <w:p>
      <w:pPr>
        <w:spacing w:after="0" w:line="23" w:lineRule="exact"/>
        <w:rPr>
          <w:rFonts w:ascii="Calibri" w:cs="Calibri" w:eastAsia="Calibri" w:hAnsi="Calibri"/>
          <w:sz w:val="22"/>
          <w:szCs w:val="22"/>
          <w:color w:val="auto"/>
        </w:rPr>
      </w:pPr>
    </w:p>
    <w:p>
      <w:pPr>
        <w:jc w:val="both"/>
        <w:ind w:left="1720" w:hanging="352"/>
        <w:spacing w:after="0" w:line="350" w:lineRule="auto"/>
        <w:tabs>
          <w:tab w:leader="none" w:pos="1720" w:val="left"/>
        </w:tabs>
        <w:numPr>
          <w:ilvl w:val="2"/>
          <w:numId w:val="822"/>
        </w:numPr>
        <w:rPr>
          <w:rFonts w:ascii="Calibri" w:cs="Calibri" w:eastAsia="Calibri" w:hAnsi="Calibri"/>
          <w:sz w:val="22"/>
          <w:szCs w:val="22"/>
          <w:color w:val="auto"/>
        </w:rPr>
      </w:pPr>
      <w:r>
        <w:rPr>
          <w:rFonts w:ascii="Times New Roman" w:cs="Times New Roman" w:eastAsia="Times New Roman" w:hAnsi="Times New Roman"/>
          <w:sz w:val="24"/>
          <w:szCs w:val="24"/>
          <w:color w:val="auto"/>
        </w:rPr>
        <w:t>Details of service contracts entered into by the directors with the issuer providing for benefits upon termination of employment and a distinct negative statement in the absence of any such contract.</w:t>
      </w:r>
    </w:p>
    <w:p>
      <w:pPr>
        <w:spacing w:after="0" w:line="5" w:lineRule="exact"/>
        <w:rPr>
          <w:rFonts w:ascii="Calibri" w:cs="Calibri" w:eastAsia="Calibri" w:hAnsi="Calibri"/>
          <w:sz w:val="22"/>
          <w:szCs w:val="22"/>
          <w:color w:val="auto"/>
        </w:rPr>
      </w:pPr>
    </w:p>
    <w:p>
      <w:pPr>
        <w:ind w:left="1720" w:hanging="352"/>
        <w:spacing w:after="0"/>
        <w:tabs>
          <w:tab w:leader="none" w:pos="1720" w:val="left"/>
        </w:tabs>
        <w:numPr>
          <w:ilvl w:val="2"/>
          <w:numId w:val="822"/>
        </w:numPr>
        <w:rPr>
          <w:rFonts w:ascii="Calibri" w:cs="Calibri" w:eastAsia="Calibri" w:hAnsi="Calibri"/>
          <w:sz w:val="22"/>
          <w:szCs w:val="22"/>
          <w:color w:val="auto"/>
        </w:rPr>
      </w:pPr>
      <w:r>
        <w:rPr>
          <w:rFonts w:ascii="Times New Roman" w:cs="Times New Roman" w:eastAsia="Times New Roman" w:hAnsi="Times New Roman"/>
          <w:sz w:val="24"/>
          <w:szCs w:val="24"/>
          <w:color w:val="auto"/>
        </w:rPr>
        <w:t>Details of borrowing powers.</w:t>
      </w:r>
    </w:p>
    <w:p>
      <w:pPr>
        <w:spacing w:after="0" w:line="200" w:lineRule="exact"/>
        <w:rPr>
          <w:rFonts w:ascii="Calibri" w:cs="Calibri" w:eastAsia="Calibri" w:hAnsi="Calibri"/>
          <w:sz w:val="22"/>
          <w:szCs w:val="22"/>
          <w:color w:val="auto"/>
        </w:rPr>
      </w:pPr>
    </w:p>
    <w:p>
      <w:pPr>
        <w:spacing w:after="0" w:line="357" w:lineRule="exact"/>
        <w:rPr>
          <w:rFonts w:ascii="Calibri" w:cs="Calibri" w:eastAsia="Calibri" w:hAnsi="Calibri"/>
          <w:sz w:val="22"/>
          <w:szCs w:val="22"/>
          <w:color w:val="auto"/>
        </w:rPr>
      </w:pPr>
    </w:p>
    <w:p>
      <w:pPr>
        <w:ind w:left="1160" w:hanging="728"/>
        <w:spacing w:after="0"/>
        <w:tabs>
          <w:tab w:leader="none" w:pos="1160" w:val="left"/>
        </w:tabs>
        <w:numPr>
          <w:ilvl w:val="0"/>
          <w:numId w:val="823"/>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b w:val="1"/>
          <w:bCs w:val="1"/>
          <w:color w:val="auto"/>
        </w:rPr>
        <w:t>Compensation of Managing Directors and/or Whole-time Directors:</w:t>
      </w:r>
    </w:p>
    <w:p>
      <w:pPr>
        <w:spacing w:after="0" w:line="144" w:lineRule="exact"/>
        <w:rPr>
          <w:rFonts w:ascii="Times New Roman" w:cs="Times New Roman" w:eastAsia="Times New Roman" w:hAnsi="Times New Roman"/>
          <w:sz w:val="22"/>
          <w:szCs w:val="22"/>
          <w:color w:val="auto"/>
        </w:rPr>
      </w:pPr>
    </w:p>
    <w:p>
      <w:pPr>
        <w:jc w:val="both"/>
        <w:ind w:left="1720" w:hanging="352"/>
        <w:spacing w:after="0" w:line="357" w:lineRule="auto"/>
        <w:tabs>
          <w:tab w:leader="none" w:pos="1720" w:val="left"/>
        </w:tabs>
        <w:numPr>
          <w:ilvl w:val="2"/>
          <w:numId w:val="823"/>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dates, parties to, and general nature of every contract appointing or fixing the remuneration of a Director, Whole-time Director, Managing Director or Manager entered into in the preceding two years. During the last financial year, the amount of compensation paid, and benefits in kind granted on an individual basis to all such persons, by the issuer for services in all capacities to the issuer and remuneration paid or payable by subsidiary or associate company (as defined under the Companies Act, 2013). The disclosure shall also cover contingent or deferred compensation accrued for the year, even if the compensation is payable at a later date.</w:t>
      </w:r>
    </w:p>
    <w:p>
      <w:pPr>
        <w:spacing w:after="0" w:line="22" w:lineRule="exact"/>
        <w:rPr>
          <w:rFonts w:ascii="Calibri" w:cs="Calibri" w:eastAsia="Calibri" w:hAnsi="Calibri"/>
          <w:sz w:val="22"/>
          <w:szCs w:val="22"/>
          <w:color w:val="auto"/>
        </w:rPr>
      </w:pPr>
    </w:p>
    <w:p>
      <w:pPr>
        <w:jc w:val="both"/>
        <w:ind w:left="1720" w:hanging="352"/>
        <w:spacing w:after="0" w:line="350" w:lineRule="auto"/>
        <w:tabs>
          <w:tab w:leader="none" w:pos="1720" w:val="left"/>
        </w:tabs>
        <w:numPr>
          <w:ilvl w:val="2"/>
          <w:numId w:val="823"/>
        </w:numPr>
        <w:rPr>
          <w:rFonts w:ascii="Calibri" w:cs="Calibri" w:eastAsia="Calibri" w:hAnsi="Calibri"/>
          <w:sz w:val="22"/>
          <w:szCs w:val="22"/>
          <w:color w:val="auto"/>
        </w:rPr>
      </w:pPr>
      <w:r>
        <w:rPr>
          <w:rFonts w:ascii="Times New Roman" w:cs="Times New Roman" w:eastAsia="Times New Roman" w:hAnsi="Times New Roman"/>
          <w:sz w:val="24"/>
          <w:szCs w:val="24"/>
          <w:color w:val="auto"/>
        </w:rPr>
        <w:t>If any portion of the compensation was paid pursuant to a bonus or profit-sharing plan, a brief description of the plan and the basis upon which the directors participate in the plan.</w:t>
      </w:r>
    </w:p>
    <w:p>
      <w:pPr>
        <w:spacing w:after="0" w:line="22" w:lineRule="exact"/>
        <w:rPr>
          <w:rFonts w:ascii="Calibri" w:cs="Calibri" w:eastAsia="Calibri" w:hAnsi="Calibri"/>
          <w:sz w:val="22"/>
          <w:szCs w:val="22"/>
          <w:color w:val="auto"/>
        </w:rPr>
      </w:pPr>
    </w:p>
    <w:p>
      <w:pPr>
        <w:ind w:left="1720" w:hanging="352"/>
        <w:spacing w:after="0" w:line="344" w:lineRule="auto"/>
        <w:tabs>
          <w:tab w:leader="none" w:pos="1720" w:val="left"/>
        </w:tabs>
        <w:numPr>
          <w:ilvl w:val="2"/>
          <w:numId w:val="823"/>
        </w:numPr>
        <w:rPr>
          <w:rFonts w:ascii="Calibri" w:cs="Calibri" w:eastAsia="Calibri" w:hAnsi="Calibri"/>
          <w:sz w:val="22"/>
          <w:szCs w:val="22"/>
          <w:color w:val="auto"/>
        </w:rPr>
      </w:pPr>
      <w:r>
        <w:rPr>
          <w:rFonts w:ascii="Times New Roman" w:cs="Times New Roman" w:eastAsia="Times New Roman" w:hAnsi="Times New Roman"/>
          <w:sz w:val="24"/>
          <w:szCs w:val="24"/>
          <w:color w:val="auto"/>
        </w:rPr>
        <w:t>All such contracts shall be included in the list of material contracts required under sub-item (1) of Item (17).</w:t>
      </w:r>
    </w:p>
    <w:p>
      <w:pPr>
        <w:spacing w:after="0" w:line="27" w:lineRule="exact"/>
        <w:rPr>
          <w:rFonts w:ascii="Calibri" w:cs="Calibri" w:eastAsia="Calibri" w:hAnsi="Calibri"/>
          <w:sz w:val="22"/>
          <w:szCs w:val="22"/>
          <w:color w:val="auto"/>
        </w:rPr>
      </w:pPr>
    </w:p>
    <w:p>
      <w:pPr>
        <w:ind w:left="1160" w:hanging="728"/>
        <w:spacing w:after="0" w:line="350" w:lineRule="auto"/>
        <w:tabs>
          <w:tab w:leader="none" w:pos="1160" w:val="left"/>
        </w:tabs>
        <w:numPr>
          <w:ilvl w:val="0"/>
          <w:numId w:val="823"/>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b w:val="1"/>
          <w:bCs w:val="1"/>
          <w:color w:val="auto"/>
        </w:rPr>
        <w:t xml:space="preserve">Shareholding </w:t>
      </w:r>
      <w:r>
        <w:rPr>
          <w:rFonts w:ascii="Times New Roman" w:cs="Times New Roman" w:eastAsia="Times New Roman" w:hAnsi="Times New Roman"/>
          <w:sz w:val="24"/>
          <w:szCs w:val="24"/>
          <w:color w:val="auto"/>
        </w:rPr>
        <w:t>of directors, including details of qualification shares held by them, if</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applicable.</w:t>
      </w:r>
    </w:p>
    <w:p>
      <w:pPr>
        <w:spacing w:after="0" w:line="15" w:lineRule="exact"/>
        <w:rPr>
          <w:rFonts w:ascii="Times New Roman" w:cs="Times New Roman" w:eastAsia="Times New Roman" w:hAnsi="Times New Roman"/>
          <w:sz w:val="22"/>
          <w:szCs w:val="22"/>
          <w:color w:val="auto"/>
        </w:rPr>
      </w:pPr>
    </w:p>
    <w:p>
      <w:pPr>
        <w:ind w:left="1160" w:hanging="728"/>
        <w:spacing w:after="0"/>
        <w:tabs>
          <w:tab w:leader="none" w:pos="1160" w:val="left"/>
        </w:tabs>
        <w:numPr>
          <w:ilvl w:val="0"/>
          <w:numId w:val="823"/>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b w:val="1"/>
          <w:bCs w:val="1"/>
          <w:color w:val="auto"/>
        </w:rPr>
        <w:t>Interest of Directors:</w:t>
      </w:r>
    </w:p>
    <w:p>
      <w:pPr>
        <w:spacing w:after="0" w:line="146" w:lineRule="exact"/>
        <w:rPr>
          <w:rFonts w:ascii="Times New Roman" w:cs="Times New Roman" w:eastAsia="Times New Roman" w:hAnsi="Times New Roman"/>
          <w:sz w:val="22"/>
          <w:szCs w:val="22"/>
          <w:color w:val="auto"/>
        </w:rPr>
      </w:pPr>
    </w:p>
    <w:p>
      <w:pPr>
        <w:jc w:val="both"/>
        <w:ind w:left="1160" w:hanging="368"/>
        <w:spacing w:after="0" w:line="354" w:lineRule="auto"/>
        <w:tabs>
          <w:tab w:leader="none" w:pos="1160" w:val="left"/>
        </w:tabs>
        <w:numPr>
          <w:ilvl w:val="1"/>
          <w:numId w:val="8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Nature and extent of interest, if any, of every director in the issuer, including in any property acquired or proposed to be acquired of the issuer or by the issuer or in the promotion or formation of the issuer.</w:t>
      </w:r>
    </w:p>
    <w:p>
      <w:pPr>
        <w:spacing w:after="0" w:line="19" w:lineRule="exact"/>
        <w:rPr>
          <w:rFonts w:ascii="Times New Roman" w:cs="Times New Roman" w:eastAsia="Times New Roman" w:hAnsi="Times New Roman"/>
          <w:sz w:val="24"/>
          <w:szCs w:val="24"/>
          <w:color w:val="auto"/>
        </w:rPr>
      </w:pPr>
    </w:p>
    <w:p>
      <w:pPr>
        <w:jc w:val="both"/>
        <w:ind w:left="1160" w:hanging="368"/>
        <w:spacing w:after="0" w:line="357" w:lineRule="auto"/>
        <w:tabs>
          <w:tab w:leader="none" w:pos="1160" w:val="left"/>
        </w:tabs>
        <w:numPr>
          <w:ilvl w:val="1"/>
          <w:numId w:val="8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Where the interest of such a director consists in being a member of a firm or company, the nature and extent of the interest of the firm or company, with a statement of all sums paid or agreed to be paid to him or to the firm or company in cash or shares or otherwise by any person either to induce him to become, or to qualify him as, a director, or otherwise for services rendered by him or by the firm</w:t>
      </w: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221</w:t>
      </w:r>
    </w:p>
    <w:p>
      <w:pPr>
        <w:sectPr>
          <w:pgSz w:w="11900" w:h="16836" w:orient="portrait"/>
          <w:cols w:equalWidth="0" w:num="1">
            <w:col w:w="9180"/>
          </w:cols>
          <w:pgMar w:left="1440" w:top="1156" w:right="1284" w:bottom="103" w:gutter="0" w:footer="0" w:header="0"/>
        </w:sectPr>
      </w:pPr>
    </w:p>
    <w:bookmarkStart w:id="221" w:name="page222"/>
    <w:bookmarkEnd w:id="221"/>
    <w:p>
      <w:pPr>
        <w:ind w:left="1160"/>
        <w:spacing w:after="0" w:line="348" w:lineRule="auto"/>
        <w:rPr>
          <w:sz w:val="20"/>
          <w:szCs w:val="20"/>
          <w:color w:val="auto"/>
        </w:rPr>
      </w:pPr>
      <w:r>
        <w:rPr>
          <w:rFonts w:ascii="Times New Roman" w:cs="Times New Roman" w:eastAsia="Times New Roman" w:hAnsi="Times New Roman"/>
          <w:sz w:val="24"/>
          <w:szCs w:val="24"/>
          <w:color w:val="auto"/>
        </w:rPr>
        <w:t>or company, in connection with the promotion or formation of the issuer shall be disclosed.</w:t>
      </w:r>
    </w:p>
    <w:p>
      <w:pPr>
        <w:spacing w:after="0" w:line="16" w:lineRule="exact"/>
        <w:rPr>
          <w:sz w:val="20"/>
          <w:szCs w:val="20"/>
          <w:color w:val="auto"/>
        </w:rPr>
      </w:pPr>
    </w:p>
    <w:p>
      <w:pPr>
        <w:ind w:left="1160" w:hanging="728"/>
        <w:spacing w:after="0"/>
        <w:tabs>
          <w:tab w:leader="none" w:pos="1160" w:val="left"/>
        </w:tabs>
        <w:numPr>
          <w:ilvl w:val="0"/>
          <w:numId w:val="824"/>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Change, if any, in the directors during the last three years, and reasons, thereof.</w:t>
      </w:r>
    </w:p>
    <w:p>
      <w:pPr>
        <w:spacing w:after="0" w:line="136" w:lineRule="exact"/>
        <w:rPr>
          <w:rFonts w:ascii="Times New Roman" w:cs="Times New Roman" w:eastAsia="Times New Roman" w:hAnsi="Times New Roman"/>
          <w:sz w:val="22"/>
          <w:szCs w:val="22"/>
          <w:color w:val="auto"/>
        </w:rPr>
      </w:pPr>
    </w:p>
    <w:p>
      <w:pPr>
        <w:ind w:left="1160" w:hanging="728"/>
        <w:spacing w:after="0"/>
        <w:tabs>
          <w:tab w:leader="none" w:pos="1160" w:val="left"/>
        </w:tabs>
        <w:numPr>
          <w:ilvl w:val="0"/>
          <w:numId w:val="824"/>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Management Organisation Structure.</w:t>
      </w:r>
    </w:p>
    <w:p>
      <w:pPr>
        <w:spacing w:after="0" w:line="144" w:lineRule="exact"/>
        <w:rPr>
          <w:rFonts w:ascii="Times New Roman" w:cs="Times New Roman" w:eastAsia="Times New Roman" w:hAnsi="Times New Roman"/>
          <w:sz w:val="22"/>
          <w:szCs w:val="22"/>
          <w:color w:val="auto"/>
        </w:rPr>
      </w:pPr>
    </w:p>
    <w:p>
      <w:pPr>
        <w:ind w:left="1160" w:hanging="728"/>
        <w:spacing w:after="0"/>
        <w:tabs>
          <w:tab w:leader="none" w:pos="1160" w:val="left"/>
        </w:tabs>
        <w:numPr>
          <w:ilvl w:val="0"/>
          <w:numId w:val="824"/>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b w:val="1"/>
          <w:bCs w:val="1"/>
          <w:color w:val="auto"/>
        </w:rPr>
        <w:t>Corporate Governance:</w:t>
      </w:r>
    </w:p>
    <w:p>
      <w:pPr>
        <w:spacing w:after="0" w:line="144" w:lineRule="exact"/>
        <w:rPr>
          <w:rFonts w:ascii="Times New Roman" w:cs="Times New Roman" w:eastAsia="Times New Roman" w:hAnsi="Times New Roman"/>
          <w:sz w:val="22"/>
          <w:szCs w:val="22"/>
          <w:color w:val="auto"/>
        </w:rPr>
      </w:pPr>
    </w:p>
    <w:p>
      <w:pPr>
        <w:jc w:val="both"/>
        <w:ind w:left="1880" w:hanging="728"/>
        <w:spacing w:after="0" w:line="356" w:lineRule="auto"/>
        <w:tabs>
          <w:tab w:leader="none" w:pos="1880" w:val="left"/>
        </w:tabs>
        <w:numPr>
          <w:ilvl w:val="1"/>
          <w:numId w:val="824"/>
        </w:numPr>
        <w:rPr>
          <w:rFonts w:ascii="Calibri" w:cs="Calibri" w:eastAsia="Calibri" w:hAnsi="Calibri"/>
          <w:sz w:val="22"/>
          <w:szCs w:val="22"/>
          <w:color w:val="auto"/>
        </w:rPr>
      </w:pPr>
      <w:r>
        <w:rPr>
          <w:rFonts w:ascii="Times New Roman" w:cs="Times New Roman" w:eastAsia="Times New Roman" w:hAnsi="Times New Roman"/>
          <w:sz w:val="24"/>
          <w:szCs w:val="24"/>
          <w:color w:val="auto"/>
        </w:rPr>
        <w:t>A statement that the issuer has complied with the requirements of corporate governance relating to the composition of its board of directors, constitution of committees such as audit committee, nomination and remuneration committee, stakeholders relationship committee, etc., as provided under Securities and Exchange Board of India (Listing Obligations and Disclosure Requirements) Regulations, 2015.</w:t>
      </w:r>
    </w:p>
    <w:p>
      <w:pPr>
        <w:spacing w:after="0" w:line="17" w:lineRule="exact"/>
        <w:rPr>
          <w:rFonts w:ascii="Calibri" w:cs="Calibri" w:eastAsia="Calibri" w:hAnsi="Calibri"/>
          <w:sz w:val="22"/>
          <w:szCs w:val="22"/>
          <w:color w:val="auto"/>
        </w:rPr>
      </w:pPr>
    </w:p>
    <w:p>
      <w:pPr>
        <w:jc w:val="both"/>
        <w:ind w:left="1880" w:hanging="728"/>
        <w:spacing w:after="0" w:line="353" w:lineRule="auto"/>
        <w:tabs>
          <w:tab w:leader="none" w:pos="1880" w:val="left"/>
        </w:tabs>
        <w:numPr>
          <w:ilvl w:val="1"/>
          <w:numId w:val="824"/>
        </w:numPr>
        <w:rPr>
          <w:rFonts w:ascii="Calibri" w:cs="Calibri" w:eastAsia="Calibri" w:hAnsi="Calibri"/>
          <w:sz w:val="22"/>
          <w:szCs w:val="22"/>
          <w:color w:val="auto"/>
        </w:rPr>
      </w:pPr>
      <w:r>
        <w:rPr>
          <w:rFonts w:ascii="Times New Roman" w:cs="Times New Roman" w:eastAsia="Times New Roman" w:hAnsi="Times New Roman"/>
          <w:sz w:val="24"/>
          <w:szCs w:val="24"/>
          <w:color w:val="auto"/>
        </w:rPr>
        <w:t>Details relating to the issuer's audit committee, nomination and remuneration committee, stakeholders’ relationship committee and risk management committee (if applicable) including the names of committee members and the terms of reference under which the committees operate.</w:t>
      </w:r>
    </w:p>
    <w:p>
      <w:pPr>
        <w:spacing w:after="0" w:line="14" w:lineRule="exact"/>
        <w:rPr>
          <w:rFonts w:ascii="Calibri" w:cs="Calibri" w:eastAsia="Calibri" w:hAnsi="Calibri"/>
          <w:sz w:val="22"/>
          <w:szCs w:val="22"/>
          <w:color w:val="auto"/>
        </w:rPr>
      </w:pPr>
    </w:p>
    <w:p>
      <w:pPr>
        <w:ind w:left="1160" w:hanging="728"/>
        <w:spacing w:after="0"/>
        <w:tabs>
          <w:tab w:leader="none" w:pos="1160" w:val="left"/>
        </w:tabs>
        <w:numPr>
          <w:ilvl w:val="0"/>
          <w:numId w:val="824"/>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b w:val="1"/>
          <w:bCs w:val="1"/>
          <w:color w:val="auto"/>
        </w:rPr>
        <w:t>Key Managerial Personnel:</w:t>
      </w:r>
    </w:p>
    <w:p>
      <w:pPr>
        <w:spacing w:after="0" w:line="147" w:lineRule="exact"/>
        <w:rPr>
          <w:rFonts w:ascii="Times New Roman" w:cs="Times New Roman" w:eastAsia="Times New Roman" w:hAnsi="Times New Roman"/>
          <w:sz w:val="22"/>
          <w:szCs w:val="22"/>
          <w:color w:val="auto"/>
        </w:rPr>
      </w:pPr>
    </w:p>
    <w:p>
      <w:pPr>
        <w:jc w:val="both"/>
        <w:ind w:left="1880" w:hanging="728"/>
        <w:spacing w:after="0" w:line="353" w:lineRule="auto"/>
        <w:tabs>
          <w:tab w:leader="none" w:pos="1880" w:val="left"/>
        </w:tabs>
        <w:numPr>
          <w:ilvl w:val="1"/>
          <w:numId w:val="824"/>
        </w:numPr>
        <w:rPr>
          <w:rFonts w:ascii="Calibri" w:cs="Calibri" w:eastAsia="Calibri" w:hAnsi="Calibri"/>
          <w:sz w:val="22"/>
          <w:szCs w:val="22"/>
          <w:color w:val="auto"/>
        </w:rPr>
      </w:pPr>
      <w:r>
        <w:rPr>
          <w:rFonts w:ascii="Times New Roman" w:cs="Times New Roman" w:eastAsia="Times New Roman" w:hAnsi="Times New Roman"/>
          <w:sz w:val="24"/>
          <w:szCs w:val="24"/>
          <w:color w:val="auto"/>
        </w:rPr>
        <w:t>Details of the key managerial personnel indicating name, date of joining, qualification, term of office with date of expiration of term and details of service contracts including termination/retirement benefits, if any, details of previous employment, etc.</w:t>
      </w:r>
    </w:p>
    <w:p>
      <w:pPr>
        <w:spacing w:after="0" w:line="21" w:lineRule="exact"/>
        <w:rPr>
          <w:rFonts w:ascii="Calibri" w:cs="Calibri" w:eastAsia="Calibri" w:hAnsi="Calibri"/>
          <w:sz w:val="22"/>
          <w:szCs w:val="22"/>
          <w:color w:val="auto"/>
        </w:rPr>
      </w:pPr>
    </w:p>
    <w:p>
      <w:pPr>
        <w:jc w:val="both"/>
        <w:ind w:left="1880" w:hanging="728"/>
        <w:spacing w:after="0" w:line="350" w:lineRule="auto"/>
        <w:tabs>
          <w:tab w:leader="none" w:pos="1880" w:val="left"/>
        </w:tabs>
        <w:numPr>
          <w:ilvl w:val="1"/>
          <w:numId w:val="824"/>
        </w:numPr>
        <w:rPr>
          <w:rFonts w:ascii="Calibri" w:cs="Calibri" w:eastAsia="Calibri" w:hAnsi="Calibri"/>
          <w:sz w:val="22"/>
          <w:szCs w:val="22"/>
          <w:color w:val="auto"/>
        </w:rPr>
      </w:pPr>
      <w:r>
        <w:rPr>
          <w:rFonts w:ascii="Times New Roman" w:cs="Times New Roman" w:eastAsia="Times New Roman" w:hAnsi="Times New Roman"/>
          <w:sz w:val="24"/>
          <w:szCs w:val="24"/>
          <w:color w:val="auto"/>
        </w:rPr>
        <w:t>Past business experience, and functions and areas of experience in the issuer. Nature of any family relationship between any of the key managerial personnel.</w:t>
      </w:r>
    </w:p>
    <w:p>
      <w:pPr>
        <w:spacing w:after="0" w:line="23" w:lineRule="exact"/>
        <w:rPr>
          <w:rFonts w:ascii="Calibri" w:cs="Calibri" w:eastAsia="Calibri" w:hAnsi="Calibri"/>
          <w:sz w:val="22"/>
          <w:szCs w:val="22"/>
          <w:color w:val="auto"/>
        </w:rPr>
      </w:pPr>
    </w:p>
    <w:p>
      <w:pPr>
        <w:jc w:val="both"/>
        <w:ind w:left="1880" w:hanging="728"/>
        <w:spacing w:after="0" w:line="350" w:lineRule="auto"/>
        <w:tabs>
          <w:tab w:leader="none" w:pos="1880" w:val="left"/>
        </w:tabs>
        <w:numPr>
          <w:ilvl w:val="1"/>
          <w:numId w:val="824"/>
        </w:numPr>
        <w:rPr>
          <w:rFonts w:ascii="Calibri" w:cs="Calibri" w:eastAsia="Calibri" w:hAnsi="Calibri"/>
          <w:sz w:val="22"/>
          <w:szCs w:val="22"/>
          <w:color w:val="auto"/>
        </w:rPr>
      </w:pPr>
      <w:r>
        <w:rPr>
          <w:rFonts w:ascii="Times New Roman" w:cs="Times New Roman" w:eastAsia="Times New Roman" w:hAnsi="Times New Roman"/>
          <w:sz w:val="24"/>
          <w:szCs w:val="24"/>
          <w:color w:val="auto"/>
        </w:rPr>
        <w:t>Any arrangement or understanding with its major shareholders, customers, suppliers or others, pursuant to which any of the key managerial personnel, was selected as a key managerial personnel.</w:t>
      </w:r>
    </w:p>
    <w:p>
      <w:pPr>
        <w:spacing w:after="0" w:line="25" w:lineRule="exact"/>
        <w:rPr>
          <w:rFonts w:ascii="Calibri" w:cs="Calibri" w:eastAsia="Calibri" w:hAnsi="Calibri"/>
          <w:sz w:val="22"/>
          <w:szCs w:val="22"/>
          <w:color w:val="auto"/>
        </w:rPr>
      </w:pPr>
    </w:p>
    <w:p>
      <w:pPr>
        <w:jc w:val="both"/>
        <w:ind w:left="1880" w:hanging="728"/>
        <w:spacing w:after="0" w:line="355" w:lineRule="auto"/>
        <w:tabs>
          <w:tab w:leader="none" w:pos="1880" w:val="left"/>
        </w:tabs>
        <w:numPr>
          <w:ilvl w:val="1"/>
          <w:numId w:val="824"/>
        </w:numPr>
        <w:rPr>
          <w:rFonts w:ascii="Calibri" w:cs="Calibri" w:eastAsia="Calibri" w:hAnsi="Calibri"/>
          <w:sz w:val="22"/>
          <w:szCs w:val="22"/>
          <w:color w:val="auto"/>
        </w:rPr>
      </w:pPr>
      <w:r>
        <w:rPr>
          <w:rFonts w:ascii="Times New Roman" w:cs="Times New Roman" w:eastAsia="Times New Roman" w:hAnsi="Times New Roman"/>
          <w:sz w:val="24"/>
          <w:szCs w:val="24"/>
          <w:color w:val="auto"/>
        </w:rPr>
        <w:t>During the last financial year, the amount of compensation paid, and benefits in kind granted, to the key managerial personnel on an individual basis, by the issuer for services in all capacities to the issuer, including contingent or deferred compensation accrued for the year, even if the compensation is payable at a later date.</w:t>
      </w:r>
    </w:p>
    <w:p>
      <w:pPr>
        <w:spacing w:after="0" w:line="17" w:lineRule="exact"/>
        <w:rPr>
          <w:rFonts w:ascii="Calibri" w:cs="Calibri" w:eastAsia="Calibri" w:hAnsi="Calibri"/>
          <w:sz w:val="22"/>
          <w:szCs w:val="22"/>
          <w:color w:val="auto"/>
        </w:rPr>
      </w:pPr>
    </w:p>
    <w:p>
      <w:pPr>
        <w:jc w:val="both"/>
        <w:ind w:left="1880" w:hanging="728"/>
        <w:spacing w:after="0" w:line="350" w:lineRule="auto"/>
        <w:tabs>
          <w:tab w:leader="none" w:pos="1880" w:val="left"/>
        </w:tabs>
        <w:numPr>
          <w:ilvl w:val="1"/>
          <w:numId w:val="824"/>
        </w:numPr>
        <w:rPr>
          <w:rFonts w:ascii="Calibri" w:cs="Calibri" w:eastAsia="Calibri" w:hAnsi="Calibri"/>
          <w:sz w:val="22"/>
          <w:szCs w:val="22"/>
          <w:color w:val="auto"/>
        </w:rPr>
      </w:pPr>
      <w:r>
        <w:rPr>
          <w:rFonts w:ascii="Times New Roman" w:cs="Times New Roman" w:eastAsia="Times New Roman" w:hAnsi="Times New Roman"/>
          <w:sz w:val="24"/>
          <w:szCs w:val="24"/>
          <w:color w:val="auto"/>
        </w:rPr>
        <w:t>If any portion of the compensation or otherwise was paid pursuant to a bonus or profit-sharing plan, a brief description of the plan and the basis upon which the key managerial personnel participate in the plan.</w:t>
      </w: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222</w:t>
      </w:r>
    </w:p>
    <w:p>
      <w:pPr>
        <w:sectPr>
          <w:pgSz w:w="11900" w:h="16836" w:orient="portrait"/>
          <w:cols w:equalWidth="0" w:num="1">
            <w:col w:w="9180"/>
          </w:cols>
          <w:pgMar w:left="1440" w:top="1156" w:right="1284" w:bottom="103" w:gutter="0" w:footer="0" w:header="0"/>
        </w:sectPr>
      </w:pPr>
    </w:p>
    <w:bookmarkStart w:id="222" w:name="page223"/>
    <w:bookmarkEnd w:id="222"/>
    <w:p>
      <w:pPr>
        <w:ind w:left="1880" w:hanging="728"/>
        <w:spacing w:after="0" w:line="342" w:lineRule="auto"/>
        <w:tabs>
          <w:tab w:leader="none" w:pos="1880" w:val="left"/>
        </w:tabs>
        <w:numPr>
          <w:ilvl w:val="2"/>
          <w:numId w:val="825"/>
        </w:numPr>
        <w:rPr>
          <w:rFonts w:ascii="Calibri" w:cs="Calibri" w:eastAsia="Calibri" w:hAnsi="Calibri"/>
          <w:sz w:val="22"/>
          <w:szCs w:val="22"/>
          <w:color w:val="auto"/>
        </w:rPr>
      </w:pPr>
      <w:r>
        <w:rPr>
          <w:rFonts w:ascii="Times New Roman" w:cs="Times New Roman" w:eastAsia="Times New Roman" w:hAnsi="Times New Roman"/>
          <w:sz w:val="24"/>
          <w:szCs w:val="24"/>
          <w:color w:val="auto"/>
        </w:rPr>
        <w:t>Status of each key managerial personnel, as a permanent employee or otherwise.</w:t>
      </w:r>
    </w:p>
    <w:p>
      <w:pPr>
        <w:spacing w:after="0" w:line="12" w:lineRule="exact"/>
        <w:rPr>
          <w:rFonts w:ascii="Calibri" w:cs="Calibri" w:eastAsia="Calibri" w:hAnsi="Calibri"/>
          <w:sz w:val="22"/>
          <w:szCs w:val="22"/>
          <w:color w:val="auto"/>
        </w:rPr>
      </w:pPr>
    </w:p>
    <w:p>
      <w:pPr>
        <w:ind w:left="1880" w:hanging="728"/>
        <w:spacing w:after="0"/>
        <w:tabs>
          <w:tab w:leader="none" w:pos="1880" w:val="left"/>
        </w:tabs>
        <w:numPr>
          <w:ilvl w:val="2"/>
          <w:numId w:val="825"/>
        </w:numPr>
        <w:rPr>
          <w:rFonts w:ascii="Calibri" w:cs="Calibri" w:eastAsia="Calibri" w:hAnsi="Calibri"/>
          <w:sz w:val="22"/>
          <w:szCs w:val="22"/>
          <w:color w:val="auto"/>
        </w:rPr>
      </w:pPr>
      <w:r>
        <w:rPr>
          <w:rFonts w:ascii="Times New Roman" w:cs="Times New Roman" w:eastAsia="Times New Roman" w:hAnsi="Times New Roman"/>
          <w:sz w:val="24"/>
          <w:szCs w:val="24"/>
          <w:color w:val="auto"/>
        </w:rPr>
        <w:t>Shareholding of each key managerial personnel in the issuer.</w:t>
      </w:r>
    </w:p>
    <w:p>
      <w:pPr>
        <w:spacing w:after="0" w:line="149" w:lineRule="exact"/>
        <w:rPr>
          <w:rFonts w:ascii="Calibri" w:cs="Calibri" w:eastAsia="Calibri" w:hAnsi="Calibri"/>
          <w:sz w:val="22"/>
          <w:szCs w:val="22"/>
          <w:color w:val="auto"/>
        </w:rPr>
      </w:pPr>
    </w:p>
    <w:p>
      <w:pPr>
        <w:jc w:val="both"/>
        <w:ind w:left="1880" w:hanging="728"/>
        <w:spacing w:after="0" w:line="350" w:lineRule="auto"/>
        <w:tabs>
          <w:tab w:leader="none" w:pos="1880" w:val="left"/>
        </w:tabs>
        <w:numPr>
          <w:ilvl w:val="2"/>
          <w:numId w:val="825"/>
        </w:numPr>
        <w:rPr>
          <w:rFonts w:ascii="Calibri" w:cs="Calibri" w:eastAsia="Calibri" w:hAnsi="Calibri"/>
          <w:sz w:val="22"/>
          <w:szCs w:val="22"/>
          <w:color w:val="auto"/>
        </w:rPr>
      </w:pPr>
      <w:r>
        <w:rPr>
          <w:rFonts w:ascii="Times New Roman" w:cs="Times New Roman" w:eastAsia="Times New Roman" w:hAnsi="Times New Roman"/>
          <w:sz w:val="24"/>
          <w:szCs w:val="24"/>
          <w:color w:val="auto"/>
        </w:rPr>
        <w:t>Changes in the Key Managerial Personnel</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color w:val="auto"/>
        </w:rPr>
        <w:t xml:space="preserve"> Any change other than by way of retirement in the normal course in the key managerial personnel in the preceding three years</w:t>
      </w:r>
    </w:p>
    <w:p>
      <w:pPr>
        <w:spacing w:after="0" w:line="25" w:lineRule="exact"/>
        <w:rPr>
          <w:rFonts w:ascii="Calibri" w:cs="Calibri" w:eastAsia="Calibri" w:hAnsi="Calibri"/>
          <w:sz w:val="22"/>
          <w:szCs w:val="22"/>
          <w:color w:val="auto"/>
        </w:rPr>
      </w:pPr>
    </w:p>
    <w:p>
      <w:pPr>
        <w:ind w:left="1880" w:hanging="728"/>
        <w:spacing w:after="0" w:line="342" w:lineRule="auto"/>
        <w:tabs>
          <w:tab w:leader="none" w:pos="1880" w:val="left"/>
        </w:tabs>
        <w:numPr>
          <w:ilvl w:val="2"/>
          <w:numId w:val="825"/>
        </w:numPr>
        <w:rPr>
          <w:rFonts w:ascii="Calibri" w:cs="Calibri" w:eastAsia="Calibri" w:hAnsi="Calibri"/>
          <w:sz w:val="22"/>
          <w:szCs w:val="22"/>
          <w:color w:val="auto"/>
        </w:rPr>
      </w:pPr>
      <w:r>
        <w:rPr>
          <w:rFonts w:ascii="Times New Roman" w:cs="Times New Roman" w:eastAsia="Times New Roman" w:hAnsi="Times New Roman"/>
          <w:sz w:val="24"/>
          <w:szCs w:val="24"/>
          <w:color w:val="auto"/>
        </w:rPr>
        <w:t>If the attrition of key management personnel is high compared to the industry, reasons should be disclosed.</w:t>
      </w:r>
    </w:p>
    <w:p>
      <w:pPr>
        <w:spacing w:after="0" w:line="12" w:lineRule="exact"/>
        <w:rPr>
          <w:rFonts w:ascii="Calibri" w:cs="Calibri" w:eastAsia="Calibri" w:hAnsi="Calibri"/>
          <w:sz w:val="22"/>
          <w:szCs w:val="22"/>
          <w:color w:val="auto"/>
        </w:rPr>
      </w:pPr>
    </w:p>
    <w:p>
      <w:pPr>
        <w:ind w:left="1880" w:hanging="728"/>
        <w:spacing w:after="0"/>
        <w:tabs>
          <w:tab w:leader="none" w:pos="1880" w:val="left"/>
        </w:tabs>
        <w:numPr>
          <w:ilvl w:val="2"/>
          <w:numId w:val="825"/>
        </w:numPr>
        <w:rPr>
          <w:rFonts w:ascii="Calibri" w:cs="Calibri" w:eastAsia="Calibri" w:hAnsi="Calibri"/>
          <w:sz w:val="22"/>
          <w:szCs w:val="22"/>
          <w:color w:val="auto"/>
        </w:rPr>
      </w:pPr>
      <w:r>
        <w:rPr>
          <w:rFonts w:ascii="Times New Roman" w:cs="Times New Roman" w:eastAsia="Times New Roman" w:hAnsi="Times New Roman"/>
          <w:sz w:val="24"/>
          <w:szCs w:val="24"/>
          <w:color w:val="auto"/>
        </w:rPr>
        <w:t>Employees</w:t>
      </w:r>
      <w:r>
        <w:rPr>
          <w:rFonts w:ascii="Times New Roman" w:cs="Times New Roman" w:eastAsia="Times New Roman" w:hAnsi="Times New Roman"/>
          <w:sz w:val="24"/>
          <w:szCs w:val="24"/>
          <w:b w:val="1"/>
          <w:bCs w:val="1"/>
          <w:color w:val="auto"/>
        </w:rPr>
        <w:t>:</w:t>
      </w:r>
    </w:p>
    <w:p>
      <w:pPr>
        <w:spacing w:after="0" w:line="165" w:lineRule="exact"/>
        <w:rPr>
          <w:rFonts w:ascii="Calibri" w:cs="Calibri" w:eastAsia="Calibri" w:hAnsi="Calibri"/>
          <w:sz w:val="22"/>
          <w:szCs w:val="22"/>
          <w:color w:val="auto"/>
        </w:rPr>
      </w:pPr>
    </w:p>
    <w:p>
      <w:pPr>
        <w:jc w:val="both"/>
        <w:ind w:left="2240" w:hanging="367"/>
        <w:spacing w:after="0" w:line="351" w:lineRule="auto"/>
        <w:tabs>
          <w:tab w:leader="none" w:pos="2240" w:val="left"/>
        </w:tabs>
        <w:numPr>
          <w:ilvl w:val="3"/>
          <w:numId w:val="825"/>
        </w:numPr>
        <w:rPr>
          <w:rFonts w:ascii="Symbol" w:cs="Symbol" w:eastAsia="Symbol" w:hAnsi="Symbol"/>
          <w:sz w:val="24"/>
          <w:szCs w:val="24"/>
          <w:color w:val="auto"/>
        </w:rPr>
      </w:pPr>
      <w:r>
        <w:rPr>
          <w:rFonts w:ascii="Times New Roman" w:cs="Times New Roman" w:eastAsia="Times New Roman" w:hAnsi="Times New Roman"/>
          <w:sz w:val="24"/>
          <w:szCs w:val="24"/>
          <w:color w:val="auto"/>
        </w:rPr>
        <w:t>Refer the page where disclosures regarding employees stock option scheme/ employees stock purchase scheme of the issuer, if any, as required by the Regulations or Regulations of the Board relating to Employee Stock Option Scheme and Employee Stock Purchase Scheme, is given.</w:t>
      </w:r>
    </w:p>
    <w:p>
      <w:pPr>
        <w:spacing w:after="0" w:line="43" w:lineRule="exact"/>
        <w:rPr>
          <w:rFonts w:ascii="Symbol" w:cs="Symbol" w:eastAsia="Symbol" w:hAnsi="Symbol"/>
          <w:sz w:val="24"/>
          <w:szCs w:val="24"/>
          <w:color w:val="auto"/>
        </w:rPr>
      </w:pPr>
    </w:p>
    <w:p>
      <w:pPr>
        <w:jc w:val="both"/>
        <w:ind w:left="2240" w:hanging="367"/>
        <w:spacing w:after="0" w:line="349" w:lineRule="auto"/>
        <w:tabs>
          <w:tab w:leader="none" w:pos="2240" w:val="left"/>
        </w:tabs>
        <w:numPr>
          <w:ilvl w:val="3"/>
          <w:numId w:val="825"/>
        </w:numPr>
        <w:rPr>
          <w:rFonts w:ascii="Symbol" w:cs="Symbol" w:eastAsia="Symbol" w:hAnsi="Symbol"/>
          <w:sz w:val="24"/>
          <w:szCs w:val="24"/>
          <w:color w:val="auto"/>
        </w:rPr>
      </w:pPr>
      <w:r>
        <w:rPr>
          <w:rFonts w:ascii="Times New Roman" w:cs="Times New Roman" w:eastAsia="Times New Roman" w:hAnsi="Times New Roman"/>
          <w:sz w:val="24"/>
          <w:szCs w:val="24"/>
          <w:color w:val="auto"/>
        </w:rPr>
        <w:t>Payment or Benefit to key managerial personnel of the issuer (non-salary related)</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color w:val="auto"/>
        </w:rPr>
        <w:t xml:space="preserve"> Any amount or benefit paid or given within the two preceding years or intended to be paid or given to any officer and consideration for payment of giving of the benefit.</w:t>
      </w:r>
    </w:p>
    <w:p>
      <w:pPr>
        <w:spacing w:after="0" w:line="200" w:lineRule="exact"/>
        <w:rPr>
          <w:rFonts w:ascii="Symbol" w:cs="Symbol" w:eastAsia="Symbol" w:hAnsi="Symbol"/>
          <w:sz w:val="24"/>
          <w:szCs w:val="24"/>
          <w:color w:val="auto"/>
        </w:rPr>
      </w:pPr>
    </w:p>
    <w:p>
      <w:pPr>
        <w:spacing w:after="0" w:line="225" w:lineRule="exact"/>
        <w:rPr>
          <w:rFonts w:ascii="Symbol" w:cs="Symbol" w:eastAsia="Symbol" w:hAnsi="Symbol"/>
          <w:sz w:val="24"/>
          <w:szCs w:val="24"/>
          <w:color w:val="auto"/>
        </w:rPr>
      </w:pPr>
    </w:p>
    <w:p>
      <w:pPr>
        <w:ind w:left="440" w:hanging="368"/>
        <w:spacing w:after="0"/>
        <w:tabs>
          <w:tab w:leader="none" w:pos="440" w:val="left"/>
        </w:tabs>
        <w:numPr>
          <w:ilvl w:val="0"/>
          <w:numId w:val="826"/>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Promoters/ principal shareholders:</w:t>
      </w:r>
    </w:p>
    <w:p>
      <w:pPr>
        <w:spacing w:after="0" w:line="132" w:lineRule="exact"/>
        <w:rPr>
          <w:rFonts w:ascii="Calibri" w:cs="Calibri" w:eastAsia="Calibri" w:hAnsi="Calibri"/>
          <w:sz w:val="22"/>
          <w:szCs w:val="22"/>
          <w:color w:val="auto"/>
        </w:rPr>
      </w:pPr>
    </w:p>
    <w:p>
      <w:pPr>
        <w:ind w:left="1160" w:hanging="728"/>
        <w:spacing w:after="0"/>
        <w:tabs>
          <w:tab w:leader="none" w:pos="1160" w:val="left"/>
        </w:tabs>
        <w:numPr>
          <w:ilvl w:val="1"/>
          <w:numId w:val="826"/>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Where the promoters are individuals:</w:t>
      </w:r>
    </w:p>
    <w:p>
      <w:pPr>
        <w:spacing w:after="0" w:line="151" w:lineRule="exact"/>
        <w:rPr>
          <w:rFonts w:ascii="Times New Roman" w:cs="Times New Roman" w:eastAsia="Times New Roman" w:hAnsi="Times New Roman"/>
          <w:sz w:val="22"/>
          <w:szCs w:val="22"/>
          <w:color w:val="auto"/>
        </w:rPr>
      </w:pPr>
    </w:p>
    <w:p>
      <w:pPr>
        <w:jc w:val="both"/>
        <w:ind w:left="1700" w:hanging="548"/>
        <w:spacing w:after="0" w:line="355" w:lineRule="auto"/>
        <w:tabs>
          <w:tab w:leader="none" w:pos="1700" w:val="left"/>
        </w:tabs>
        <w:numPr>
          <w:ilvl w:val="2"/>
          <w:numId w:val="826"/>
        </w:numPr>
        <w:rPr>
          <w:rFonts w:ascii="Calibri" w:cs="Calibri" w:eastAsia="Calibri" w:hAnsi="Calibri"/>
          <w:sz w:val="22"/>
          <w:szCs w:val="22"/>
          <w:color w:val="auto"/>
        </w:rPr>
      </w:pPr>
      <w:r>
        <w:rPr>
          <w:rFonts w:ascii="Times New Roman" w:cs="Times New Roman" w:eastAsia="Times New Roman" w:hAnsi="Times New Roman"/>
          <w:sz w:val="24"/>
          <w:szCs w:val="24"/>
          <w:color w:val="auto"/>
        </w:rPr>
        <w:t>A complete profile of all the promoters, including their name, date of birth, age, personal addresses, educational qualifications, experience in the business or employment, positions/posts held in the past, directorships held, other ventures of each promoter, special achievements, their business and financial activities, photograph, Permanent Account Number, Aadhaar card number and driving license number.</w:t>
      </w:r>
    </w:p>
    <w:p>
      <w:pPr>
        <w:spacing w:after="0" w:line="22" w:lineRule="exact"/>
        <w:rPr>
          <w:rFonts w:ascii="Calibri" w:cs="Calibri" w:eastAsia="Calibri" w:hAnsi="Calibri"/>
          <w:sz w:val="22"/>
          <w:szCs w:val="22"/>
          <w:color w:val="auto"/>
        </w:rPr>
      </w:pPr>
    </w:p>
    <w:p>
      <w:pPr>
        <w:jc w:val="both"/>
        <w:ind w:left="1700" w:hanging="548"/>
        <w:spacing w:after="0" w:line="355" w:lineRule="auto"/>
        <w:tabs>
          <w:tab w:leader="none" w:pos="1700" w:val="left"/>
        </w:tabs>
        <w:numPr>
          <w:ilvl w:val="2"/>
          <w:numId w:val="826"/>
        </w:numPr>
        <w:rPr>
          <w:rFonts w:ascii="Calibri" w:cs="Calibri" w:eastAsia="Calibri" w:hAnsi="Calibri"/>
          <w:sz w:val="22"/>
          <w:szCs w:val="22"/>
          <w:color w:val="auto"/>
        </w:rPr>
      </w:pPr>
      <w:r>
        <w:rPr>
          <w:rFonts w:ascii="Times New Roman" w:cs="Times New Roman" w:eastAsia="Times New Roman" w:hAnsi="Times New Roman"/>
          <w:sz w:val="24"/>
          <w:szCs w:val="24"/>
          <w:color w:val="auto"/>
        </w:rPr>
        <w:t>A declaration confirming that the Permanent Account Number, Bank Account Number(s) and Passport Number of the promoters have been submitted to the stock exchanges on which the specified securities are proposed to be listed, at the time of filing the draft offer document or draft letter of offer</w:t>
      </w:r>
    </w:p>
    <w:p>
      <w:pPr>
        <w:spacing w:after="0" w:line="7" w:lineRule="exact"/>
        <w:rPr>
          <w:rFonts w:ascii="Calibri" w:cs="Calibri" w:eastAsia="Calibri" w:hAnsi="Calibri"/>
          <w:sz w:val="22"/>
          <w:szCs w:val="22"/>
          <w:color w:val="auto"/>
        </w:rPr>
      </w:pPr>
    </w:p>
    <w:p>
      <w:pPr>
        <w:ind w:left="1160" w:hanging="728"/>
        <w:spacing w:after="0"/>
        <w:tabs>
          <w:tab w:leader="none" w:pos="1160" w:val="left"/>
        </w:tabs>
        <w:numPr>
          <w:ilvl w:val="1"/>
          <w:numId w:val="826"/>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Where the promoters are companies:</w:t>
      </w:r>
    </w:p>
    <w:p>
      <w:pPr>
        <w:spacing w:after="0" w:line="149" w:lineRule="exact"/>
        <w:rPr>
          <w:rFonts w:ascii="Times New Roman" w:cs="Times New Roman" w:eastAsia="Times New Roman" w:hAnsi="Times New Roman"/>
          <w:sz w:val="22"/>
          <w:szCs w:val="22"/>
          <w:color w:val="auto"/>
        </w:rPr>
      </w:pPr>
    </w:p>
    <w:p>
      <w:pPr>
        <w:ind w:left="1660" w:hanging="508"/>
        <w:spacing w:after="0" w:line="344" w:lineRule="auto"/>
        <w:tabs>
          <w:tab w:leader="none" w:pos="1660" w:val="left"/>
        </w:tabs>
        <w:numPr>
          <w:ilvl w:val="2"/>
          <w:numId w:val="826"/>
        </w:numPr>
        <w:rPr>
          <w:rFonts w:ascii="Calibri" w:cs="Calibri" w:eastAsia="Calibri" w:hAnsi="Calibri"/>
          <w:sz w:val="22"/>
          <w:szCs w:val="22"/>
          <w:color w:val="auto"/>
        </w:rPr>
      </w:pPr>
      <w:r>
        <w:rPr>
          <w:rFonts w:ascii="Times New Roman" w:cs="Times New Roman" w:eastAsia="Times New Roman" w:hAnsi="Times New Roman"/>
          <w:sz w:val="24"/>
          <w:szCs w:val="24"/>
          <w:color w:val="auto"/>
        </w:rPr>
        <w:t>Brief history of the promoters such as date of incorporation, change in activities and present activities.</w:t>
      </w:r>
    </w:p>
    <w:p>
      <w:pPr>
        <w:spacing w:after="0" w:line="238"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223</w:t>
      </w:r>
    </w:p>
    <w:p>
      <w:pPr>
        <w:sectPr>
          <w:pgSz w:w="11900" w:h="16836" w:orient="portrait"/>
          <w:cols w:equalWidth="0" w:num="1">
            <w:col w:w="9180"/>
          </w:cols>
          <w:pgMar w:left="1440" w:top="1156" w:right="1284" w:bottom="103" w:gutter="0" w:footer="0" w:header="0"/>
        </w:sectPr>
      </w:pPr>
    </w:p>
    <w:bookmarkStart w:id="223" w:name="page224"/>
    <w:bookmarkEnd w:id="223"/>
    <w:p>
      <w:pPr>
        <w:jc w:val="both"/>
        <w:ind w:left="1660" w:hanging="508"/>
        <w:spacing w:after="0" w:line="353" w:lineRule="auto"/>
        <w:tabs>
          <w:tab w:leader="none" w:pos="1660" w:val="left"/>
        </w:tabs>
        <w:numPr>
          <w:ilvl w:val="1"/>
          <w:numId w:val="827"/>
        </w:numPr>
        <w:rPr>
          <w:rFonts w:ascii="Calibri" w:cs="Calibri" w:eastAsia="Calibri" w:hAnsi="Calibri"/>
          <w:sz w:val="22"/>
          <w:szCs w:val="22"/>
          <w:color w:val="auto"/>
        </w:rPr>
      </w:pPr>
      <w:r>
        <w:rPr>
          <w:rFonts w:ascii="Times New Roman" w:cs="Times New Roman" w:eastAsia="Times New Roman" w:hAnsi="Times New Roman"/>
          <w:sz w:val="24"/>
          <w:szCs w:val="24"/>
          <w:color w:val="auto"/>
        </w:rPr>
        <w:t>History of the companies and the promoters of the companies. Where the promoters of such companies are again companies or bodies corporate, names of natural persons in control (i.e., holding fifteen per cent. or more voting rights) or who are on the board of directors of such bodies corporate.</w:t>
      </w:r>
    </w:p>
    <w:p>
      <w:pPr>
        <w:spacing w:after="0" w:line="22" w:lineRule="exact"/>
        <w:rPr>
          <w:rFonts w:ascii="Calibri" w:cs="Calibri" w:eastAsia="Calibri" w:hAnsi="Calibri"/>
          <w:sz w:val="22"/>
          <w:szCs w:val="22"/>
          <w:color w:val="auto"/>
        </w:rPr>
      </w:pPr>
    </w:p>
    <w:p>
      <w:pPr>
        <w:jc w:val="both"/>
        <w:ind w:left="1660" w:hanging="508"/>
        <w:spacing w:after="0" w:line="350" w:lineRule="auto"/>
        <w:tabs>
          <w:tab w:leader="none" w:pos="1660" w:val="left"/>
        </w:tabs>
        <w:numPr>
          <w:ilvl w:val="1"/>
          <w:numId w:val="827"/>
        </w:numPr>
        <w:rPr>
          <w:rFonts w:ascii="Calibri" w:cs="Calibri" w:eastAsia="Calibri" w:hAnsi="Calibri"/>
          <w:sz w:val="22"/>
          <w:szCs w:val="22"/>
          <w:color w:val="auto"/>
        </w:rPr>
      </w:pPr>
      <w:r>
        <w:rPr>
          <w:rFonts w:ascii="Times New Roman" w:cs="Times New Roman" w:eastAsia="Times New Roman" w:hAnsi="Times New Roman"/>
          <w:sz w:val="24"/>
          <w:szCs w:val="24"/>
          <w:color w:val="auto"/>
        </w:rPr>
        <w:t>Details of change in control of the promoter companies, if any, including details of the persons who held the controlling interest in the preceding three years.</w:t>
      </w:r>
    </w:p>
    <w:p>
      <w:pPr>
        <w:spacing w:after="0" w:line="22" w:lineRule="exact"/>
        <w:rPr>
          <w:rFonts w:ascii="Calibri" w:cs="Calibri" w:eastAsia="Calibri" w:hAnsi="Calibri"/>
          <w:sz w:val="22"/>
          <w:szCs w:val="22"/>
          <w:color w:val="auto"/>
        </w:rPr>
      </w:pPr>
    </w:p>
    <w:p>
      <w:pPr>
        <w:jc w:val="both"/>
        <w:ind w:left="1660" w:hanging="508"/>
        <w:spacing w:after="0" w:line="356" w:lineRule="auto"/>
        <w:tabs>
          <w:tab w:leader="none" w:pos="1660" w:val="left"/>
        </w:tabs>
        <w:numPr>
          <w:ilvl w:val="1"/>
          <w:numId w:val="827"/>
        </w:numPr>
        <w:rPr>
          <w:rFonts w:ascii="Calibri" w:cs="Calibri" w:eastAsia="Calibri" w:hAnsi="Calibri"/>
          <w:sz w:val="22"/>
          <w:szCs w:val="22"/>
          <w:color w:val="auto"/>
        </w:rPr>
      </w:pPr>
      <w:r>
        <w:rPr>
          <w:rFonts w:ascii="Times New Roman" w:cs="Times New Roman" w:eastAsia="Times New Roman" w:hAnsi="Times New Roman"/>
          <w:sz w:val="24"/>
          <w:szCs w:val="24"/>
          <w:color w:val="auto"/>
        </w:rPr>
        <w:t>Declaration confirming that the Permanent Account Numbers, Bank Account Numbers, the Company Registration Numbers and the addresses of the Registrars of Companies where the companies are registered have been submitted to the stock exchanges on which the specified securities are proposed to be listed, at the time of filing the draft offer document or draft letter of offer with them;</w:t>
      </w:r>
    </w:p>
    <w:p>
      <w:pPr>
        <w:spacing w:after="0" w:line="200" w:lineRule="exact"/>
        <w:rPr>
          <w:rFonts w:ascii="Calibri" w:cs="Calibri" w:eastAsia="Calibri" w:hAnsi="Calibri"/>
          <w:sz w:val="22"/>
          <w:szCs w:val="22"/>
          <w:color w:val="auto"/>
        </w:rPr>
      </w:pPr>
    </w:p>
    <w:p>
      <w:pPr>
        <w:spacing w:after="0" w:line="232" w:lineRule="exact"/>
        <w:rPr>
          <w:rFonts w:ascii="Calibri" w:cs="Calibri" w:eastAsia="Calibri" w:hAnsi="Calibri"/>
          <w:sz w:val="22"/>
          <w:szCs w:val="22"/>
          <w:color w:val="auto"/>
        </w:rPr>
      </w:pPr>
    </w:p>
    <w:p>
      <w:pPr>
        <w:ind w:left="1160" w:hanging="728"/>
        <w:spacing w:after="0" w:line="348" w:lineRule="auto"/>
        <w:tabs>
          <w:tab w:leader="none" w:pos="1160" w:val="left"/>
        </w:tabs>
        <w:numPr>
          <w:ilvl w:val="0"/>
          <w:numId w:val="828"/>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Where alternative investment funds or foreign venture capital investors registered with the Board, are identified as promoters, the following shall be applicable,</w:t>
      </w:r>
    </w:p>
    <w:p>
      <w:pPr>
        <w:spacing w:after="0" w:line="8" w:lineRule="exact"/>
        <w:rPr>
          <w:rFonts w:ascii="Times New Roman" w:cs="Times New Roman" w:eastAsia="Times New Roman" w:hAnsi="Times New Roman"/>
          <w:sz w:val="22"/>
          <w:szCs w:val="22"/>
          <w:color w:val="auto"/>
        </w:rPr>
      </w:pPr>
    </w:p>
    <w:p>
      <w:pPr>
        <w:ind w:left="1660" w:hanging="508"/>
        <w:spacing w:after="0"/>
        <w:tabs>
          <w:tab w:leader="none" w:pos="1660" w:val="left"/>
        </w:tabs>
        <w:numPr>
          <w:ilvl w:val="1"/>
          <w:numId w:val="828"/>
        </w:numPr>
        <w:rPr>
          <w:rFonts w:ascii="Calibri" w:cs="Calibri" w:eastAsia="Calibri" w:hAnsi="Calibri"/>
          <w:sz w:val="22"/>
          <w:szCs w:val="22"/>
          <w:color w:val="auto"/>
        </w:rPr>
      </w:pPr>
      <w:r>
        <w:rPr>
          <w:rFonts w:ascii="Times New Roman" w:cs="Times New Roman" w:eastAsia="Times New Roman" w:hAnsi="Times New Roman"/>
          <w:sz w:val="24"/>
          <w:szCs w:val="24"/>
          <w:color w:val="auto"/>
        </w:rPr>
        <w:t>Details of the Fund Manager;</w:t>
      </w:r>
    </w:p>
    <w:p>
      <w:pPr>
        <w:spacing w:after="0" w:line="129" w:lineRule="exact"/>
        <w:rPr>
          <w:rFonts w:ascii="Calibri" w:cs="Calibri" w:eastAsia="Calibri" w:hAnsi="Calibri"/>
          <w:sz w:val="22"/>
          <w:szCs w:val="22"/>
          <w:color w:val="auto"/>
        </w:rPr>
      </w:pPr>
    </w:p>
    <w:p>
      <w:pPr>
        <w:ind w:left="1660" w:hanging="508"/>
        <w:spacing w:after="0"/>
        <w:tabs>
          <w:tab w:leader="none" w:pos="1660" w:val="left"/>
        </w:tabs>
        <w:numPr>
          <w:ilvl w:val="1"/>
          <w:numId w:val="828"/>
        </w:numPr>
        <w:rPr>
          <w:rFonts w:ascii="Calibri" w:cs="Calibri" w:eastAsia="Calibri" w:hAnsi="Calibri"/>
          <w:sz w:val="22"/>
          <w:szCs w:val="22"/>
          <w:color w:val="auto"/>
        </w:rPr>
      </w:pPr>
      <w:r>
        <w:rPr>
          <w:rFonts w:ascii="Times New Roman" w:cs="Times New Roman" w:eastAsia="Times New Roman" w:hAnsi="Times New Roman"/>
          <w:sz w:val="24"/>
          <w:szCs w:val="24"/>
          <w:color w:val="auto"/>
        </w:rPr>
        <w:t>Generic details of the Fund, which is the investor in the issuer company;</w:t>
      </w:r>
    </w:p>
    <w:p>
      <w:pPr>
        <w:spacing w:after="0" w:line="151" w:lineRule="exact"/>
        <w:rPr>
          <w:rFonts w:ascii="Calibri" w:cs="Calibri" w:eastAsia="Calibri" w:hAnsi="Calibri"/>
          <w:sz w:val="22"/>
          <w:szCs w:val="22"/>
          <w:color w:val="auto"/>
        </w:rPr>
      </w:pPr>
    </w:p>
    <w:p>
      <w:pPr>
        <w:jc w:val="both"/>
        <w:ind w:left="1660" w:hanging="508"/>
        <w:spacing w:after="0" w:line="350" w:lineRule="auto"/>
        <w:tabs>
          <w:tab w:leader="none" w:pos="1660" w:val="left"/>
        </w:tabs>
        <w:numPr>
          <w:ilvl w:val="1"/>
          <w:numId w:val="828"/>
        </w:numPr>
        <w:rPr>
          <w:rFonts w:ascii="Calibri" w:cs="Calibri" w:eastAsia="Calibri" w:hAnsi="Calibri"/>
          <w:sz w:val="22"/>
          <w:szCs w:val="22"/>
          <w:color w:val="auto"/>
        </w:rPr>
      </w:pPr>
      <w:r>
        <w:rPr>
          <w:rFonts w:ascii="Times New Roman" w:cs="Times New Roman" w:eastAsia="Times New Roman" w:hAnsi="Times New Roman"/>
          <w:sz w:val="24"/>
          <w:szCs w:val="24"/>
          <w:color w:val="auto"/>
        </w:rPr>
        <w:t>Details such as total number of investors in the Fund, distribution of investors category - wise (institutional, corporate, individual etc.) and percentage stake held by each investor category;</w:t>
      </w:r>
    </w:p>
    <w:p>
      <w:pPr>
        <w:spacing w:after="0" w:line="3" w:lineRule="exact"/>
        <w:rPr>
          <w:rFonts w:ascii="Calibri" w:cs="Calibri" w:eastAsia="Calibri" w:hAnsi="Calibri"/>
          <w:sz w:val="22"/>
          <w:szCs w:val="22"/>
          <w:color w:val="auto"/>
        </w:rPr>
      </w:pPr>
    </w:p>
    <w:p>
      <w:pPr>
        <w:ind w:left="1660" w:hanging="508"/>
        <w:spacing w:after="0"/>
        <w:tabs>
          <w:tab w:leader="none" w:pos="1660" w:val="left"/>
        </w:tabs>
        <w:numPr>
          <w:ilvl w:val="1"/>
          <w:numId w:val="828"/>
        </w:numPr>
        <w:rPr>
          <w:rFonts w:ascii="Calibri" w:cs="Calibri" w:eastAsia="Calibri" w:hAnsi="Calibri"/>
          <w:sz w:val="22"/>
          <w:szCs w:val="22"/>
          <w:color w:val="auto"/>
        </w:rPr>
      </w:pPr>
      <w:r>
        <w:rPr>
          <w:rFonts w:ascii="Times New Roman" w:cs="Times New Roman" w:eastAsia="Times New Roman" w:hAnsi="Times New Roman"/>
          <w:sz w:val="24"/>
          <w:szCs w:val="24"/>
          <w:color w:val="auto"/>
        </w:rPr>
        <w:t>Details of companies funded by the Funds, namely:-</w:t>
      </w:r>
    </w:p>
    <w:p>
      <w:pPr>
        <w:spacing w:after="0" w:line="139" w:lineRule="exact"/>
        <w:rPr>
          <w:rFonts w:ascii="Calibri" w:cs="Calibri" w:eastAsia="Calibri" w:hAnsi="Calibri"/>
          <w:sz w:val="22"/>
          <w:szCs w:val="22"/>
          <w:color w:val="auto"/>
        </w:rPr>
      </w:pPr>
    </w:p>
    <w:p>
      <w:pPr>
        <w:ind w:left="2660" w:hanging="427"/>
        <w:spacing w:after="0"/>
        <w:tabs>
          <w:tab w:leader="none" w:pos="2660" w:val="left"/>
        </w:tabs>
        <w:numPr>
          <w:ilvl w:val="2"/>
          <w:numId w:val="828"/>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Total number of companies funded;</w:t>
      </w:r>
    </w:p>
    <w:p>
      <w:pPr>
        <w:spacing w:after="0" w:line="149" w:lineRule="exact"/>
        <w:rPr>
          <w:rFonts w:ascii="Times New Roman" w:cs="Times New Roman" w:eastAsia="Times New Roman" w:hAnsi="Times New Roman"/>
          <w:sz w:val="22"/>
          <w:szCs w:val="22"/>
          <w:color w:val="auto"/>
        </w:rPr>
      </w:pPr>
    </w:p>
    <w:p>
      <w:pPr>
        <w:ind w:left="2660" w:hanging="427"/>
        <w:spacing w:after="0" w:line="350" w:lineRule="auto"/>
        <w:tabs>
          <w:tab w:leader="none" w:pos="2660" w:val="left"/>
        </w:tabs>
        <w:numPr>
          <w:ilvl w:val="2"/>
          <w:numId w:val="828"/>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Distribution of such companies - country wise, holding period wise, sector wise;</w:t>
      </w:r>
    </w:p>
    <w:p>
      <w:pPr>
        <w:spacing w:after="0" w:line="23" w:lineRule="exact"/>
        <w:rPr>
          <w:rFonts w:ascii="Times New Roman" w:cs="Times New Roman" w:eastAsia="Times New Roman" w:hAnsi="Times New Roman"/>
          <w:sz w:val="22"/>
          <w:szCs w:val="22"/>
          <w:color w:val="auto"/>
        </w:rPr>
      </w:pPr>
    </w:p>
    <w:p>
      <w:pPr>
        <w:ind w:left="2660" w:hanging="427"/>
        <w:spacing w:after="0" w:line="350" w:lineRule="auto"/>
        <w:tabs>
          <w:tab w:leader="none" w:pos="2660" w:val="left"/>
        </w:tabs>
        <w:numPr>
          <w:ilvl w:val="2"/>
          <w:numId w:val="828"/>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Number of companies under the control of the Fund, directly or indirectly;</w:t>
      </w:r>
    </w:p>
    <w:p>
      <w:pPr>
        <w:spacing w:after="0" w:line="23" w:lineRule="exact"/>
        <w:rPr>
          <w:rFonts w:ascii="Times New Roman" w:cs="Times New Roman" w:eastAsia="Times New Roman" w:hAnsi="Times New Roman"/>
          <w:sz w:val="22"/>
          <w:szCs w:val="22"/>
          <w:color w:val="auto"/>
        </w:rPr>
      </w:pPr>
    </w:p>
    <w:p>
      <w:pPr>
        <w:ind w:left="2660" w:hanging="427"/>
        <w:spacing w:after="0" w:line="350" w:lineRule="auto"/>
        <w:tabs>
          <w:tab w:leader="none" w:pos="2660" w:val="left"/>
        </w:tabs>
        <w:numPr>
          <w:ilvl w:val="2"/>
          <w:numId w:val="828"/>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In respect of companies where such Funds have offered their shares for lock-in as part of minimum promoter’s contribution:-</w:t>
      </w:r>
    </w:p>
    <w:p>
      <w:pPr>
        <w:spacing w:after="0" w:line="9" w:lineRule="exact"/>
        <w:rPr>
          <w:rFonts w:ascii="Times New Roman" w:cs="Times New Roman" w:eastAsia="Times New Roman" w:hAnsi="Times New Roman"/>
          <w:sz w:val="22"/>
          <w:szCs w:val="22"/>
          <w:color w:val="auto"/>
        </w:rPr>
      </w:pPr>
    </w:p>
    <w:p>
      <w:pPr>
        <w:ind w:left="3320" w:hanging="367"/>
        <w:spacing w:after="0"/>
        <w:tabs>
          <w:tab w:leader="none" w:pos="3320" w:val="left"/>
        </w:tabs>
        <w:numPr>
          <w:ilvl w:val="3"/>
          <w:numId w:val="828"/>
        </w:numPr>
        <w:rPr>
          <w:rFonts w:ascii="Symbol" w:cs="Symbol" w:eastAsia="Symbol" w:hAnsi="Symbol"/>
          <w:sz w:val="24"/>
          <w:szCs w:val="24"/>
          <w:color w:val="auto"/>
        </w:rPr>
      </w:pPr>
      <w:r>
        <w:rPr>
          <w:rFonts w:ascii="Times New Roman" w:cs="Times New Roman" w:eastAsia="Times New Roman" w:hAnsi="Times New Roman"/>
          <w:sz w:val="24"/>
          <w:szCs w:val="24"/>
          <w:color w:val="auto"/>
        </w:rPr>
        <w:t>Name of the company</w:t>
      </w:r>
    </w:p>
    <w:p>
      <w:pPr>
        <w:spacing w:after="0" w:line="137" w:lineRule="exact"/>
        <w:rPr>
          <w:rFonts w:ascii="Symbol" w:cs="Symbol" w:eastAsia="Symbol" w:hAnsi="Symbol"/>
          <w:sz w:val="24"/>
          <w:szCs w:val="24"/>
          <w:color w:val="auto"/>
        </w:rPr>
      </w:pPr>
    </w:p>
    <w:p>
      <w:pPr>
        <w:ind w:left="3320" w:hanging="367"/>
        <w:spacing w:after="0"/>
        <w:tabs>
          <w:tab w:leader="none" w:pos="3320" w:val="left"/>
        </w:tabs>
        <w:numPr>
          <w:ilvl w:val="3"/>
          <w:numId w:val="828"/>
        </w:numPr>
        <w:rPr>
          <w:rFonts w:ascii="Symbol" w:cs="Symbol" w:eastAsia="Symbol" w:hAnsi="Symbol"/>
          <w:sz w:val="24"/>
          <w:szCs w:val="24"/>
          <w:color w:val="auto"/>
        </w:rPr>
      </w:pPr>
      <w:r>
        <w:rPr>
          <w:rFonts w:ascii="Times New Roman" w:cs="Times New Roman" w:eastAsia="Times New Roman" w:hAnsi="Times New Roman"/>
          <w:sz w:val="24"/>
          <w:szCs w:val="24"/>
          <w:color w:val="auto"/>
        </w:rPr>
        <w:t>Date of listing on each stock exchange</w:t>
      </w:r>
    </w:p>
    <w:p>
      <w:pPr>
        <w:spacing w:after="0" w:line="135" w:lineRule="exact"/>
        <w:rPr>
          <w:rFonts w:ascii="Symbol" w:cs="Symbol" w:eastAsia="Symbol" w:hAnsi="Symbol"/>
          <w:sz w:val="24"/>
          <w:szCs w:val="24"/>
          <w:color w:val="auto"/>
        </w:rPr>
      </w:pPr>
    </w:p>
    <w:p>
      <w:pPr>
        <w:ind w:left="3320" w:hanging="367"/>
        <w:spacing w:after="0"/>
        <w:tabs>
          <w:tab w:leader="none" w:pos="3320" w:val="left"/>
        </w:tabs>
        <w:numPr>
          <w:ilvl w:val="3"/>
          <w:numId w:val="828"/>
        </w:numPr>
        <w:rPr>
          <w:rFonts w:ascii="Symbol" w:cs="Symbol" w:eastAsia="Symbol" w:hAnsi="Symbol"/>
          <w:sz w:val="24"/>
          <w:szCs w:val="24"/>
          <w:color w:val="auto"/>
        </w:rPr>
      </w:pPr>
      <w:r>
        <w:rPr>
          <w:rFonts w:ascii="Times New Roman" w:cs="Times New Roman" w:eastAsia="Times New Roman" w:hAnsi="Times New Roman"/>
          <w:sz w:val="24"/>
          <w:szCs w:val="24"/>
          <w:color w:val="auto"/>
        </w:rPr>
        <w:t>Fund’s shareholding in the company as on the date of listing</w:t>
      </w:r>
    </w:p>
    <w:p>
      <w:pPr>
        <w:spacing w:after="0" w:line="168" w:lineRule="exact"/>
        <w:rPr>
          <w:rFonts w:ascii="Symbol" w:cs="Symbol" w:eastAsia="Symbol" w:hAnsi="Symbol"/>
          <w:sz w:val="24"/>
          <w:szCs w:val="24"/>
          <w:color w:val="auto"/>
        </w:rPr>
      </w:pPr>
    </w:p>
    <w:p>
      <w:pPr>
        <w:ind w:left="3320" w:hanging="367"/>
        <w:spacing w:after="0" w:line="334" w:lineRule="auto"/>
        <w:tabs>
          <w:tab w:leader="none" w:pos="3320" w:val="left"/>
        </w:tabs>
        <w:numPr>
          <w:ilvl w:val="3"/>
          <w:numId w:val="828"/>
        </w:numPr>
        <w:rPr>
          <w:rFonts w:ascii="Symbol" w:cs="Symbol" w:eastAsia="Symbol" w:hAnsi="Symbol"/>
          <w:sz w:val="24"/>
          <w:szCs w:val="24"/>
          <w:color w:val="auto"/>
        </w:rPr>
      </w:pPr>
      <w:r>
        <w:rPr>
          <w:rFonts w:ascii="Times New Roman" w:cs="Times New Roman" w:eastAsia="Times New Roman" w:hAnsi="Times New Roman"/>
          <w:sz w:val="24"/>
          <w:szCs w:val="24"/>
          <w:color w:val="auto"/>
        </w:rPr>
        <w:t>Fund’s shareholding in the company as on the date of filing of the DRHP of the company that now seeks to get listed</w:t>
      </w: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224</w:t>
      </w:r>
    </w:p>
    <w:p>
      <w:pPr>
        <w:sectPr>
          <w:pgSz w:w="11900" w:h="16836" w:orient="portrait"/>
          <w:cols w:equalWidth="0" w:num="1">
            <w:col w:w="9180"/>
          </w:cols>
          <w:pgMar w:left="1440" w:top="1156" w:right="1284" w:bottom="103" w:gutter="0" w:footer="0" w:header="0"/>
        </w:sectPr>
      </w:pPr>
    </w:p>
    <w:bookmarkStart w:id="224" w:name="page225"/>
    <w:bookmarkEnd w:id="224"/>
    <w:p>
      <w:pPr>
        <w:ind w:left="1660" w:hanging="508"/>
        <w:spacing w:after="0"/>
        <w:tabs>
          <w:tab w:leader="none" w:pos="1660" w:val="left"/>
        </w:tabs>
        <w:numPr>
          <w:ilvl w:val="1"/>
          <w:numId w:val="829"/>
        </w:numPr>
        <w:rPr>
          <w:rFonts w:ascii="Calibri" w:cs="Calibri" w:eastAsia="Calibri" w:hAnsi="Calibri"/>
          <w:sz w:val="22"/>
          <w:szCs w:val="22"/>
          <w:color w:val="auto"/>
        </w:rPr>
      </w:pPr>
      <w:r>
        <w:rPr>
          <w:rFonts w:ascii="Times New Roman" w:cs="Times New Roman" w:eastAsia="Times New Roman" w:hAnsi="Times New Roman"/>
          <w:sz w:val="24"/>
          <w:szCs w:val="24"/>
          <w:color w:val="auto"/>
        </w:rPr>
        <w:t>Average holding period of the Fund’s investments;</w:t>
      </w:r>
    </w:p>
    <w:p>
      <w:pPr>
        <w:spacing w:after="0" w:line="130" w:lineRule="exact"/>
        <w:rPr>
          <w:rFonts w:ascii="Calibri" w:cs="Calibri" w:eastAsia="Calibri" w:hAnsi="Calibri"/>
          <w:sz w:val="22"/>
          <w:szCs w:val="22"/>
          <w:color w:val="auto"/>
        </w:rPr>
      </w:pPr>
    </w:p>
    <w:p>
      <w:pPr>
        <w:ind w:left="1660" w:hanging="508"/>
        <w:spacing w:after="0"/>
        <w:tabs>
          <w:tab w:leader="none" w:pos="1660" w:val="left"/>
        </w:tabs>
        <w:numPr>
          <w:ilvl w:val="1"/>
          <w:numId w:val="829"/>
        </w:numPr>
        <w:rPr>
          <w:rFonts w:ascii="Calibri" w:cs="Calibri" w:eastAsia="Calibri" w:hAnsi="Calibri"/>
          <w:sz w:val="22"/>
          <w:szCs w:val="22"/>
          <w:color w:val="auto"/>
        </w:rPr>
      </w:pPr>
      <w:r>
        <w:rPr>
          <w:rFonts w:ascii="Times New Roman" w:cs="Times New Roman" w:eastAsia="Times New Roman" w:hAnsi="Times New Roman"/>
          <w:sz w:val="24"/>
          <w:szCs w:val="24"/>
          <w:color w:val="auto"/>
        </w:rPr>
        <w:t>Sector focus/core specialization of the Fund, if applicable.</w:t>
      </w:r>
    </w:p>
    <w:p>
      <w:pPr>
        <w:spacing w:after="0" w:line="200" w:lineRule="exact"/>
        <w:rPr>
          <w:rFonts w:ascii="Calibri" w:cs="Calibri" w:eastAsia="Calibri" w:hAnsi="Calibri"/>
          <w:sz w:val="22"/>
          <w:szCs w:val="22"/>
          <w:color w:val="auto"/>
        </w:rPr>
      </w:pPr>
    </w:p>
    <w:p>
      <w:pPr>
        <w:spacing w:after="0" w:line="364" w:lineRule="exact"/>
        <w:rPr>
          <w:rFonts w:ascii="Calibri" w:cs="Calibri" w:eastAsia="Calibri" w:hAnsi="Calibri"/>
          <w:sz w:val="22"/>
          <w:szCs w:val="22"/>
          <w:color w:val="auto"/>
        </w:rPr>
      </w:pPr>
    </w:p>
    <w:p>
      <w:pPr>
        <w:jc w:val="both"/>
        <w:ind w:left="1160" w:hanging="728"/>
        <w:spacing w:after="0" w:line="358" w:lineRule="auto"/>
        <w:tabs>
          <w:tab w:leader="none" w:pos="1160" w:val="left"/>
        </w:tabs>
        <w:numPr>
          <w:ilvl w:val="0"/>
          <w:numId w:val="830"/>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If the present promoters are not the original promoters and control of the issuer was acquired in the preceding five years, details regarding the acquisition of control, date of acquisition, terms of acquisition, consideration paid for acquisition and compliance with the provisions of the Securities and Exchange Board of India (Substantial Acquisition of Shares and Takeovers) Regulations, 1997 or the Securities and Exchange Board of India (Substantial Acquisition of Shares and Takeovers) Regulations, 2011, as applicable, and the Listing Agreement or the Securities and Exchange Board of India (Listing Obligations and Disclosure Requirements) Regulations, 2015, as applicable.</w:t>
      </w:r>
    </w:p>
    <w:p>
      <w:pPr>
        <w:spacing w:after="0" w:line="22" w:lineRule="exact"/>
        <w:rPr>
          <w:rFonts w:ascii="Times New Roman" w:cs="Times New Roman" w:eastAsia="Times New Roman" w:hAnsi="Times New Roman"/>
          <w:sz w:val="22"/>
          <w:szCs w:val="22"/>
          <w:color w:val="auto"/>
        </w:rPr>
      </w:pPr>
    </w:p>
    <w:p>
      <w:pPr>
        <w:jc w:val="both"/>
        <w:ind w:left="1160" w:hanging="728"/>
        <w:spacing w:after="0" w:line="356" w:lineRule="auto"/>
        <w:tabs>
          <w:tab w:leader="none" w:pos="1160" w:val="left"/>
        </w:tabs>
        <w:numPr>
          <w:ilvl w:val="0"/>
          <w:numId w:val="830"/>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If there is no identifiable promoter, details of the shareholders who control individually or as a group, fifteen per cent. or more of the voting rights of the issuer and of persons, if any, who have the right to appoint director(s) on the board of directors of the issuer.</w:t>
      </w:r>
    </w:p>
    <w:p>
      <w:pPr>
        <w:spacing w:after="0" w:line="18" w:lineRule="exact"/>
        <w:rPr>
          <w:rFonts w:ascii="Times New Roman" w:cs="Times New Roman" w:eastAsia="Times New Roman" w:hAnsi="Times New Roman"/>
          <w:sz w:val="22"/>
          <w:szCs w:val="22"/>
          <w:color w:val="auto"/>
        </w:rPr>
      </w:pPr>
    </w:p>
    <w:p>
      <w:pPr>
        <w:jc w:val="both"/>
        <w:ind w:left="1160" w:hanging="728"/>
        <w:spacing w:after="0" w:line="354" w:lineRule="auto"/>
        <w:tabs>
          <w:tab w:leader="none" w:pos="1160" w:val="left"/>
        </w:tabs>
        <w:numPr>
          <w:ilvl w:val="0"/>
          <w:numId w:val="830"/>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If the promoters do not have experience in the proposed line of business, that fact shall be disclosed explaining how the proposed activities would be carried out/managed.</w:t>
      </w:r>
    </w:p>
    <w:p>
      <w:pPr>
        <w:spacing w:after="0" w:line="19" w:lineRule="exact"/>
        <w:rPr>
          <w:rFonts w:ascii="Times New Roman" w:cs="Times New Roman" w:eastAsia="Times New Roman" w:hAnsi="Times New Roman"/>
          <w:sz w:val="22"/>
          <w:szCs w:val="22"/>
          <w:color w:val="auto"/>
        </w:rPr>
      </w:pPr>
    </w:p>
    <w:p>
      <w:pPr>
        <w:ind w:left="1160" w:hanging="728"/>
        <w:spacing w:after="0" w:line="350" w:lineRule="auto"/>
        <w:tabs>
          <w:tab w:leader="none" w:pos="1160" w:val="left"/>
        </w:tabs>
        <w:numPr>
          <w:ilvl w:val="0"/>
          <w:numId w:val="830"/>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If the promoters have any interest in the issuer other than as promoters, brief details of the interest.</w:t>
      </w:r>
    </w:p>
    <w:p>
      <w:pPr>
        <w:spacing w:after="0" w:line="23" w:lineRule="exact"/>
        <w:rPr>
          <w:rFonts w:ascii="Times New Roman" w:cs="Times New Roman" w:eastAsia="Times New Roman" w:hAnsi="Times New Roman"/>
          <w:sz w:val="22"/>
          <w:szCs w:val="22"/>
          <w:color w:val="auto"/>
        </w:rPr>
      </w:pPr>
    </w:p>
    <w:p>
      <w:pPr>
        <w:ind w:left="1160" w:hanging="728"/>
        <w:spacing w:after="0" w:line="350" w:lineRule="auto"/>
        <w:tabs>
          <w:tab w:leader="none" w:pos="1160" w:val="left"/>
        </w:tabs>
        <w:numPr>
          <w:ilvl w:val="0"/>
          <w:numId w:val="830"/>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Full particulars of the nature and extent of the interest, if any, of promoter(s), directors or group companies:</w:t>
      </w:r>
    </w:p>
    <w:p>
      <w:pPr>
        <w:spacing w:after="0" w:line="4" w:lineRule="exact"/>
        <w:rPr>
          <w:rFonts w:ascii="Times New Roman" w:cs="Times New Roman" w:eastAsia="Times New Roman" w:hAnsi="Times New Roman"/>
          <w:sz w:val="22"/>
          <w:szCs w:val="22"/>
          <w:color w:val="auto"/>
        </w:rPr>
      </w:pPr>
    </w:p>
    <w:p>
      <w:pPr>
        <w:ind w:left="1660" w:hanging="508"/>
        <w:spacing w:after="0"/>
        <w:tabs>
          <w:tab w:leader="none" w:pos="1660" w:val="left"/>
        </w:tabs>
        <w:numPr>
          <w:ilvl w:val="1"/>
          <w:numId w:val="830"/>
        </w:numPr>
        <w:rPr>
          <w:rFonts w:ascii="Calibri" w:cs="Calibri" w:eastAsia="Calibri" w:hAnsi="Calibri"/>
          <w:sz w:val="22"/>
          <w:szCs w:val="22"/>
          <w:color w:val="auto"/>
        </w:rPr>
      </w:pPr>
      <w:r>
        <w:rPr>
          <w:rFonts w:ascii="Times New Roman" w:cs="Times New Roman" w:eastAsia="Times New Roman" w:hAnsi="Times New Roman"/>
          <w:sz w:val="24"/>
          <w:szCs w:val="24"/>
          <w:color w:val="auto"/>
        </w:rPr>
        <w:t>in the promotion of the issuer;</w:t>
      </w:r>
    </w:p>
    <w:p>
      <w:pPr>
        <w:spacing w:after="0" w:line="151" w:lineRule="exact"/>
        <w:rPr>
          <w:rFonts w:ascii="Calibri" w:cs="Calibri" w:eastAsia="Calibri" w:hAnsi="Calibri"/>
          <w:sz w:val="22"/>
          <w:szCs w:val="22"/>
          <w:color w:val="auto"/>
        </w:rPr>
      </w:pPr>
    </w:p>
    <w:p>
      <w:pPr>
        <w:ind w:left="1660" w:hanging="508"/>
        <w:spacing w:after="0" w:line="342" w:lineRule="auto"/>
        <w:tabs>
          <w:tab w:leader="none" w:pos="1660" w:val="left"/>
        </w:tabs>
        <w:numPr>
          <w:ilvl w:val="1"/>
          <w:numId w:val="830"/>
        </w:numPr>
        <w:rPr>
          <w:rFonts w:ascii="Calibri" w:cs="Calibri" w:eastAsia="Calibri" w:hAnsi="Calibri"/>
          <w:sz w:val="22"/>
          <w:szCs w:val="22"/>
          <w:color w:val="auto"/>
        </w:rPr>
      </w:pPr>
      <w:r>
        <w:rPr>
          <w:rFonts w:ascii="Times New Roman" w:cs="Times New Roman" w:eastAsia="Times New Roman" w:hAnsi="Times New Roman"/>
          <w:sz w:val="24"/>
          <w:szCs w:val="24"/>
          <w:color w:val="auto"/>
        </w:rPr>
        <w:t>in any property acquired by the issuer in the preceding three years or proposed to be acquired by it.</w:t>
      </w:r>
    </w:p>
    <w:p>
      <w:pPr>
        <w:spacing w:after="0" w:line="31" w:lineRule="exact"/>
        <w:rPr>
          <w:rFonts w:ascii="Calibri" w:cs="Calibri" w:eastAsia="Calibri" w:hAnsi="Calibri"/>
          <w:sz w:val="22"/>
          <w:szCs w:val="22"/>
          <w:color w:val="auto"/>
        </w:rPr>
      </w:pPr>
    </w:p>
    <w:p>
      <w:pPr>
        <w:jc w:val="both"/>
        <w:ind w:left="1660" w:hanging="508"/>
        <w:spacing w:after="0" w:line="356" w:lineRule="auto"/>
        <w:tabs>
          <w:tab w:leader="none" w:pos="1660" w:val="left"/>
        </w:tabs>
        <w:numPr>
          <w:ilvl w:val="1"/>
          <w:numId w:val="830"/>
        </w:numPr>
        <w:rPr>
          <w:rFonts w:ascii="Calibri" w:cs="Calibri" w:eastAsia="Calibri" w:hAnsi="Calibri"/>
          <w:sz w:val="22"/>
          <w:szCs w:val="22"/>
          <w:color w:val="auto"/>
        </w:rPr>
      </w:pPr>
      <w:r>
        <w:rPr>
          <w:rFonts w:ascii="Times New Roman" w:cs="Times New Roman" w:eastAsia="Times New Roman" w:hAnsi="Times New Roman"/>
          <w:sz w:val="24"/>
          <w:szCs w:val="24"/>
          <w:color w:val="auto"/>
        </w:rPr>
        <w:t>where the interest of such a director or promoter consists in being a member of a firm or company, the nature and extent of the interest of the firm or company, with a statement of all sums paid or agreed to be paid to such director or to the firm or company in cash or shares or otherwise by any person either to induce such person to become, or to qualify such person as a director, or otherwise for services rendered by such person or by the firm or company, in connection with the promotion or formation of the issuer.</w:t>
      </w:r>
    </w:p>
    <w:p>
      <w:pPr>
        <w:spacing w:after="0" w:line="21" w:lineRule="exact"/>
        <w:rPr>
          <w:rFonts w:ascii="Calibri" w:cs="Calibri" w:eastAsia="Calibri" w:hAnsi="Calibri"/>
          <w:sz w:val="22"/>
          <w:szCs w:val="22"/>
          <w:color w:val="auto"/>
        </w:rPr>
      </w:pPr>
    </w:p>
    <w:p>
      <w:pPr>
        <w:ind w:left="1660" w:hanging="508"/>
        <w:spacing w:after="0" w:line="344" w:lineRule="auto"/>
        <w:tabs>
          <w:tab w:leader="none" w:pos="1660" w:val="left"/>
        </w:tabs>
        <w:numPr>
          <w:ilvl w:val="1"/>
          <w:numId w:val="830"/>
        </w:numPr>
        <w:rPr>
          <w:rFonts w:ascii="Calibri" w:cs="Calibri" w:eastAsia="Calibri" w:hAnsi="Calibri"/>
          <w:sz w:val="22"/>
          <w:szCs w:val="22"/>
          <w:color w:val="auto"/>
        </w:rPr>
      </w:pPr>
      <w:r>
        <w:rPr>
          <w:rFonts w:ascii="Times New Roman" w:cs="Times New Roman" w:eastAsia="Times New Roman" w:hAnsi="Times New Roman"/>
          <w:sz w:val="24"/>
          <w:szCs w:val="24"/>
          <w:color w:val="auto"/>
        </w:rPr>
        <w:t>in any transaction in acquisition of land, construction of building and supply of machinery, etc. with full details of the transaction and the amount involved</w:t>
      </w:r>
    </w:p>
    <w:p>
      <w:pPr>
        <w:spacing w:after="0" w:line="271"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225</w:t>
      </w:r>
    </w:p>
    <w:p>
      <w:pPr>
        <w:sectPr>
          <w:pgSz w:w="11900" w:h="16836" w:orient="portrait"/>
          <w:cols w:equalWidth="0" w:num="1">
            <w:col w:w="9180"/>
          </w:cols>
          <w:pgMar w:left="1440" w:top="1137" w:right="1284" w:bottom="103" w:gutter="0" w:footer="0" w:header="0"/>
        </w:sectPr>
      </w:pPr>
    </w:p>
    <w:bookmarkStart w:id="225" w:name="page226"/>
    <w:bookmarkEnd w:id="225"/>
    <w:p>
      <w:pPr>
        <w:spacing w:after="0" w:line="130" w:lineRule="exact"/>
        <w:rPr>
          <w:sz w:val="20"/>
          <w:szCs w:val="20"/>
          <w:color w:val="auto"/>
        </w:rPr>
      </w:pPr>
    </w:p>
    <w:p>
      <w:pPr>
        <w:jc w:val="both"/>
        <w:ind w:left="1448" w:hanging="728"/>
        <w:spacing w:after="0" w:line="354" w:lineRule="auto"/>
        <w:tabs>
          <w:tab w:leader="none" w:pos="1448" w:val="left"/>
        </w:tabs>
        <w:numPr>
          <w:ilvl w:val="1"/>
          <w:numId w:val="831"/>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b w:val="1"/>
          <w:bCs w:val="1"/>
          <w:color w:val="auto"/>
        </w:rPr>
        <w:t xml:space="preserve">Payment or benefit to the Promoter of the Issuer: </w:t>
      </w:r>
      <w:r>
        <w:rPr>
          <w:rFonts w:ascii="Times New Roman" w:cs="Times New Roman" w:eastAsia="Times New Roman" w:hAnsi="Times New Roman"/>
          <w:sz w:val="24"/>
          <w:szCs w:val="24"/>
          <w:color w:val="auto"/>
        </w:rPr>
        <w:t>Any amount or benefit paid or</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given in the preceding two years or intended to be paid or given to any promoter or promoter group and consideration for payment of giving of the benefit.</w:t>
      </w:r>
    </w:p>
    <w:p>
      <w:pPr>
        <w:spacing w:after="0" w:line="22" w:lineRule="exact"/>
        <w:rPr>
          <w:rFonts w:ascii="Times New Roman" w:cs="Times New Roman" w:eastAsia="Times New Roman" w:hAnsi="Times New Roman"/>
          <w:sz w:val="22"/>
          <w:szCs w:val="22"/>
          <w:color w:val="auto"/>
        </w:rPr>
      </w:pPr>
    </w:p>
    <w:p>
      <w:pPr>
        <w:ind w:left="1448" w:hanging="728"/>
        <w:spacing w:after="0" w:line="348" w:lineRule="auto"/>
        <w:tabs>
          <w:tab w:leader="none" w:pos="1448" w:val="left"/>
        </w:tabs>
        <w:numPr>
          <w:ilvl w:val="1"/>
          <w:numId w:val="831"/>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Brief details of material guarantees, if any, given to third parties by the promoters with respect to specified securities of the issuer.</w:t>
      </w:r>
    </w:p>
    <w:p>
      <w:pPr>
        <w:spacing w:after="0" w:line="27" w:lineRule="exact"/>
        <w:rPr>
          <w:rFonts w:ascii="Times New Roman" w:cs="Times New Roman" w:eastAsia="Times New Roman" w:hAnsi="Times New Roman"/>
          <w:sz w:val="22"/>
          <w:szCs w:val="22"/>
          <w:color w:val="auto"/>
        </w:rPr>
      </w:pPr>
    </w:p>
    <w:p>
      <w:pPr>
        <w:ind w:left="1448" w:hanging="728"/>
        <w:spacing w:after="0" w:line="348" w:lineRule="auto"/>
        <w:tabs>
          <w:tab w:leader="none" w:pos="1448" w:val="left"/>
        </w:tabs>
        <w:numPr>
          <w:ilvl w:val="1"/>
          <w:numId w:val="831"/>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A list of all individuals and entities forming part of the promoter group of the issuer.</w:t>
      </w:r>
    </w:p>
    <w:p>
      <w:pPr>
        <w:spacing w:after="0" w:line="28" w:lineRule="exact"/>
        <w:rPr>
          <w:rFonts w:ascii="Times New Roman" w:cs="Times New Roman" w:eastAsia="Times New Roman" w:hAnsi="Times New Roman"/>
          <w:sz w:val="22"/>
          <w:szCs w:val="22"/>
          <w:color w:val="auto"/>
        </w:rPr>
      </w:pPr>
    </w:p>
    <w:p>
      <w:pPr>
        <w:jc w:val="both"/>
        <w:ind w:left="1448" w:hanging="728"/>
        <w:spacing w:after="0" w:line="354" w:lineRule="auto"/>
        <w:tabs>
          <w:tab w:leader="none" w:pos="1448" w:val="left"/>
        </w:tabs>
        <w:numPr>
          <w:ilvl w:val="1"/>
          <w:numId w:val="831"/>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If the promoters have disassociated themselves from any of the companies or firms during the preceding three years, the reasons thereof and the circumstances leading to the disassociation together with the terms of such disassociation.</w:t>
      </w:r>
    </w:p>
    <w:p>
      <w:pPr>
        <w:spacing w:after="0" w:line="200" w:lineRule="exact"/>
        <w:rPr>
          <w:rFonts w:ascii="Times New Roman" w:cs="Times New Roman" w:eastAsia="Times New Roman" w:hAnsi="Times New Roman"/>
          <w:sz w:val="22"/>
          <w:szCs w:val="22"/>
          <w:color w:val="auto"/>
        </w:rPr>
      </w:pPr>
    </w:p>
    <w:p>
      <w:pPr>
        <w:spacing w:after="0" w:line="234" w:lineRule="exact"/>
        <w:rPr>
          <w:rFonts w:ascii="Times New Roman" w:cs="Times New Roman" w:eastAsia="Times New Roman" w:hAnsi="Times New Roman"/>
          <w:sz w:val="22"/>
          <w:szCs w:val="22"/>
          <w:color w:val="auto"/>
        </w:rPr>
      </w:pPr>
    </w:p>
    <w:p>
      <w:pPr>
        <w:jc w:val="both"/>
        <w:ind w:left="728" w:hanging="368"/>
        <w:spacing w:after="0" w:line="353" w:lineRule="auto"/>
        <w:tabs>
          <w:tab w:leader="none" w:pos="728" w:val="left"/>
        </w:tabs>
        <w:numPr>
          <w:ilvl w:val="0"/>
          <w:numId w:val="832"/>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 xml:space="preserve">Dividend policy: </w:t>
      </w:r>
      <w:r>
        <w:rPr>
          <w:rFonts w:ascii="Times New Roman" w:cs="Times New Roman" w:eastAsia="Times New Roman" w:hAnsi="Times New Roman"/>
          <w:sz w:val="24"/>
          <w:szCs w:val="24"/>
          <w:color w:val="auto"/>
        </w:rPr>
        <w:t>Dividend policy and mode of payment of dividend, details of dividend</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paid in the last three financial years and the stub period, as applicable, and the period between last audited period and the date of the filing the draft offer document / draft letter of offer/ offer document.</w:t>
      </w:r>
    </w:p>
    <w:p>
      <w:pPr>
        <w:spacing w:after="0" w:line="200" w:lineRule="exact"/>
        <w:rPr>
          <w:sz w:val="20"/>
          <w:szCs w:val="20"/>
          <w:color w:val="auto"/>
        </w:rPr>
      </w:pPr>
    </w:p>
    <w:p>
      <w:pPr>
        <w:spacing w:after="0" w:line="228" w:lineRule="exact"/>
        <w:rPr>
          <w:sz w:val="20"/>
          <w:szCs w:val="20"/>
          <w:color w:val="auto"/>
        </w:rPr>
      </w:pPr>
    </w:p>
    <w:p>
      <w:pPr>
        <w:ind w:left="728" w:hanging="728"/>
        <w:spacing w:after="0"/>
        <w:tabs>
          <w:tab w:leader="none" w:pos="728" w:val="left"/>
        </w:tabs>
        <w:numPr>
          <w:ilvl w:val="0"/>
          <w:numId w:val="833"/>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b w:val="1"/>
          <w:bCs w:val="1"/>
          <w:color w:val="auto"/>
        </w:rPr>
        <w:t>Financial Statements:</w:t>
      </w:r>
    </w:p>
    <w:p>
      <w:pPr>
        <w:spacing w:after="0" w:line="200" w:lineRule="exact"/>
        <w:rPr>
          <w:sz w:val="20"/>
          <w:szCs w:val="20"/>
          <w:color w:val="auto"/>
        </w:rPr>
      </w:pPr>
    </w:p>
    <w:p>
      <w:pPr>
        <w:spacing w:after="0" w:line="364" w:lineRule="exact"/>
        <w:rPr>
          <w:sz w:val="20"/>
          <w:szCs w:val="20"/>
          <w:color w:val="auto"/>
        </w:rPr>
      </w:pPr>
    </w:p>
    <w:p>
      <w:pPr>
        <w:ind w:left="8" w:hanging="8"/>
        <w:spacing w:after="0" w:line="350" w:lineRule="auto"/>
        <w:tabs>
          <w:tab w:leader="none" w:pos="346" w:val="left"/>
        </w:tabs>
        <w:numPr>
          <w:ilvl w:val="0"/>
          <w:numId w:val="83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Requirements in case Indian Accounting Standards (Ind AS) is applicable in the latest period presented in Restated Financial Information</w:t>
      </w:r>
    </w:p>
    <w:p>
      <w:pPr>
        <w:spacing w:after="0" w:line="18" w:lineRule="exact"/>
        <w:rPr>
          <w:sz w:val="20"/>
          <w:szCs w:val="20"/>
          <w:color w:val="auto"/>
        </w:rPr>
      </w:pPr>
    </w:p>
    <w:p>
      <w:pPr>
        <w:jc w:val="both"/>
        <w:ind w:left="8"/>
        <w:spacing w:after="0" w:line="357" w:lineRule="auto"/>
        <w:rPr>
          <w:sz w:val="20"/>
          <w:szCs w:val="20"/>
          <w:color w:val="auto"/>
        </w:rPr>
      </w:pPr>
      <w:r>
        <w:rPr>
          <w:rFonts w:ascii="Times New Roman" w:cs="Times New Roman" w:eastAsia="Times New Roman" w:hAnsi="Times New Roman"/>
          <w:sz w:val="24"/>
          <w:szCs w:val="24"/>
          <w:color w:val="auto"/>
        </w:rPr>
        <w:t>Financial information section of the offer document will be divided into two parts, viz., restated financial information and other financial information. The restated and other financial information should be complete in all respects. To avoid duplication of disclosures in the offer document, appropriate use of cross reference may be made to the restated and other financial information.</w:t>
      </w:r>
    </w:p>
    <w:p>
      <w:pPr>
        <w:spacing w:after="0" w:line="200" w:lineRule="exact"/>
        <w:rPr>
          <w:sz w:val="20"/>
          <w:szCs w:val="20"/>
          <w:color w:val="auto"/>
        </w:rPr>
      </w:pPr>
    </w:p>
    <w:p>
      <w:pPr>
        <w:spacing w:after="0" w:line="215" w:lineRule="exact"/>
        <w:rPr>
          <w:sz w:val="20"/>
          <w:szCs w:val="20"/>
          <w:color w:val="auto"/>
        </w:rPr>
      </w:pPr>
    </w:p>
    <w:p>
      <w:pPr>
        <w:ind w:left="728" w:hanging="368"/>
        <w:spacing w:after="0"/>
        <w:tabs>
          <w:tab w:leader="none" w:pos="728" w:val="left"/>
        </w:tabs>
        <w:numPr>
          <w:ilvl w:val="0"/>
          <w:numId w:val="835"/>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Restated Financial information</w:t>
      </w:r>
    </w:p>
    <w:p>
      <w:pPr>
        <w:spacing w:after="0" w:line="144" w:lineRule="exact"/>
        <w:rPr>
          <w:rFonts w:ascii="Calibri" w:cs="Calibri" w:eastAsia="Calibri" w:hAnsi="Calibri"/>
          <w:sz w:val="22"/>
          <w:szCs w:val="22"/>
          <w:color w:val="auto"/>
        </w:rPr>
      </w:pPr>
    </w:p>
    <w:p>
      <w:pPr>
        <w:jc w:val="both"/>
        <w:ind w:left="1088" w:hanging="368"/>
        <w:spacing w:after="0" w:line="357" w:lineRule="auto"/>
        <w:tabs>
          <w:tab w:leader="none" w:pos="1088" w:val="left"/>
        </w:tabs>
        <w:numPr>
          <w:ilvl w:val="1"/>
          <w:numId w:val="835"/>
        </w:numPr>
        <w:rPr>
          <w:rFonts w:ascii="Calibri" w:cs="Calibri" w:eastAsia="Calibri" w:hAnsi="Calibri"/>
          <w:sz w:val="22"/>
          <w:szCs w:val="22"/>
          <w:color w:val="auto"/>
        </w:rPr>
      </w:pPr>
      <w:r>
        <w:rPr>
          <w:rFonts w:ascii="Times New Roman" w:cs="Times New Roman" w:eastAsia="Times New Roman" w:hAnsi="Times New Roman"/>
          <w:sz w:val="24"/>
          <w:szCs w:val="24"/>
          <w:color w:val="auto"/>
        </w:rPr>
        <w:t>Consolidated Financial Statements (CFS) prepared in accordance with Ind AS for three years and the stub period (if applicable) should be audited and certified by the statutory auditor(s) who holds a valid certificate issued by the Peer Review Board of the Institute of Chartered Accountants of India (ICAI). The stub period CFS shall be required, if Ind AS CFS for latest full financial year included in the offer document is older than six months from the date of filing of the draft offer document/offer document. The stub period should not end up to a date earlier than six months of the date of filing of the draft offer document/offer document. In accordance with Ind AS</w:t>
      </w:r>
    </w:p>
    <w:p>
      <w:pPr>
        <w:spacing w:after="0" w:line="262"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226</w:t>
      </w:r>
    </w:p>
    <w:p>
      <w:pPr>
        <w:sectPr>
          <w:pgSz w:w="11900" w:h="16836" w:orient="portrait"/>
          <w:cols w:equalWidth="0" w:num="1">
            <w:col w:w="9468"/>
          </w:cols>
          <w:pgMar w:left="1152" w:top="1440" w:right="1284" w:bottom="103" w:gutter="0" w:footer="0" w:header="0"/>
        </w:sectPr>
      </w:pPr>
    </w:p>
    <w:bookmarkStart w:id="226" w:name="page227"/>
    <w:bookmarkEnd w:id="226"/>
    <w:p>
      <w:pPr>
        <w:jc w:val="both"/>
        <w:ind w:left="800"/>
        <w:spacing w:after="0" w:line="354" w:lineRule="auto"/>
        <w:rPr>
          <w:sz w:val="20"/>
          <w:szCs w:val="20"/>
          <w:color w:val="auto"/>
        </w:rPr>
      </w:pPr>
      <w:r>
        <w:rPr>
          <w:rFonts w:ascii="Times New Roman" w:cs="Times New Roman" w:eastAsia="Times New Roman" w:hAnsi="Times New Roman"/>
          <w:sz w:val="24"/>
          <w:szCs w:val="24"/>
          <w:color w:val="auto"/>
        </w:rPr>
        <w:t xml:space="preserve">34 </w:t>
      </w:r>
      <w:r>
        <w:rPr>
          <w:rFonts w:ascii="Times New Roman" w:cs="Times New Roman" w:eastAsia="Times New Roman" w:hAnsi="Times New Roman"/>
          <w:sz w:val="24"/>
          <w:szCs w:val="24"/>
          <w:i w:val="1"/>
          <w:iCs w:val="1"/>
          <w:color w:val="auto"/>
        </w:rPr>
        <w:t>Interim Financial Reporting</w:t>
      </w:r>
      <w:r>
        <w:rPr>
          <w:rFonts w:ascii="Times New Roman" w:cs="Times New Roman" w:eastAsia="Times New Roman" w:hAnsi="Times New Roman"/>
          <w:sz w:val="24"/>
          <w:szCs w:val="24"/>
          <w:color w:val="auto"/>
        </w:rPr>
        <w:t>, the group should present a complete Ind AS CFS for the stub period, except the issuer has been exempted from presenting comparatives for the stub period. CFS shall be prepared as per Companies Act, 2013 (as amended).</w:t>
      </w:r>
    </w:p>
    <w:p>
      <w:pPr>
        <w:spacing w:after="0" w:line="20" w:lineRule="exact"/>
        <w:rPr>
          <w:sz w:val="20"/>
          <w:szCs w:val="20"/>
          <w:color w:val="auto"/>
        </w:rPr>
      </w:pPr>
    </w:p>
    <w:p>
      <w:pPr>
        <w:jc w:val="both"/>
        <w:ind w:left="1160" w:hanging="368"/>
        <w:spacing w:after="0" w:line="359" w:lineRule="auto"/>
        <w:tabs>
          <w:tab w:leader="none" w:pos="1160" w:val="left"/>
        </w:tabs>
        <w:numPr>
          <w:ilvl w:val="0"/>
          <w:numId w:val="836"/>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 xml:space="preserve">The CFS (including for the stub period if applicable) should be restated to ensure consistency of presentation, disclosures and the accounting policies for all the periods presented in line with that of the latest financial year/ stub period presented. Similarly, significant errors, non-provisions, regrouping, other adjustments, if any, should be reflected in the corresponding period. The changes in accounting policies and the correction of errors, should be disclosed in accordance with the requirements of Ind AS 8 </w:t>
      </w:r>
      <w:r>
        <w:rPr>
          <w:rFonts w:ascii="Times New Roman" w:cs="Times New Roman" w:eastAsia="Times New Roman" w:hAnsi="Times New Roman"/>
          <w:sz w:val="24"/>
          <w:szCs w:val="24"/>
          <w:i w:val="1"/>
          <w:iCs w:val="1"/>
          <w:color w:val="auto"/>
        </w:rPr>
        <w:t>Accounting Policies, Changes in</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Accounting Estimates and Errors</w:t>
      </w:r>
      <w:r>
        <w:rPr>
          <w:rFonts w:ascii="Times New Roman" w:cs="Times New Roman" w:eastAsia="Times New Roman" w:hAnsi="Times New Roman"/>
          <w:sz w:val="24"/>
          <w:szCs w:val="24"/>
          <w:color w:val="auto"/>
        </w:rPr>
        <w:t>. Changes in estimates, if any, need not to be</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restated, as they are events of that corresponding year. The issuer has an option to present comparatives for the stub period.</w:t>
      </w:r>
    </w:p>
    <w:p>
      <w:pPr>
        <w:spacing w:after="0" w:line="12" w:lineRule="exact"/>
        <w:rPr>
          <w:rFonts w:ascii="Times New Roman" w:cs="Times New Roman" w:eastAsia="Times New Roman" w:hAnsi="Times New Roman"/>
          <w:sz w:val="22"/>
          <w:szCs w:val="22"/>
          <w:color w:val="auto"/>
        </w:rPr>
      </w:pPr>
    </w:p>
    <w:p>
      <w:pPr>
        <w:jc w:val="both"/>
        <w:ind w:left="1160" w:hanging="368"/>
        <w:spacing w:after="0" w:line="358" w:lineRule="auto"/>
        <w:tabs>
          <w:tab w:leader="none" w:pos="1160" w:val="left"/>
        </w:tabs>
        <w:numPr>
          <w:ilvl w:val="0"/>
          <w:numId w:val="836"/>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 xml:space="preserve">SA 705 </w:t>
      </w:r>
      <w:r>
        <w:rPr>
          <w:rFonts w:ascii="Times New Roman" w:cs="Times New Roman" w:eastAsia="Times New Roman" w:hAnsi="Times New Roman"/>
          <w:sz w:val="24"/>
          <w:szCs w:val="24"/>
          <w:i w:val="1"/>
          <w:iCs w:val="1"/>
          <w:color w:val="auto"/>
        </w:rPr>
        <w:t>Modification to the Opinion in the Independent Auditor’s Report</w:t>
      </w:r>
      <w:r>
        <w:rPr>
          <w:rFonts w:ascii="Times New Roman" w:cs="Times New Roman" w:eastAsia="Times New Roman" w:hAnsi="Times New Roman"/>
          <w:sz w:val="24"/>
          <w:szCs w:val="24"/>
          <w:color w:val="auto"/>
        </w:rPr>
        <w:t xml:space="preserve"> requires a qualified opinion, adverse opinion or disclaimer of opinion for material misstatements. With respect to an eligible issuer, audit modifications, which are quantifiable or can be estimated shall be adjusted in the restated financial information in the appropriate period. In situations where the qualification cannot be quantified or estimated, appropriate disclosures should be made in the notes to account, explaining why the qualification cannot be quantified or estimated.</w:t>
      </w:r>
    </w:p>
    <w:p>
      <w:pPr>
        <w:spacing w:after="0" w:line="17" w:lineRule="exact"/>
        <w:rPr>
          <w:rFonts w:ascii="Times New Roman" w:cs="Times New Roman" w:eastAsia="Times New Roman" w:hAnsi="Times New Roman"/>
          <w:sz w:val="22"/>
          <w:szCs w:val="22"/>
          <w:color w:val="auto"/>
        </w:rPr>
      </w:pPr>
    </w:p>
    <w:p>
      <w:pPr>
        <w:ind w:left="1160" w:hanging="368"/>
        <w:spacing w:after="0" w:line="348" w:lineRule="auto"/>
        <w:tabs>
          <w:tab w:leader="none" w:pos="1160" w:val="left"/>
        </w:tabs>
        <w:numPr>
          <w:ilvl w:val="0"/>
          <w:numId w:val="836"/>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A reconciliation explaining the differences between the audited CFS equity and profit (loss) and the restated CFS should be presented in a columnar format.</w:t>
      </w:r>
    </w:p>
    <w:p>
      <w:pPr>
        <w:spacing w:after="0" w:line="27" w:lineRule="exact"/>
        <w:rPr>
          <w:rFonts w:ascii="Times New Roman" w:cs="Times New Roman" w:eastAsia="Times New Roman" w:hAnsi="Times New Roman"/>
          <w:sz w:val="22"/>
          <w:szCs w:val="22"/>
          <w:color w:val="auto"/>
        </w:rPr>
      </w:pPr>
    </w:p>
    <w:p>
      <w:pPr>
        <w:jc w:val="both"/>
        <w:ind w:left="1160" w:hanging="368"/>
        <w:spacing w:after="0" w:line="354" w:lineRule="auto"/>
        <w:tabs>
          <w:tab w:leader="none" w:pos="1160" w:val="left"/>
        </w:tabs>
        <w:numPr>
          <w:ilvl w:val="0"/>
          <w:numId w:val="836"/>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 xml:space="preserve">The auditor shall issue an examination report on the restated and audited financial information in accordance with the </w:t>
      </w:r>
      <w:r>
        <w:rPr>
          <w:rFonts w:ascii="Times New Roman" w:cs="Times New Roman" w:eastAsia="Times New Roman" w:hAnsi="Times New Roman"/>
          <w:sz w:val="24"/>
          <w:szCs w:val="24"/>
          <w:i w:val="1"/>
          <w:iCs w:val="1"/>
          <w:color w:val="auto"/>
        </w:rPr>
        <w:t>Guidance Note</w:t>
      </w:r>
      <w:r>
        <w:rPr>
          <w:rFonts w:ascii="Times New Roman" w:cs="Times New Roman" w:eastAsia="Times New Roman" w:hAnsi="Times New Roman"/>
          <w:sz w:val="24"/>
          <w:szCs w:val="24"/>
          <w:color w:val="auto"/>
        </w:rPr>
        <w:t xml:space="preserve"> issued by the ICAI from time to time.</w:t>
      </w:r>
    </w:p>
    <w:p>
      <w:pPr>
        <w:spacing w:after="0" w:line="20" w:lineRule="exact"/>
        <w:rPr>
          <w:rFonts w:ascii="Times New Roman" w:cs="Times New Roman" w:eastAsia="Times New Roman" w:hAnsi="Times New Roman"/>
          <w:sz w:val="22"/>
          <w:szCs w:val="22"/>
          <w:color w:val="auto"/>
        </w:rPr>
      </w:pPr>
    </w:p>
    <w:p>
      <w:pPr>
        <w:jc w:val="both"/>
        <w:ind w:left="1160" w:hanging="368"/>
        <w:spacing w:after="0" w:line="359" w:lineRule="auto"/>
        <w:tabs>
          <w:tab w:leader="none" w:pos="1160" w:val="left"/>
        </w:tabs>
        <w:numPr>
          <w:ilvl w:val="0"/>
          <w:numId w:val="836"/>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Auditor should have a valid peer review certificate issued by the Peer Review Board of the ICAI as on the date of signing the restated financial information. If a new auditor holding a valid peer review certificate is appointed for the stub period, and the predecessor auditor did not hold a valid peer review certificate at the date of signing the last annual financial statement, then the last annual financial statement would need to be re-audited by the new auditor in accordance with applicable standards. The re-audit may exclude audit reporting matters on CARO, internal financial control and other pure regulatory matters. Where auditor earlier held a valid peer review certificate, but did not hold a valid certificate at the date of signing the restated financial information, the earlier certificate shall be considered</w:t>
      </w:r>
    </w:p>
    <w:p>
      <w:pPr>
        <w:spacing w:after="0" w:line="257"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227</w:t>
      </w:r>
    </w:p>
    <w:p>
      <w:pPr>
        <w:sectPr>
          <w:pgSz w:w="11900" w:h="16836" w:orient="portrait"/>
          <w:cols w:equalWidth="0" w:num="1">
            <w:col w:w="9180"/>
          </w:cols>
          <w:pgMar w:left="1440" w:top="1156" w:right="1284" w:bottom="103" w:gutter="0" w:footer="0" w:header="0"/>
        </w:sectPr>
      </w:pPr>
    </w:p>
    <w:bookmarkStart w:id="227" w:name="page228"/>
    <w:bookmarkEnd w:id="227"/>
    <w:p>
      <w:pPr>
        <w:jc w:val="both"/>
        <w:ind w:left="1160"/>
        <w:spacing w:after="0" w:line="354" w:lineRule="auto"/>
        <w:rPr>
          <w:sz w:val="20"/>
          <w:szCs w:val="20"/>
          <w:color w:val="auto"/>
        </w:rPr>
      </w:pPr>
      <w:r>
        <w:rPr>
          <w:rFonts w:ascii="Times New Roman" w:cs="Times New Roman" w:eastAsia="Times New Roman" w:hAnsi="Times New Roman"/>
          <w:sz w:val="24"/>
          <w:szCs w:val="24"/>
          <w:color w:val="auto"/>
        </w:rPr>
        <w:t>valid provided there is no express refusal by the peer review board to renew the certificate and the process to renew the peer review certificate was initiated by the auditor.</w:t>
      </w:r>
    </w:p>
    <w:p>
      <w:pPr>
        <w:spacing w:after="0" w:line="20" w:lineRule="exact"/>
        <w:rPr>
          <w:sz w:val="20"/>
          <w:szCs w:val="20"/>
          <w:color w:val="auto"/>
        </w:rPr>
      </w:pPr>
    </w:p>
    <w:p>
      <w:pPr>
        <w:jc w:val="both"/>
        <w:ind w:left="1160" w:hanging="368"/>
        <w:spacing w:after="0" w:line="354" w:lineRule="auto"/>
        <w:tabs>
          <w:tab w:leader="none" w:pos="1160" w:val="left"/>
        </w:tabs>
        <w:numPr>
          <w:ilvl w:val="1"/>
          <w:numId w:val="837"/>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Where an issuer does not have a subsidiary, associate or joint venture, in any financial year, the issuer shall present separate financial statements for that financial year by following the applicable requirements of a restated CFS.</w:t>
      </w:r>
    </w:p>
    <w:p>
      <w:pPr>
        <w:spacing w:after="0" w:line="22" w:lineRule="exact"/>
        <w:rPr>
          <w:rFonts w:ascii="Times New Roman" w:cs="Times New Roman" w:eastAsia="Times New Roman" w:hAnsi="Times New Roman"/>
          <w:sz w:val="22"/>
          <w:szCs w:val="22"/>
          <w:color w:val="auto"/>
        </w:rPr>
      </w:pPr>
    </w:p>
    <w:p>
      <w:pPr>
        <w:jc w:val="both"/>
        <w:ind w:left="1160" w:hanging="368"/>
        <w:spacing w:after="0" w:line="357" w:lineRule="auto"/>
        <w:tabs>
          <w:tab w:leader="none" w:pos="1160" w:val="left"/>
        </w:tabs>
        <w:numPr>
          <w:ilvl w:val="1"/>
          <w:numId w:val="837"/>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List of the related parties and all related party transactions of the consolidated entities (whether eliminated on consolidation or not), which require disclosure under Ind AS 24 and/ or covered under section 188(2) of the Companies Act, 2013 (as amended), as disclosed in the separate financial statement of the consolidated entities, should be disclosed in the restated financial information.</w:t>
      </w:r>
    </w:p>
    <w:p>
      <w:pPr>
        <w:spacing w:after="0" w:line="33" w:lineRule="exact"/>
        <w:rPr>
          <w:rFonts w:ascii="Times New Roman" w:cs="Times New Roman" w:eastAsia="Times New Roman" w:hAnsi="Times New Roman"/>
          <w:sz w:val="22"/>
          <w:szCs w:val="22"/>
          <w:color w:val="auto"/>
        </w:rPr>
      </w:pPr>
    </w:p>
    <w:p>
      <w:pPr>
        <w:jc w:val="both"/>
        <w:ind w:left="1520" w:hanging="368"/>
        <w:spacing w:after="0" w:line="351" w:lineRule="auto"/>
        <w:tabs>
          <w:tab w:leader="none" w:pos="1520" w:val="left"/>
        </w:tabs>
        <w:numPr>
          <w:ilvl w:val="2"/>
          <w:numId w:val="837"/>
        </w:numPr>
        <w:rPr>
          <w:rFonts w:ascii="Symbol" w:cs="Symbol" w:eastAsia="Symbol" w:hAnsi="Symbol"/>
          <w:sz w:val="24"/>
          <w:szCs w:val="24"/>
          <w:color w:val="auto"/>
        </w:rPr>
      </w:pPr>
      <w:r>
        <w:rPr>
          <w:rFonts w:ascii="Times New Roman" w:cs="Times New Roman" w:eastAsia="Times New Roman" w:hAnsi="Times New Roman"/>
          <w:sz w:val="24"/>
          <w:szCs w:val="24"/>
          <w:color w:val="auto"/>
        </w:rPr>
        <w:t>All funding arrangements including inter-se guarantees among the entities consolidated; except contribution to equity share capital, shall be disclosed. The important terms and conditions of the funding arrangement and fund transfer restrictions, if any, should be disclosed in the restated financial information.</w:t>
      </w:r>
    </w:p>
    <w:p>
      <w:pPr>
        <w:spacing w:after="0" w:line="27" w:lineRule="exact"/>
        <w:rPr>
          <w:rFonts w:ascii="Symbol" w:cs="Symbol" w:eastAsia="Symbol" w:hAnsi="Symbol"/>
          <w:sz w:val="24"/>
          <w:szCs w:val="24"/>
          <w:color w:val="auto"/>
        </w:rPr>
      </w:pPr>
    </w:p>
    <w:p>
      <w:pPr>
        <w:jc w:val="both"/>
        <w:ind w:left="1160" w:hanging="368"/>
        <w:spacing w:after="0" w:line="356" w:lineRule="auto"/>
        <w:tabs>
          <w:tab w:leader="none" w:pos="1160" w:val="left"/>
        </w:tabs>
        <w:numPr>
          <w:ilvl w:val="1"/>
          <w:numId w:val="837"/>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In case where Ind AS is not applicable to the Company for any of the years the principles laid down in Circular No SEBI/HO/CFD/DIL/CIR/P/2016/47 of March 31, 2016 or any other relevant circular issued by the Board from time to time, shall apply.</w:t>
      </w:r>
    </w:p>
    <w:p>
      <w:pPr>
        <w:spacing w:after="0" w:line="200" w:lineRule="exact"/>
        <w:rPr>
          <w:rFonts w:ascii="Times New Roman" w:cs="Times New Roman" w:eastAsia="Times New Roman" w:hAnsi="Times New Roman"/>
          <w:sz w:val="22"/>
          <w:szCs w:val="22"/>
          <w:color w:val="auto"/>
        </w:rPr>
      </w:pPr>
    </w:p>
    <w:p>
      <w:pPr>
        <w:spacing w:after="0" w:line="231" w:lineRule="exact"/>
        <w:rPr>
          <w:rFonts w:ascii="Times New Roman" w:cs="Times New Roman" w:eastAsia="Times New Roman" w:hAnsi="Times New Roman"/>
          <w:sz w:val="22"/>
          <w:szCs w:val="22"/>
          <w:color w:val="auto"/>
        </w:rPr>
      </w:pPr>
    </w:p>
    <w:p>
      <w:pPr>
        <w:jc w:val="both"/>
        <w:ind w:left="800" w:hanging="368"/>
        <w:spacing w:after="0" w:line="357" w:lineRule="auto"/>
        <w:tabs>
          <w:tab w:leader="none" w:pos="800" w:val="left"/>
        </w:tabs>
        <w:numPr>
          <w:ilvl w:val="0"/>
          <w:numId w:val="838"/>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separate audited financial statements for past three full financial years immediately preceding the date of filing of offer document of the issuer company and all its material subsidiaries should be made available on issuer’s website in accordance with the materiality thresholds in (b) below. Alternatively, relevant link should be provided to the financial statement of subsidiaries on the Issuer’s website. The link to the issuer’s separate financial statement should be specified in the offer document. For this purpose, subsidiaries shall be identified based on definitions in the Companies Act, 2013. The above requirements shall apply for the periods of existence of the parent-subsidiary relationship.</w:t>
      </w:r>
    </w:p>
    <w:p>
      <w:pPr>
        <w:spacing w:after="0" w:line="22" w:lineRule="exact"/>
        <w:rPr>
          <w:rFonts w:ascii="Calibri" w:cs="Calibri" w:eastAsia="Calibri" w:hAnsi="Calibri"/>
          <w:sz w:val="22"/>
          <w:szCs w:val="22"/>
          <w:color w:val="auto"/>
        </w:rPr>
      </w:pPr>
    </w:p>
    <w:p>
      <w:pPr>
        <w:jc w:val="both"/>
        <w:ind w:left="1160" w:hanging="368"/>
        <w:spacing w:after="0" w:line="354" w:lineRule="auto"/>
        <w:tabs>
          <w:tab w:leader="none" w:pos="1160" w:val="left"/>
        </w:tabs>
        <w:numPr>
          <w:ilvl w:val="1"/>
          <w:numId w:val="838"/>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a certified English translated copy of the financial statements should be made available on the Company’s website for every entity consolidated whose financial statements are not presented in English.</w:t>
      </w:r>
    </w:p>
    <w:p>
      <w:pPr>
        <w:spacing w:after="0" w:line="20" w:lineRule="exact"/>
        <w:rPr>
          <w:rFonts w:ascii="Times New Roman" w:cs="Times New Roman" w:eastAsia="Times New Roman" w:hAnsi="Times New Roman"/>
          <w:sz w:val="22"/>
          <w:szCs w:val="22"/>
          <w:color w:val="auto"/>
        </w:rPr>
      </w:pPr>
    </w:p>
    <w:p>
      <w:pPr>
        <w:jc w:val="both"/>
        <w:ind w:left="1160" w:hanging="368"/>
        <w:spacing w:after="0" w:line="350" w:lineRule="auto"/>
        <w:tabs>
          <w:tab w:leader="none" w:pos="1160" w:val="left"/>
        </w:tabs>
        <w:numPr>
          <w:ilvl w:val="1"/>
          <w:numId w:val="838"/>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The financial statements reported in any currency other than Indian Rupee shall be translated into Indian Rupee in accordance with Ind AS 21. The Effects of Changes</w:t>
      </w:r>
    </w:p>
    <w:p>
      <w:pPr>
        <w:spacing w:after="0" w:line="251"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228</w:t>
      </w:r>
    </w:p>
    <w:p>
      <w:pPr>
        <w:sectPr>
          <w:pgSz w:w="11900" w:h="16836" w:orient="portrait"/>
          <w:cols w:equalWidth="0" w:num="1">
            <w:col w:w="9180"/>
          </w:cols>
          <w:pgMar w:left="1440" w:top="1156" w:right="1284" w:bottom="103" w:gutter="0" w:footer="0" w:header="0"/>
        </w:sectPr>
      </w:pPr>
    </w:p>
    <w:bookmarkStart w:id="228" w:name="page229"/>
    <w:bookmarkEnd w:id="228"/>
    <w:p>
      <w:pPr>
        <w:jc w:val="both"/>
        <w:ind w:left="1160"/>
        <w:spacing w:after="0" w:line="358" w:lineRule="auto"/>
        <w:rPr>
          <w:sz w:val="20"/>
          <w:szCs w:val="20"/>
          <w:color w:val="auto"/>
        </w:rPr>
      </w:pPr>
      <w:r>
        <w:rPr>
          <w:rFonts w:ascii="Times New Roman" w:cs="Times New Roman" w:eastAsia="Times New Roman" w:hAnsi="Times New Roman"/>
          <w:sz w:val="24"/>
          <w:szCs w:val="24"/>
          <w:color w:val="auto"/>
        </w:rPr>
        <w:t>in Foreign Exchange Rates. The financial statements of all foreign consolidated entities should be audited, unless they are not material to the CFS and the local regulation does not mandate audit. For this purpose, a consolidated entity shall be considered ‘material’ if it contributes 10% or more to the turnover or net-worth or profits before tax in the annual CFS of the respective year. Additionally, total unaudited information included in the in the CFS shall not exceed 20% of the turnover or net-worth or profits before tax of the CFS of the respective year. For the purpose of this clause, definition of turnover, net-worth and profits before tax should be as per Companies Act, 2013 (as amended).</w:t>
      </w:r>
    </w:p>
    <w:p>
      <w:pPr>
        <w:spacing w:after="0" w:line="21" w:lineRule="exact"/>
        <w:rPr>
          <w:sz w:val="20"/>
          <w:szCs w:val="20"/>
          <w:color w:val="auto"/>
        </w:rPr>
      </w:pPr>
    </w:p>
    <w:p>
      <w:pPr>
        <w:jc w:val="both"/>
        <w:ind w:left="1160" w:hanging="368"/>
        <w:spacing w:after="0" w:line="356" w:lineRule="auto"/>
        <w:tabs>
          <w:tab w:leader="none" w:pos="1160" w:val="left"/>
        </w:tabs>
        <w:numPr>
          <w:ilvl w:val="2"/>
          <w:numId w:val="839"/>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The financial statements of foreign entities consolidated may be audited as per the requirements of local regulation applicable in the respective jurisdiction. However, in cases where the local regulation does not mandate audit, financial statements should be audited as per the auditing standards/ requirements applicable in India.</w:t>
      </w:r>
    </w:p>
    <w:p>
      <w:pPr>
        <w:spacing w:after="0" w:line="18" w:lineRule="exact"/>
        <w:rPr>
          <w:rFonts w:ascii="Times New Roman" w:cs="Times New Roman" w:eastAsia="Times New Roman" w:hAnsi="Times New Roman"/>
          <w:sz w:val="22"/>
          <w:szCs w:val="22"/>
          <w:color w:val="auto"/>
        </w:rPr>
      </w:pPr>
    </w:p>
    <w:p>
      <w:pPr>
        <w:ind w:left="1160" w:hanging="368"/>
        <w:spacing w:after="0" w:line="350" w:lineRule="auto"/>
        <w:tabs>
          <w:tab w:leader="none" w:pos="1160" w:val="left"/>
        </w:tabs>
        <w:numPr>
          <w:ilvl w:val="2"/>
          <w:numId w:val="839"/>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The financial statements of foreign subsidiaries may be acceptable in a GAAP other than Ind AS, if local laws require application of local GAAP.</w:t>
      </w:r>
    </w:p>
    <w:p>
      <w:pPr>
        <w:spacing w:after="0" w:line="200" w:lineRule="exact"/>
        <w:rPr>
          <w:rFonts w:ascii="Times New Roman" w:cs="Times New Roman" w:eastAsia="Times New Roman" w:hAnsi="Times New Roman"/>
          <w:sz w:val="22"/>
          <w:szCs w:val="22"/>
          <w:color w:val="auto"/>
        </w:rPr>
      </w:pPr>
    </w:p>
    <w:p>
      <w:pPr>
        <w:spacing w:after="0" w:line="224" w:lineRule="exact"/>
        <w:rPr>
          <w:rFonts w:ascii="Times New Roman" w:cs="Times New Roman" w:eastAsia="Times New Roman" w:hAnsi="Times New Roman"/>
          <w:sz w:val="22"/>
          <w:szCs w:val="22"/>
          <w:color w:val="auto"/>
        </w:rPr>
      </w:pPr>
    </w:p>
    <w:p>
      <w:pPr>
        <w:ind w:left="440" w:hanging="368"/>
        <w:spacing w:after="0"/>
        <w:tabs>
          <w:tab w:leader="none" w:pos="440" w:val="left"/>
        </w:tabs>
        <w:numPr>
          <w:ilvl w:val="0"/>
          <w:numId w:val="840"/>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Other Financial Information</w:t>
      </w:r>
    </w:p>
    <w:p>
      <w:pPr>
        <w:spacing w:after="0" w:line="144" w:lineRule="exact"/>
        <w:rPr>
          <w:rFonts w:ascii="Calibri" w:cs="Calibri" w:eastAsia="Calibri" w:hAnsi="Calibri"/>
          <w:sz w:val="22"/>
          <w:szCs w:val="22"/>
          <w:color w:val="auto"/>
        </w:rPr>
      </w:pPr>
    </w:p>
    <w:p>
      <w:pPr>
        <w:ind w:left="800" w:hanging="368"/>
        <w:spacing w:after="0" w:line="344" w:lineRule="auto"/>
        <w:tabs>
          <w:tab w:leader="none" w:pos="800" w:val="left"/>
        </w:tabs>
        <w:numPr>
          <w:ilvl w:val="1"/>
          <w:numId w:val="840"/>
        </w:numPr>
        <w:rPr>
          <w:rFonts w:ascii="Calibri" w:cs="Calibri" w:eastAsia="Calibri" w:hAnsi="Calibri"/>
          <w:sz w:val="22"/>
          <w:szCs w:val="22"/>
          <w:color w:val="auto"/>
        </w:rPr>
      </w:pPr>
      <w:r>
        <w:rPr>
          <w:rFonts w:ascii="Times New Roman" w:cs="Times New Roman" w:eastAsia="Times New Roman" w:hAnsi="Times New Roman"/>
          <w:sz w:val="24"/>
          <w:szCs w:val="24"/>
          <w:color w:val="auto"/>
        </w:rPr>
        <w:t xml:space="preserve">The following information shall be computed as per the </w:t>
      </w:r>
      <w:r>
        <w:rPr>
          <w:rFonts w:ascii="Times New Roman" w:cs="Times New Roman" w:eastAsia="Times New Roman" w:hAnsi="Times New Roman"/>
          <w:sz w:val="24"/>
          <w:szCs w:val="24"/>
          <w:i w:val="1"/>
          <w:iCs w:val="1"/>
          <w:color w:val="auto"/>
        </w:rPr>
        <w:t>Guidance Note</w:t>
      </w:r>
      <w:r>
        <w:rPr>
          <w:rFonts w:ascii="Times New Roman" w:cs="Times New Roman" w:eastAsia="Times New Roman" w:hAnsi="Times New Roman"/>
          <w:sz w:val="24"/>
          <w:szCs w:val="24"/>
          <w:color w:val="auto"/>
        </w:rPr>
        <w:t xml:space="preserve"> issued by the ICAI from time to time and disclosed in other financial information</w:t>
      </w:r>
    </w:p>
    <w:p>
      <w:pPr>
        <w:spacing w:after="0" w:line="13" w:lineRule="exact"/>
        <w:rPr>
          <w:rFonts w:ascii="Calibri" w:cs="Calibri" w:eastAsia="Calibri" w:hAnsi="Calibri"/>
          <w:sz w:val="22"/>
          <w:szCs w:val="22"/>
          <w:color w:val="auto"/>
        </w:rPr>
      </w:pPr>
    </w:p>
    <w:p>
      <w:pPr>
        <w:ind w:left="1160" w:hanging="291"/>
        <w:spacing w:after="0"/>
        <w:tabs>
          <w:tab w:leader="none" w:pos="1160" w:val="left"/>
        </w:tabs>
        <w:numPr>
          <w:ilvl w:val="3"/>
          <w:numId w:val="840"/>
        </w:numPr>
        <w:rPr>
          <w:rFonts w:ascii="Symbol" w:cs="Symbol" w:eastAsia="Symbol" w:hAnsi="Symbol"/>
          <w:sz w:val="24"/>
          <w:szCs w:val="24"/>
          <w:color w:val="auto"/>
        </w:rPr>
      </w:pPr>
      <w:r>
        <w:rPr>
          <w:rFonts w:ascii="Times New Roman" w:cs="Times New Roman" w:eastAsia="Times New Roman" w:hAnsi="Times New Roman"/>
          <w:sz w:val="24"/>
          <w:szCs w:val="24"/>
          <w:color w:val="auto"/>
        </w:rPr>
        <w:t>Earnings per share (Basic and Diluted)</w:t>
      </w:r>
    </w:p>
    <w:p>
      <w:pPr>
        <w:spacing w:after="0" w:line="137" w:lineRule="exact"/>
        <w:rPr>
          <w:rFonts w:ascii="Symbol" w:cs="Symbol" w:eastAsia="Symbol" w:hAnsi="Symbol"/>
          <w:sz w:val="24"/>
          <w:szCs w:val="24"/>
          <w:color w:val="auto"/>
        </w:rPr>
      </w:pPr>
    </w:p>
    <w:p>
      <w:pPr>
        <w:ind w:left="1160" w:hanging="291"/>
        <w:spacing w:after="0"/>
        <w:tabs>
          <w:tab w:leader="none" w:pos="1160" w:val="left"/>
        </w:tabs>
        <w:numPr>
          <w:ilvl w:val="3"/>
          <w:numId w:val="840"/>
        </w:numPr>
        <w:rPr>
          <w:rFonts w:ascii="Symbol" w:cs="Symbol" w:eastAsia="Symbol" w:hAnsi="Symbol"/>
          <w:sz w:val="24"/>
          <w:szCs w:val="24"/>
          <w:color w:val="auto"/>
        </w:rPr>
      </w:pPr>
      <w:r>
        <w:rPr>
          <w:rFonts w:ascii="Times New Roman" w:cs="Times New Roman" w:eastAsia="Times New Roman" w:hAnsi="Times New Roman"/>
          <w:sz w:val="24"/>
          <w:szCs w:val="24"/>
          <w:color w:val="auto"/>
        </w:rPr>
        <w:t>Return on net worth</w:t>
      </w:r>
    </w:p>
    <w:p>
      <w:pPr>
        <w:spacing w:after="0" w:line="137" w:lineRule="exact"/>
        <w:rPr>
          <w:rFonts w:ascii="Symbol" w:cs="Symbol" w:eastAsia="Symbol" w:hAnsi="Symbol"/>
          <w:sz w:val="24"/>
          <w:szCs w:val="24"/>
          <w:color w:val="auto"/>
        </w:rPr>
      </w:pPr>
    </w:p>
    <w:p>
      <w:pPr>
        <w:ind w:left="1160" w:hanging="291"/>
        <w:spacing w:after="0"/>
        <w:tabs>
          <w:tab w:leader="none" w:pos="1160" w:val="left"/>
        </w:tabs>
        <w:numPr>
          <w:ilvl w:val="3"/>
          <w:numId w:val="840"/>
        </w:numPr>
        <w:rPr>
          <w:rFonts w:ascii="Symbol" w:cs="Symbol" w:eastAsia="Symbol" w:hAnsi="Symbol"/>
          <w:sz w:val="24"/>
          <w:szCs w:val="24"/>
          <w:color w:val="auto"/>
        </w:rPr>
      </w:pPr>
      <w:r>
        <w:rPr>
          <w:rFonts w:ascii="Times New Roman" w:cs="Times New Roman" w:eastAsia="Times New Roman" w:hAnsi="Times New Roman"/>
          <w:sz w:val="24"/>
          <w:szCs w:val="24"/>
          <w:color w:val="auto"/>
        </w:rPr>
        <w:t>Net Asset Value per share</w:t>
      </w:r>
    </w:p>
    <w:p>
      <w:pPr>
        <w:spacing w:after="0" w:line="135" w:lineRule="exact"/>
        <w:rPr>
          <w:rFonts w:ascii="Symbol" w:cs="Symbol" w:eastAsia="Symbol" w:hAnsi="Symbol"/>
          <w:sz w:val="24"/>
          <w:szCs w:val="24"/>
          <w:color w:val="auto"/>
        </w:rPr>
      </w:pPr>
    </w:p>
    <w:p>
      <w:pPr>
        <w:ind w:left="1160" w:hanging="291"/>
        <w:spacing w:after="0"/>
        <w:tabs>
          <w:tab w:leader="none" w:pos="1160" w:val="left"/>
        </w:tabs>
        <w:numPr>
          <w:ilvl w:val="3"/>
          <w:numId w:val="840"/>
        </w:numPr>
        <w:rPr>
          <w:rFonts w:ascii="Symbol" w:cs="Symbol" w:eastAsia="Symbol" w:hAnsi="Symbol"/>
          <w:sz w:val="24"/>
          <w:szCs w:val="24"/>
          <w:color w:val="auto"/>
        </w:rPr>
      </w:pPr>
      <w:r>
        <w:rPr>
          <w:rFonts w:ascii="Times New Roman" w:cs="Times New Roman" w:eastAsia="Times New Roman" w:hAnsi="Times New Roman"/>
          <w:sz w:val="24"/>
          <w:szCs w:val="24"/>
          <w:color w:val="auto"/>
        </w:rPr>
        <w:t>EBITDA</w:t>
      </w:r>
    </w:p>
    <w:p>
      <w:pPr>
        <w:spacing w:after="0" w:line="152" w:lineRule="exact"/>
        <w:rPr>
          <w:rFonts w:ascii="Symbol" w:cs="Symbol" w:eastAsia="Symbol" w:hAnsi="Symbol"/>
          <w:sz w:val="24"/>
          <w:szCs w:val="24"/>
          <w:color w:val="auto"/>
        </w:rPr>
      </w:pPr>
    </w:p>
    <w:p>
      <w:pPr>
        <w:jc w:val="both"/>
        <w:ind w:left="800" w:hanging="368"/>
        <w:spacing w:after="0" w:line="358" w:lineRule="auto"/>
        <w:tabs>
          <w:tab w:leader="none" w:pos="800" w:val="left"/>
        </w:tabs>
        <w:numPr>
          <w:ilvl w:val="1"/>
          <w:numId w:val="840"/>
        </w:numPr>
        <w:rPr>
          <w:rFonts w:ascii="Calibri" w:cs="Calibri" w:eastAsia="Calibri" w:hAnsi="Calibri"/>
          <w:sz w:val="22"/>
          <w:szCs w:val="22"/>
          <w:color w:val="auto"/>
        </w:rPr>
      </w:pPr>
      <w:r>
        <w:rPr>
          <w:rFonts w:ascii="Times New Roman" w:cs="Times New Roman" w:eastAsia="Times New Roman" w:hAnsi="Times New Roman"/>
          <w:sz w:val="24"/>
          <w:szCs w:val="24"/>
          <w:color w:val="auto"/>
        </w:rPr>
        <w:t>If the proceeds, fully or partly, directly or indirectly, is to be used for acquisition of one or more material businesses or entities, the audited statements of balance sheets, profit and loss, cash flow for the latest three financial years and stub period (if available) prepared as per framework applicable to the business or subsidiary proposed to be acquired shall be included in the draft offer document/offer document. For this purpose, the proposed acquisition (covering all businesses or subsidiaries proposed to be acquired) shall be considered material if it will make 20% or more contribution in aggregate to either turnover, or net worth or profit before tax in the latest annual CFS. The issuer may voluntarily choose to provide financial statements of above acquisitions out of the proceeds of the issue even if they are below the above materiality threshold. In cases where the general purpose financial statement of the businesses/entities to be acquired/divested are not available, combined/carved-out</w:t>
      </w:r>
    </w:p>
    <w:p>
      <w:pPr>
        <w:spacing w:after="0" w:line="193"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229</w:t>
      </w:r>
    </w:p>
    <w:p>
      <w:pPr>
        <w:sectPr>
          <w:pgSz w:w="11900" w:h="16836" w:orient="portrait"/>
          <w:cols w:equalWidth="0" w:num="1">
            <w:col w:w="9180"/>
          </w:cols>
          <w:pgMar w:left="1440" w:top="1156" w:right="1284" w:bottom="103" w:gutter="0" w:footer="0" w:header="0"/>
        </w:sectPr>
      </w:pPr>
    </w:p>
    <w:bookmarkStart w:id="229" w:name="page230"/>
    <w:bookmarkEnd w:id="229"/>
    <w:p>
      <w:pPr>
        <w:jc w:val="both"/>
        <w:ind w:left="800"/>
        <w:spacing w:after="0" w:line="356" w:lineRule="auto"/>
        <w:rPr>
          <w:sz w:val="20"/>
          <w:szCs w:val="20"/>
          <w:color w:val="auto"/>
        </w:rPr>
      </w:pPr>
      <w:r>
        <w:rPr>
          <w:rFonts w:ascii="Times New Roman" w:cs="Times New Roman" w:eastAsia="Times New Roman" w:hAnsi="Times New Roman"/>
          <w:sz w:val="24"/>
          <w:szCs w:val="24"/>
          <w:color w:val="auto"/>
        </w:rPr>
        <w:t xml:space="preserve">financial statements for that business/entity shall be prepared in accordance with </w:t>
      </w:r>
      <w:r>
        <w:rPr>
          <w:rFonts w:ascii="Times New Roman" w:cs="Times New Roman" w:eastAsia="Times New Roman" w:hAnsi="Times New Roman"/>
          <w:sz w:val="24"/>
          <w:szCs w:val="24"/>
          <w:i w:val="1"/>
          <w:iCs w:val="1"/>
          <w:color w:val="auto"/>
        </w:rPr>
        <w:t xml:space="preserve">Guidance Note </w:t>
      </w:r>
      <w:r>
        <w:rPr>
          <w:rFonts w:ascii="Times New Roman" w:cs="Times New Roman" w:eastAsia="Times New Roman" w:hAnsi="Times New Roman"/>
          <w:sz w:val="24"/>
          <w:szCs w:val="24"/>
          <w:color w:val="auto"/>
        </w:rPr>
        <w:t>issued by the ICAI from time to time. The combined/carved-out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financials statements shall be audited by the auditor of the seller in accordance with applicable framework.</w:t>
      </w:r>
    </w:p>
    <w:p>
      <w:pPr>
        <w:spacing w:after="0" w:line="19" w:lineRule="exact"/>
        <w:rPr>
          <w:sz w:val="20"/>
          <w:szCs w:val="20"/>
          <w:color w:val="auto"/>
        </w:rPr>
      </w:pPr>
    </w:p>
    <w:p>
      <w:pPr>
        <w:jc w:val="both"/>
        <w:ind w:left="800" w:hanging="368"/>
        <w:spacing w:after="0" w:line="359" w:lineRule="auto"/>
        <w:tabs>
          <w:tab w:leader="none" w:pos="800" w:val="left"/>
        </w:tabs>
        <w:numPr>
          <w:ilvl w:val="1"/>
          <w:numId w:val="841"/>
        </w:numPr>
        <w:rPr>
          <w:rFonts w:ascii="Calibri" w:cs="Calibri" w:eastAsia="Calibri" w:hAnsi="Calibri"/>
          <w:sz w:val="22"/>
          <w:szCs w:val="22"/>
          <w:color w:val="auto"/>
        </w:rPr>
      </w:pPr>
      <w:r>
        <w:rPr>
          <w:rFonts w:ascii="Times New Roman" w:cs="Times New Roman" w:eastAsia="Times New Roman" w:hAnsi="Times New Roman"/>
          <w:sz w:val="24"/>
          <w:szCs w:val="24"/>
          <w:color w:val="auto"/>
        </w:rPr>
        <w:t xml:space="preserve">Proforma financial statements – The Issuer shall provide Proforma financial statements, as certified by the statutory auditor, of all the subsidiaries or businesses material to the consolidated financial statements where the issuer or its subsidiaries have made an acquisition or divestment including deemed disposal after the latest period for which financial information is disclosed in the offer document but before the date of filing of the offer document. For this purpose, the acquisition/divestment would be considered as material if acquired/ divested business or subsidiary in aggregate contributes 20% or more to turnover, net worth or profit before tax in the latest annual CFS of the issuer. The Proforma financial statements shall be prepared for the last completed financial year and the stub period (if any). The Proforma financial statements shall be prepared in accordance with Guidance Note issued by the ICAI from time to time and certified by the statutory auditor. The issuer Company may voluntarily choose to provide proforma financial statements of acquisitions even when they are below the above materiality threshold. In case of one or more acquisitions or divestments, one combined set of Proforma financial statements should be presented. Where the businesses acquired/ divested does not represent a separate entity, general purpose financial statement may not be available for such business. In such cases, combined/ carved-out financial statements for such businesses shall be prepared in accordance with </w:t>
      </w:r>
      <w:r>
        <w:rPr>
          <w:rFonts w:ascii="Times New Roman" w:cs="Times New Roman" w:eastAsia="Times New Roman" w:hAnsi="Times New Roman"/>
          <w:sz w:val="24"/>
          <w:szCs w:val="24"/>
          <w:i w:val="1"/>
          <w:iCs w:val="1"/>
          <w:color w:val="auto"/>
        </w:rPr>
        <w:t>Guidance Note</w:t>
      </w:r>
      <w:r>
        <w:rPr>
          <w:rFonts w:ascii="Times New Roman" w:cs="Times New Roman" w:eastAsia="Times New Roman" w:hAnsi="Times New Roman"/>
          <w:sz w:val="24"/>
          <w:szCs w:val="24"/>
          <w:color w:val="auto"/>
        </w:rPr>
        <w:t xml:space="preserve"> issued by the ICAI from time to time.. Further, in case of non-material acquisitions/divestments disclosures in relation to the fact of the acquisition/divestment, consideration paid/received and mode of financing shall be certified by the statutory auditor of the issuer company .</w:t>
      </w:r>
    </w:p>
    <w:p>
      <w:pPr>
        <w:spacing w:after="0" w:line="200" w:lineRule="exact"/>
        <w:rPr>
          <w:rFonts w:ascii="Calibri" w:cs="Calibri" w:eastAsia="Calibri" w:hAnsi="Calibri"/>
          <w:sz w:val="22"/>
          <w:szCs w:val="22"/>
          <w:color w:val="auto"/>
        </w:rPr>
      </w:pPr>
    </w:p>
    <w:p>
      <w:pPr>
        <w:spacing w:after="0" w:line="200" w:lineRule="exact"/>
        <w:rPr>
          <w:rFonts w:ascii="Calibri" w:cs="Calibri" w:eastAsia="Calibri" w:hAnsi="Calibri"/>
          <w:sz w:val="22"/>
          <w:szCs w:val="22"/>
          <w:color w:val="auto"/>
        </w:rPr>
      </w:pPr>
    </w:p>
    <w:p>
      <w:pPr>
        <w:spacing w:after="0" w:line="200" w:lineRule="exact"/>
        <w:rPr>
          <w:rFonts w:ascii="Calibri" w:cs="Calibri" w:eastAsia="Calibri" w:hAnsi="Calibri"/>
          <w:sz w:val="22"/>
          <w:szCs w:val="22"/>
          <w:color w:val="auto"/>
        </w:rPr>
      </w:pPr>
    </w:p>
    <w:p>
      <w:pPr>
        <w:spacing w:after="0" w:line="244" w:lineRule="exact"/>
        <w:rPr>
          <w:rFonts w:ascii="Calibri" w:cs="Calibri" w:eastAsia="Calibri" w:hAnsi="Calibri"/>
          <w:sz w:val="22"/>
          <w:szCs w:val="22"/>
          <w:color w:val="auto"/>
        </w:rPr>
      </w:pPr>
    </w:p>
    <w:p>
      <w:pPr>
        <w:ind w:left="440" w:hanging="368"/>
        <w:spacing w:after="0" w:line="342" w:lineRule="auto"/>
        <w:tabs>
          <w:tab w:leader="none" w:pos="440" w:val="left"/>
        </w:tabs>
        <w:numPr>
          <w:ilvl w:val="0"/>
          <w:numId w:val="842"/>
        </w:numPr>
        <w:rPr>
          <w:rFonts w:ascii="Calibri" w:cs="Calibri" w:eastAsia="Calibri" w:hAnsi="Calibri"/>
          <w:sz w:val="22"/>
          <w:szCs w:val="22"/>
          <w:color w:val="auto"/>
        </w:rPr>
      </w:pPr>
      <w:r>
        <w:rPr>
          <w:rFonts w:ascii="Times New Roman" w:cs="Times New Roman" w:eastAsia="Times New Roman" w:hAnsi="Times New Roman"/>
          <w:sz w:val="24"/>
          <w:szCs w:val="24"/>
          <w:color w:val="auto"/>
        </w:rPr>
        <w:t>Management’s Discussion and Analysis of Financial Position and Results of Operations as reflected in the restated Ind AS CFS shall be provided in other financial information.</w:t>
      </w:r>
    </w:p>
    <w:p>
      <w:pPr>
        <w:spacing w:after="0" w:line="200" w:lineRule="exact"/>
        <w:rPr>
          <w:rFonts w:ascii="Calibri" w:cs="Calibri" w:eastAsia="Calibri" w:hAnsi="Calibri"/>
          <w:sz w:val="22"/>
          <w:szCs w:val="22"/>
          <w:color w:val="auto"/>
        </w:rPr>
      </w:pPr>
    </w:p>
    <w:p>
      <w:pPr>
        <w:spacing w:after="0" w:line="244" w:lineRule="exact"/>
        <w:rPr>
          <w:rFonts w:ascii="Calibri" w:cs="Calibri" w:eastAsia="Calibri" w:hAnsi="Calibri"/>
          <w:sz w:val="22"/>
          <w:szCs w:val="22"/>
          <w:color w:val="auto"/>
        </w:rPr>
      </w:pPr>
    </w:p>
    <w:p>
      <w:pPr>
        <w:jc w:val="both"/>
        <w:ind w:left="800" w:hanging="368"/>
        <w:spacing w:after="0" w:line="350" w:lineRule="auto"/>
        <w:tabs>
          <w:tab w:leader="none" w:pos="800" w:val="left"/>
        </w:tabs>
        <w:numPr>
          <w:ilvl w:val="1"/>
          <w:numId w:val="842"/>
        </w:numPr>
        <w:rPr>
          <w:rFonts w:ascii="Calibri" w:cs="Calibri" w:eastAsia="Calibri" w:hAnsi="Calibri"/>
          <w:sz w:val="22"/>
          <w:szCs w:val="22"/>
          <w:color w:val="auto"/>
        </w:rPr>
      </w:pPr>
      <w:r>
        <w:rPr>
          <w:rFonts w:ascii="Times New Roman" w:cs="Times New Roman" w:eastAsia="Times New Roman" w:hAnsi="Times New Roman"/>
          <w:sz w:val="24"/>
          <w:szCs w:val="24"/>
          <w:color w:val="auto"/>
        </w:rPr>
        <w:t>Significant developments subsequent to the last financial year or when applicable subsequent to the stub period: A statement by the directors whether in their opinion there have arisen any circumstances since the date of the last financial statements as</w:t>
      </w: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230</w:t>
      </w:r>
    </w:p>
    <w:p>
      <w:pPr>
        <w:sectPr>
          <w:pgSz w:w="11900" w:h="16836" w:orient="portrait"/>
          <w:cols w:equalWidth="0" w:num="1">
            <w:col w:w="9180"/>
          </w:cols>
          <w:pgMar w:left="1440" w:top="1156" w:right="1284" w:bottom="103" w:gutter="0" w:footer="0" w:header="0"/>
        </w:sectPr>
      </w:pPr>
    </w:p>
    <w:bookmarkStart w:id="230" w:name="page231"/>
    <w:bookmarkEnd w:id="230"/>
    <w:p>
      <w:pPr>
        <w:ind w:left="800"/>
        <w:spacing w:after="0" w:line="348" w:lineRule="auto"/>
        <w:rPr>
          <w:sz w:val="20"/>
          <w:szCs w:val="20"/>
          <w:color w:val="auto"/>
        </w:rPr>
      </w:pPr>
      <w:r>
        <w:rPr>
          <w:rFonts w:ascii="Times New Roman" w:cs="Times New Roman" w:eastAsia="Times New Roman" w:hAnsi="Times New Roman"/>
          <w:sz w:val="24"/>
          <w:szCs w:val="24"/>
          <w:color w:val="auto"/>
        </w:rPr>
        <w:t>disclosed in the offer document and which materially and adversely affect or is likely to affect within the next twelve months:</w:t>
      </w:r>
    </w:p>
    <w:p>
      <w:pPr>
        <w:spacing w:after="0" w:line="16" w:lineRule="exact"/>
        <w:rPr>
          <w:sz w:val="20"/>
          <w:szCs w:val="20"/>
          <w:color w:val="auto"/>
        </w:rPr>
      </w:pPr>
    </w:p>
    <w:p>
      <w:pPr>
        <w:ind w:left="1680" w:hanging="364"/>
        <w:spacing w:after="0"/>
        <w:tabs>
          <w:tab w:leader="none" w:pos="1680" w:val="left"/>
        </w:tabs>
        <w:numPr>
          <w:ilvl w:val="1"/>
          <w:numId w:val="84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trading or profitability of the issuer; or</w:t>
      </w:r>
    </w:p>
    <w:p>
      <w:pPr>
        <w:spacing w:after="0" w:line="136" w:lineRule="exact"/>
        <w:rPr>
          <w:rFonts w:ascii="Times New Roman" w:cs="Times New Roman" w:eastAsia="Times New Roman" w:hAnsi="Times New Roman"/>
          <w:sz w:val="24"/>
          <w:szCs w:val="24"/>
          <w:color w:val="auto"/>
        </w:rPr>
      </w:pPr>
    </w:p>
    <w:p>
      <w:pPr>
        <w:ind w:left="1680" w:hanging="364"/>
        <w:spacing w:after="0"/>
        <w:tabs>
          <w:tab w:leader="none" w:pos="1680" w:val="left"/>
        </w:tabs>
        <w:numPr>
          <w:ilvl w:val="1"/>
          <w:numId w:val="84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value of its assets; or</w:t>
      </w:r>
    </w:p>
    <w:p>
      <w:pPr>
        <w:spacing w:after="0" w:line="139" w:lineRule="exact"/>
        <w:rPr>
          <w:rFonts w:ascii="Times New Roman" w:cs="Times New Roman" w:eastAsia="Times New Roman" w:hAnsi="Times New Roman"/>
          <w:sz w:val="24"/>
          <w:szCs w:val="24"/>
          <w:color w:val="auto"/>
        </w:rPr>
      </w:pPr>
    </w:p>
    <w:p>
      <w:pPr>
        <w:ind w:left="1680" w:hanging="364"/>
        <w:spacing w:after="0"/>
        <w:tabs>
          <w:tab w:leader="none" w:pos="1680" w:val="left"/>
        </w:tabs>
        <w:numPr>
          <w:ilvl w:val="1"/>
          <w:numId w:val="84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its ability to pay its liabilities.</w:t>
      </w:r>
    </w:p>
    <w:p>
      <w:pPr>
        <w:spacing w:after="0" w:line="129" w:lineRule="exact"/>
        <w:rPr>
          <w:rFonts w:ascii="Times New Roman" w:cs="Times New Roman" w:eastAsia="Times New Roman" w:hAnsi="Times New Roman"/>
          <w:sz w:val="24"/>
          <w:szCs w:val="24"/>
          <w:color w:val="auto"/>
        </w:rPr>
      </w:pPr>
    </w:p>
    <w:p>
      <w:pPr>
        <w:ind w:left="800" w:hanging="368"/>
        <w:spacing w:after="0"/>
        <w:tabs>
          <w:tab w:leader="none" w:pos="800" w:val="left"/>
        </w:tabs>
        <w:numPr>
          <w:ilvl w:val="0"/>
          <w:numId w:val="844"/>
        </w:numPr>
        <w:rPr>
          <w:rFonts w:ascii="Calibri" w:cs="Calibri" w:eastAsia="Calibri" w:hAnsi="Calibri"/>
          <w:sz w:val="22"/>
          <w:szCs w:val="22"/>
          <w:color w:val="auto"/>
        </w:rPr>
      </w:pPr>
      <w:r>
        <w:rPr>
          <w:rFonts w:ascii="Times New Roman" w:cs="Times New Roman" w:eastAsia="Times New Roman" w:hAnsi="Times New Roman"/>
          <w:sz w:val="24"/>
          <w:szCs w:val="24"/>
          <w:color w:val="auto"/>
        </w:rPr>
        <w:t>Factors that may affect the results of operations.</w:t>
      </w:r>
    </w:p>
    <w:p>
      <w:pPr>
        <w:spacing w:after="0" w:line="151" w:lineRule="exact"/>
        <w:rPr>
          <w:rFonts w:ascii="Calibri" w:cs="Calibri" w:eastAsia="Calibri" w:hAnsi="Calibri"/>
          <w:sz w:val="22"/>
          <w:szCs w:val="22"/>
          <w:color w:val="auto"/>
        </w:rPr>
      </w:pPr>
    </w:p>
    <w:p>
      <w:pPr>
        <w:ind w:left="800" w:hanging="368"/>
        <w:spacing w:after="0" w:line="342" w:lineRule="auto"/>
        <w:tabs>
          <w:tab w:leader="none" w:pos="800" w:val="left"/>
        </w:tabs>
        <w:numPr>
          <w:ilvl w:val="0"/>
          <w:numId w:val="844"/>
        </w:numPr>
        <w:rPr>
          <w:rFonts w:ascii="Calibri" w:cs="Calibri" w:eastAsia="Calibri" w:hAnsi="Calibri"/>
          <w:sz w:val="22"/>
          <w:szCs w:val="22"/>
          <w:color w:val="auto"/>
        </w:rPr>
      </w:pPr>
      <w:r>
        <w:rPr>
          <w:rFonts w:ascii="Times New Roman" w:cs="Times New Roman" w:eastAsia="Times New Roman" w:hAnsi="Times New Roman"/>
          <w:sz w:val="24"/>
          <w:szCs w:val="24"/>
          <w:color w:val="auto"/>
        </w:rPr>
        <w:t>Discussion on the results of operations: This information shall inter-alia contain the following:</w:t>
      </w:r>
    </w:p>
    <w:p>
      <w:pPr>
        <w:spacing w:after="0" w:line="31" w:lineRule="exact"/>
        <w:rPr>
          <w:rFonts w:ascii="Calibri" w:cs="Calibri" w:eastAsia="Calibri" w:hAnsi="Calibri"/>
          <w:sz w:val="22"/>
          <w:szCs w:val="22"/>
          <w:color w:val="auto"/>
        </w:rPr>
      </w:pPr>
    </w:p>
    <w:p>
      <w:pPr>
        <w:jc w:val="both"/>
        <w:ind w:left="1800" w:hanging="429"/>
        <w:spacing w:after="0" w:line="356" w:lineRule="auto"/>
        <w:tabs>
          <w:tab w:leader="none" w:pos="1800" w:val="left"/>
        </w:tabs>
        <w:numPr>
          <w:ilvl w:val="2"/>
          <w:numId w:val="84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summary of the past financial results after adjustments as given in the restated financial statements for the past three full financial years and the stub period (if any) containing significant items of income and expenditure shall be given.</w:t>
      </w:r>
    </w:p>
    <w:p>
      <w:pPr>
        <w:spacing w:after="0" w:line="18" w:lineRule="exact"/>
        <w:rPr>
          <w:rFonts w:ascii="Times New Roman" w:cs="Times New Roman" w:eastAsia="Times New Roman" w:hAnsi="Times New Roman"/>
          <w:sz w:val="24"/>
          <w:szCs w:val="24"/>
          <w:color w:val="auto"/>
        </w:rPr>
      </w:pPr>
    </w:p>
    <w:p>
      <w:pPr>
        <w:ind w:left="1800" w:hanging="429"/>
        <w:spacing w:after="0" w:line="348" w:lineRule="auto"/>
        <w:tabs>
          <w:tab w:leader="none" w:pos="1800" w:val="left"/>
        </w:tabs>
        <w:numPr>
          <w:ilvl w:val="2"/>
          <w:numId w:val="84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summary of major items of income and expenditure for the last three years and most recent audit period.</w:t>
      </w:r>
    </w:p>
    <w:p>
      <w:pPr>
        <w:spacing w:after="0" w:line="15" w:lineRule="exact"/>
        <w:rPr>
          <w:rFonts w:ascii="Times New Roman" w:cs="Times New Roman" w:eastAsia="Times New Roman" w:hAnsi="Times New Roman"/>
          <w:sz w:val="24"/>
          <w:szCs w:val="24"/>
          <w:color w:val="auto"/>
        </w:rPr>
      </w:pPr>
    </w:p>
    <w:p>
      <w:pPr>
        <w:ind w:left="1800" w:hanging="429"/>
        <w:spacing w:after="0"/>
        <w:tabs>
          <w:tab w:leader="none" w:pos="1800" w:val="left"/>
        </w:tabs>
        <w:numPr>
          <w:ilvl w:val="2"/>
          <w:numId w:val="84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income and sales on account of major product/ main activities.</w:t>
      </w:r>
    </w:p>
    <w:p>
      <w:pPr>
        <w:spacing w:after="0" w:line="149" w:lineRule="exact"/>
        <w:rPr>
          <w:rFonts w:ascii="Times New Roman" w:cs="Times New Roman" w:eastAsia="Times New Roman" w:hAnsi="Times New Roman"/>
          <w:sz w:val="24"/>
          <w:szCs w:val="24"/>
          <w:color w:val="auto"/>
        </w:rPr>
      </w:pPr>
    </w:p>
    <w:p>
      <w:pPr>
        <w:jc w:val="both"/>
        <w:ind w:left="1800" w:hanging="429"/>
        <w:spacing w:after="0" w:line="354" w:lineRule="auto"/>
        <w:tabs>
          <w:tab w:leader="none" w:pos="1800" w:val="left"/>
        </w:tabs>
        <w:numPr>
          <w:ilvl w:val="2"/>
          <w:numId w:val="84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the other income constitutes more than 10% of the total income, the break-up of the same along with the nature of the income, i.e., recurring or non-recurring shall be stated.</w:t>
      </w:r>
    </w:p>
    <w:p>
      <w:pPr>
        <w:spacing w:after="0" w:line="22" w:lineRule="exact"/>
        <w:rPr>
          <w:rFonts w:ascii="Times New Roman" w:cs="Times New Roman" w:eastAsia="Times New Roman" w:hAnsi="Times New Roman"/>
          <w:sz w:val="24"/>
          <w:szCs w:val="24"/>
          <w:color w:val="auto"/>
        </w:rPr>
      </w:pPr>
    </w:p>
    <w:p>
      <w:pPr>
        <w:jc w:val="both"/>
        <w:ind w:left="1800" w:hanging="429"/>
        <w:spacing w:after="0" w:line="357" w:lineRule="auto"/>
        <w:tabs>
          <w:tab w:leader="none" w:pos="1800" w:val="left"/>
        </w:tabs>
        <w:numPr>
          <w:ilvl w:val="2"/>
          <w:numId w:val="84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a material part of the income is dependent upon a single customer/supplier or a few major customers/suppliers, disclosure of this fact along with relevant data. Similarly if any foreign customer/supplier constitutes a significant portion of the issuer’s business, disclosure of the fact along with its impact on the business on account of exchange rate fluctuations.</w:t>
      </w:r>
    </w:p>
    <w:p>
      <w:pPr>
        <w:spacing w:after="0" w:line="16" w:lineRule="exact"/>
        <w:rPr>
          <w:rFonts w:ascii="Times New Roman" w:cs="Times New Roman" w:eastAsia="Times New Roman" w:hAnsi="Times New Roman"/>
          <w:sz w:val="24"/>
          <w:szCs w:val="24"/>
          <w:color w:val="auto"/>
        </w:rPr>
      </w:pPr>
    </w:p>
    <w:p>
      <w:pPr>
        <w:ind w:left="1800" w:hanging="429"/>
        <w:spacing w:after="0" w:line="350" w:lineRule="auto"/>
        <w:tabs>
          <w:tab w:leader="none" w:pos="1800" w:val="left"/>
        </w:tabs>
        <w:numPr>
          <w:ilvl w:val="2"/>
          <w:numId w:val="84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the issuer has deviated from applicable accounting standards for recording sales and revenues, its impact may be analysed and disclosed.</w:t>
      </w:r>
    </w:p>
    <w:p>
      <w:pPr>
        <w:spacing w:after="0" w:line="23" w:lineRule="exact"/>
        <w:rPr>
          <w:rFonts w:ascii="Times New Roman" w:cs="Times New Roman" w:eastAsia="Times New Roman" w:hAnsi="Times New Roman"/>
          <w:sz w:val="24"/>
          <w:szCs w:val="24"/>
          <w:color w:val="auto"/>
        </w:rPr>
      </w:pPr>
    </w:p>
    <w:p>
      <w:pPr>
        <w:ind w:left="1800" w:hanging="429"/>
        <w:spacing w:after="0" w:line="350" w:lineRule="auto"/>
        <w:tabs>
          <w:tab w:leader="none" w:pos="1800" w:val="left"/>
        </w:tabs>
        <w:numPr>
          <w:ilvl w:val="2"/>
          <w:numId w:val="84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nature of miscellaneous income and miscellaneous expenditure for the interim period and the preceding years</w:t>
      </w:r>
    </w:p>
    <w:p>
      <w:pPr>
        <w:spacing w:after="0" w:line="23" w:lineRule="exact"/>
        <w:rPr>
          <w:rFonts w:ascii="Times New Roman" w:cs="Times New Roman" w:eastAsia="Times New Roman" w:hAnsi="Times New Roman"/>
          <w:sz w:val="24"/>
          <w:szCs w:val="24"/>
          <w:color w:val="auto"/>
        </w:rPr>
      </w:pPr>
    </w:p>
    <w:p>
      <w:pPr>
        <w:jc w:val="both"/>
        <w:ind w:left="800" w:hanging="368"/>
        <w:spacing w:after="0" w:line="350" w:lineRule="auto"/>
        <w:tabs>
          <w:tab w:leader="none" w:pos="800" w:val="left"/>
        </w:tabs>
        <w:numPr>
          <w:ilvl w:val="0"/>
          <w:numId w:val="844"/>
        </w:numPr>
        <w:rPr>
          <w:rFonts w:ascii="Calibri" w:cs="Calibri" w:eastAsia="Calibri" w:hAnsi="Calibri"/>
          <w:sz w:val="22"/>
          <w:szCs w:val="22"/>
          <w:color w:val="auto"/>
        </w:rPr>
      </w:pPr>
      <w:r>
        <w:rPr>
          <w:rFonts w:ascii="Times New Roman" w:cs="Times New Roman" w:eastAsia="Times New Roman" w:hAnsi="Times New Roman"/>
          <w:sz w:val="24"/>
          <w:szCs w:val="24"/>
          <w:color w:val="auto"/>
        </w:rPr>
        <w:t xml:space="preserve">Comparison of last three years and the stub period on the major heads of the profit and loss statement, including an analysis of reasons for the changes in significant items of income and expenditure shall also be given, </w:t>
      </w:r>
      <w:r>
        <w:rPr>
          <w:rFonts w:ascii="Times New Roman" w:cs="Times New Roman" w:eastAsia="Times New Roman" w:hAnsi="Times New Roman"/>
          <w:sz w:val="24"/>
          <w:szCs w:val="24"/>
          <w:i w:val="1"/>
          <w:iCs w:val="1"/>
          <w:color w:val="auto"/>
        </w:rPr>
        <w:t>inter-alia</w:t>
      </w:r>
      <w:r>
        <w:rPr>
          <w:rFonts w:ascii="Times New Roman" w:cs="Times New Roman" w:eastAsia="Times New Roman" w:hAnsi="Times New Roman"/>
          <w:sz w:val="24"/>
          <w:szCs w:val="24"/>
          <w:color w:val="auto"/>
        </w:rPr>
        <w:t>, containing the following:</w:t>
      </w:r>
    </w:p>
    <w:p>
      <w:pPr>
        <w:spacing w:after="0" w:line="25" w:lineRule="exact"/>
        <w:rPr>
          <w:rFonts w:ascii="Calibri" w:cs="Calibri" w:eastAsia="Calibri" w:hAnsi="Calibri"/>
          <w:sz w:val="22"/>
          <w:szCs w:val="22"/>
          <w:color w:val="auto"/>
        </w:rPr>
      </w:pPr>
    </w:p>
    <w:p>
      <w:pPr>
        <w:jc w:val="both"/>
        <w:ind w:left="1680" w:hanging="364"/>
        <w:spacing w:after="0" w:line="354" w:lineRule="auto"/>
        <w:tabs>
          <w:tab w:leader="none" w:pos="1680" w:val="left"/>
        </w:tabs>
        <w:numPr>
          <w:ilvl w:val="1"/>
          <w:numId w:val="84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unusual or infrequent events or transactions including unusual trends on account of business activity, unusual items of income, change of accounting policies and discretionary reduction of expenses etc.</w:t>
      </w:r>
    </w:p>
    <w:p>
      <w:pPr>
        <w:spacing w:after="0" w:line="20" w:lineRule="exact"/>
        <w:rPr>
          <w:rFonts w:ascii="Times New Roman" w:cs="Times New Roman" w:eastAsia="Times New Roman" w:hAnsi="Times New Roman"/>
          <w:sz w:val="24"/>
          <w:szCs w:val="24"/>
          <w:color w:val="auto"/>
        </w:rPr>
      </w:pPr>
    </w:p>
    <w:p>
      <w:pPr>
        <w:ind w:left="1680" w:hanging="364"/>
        <w:spacing w:after="0" w:line="350" w:lineRule="auto"/>
        <w:tabs>
          <w:tab w:leader="none" w:pos="1680" w:val="left"/>
        </w:tabs>
        <w:numPr>
          <w:ilvl w:val="1"/>
          <w:numId w:val="84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significant economic changes that materially affected or are likely to affect income from continuing operations;</w:t>
      </w:r>
    </w:p>
    <w:p>
      <w:pPr>
        <w:spacing w:after="0" w:line="268"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231</w:t>
      </w:r>
    </w:p>
    <w:p>
      <w:pPr>
        <w:sectPr>
          <w:pgSz w:w="11900" w:h="16836" w:orient="portrait"/>
          <w:cols w:equalWidth="0" w:num="1">
            <w:col w:w="9180"/>
          </w:cols>
          <w:pgMar w:left="1440" w:top="1156" w:right="1284" w:bottom="103" w:gutter="0" w:footer="0" w:header="0"/>
        </w:sectPr>
      </w:pPr>
    </w:p>
    <w:bookmarkStart w:id="231" w:name="page232"/>
    <w:bookmarkEnd w:id="231"/>
    <w:p>
      <w:pPr>
        <w:ind w:left="1680" w:hanging="364"/>
        <w:spacing w:after="0" w:line="348" w:lineRule="auto"/>
        <w:tabs>
          <w:tab w:leader="none" w:pos="1680" w:val="left"/>
        </w:tabs>
        <w:numPr>
          <w:ilvl w:val="2"/>
          <w:numId w:val="84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known trends or uncertainties that have had or are expected to have a material adverse impact on sales, revenue or income from continuing operations;</w:t>
      </w:r>
    </w:p>
    <w:p>
      <w:pPr>
        <w:spacing w:after="0" w:line="28" w:lineRule="exact"/>
        <w:rPr>
          <w:rFonts w:ascii="Times New Roman" w:cs="Times New Roman" w:eastAsia="Times New Roman" w:hAnsi="Times New Roman"/>
          <w:sz w:val="24"/>
          <w:szCs w:val="24"/>
          <w:color w:val="auto"/>
        </w:rPr>
      </w:pPr>
    </w:p>
    <w:p>
      <w:pPr>
        <w:jc w:val="both"/>
        <w:ind w:left="1680" w:hanging="364"/>
        <w:spacing w:after="0" w:line="354" w:lineRule="auto"/>
        <w:tabs>
          <w:tab w:leader="none" w:pos="1680" w:val="left"/>
        </w:tabs>
        <w:numPr>
          <w:ilvl w:val="2"/>
          <w:numId w:val="84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expected future changes in relationship between costs and revenues, in case of events such as future increase in labour or material costs or prices that will cause a material change are known;</w:t>
      </w:r>
    </w:p>
    <w:p>
      <w:pPr>
        <w:spacing w:after="0" w:line="19" w:lineRule="exact"/>
        <w:rPr>
          <w:rFonts w:ascii="Times New Roman" w:cs="Times New Roman" w:eastAsia="Times New Roman" w:hAnsi="Times New Roman"/>
          <w:sz w:val="24"/>
          <w:szCs w:val="24"/>
          <w:color w:val="auto"/>
        </w:rPr>
      </w:pPr>
    </w:p>
    <w:p>
      <w:pPr>
        <w:jc w:val="both"/>
        <w:ind w:left="1680" w:hanging="364"/>
        <w:spacing w:after="0" w:line="354" w:lineRule="auto"/>
        <w:tabs>
          <w:tab w:leader="none" w:pos="1680" w:val="left"/>
        </w:tabs>
        <w:numPr>
          <w:ilvl w:val="2"/>
          <w:numId w:val="84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extent to which material increases in net sales or revenue are due to increased sales volume, introduction of new products or services or increased sales prices;</w:t>
      </w:r>
    </w:p>
    <w:p>
      <w:pPr>
        <w:spacing w:after="0" w:line="10" w:lineRule="exact"/>
        <w:rPr>
          <w:rFonts w:ascii="Times New Roman" w:cs="Times New Roman" w:eastAsia="Times New Roman" w:hAnsi="Times New Roman"/>
          <w:sz w:val="24"/>
          <w:szCs w:val="24"/>
          <w:color w:val="auto"/>
        </w:rPr>
      </w:pPr>
    </w:p>
    <w:p>
      <w:pPr>
        <w:ind w:left="1680" w:hanging="364"/>
        <w:spacing w:after="0"/>
        <w:tabs>
          <w:tab w:leader="none" w:pos="1680" w:val="left"/>
        </w:tabs>
        <w:numPr>
          <w:ilvl w:val="2"/>
          <w:numId w:val="84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total turnover of each major industry segment in which the issuer operated;</w:t>
      </w:r>
    </w:p>
    <w:p>
      <w:pPr>
        <w:spacing w:after="0" w:line="149" w:lineRule="exact"/>
        <w:rPr>
          <w:rFonts w:ascii="Times New Roman" w:cs="Times New Roman" w:eastAsia="Times New Roman" w:hAnsi="Times New Roman"/>
          <w:sz w:val="24"/>
          <w:szCs w:val="24"/>
          <w:color w:val="auto"/>
        </w:rPr>
      </w:pPr>
    </w:p>
    <w:p>
      <w:pPr>
        <w:ind w:left="1680" w:hanging="364"/>
        <w:spacing w:after="0" w:line="350" w:lineRule="auto"/>
        <w:tabs>
          <w:tab w:leader="none" w:pos="1680" w:val="left"/>
        </w:tabs>
        <w:numPr>
          <w:ilvl w:val="2"/>
          <w:numId w:val="84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status of any publicly announced new products or business segment, if applicable;</w:t>
      </w:r>
    </w:p>
    <w:p>
      <w:pPr>
        <w:spacing w:after="0" w:line="10" w:lineRule="exact"/>
        <w:rPr>
          <w:rFonts w:ascii="Times New Roman" w:cs="Times New Roman" w:eastAsia="Times New Roman" w:hAnsi="Times New Roman"/>
          <w:sz w:val="24"/>
          <w:szCs w:val="24"/>
          <w:color w:val="auto"/>
        </w:rPr>
      </w:pPr>
    </w:p>
    <w:p>
      <w:pPr>
        <w:ind w:left="1680" w:hanging="364"/>
        <w:spacing w:after="0"/>
        <w:tabs>
          <w:tab w:leader="none" w:pos="1680" w:val="left"/>
        </w:tabs>
        <w:numPr>
          <w:ilvl w:val="2"/>
          <w:numId w:val="84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extent to which business is seasonal;</w:t>
      </w:r>
    </w:p>
    <w:p>
      <w:pPr>
        <w:spacing w:after="0" w:line="139" w:lineRule="exact"/>
        <w:rPr>
          <w:rFonts w:ascii="Times New Roman" w:cs="Times New Roman" w:eastAsia="Times New Roman" w:hAnsi="Times New Roman"/>
          <w:sz w:val="24"/>
          <w:szCs w:val="24"/>
          <w:color w:val="auto"/>
        </w:rPr>
      </w:pPr>
    </w:p>
    <w:p>
      <w:pPr>
        <w:ind w:left="1680" w:hanging="364"/>
        <w:spacing w:after="0"/>
        <w:tabs>
          <w:tab w:leader="none" w:pos="1680" w:val="left"/>
        </w:tabs>
        <w:numPr>
          <w:ilvl w:val="2"/>
          <w:numId w:val="84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significant dependence on a single or few suppliers or customers;</w:t>
      </w:r>
    </w:p>
    <w:p>
      <w:pPr>
        <w:spacing w:after="0" w:line="136" w:lineRule="exact"/>
        <w:rPr>
          <w:rFonts w:ascii="Times New Roman" w:cs="Times New Roman" w:eastAsia="Times New Roman" w:hAnsi="Times New Roman"/>
          <w:sz w:val="24"/>
          <w:szCs w:val="24"/>
          <w:color w:val="auto"/>
        </w:rPr>
      </w:pPr>
    </w:p>
    <w:p>
      <w:pPr>
        <w:ind w:left="1680" w:hanging="364"/>
        <w:spacing w:after="0"/>
        <w:tabs>
          <w:tab w:leader="none" w:pos="1680" w:val="left"/>
        </w:tabs>
        <w:numPr>
          <w:ilvl w:val="2"/>
          <w:numId w:val="84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competitive conditions.</w:t>
      </w:r>
    </w:p>
    <w:p>
      <w:pPr>
        <w:spacing w:after="0" w:line="151" w:lineRule="exact"/>
        <w:rPr>
          <w:rFonts w:ascii="Times New Roman" w:cs="Times New Roman" w:eastAsia="Times New Roman" w:hAnsi="Times New Roman"/>
          <w:sz w:val="24"/>
          <w:szCs w:val="24"/>
          <w:color w:val="auto"/>
        </w:rPr>
      </w:pPr>
    </w:p>
    <w:p>
      <w:pPr>
        <w:ind w:left="800" w:hanging="368"/>
        <w:spacing w:after="0" w:line="342" w:lineRule="auto"/>
        <w:tabs>
          <w:tab w:leader="none" w:pos="800" w:val="left"/>
        </w:tabs>
        <w:numPr>
          <w:ilvl w:val="1"/>
          <w:numId w:val="846"/>
        </w:numPr>
        <w:rPr>
          <w:rFonts w:ascii="Calibri" w:cs="Calibri" w:eastAsia="Calibri" w:hAnsi="Calibri"/>
          <w:sz w:val="22"/>
          <w:szCs w:val="22"/>
          <w:color w:val="auto"/>
        </w:rPr>
      </w:pPr>
      <w:r>
        <w:rPr>
          <w:rFonts w:ascii="Times New Roman" w:cs="Times New Roman" w:eastAsia="Times New Roman" w:hAnsi="Times New Roman"/>
          <w:sz w:val="24"/>
          <w:szCs w:val="24"/>
          <w:color w:val="auto"/>
        </w:rPr>
        <w:t>‘Management’s Discussion and Analysis shall be based on the restated financial information for the last three years and the stub period.</w:t>
      </w:r>
    </w:p>
    <w:p>
      <w:pPr>
        <w:spacing w:after="0" w:line="200" w:lineRule="exact"/>
        <w:rPr>
          <w:rFonts w:ascii="Calibri" w:cs="Calibri" w:eastAsia="Calibri" w:hAnsi="Calibri"/>
          <w:sz w:val="22"/>
          <w:szCs w:val="22"/>
          <w:color w:val="auto"/>
        </w:rPr>
      </w:pPr>
    </w:p>
    <w:p>
      <w:pPr>
        <w:spacing w:after="0" w:line="225" w:lineRule="exact"/>
        <w:rPr>
          <w:rFonts w:ascii="Calibri" w:cs="Calibri" w:eastAsia="Calibri" w:hAnsi="Calibri"/>
          <w:sz w:val="22"/>
          <w:szCs w:val="22"/>
          <w:color w:val="auto"/>
        </w:rPr>
      </w:pPr>
    </w:p>
    <w:p>
      <w:pPr>
        <w:ind w:left="440" w:hanging="368"/>
        <w:spacing w:after="0"/>
        <w:tabs>
          <w:tab w:leader="none" w:pos="440" w:val="left"/>
        </w:tabs>
        <w:numPr>
          <w:ilvl w:val="0"/>
          <w:numId w:val="847"/>
        </w:numPr>
        <w:rPr>
          <w:rFonts w:ascii="Calibri" w:cs="Calibri" w:eastAsia="Calibri" w:hAnsi="Calibri"/>
          <w:sz w:val="22"/>
          <w:szCs w:val="22"/>
          <w:color w:val="auto"/>
        </w:rPr>
      </w:pPr>
      <w:r>
        <w:rPr>
          <w:rFonts w:ascii="Times New Roman" w:cs="Times New Roman" w:eastAsia="Times New Roman" w:hAnsi="Times New Roman"/>
          <w:sz w:val="24"/>
          <w:szCs w:val="24"/>
          <w:color w:val="auto"/>
        </w:rPr>
        <w:t>Capitalisation statement</w:t>
      </w:r>
    </w:p>
    <w:p>
      <w:pPr>
        <w:spacing w:after="0" w:line="151" w:lineRule="exact"/>
        <w:rPr>
          <w:rFonts w:ascii="Calibri" w:cs="Calibri" w:eastAsia="Calibri" w:hAnsi="Calibri"/>
          <w:sz w:val="22"/>
          <w:szCs w:val="22"/>
          <w:color w:val="auto"/>
        </w:rPr>
      </w:pPr>
    </w:p>
    <w:p>
      <w:pPr>
        <w:jc w:val="both"/>
        <w:ind w:left="800" w:hanging="368"/>
        <w:spacing w:after="0" w:line="353" w:lineRule="auto"/>
        <w:tabs>
          <w:tab w:leader="none" w:pos="800" w:val="left"/>
        </w:tabs>
        <w:numPr>
          <w:ilvl w:val="1"/>
          <w:numId w:val="847"/>
        </w:numPr>
        <w:rPr>
          <w:rFonts w:ascii="Calibri" w:cs="Calibri" w:eastAsia="Calibri" w:hAnsi="Calibri"/>
          <w:sz w:val="22"/>
          <w:szCs w:val="22"/>
          <w:color w:val="auto"/>
        </w:rPr>
      </w:pPr>
      <w:r>
        <w:rPr>
          <w:rFonts w:ascii="Times New Roman" w:cs="Times New Roman" w:eastAsia="Times New Roman" w:hAnsi="Times New Roman"/>
          <w:sz w:val="24"/>
          <w:szCs w:val="24"/>
          <w:color w:val="auto"/>
        </w:rPr>
        <w:t>Capitalisation Statement showing total borrowings, total equity, and the borrowing/ equity ratios before and after the issue is made shall be incorporated. It shall be prepared on the basis of the restated CFS for the latest financial year or when applicable at the end of the stub period.</w:t>
      </w:r>
    </w:p>
    <w:p>
      <w:pPr>
        <w:spacing w:after="0" w:line="21" w:lineRule="exact"/>
        <w:rPr>
          <w:rFonts w:ascii="Calibri" w:cs="Calibri" w:eastAsia="Calibri" w:hAnsi="Calibri"/>
          <w:sz w:val="22"/>
          <w:szCs w:val="22"/>
          <w:color w:val="auto"/>
        </w:rPr>
      </w:pPr>
    </w:p>
    <w:p>
      <w:pPr>
        <w:jc w:val="both"/>
        <w:ind w:left="800" w:hanging="368"/>
        <w:spacing w:after="0" w:line="350" w:lineRule="auto"/>
        <w:tabs>
          <w:tab w:leader="none" w:pos="800" w:val="left"/>
        </w:tabs>
        <w:numPr>
          <w:ilvl w:val="1"/>
          <w:numId w:val="847"/>
        </w:numPr>
        <w:rPr>
          <w:rFonts w:ascii="Calibri" w:cs="Calibri" w:eastAsia="Calibri" w:hAnsi="Calibri"/>
          <w:sz w:val="22"/>
          <w:szCs w:val="22"/>
          <w:color w:val="auto"/>
        </w:rPr>
      </w:pPr>
      <w:r>
        <w:rPr>
          <w:rFonts w:ascii="Times New Roman" w:cs="Times New Roman" w:eastAsia="Times New Roman" w:hAnsi="Times New Roman"/>
          <w:sz w:val="24"/>
          <w:szCs w:val="24"/>
          <w:color w:val="auto"/>
        </w:rPr>
        <w:t>In case of any change in the share capital since the date as of which the financial information has been disclosed in the offer document, a note explaining the nature of the change shall be given.</w:t>
      </w:r>
    </w:p>
    <w:p>
      <w:pPr>
        <w:spacing w:after="0" w:line="4" w:lineRule="exact"/>
        <w:rPr>
          <w:rFonts w:ascii="Calibri" w:cs="Calibri" w:eastAsia="Calibri" w:hAnsi="Calibri"/>
          <w:sz w:val="22"/>
          <w:szCs w:val="22"/>
          <w:color w:val="auto"/>
        </w:rPr>
      </w:pPr>
    </w:p>
    <w:p>
      <w:pPr>
        <w:ind w:left="800" w:hanging="368"/>
        <w:spacing w:after="0"/>
        <w:tabs>
          <w:tab w:leader="none" w:pos="800" w:val="left"/>
        </w:tabs>
        <w:numPr>
          <w:ilvl w:val="1"/>
          <w:numId w:val="847"/>
        </w:numPr>
        <w:rPr>
          <w:rFonts w:ascii="Calibri" w:cs="Calibri" w:eastAsia="Calibri" w:hAnsi="Calibri"/>
          <w:sz w:val="22"/>
          <w:szCs w:val="22"/>
          <w:color w:val="auto"/>
        </w:rPr>
      </w:pPr>
      <w:r>
        <w:rPr>
          <w:rFonts w:ascii="Times New Roman" w:cs="Times New Roman" w:eastAsia="Times New Roman" w:hAnsi="Times New Roman"/>
          <w:sz w:val="24"/>
          <w:szCs w:val="24"/>
          <w:color w:val="auto"/>
        </w:rPr>
        <w:t>An illustrative format of the Capitalisation Statement is specified hereunder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461645</wp:posOffset>
                </wp:positionH>
                <wp:positionV relativeFrom="paragraph">
                  <wp:posOffset>358140</wp:posOffset>
                </wp:positionV>
                <wp:extent cx="5227320" cy="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732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35pt,28.2pt" to="447.95pt,28.2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2266315</wp:posOffset>
                </wp:positionH>
                <wp:positionV relativeFrom="paragraph">
                  <wp:posOffset>354965</wp:posOffset>
                </wp:positionV>
                <wp:extent cx="0" cy="537845"/>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3784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2" o:spid="_x0000_s10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8.45pt,27.95pt" to="178.45pt,70.3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4067175</wp:posOffset>
                </wp:positionH>
                <wp:positionV relativeFrom="paragraph">
                  <wp:posOffset>354965</wp:posOffset>
                </wp:positionV>
                <wp:extent cx="0" cy="537845"/>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3784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20.25pt,27.95pt" to="320.25pt,70.3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461645</wp:posOffset>
                </wp:positionH>
                <wp:positionV relativeFrom="paragraph">
                  <wp:posOffset>890270</wp:posOffset>
                </wp:positionV>
                <wp:extent cx="5227320" cy="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732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35pt,70.1pt" to="447.95pt,70.1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461645</wp:posOffset>
                </wp:positionH>
                <wp:positionV relativeFrom="paragraph">
                  <wp:posOffset>1422400</wp:posOffset>
                </wp:positionV>
                <wp:extent cx="5227320" cy="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732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35pt,112pt" to="447.95pt,112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461645</wp:posOffset>
                </wp:positionH>
                <wp:positionV relativeFrom="paragraph">
                  <wp:posOffset>1691640</wp:posOffset>
                </wp:positionV>
                <wp:extent cx="5227320" cy="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732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35pt,133.2pt" to="447.95pt,133.2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461645</wp:posOffset>
                </wp:positionH>
                <wp:positionV relativeFrom="paragraph">
                  <wp:posOffset>1961515</wp:posOffset>
                </wp:positionV>
                <wp:extent cx="5227320" cy="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732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35pt,154.45pt" to="447.95pt,154.4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464820</wp:posOffset>
                </wp:positionH>
                <wp:positionV relativeFrom="paragraph">
                  <wp:posOffset>354965</wp:posOffset>
                </wp:positionV>
                <wp:extent cx="0" cy="187960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7960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6pt,27.95pt" to="36.6pt,175.9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5685790</wp:posOffset>
                </wp:positionH>
                <wp:positionV relativeFrom="paragraph">
                  <wp:posOffset>354965</wp:posOffset>
                </wp:positionV>
                <wp:extent cx="0" cy="187960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7960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47.7pt,27.95pt" to="447.7pt,175.95pt" o:allowincell="f" strokecolor="#000000" strokeweight="0.48pt"/>
            </w:pict>
          </mc:Fallback>
        </mc:AlternateContent>
      </w:r>
    </w:p>
    <w:p>
      <w:pPr>
        <w:spacing w:after="0" w:line="200" w:lineRule="exact"/>
        <w:rPr>
          <w:sz w:val="20"/>
          <w:szCs w:val="20"/>
          <w:color w:val="auto"/>
        </w:rPr>
      </w:pPr>
    </w:p>
    <w:p>
      <w:pPr>
        <w:spacing w:after="0" w:line="346" w:lineRule="exact"/>
        <w:rPr>
          <w:sz w:val="20"/>
          <w:szCs w:val="20"/>
          <w:color w:val="auto"/>
        </w:rPr>
      </w:pPr>
    </w:p>
    <w:tbl>
      <w:tblPr>
        <w:tblLayout w:type="fixed"/>
        <w:tblInd w:w="1580" w:type="dxa"/>
        <w:tblCellMar>
          <w:top w:w="0" w:type="dxa"/>
          <w:left w:w="0" w:type="dxa"/>
          <w:bottom w:w="0" w:type="dxa"/>
          <w:right w:w="0" w:type="dxa"/>
        </w:tblCellMar>
      </w:tblPr>
      <w:tr>
        <w:trPr>
          <w:trHeight w:val="276"/>
        </w:trPr>
        <w:tc>
          <w:tcPr>
            <w:tcW w:w="1980" w:type="dxa"/>
            <w:vAlign w:val="bottom"/>
          </w:tcPr>
          <w:p>
            <w:pPr>
              <w:spacing w:after="0"/>
              <w:rPr>
                <w:sz w:val="20"/>
                <w:szCs w:val="20"/>
                <w:color w:val="auto"/>
              </w:rPr>
            </w:pPr>
            <w:r>
              <w:rPr>
                <w:rFonts w:ascii="Times New Roman" w:cs="Times New Roman" w:eastAsia="Times New Roman" w:hAnsi="Times New Roman"/>
                <w:sz w:val="24"/>
                <w:szCs w:val="24"/>
                <w:b w:val="1"/>
                <w:bCs w:val="1"/>
                <w:color w:val="auto"/>
              </w:rPr>
              <w:t>Particulars</w:t>
            </w:r>
          </w:p>
        </w:tc>
        <w:tc>
          <w:tcPr>
            <w:tcW w:w="2580" w:type="dxa"/>
            <w:vAlign w:val="bottom"/>
          </w:tcPr>
          <w:p>
            <w:pPr>
              <w:ind w:left="840"/>
              <w:spacing w:after="0"/>
              <w:rPr>
                <w:sz w:val="20"/>
                <w:szCs w:val="20"/>
                <w:color w:val="auto"/>
              </w:rPr>
            </w:pPr>
            <w:r>
              <w:rPr>
                <w:rFonts w:ascii="Times New Roman" w:cs="Times New Roman" w:eastAsia="Times New Roman" w:hAnsi="Times New Roman"/>
                <w:sz w:val="24"/>
                <w:szCs w:val="24"/>
                <w:b w:val="1"/>
                <w:bCs w:val="1"/>
                <w:color w:val="auto"/>
              </w:rPr>
              <w:t>Pre-issue at</w:t>
            </w:r>
          </w:p>
        </w:tc>
        <w:tc>
          <w:tcPr>
            <w:tcW w:w="2520" w:type="dxa"/>
            <w:vAlign w:val="bottom"/>
          </w:tcPr>
          <w:p>
            <w:pPr>
              <w:ind w:left="560"/>
              <w:spacing w:after="0"/>
              <w:rPr>
                <w:sz w:val="20"/>
                <w:szCs w:val="20"/>
                <w:color w:val="auto"/>
              </w:rPr>
            </w:pPr>
            <w:r>
              <w:rPr>
                <w:rFonts w:ascii="Times New Roman" w:cs="Times New Roman" w:eastAsia="Times New Roman" w:hAnsi="Times New Roman"/>
                <w:sz w:val="24"/>
                <w:szCs w:val="24"/>
                <w:b w:val="1"/>
                <w:bCs w:val="1"/>
                <w:color w:val="auto"/>
                <w:w w:val="99"/>
              </w:rPr>
              <w:t>As adjusted for the</w:t>
            </w:r>
          </w:p>
        </w:tc>
      </w:tr>
    </w:tbl>
    <w:p>
      <w:pPr>
        <w:spacing w:after="0" w:line="139" w:lineRule="exact"/>
        <w:rPr>
          <w:sz w:val="20"/>
          <w:szCs w:val="20"/>
          <w:color w:val="auto"/>
        </w:rPr>
      </w:pPr>
    </w:p>
    <w:p>
      <w:pPr>
        <w:ind w:left="6920"/>
        <w:spacing w:after="0"/>
        <w:rPr>
          <w:sz w:val="20"/>
          <w:szCs w:val="20"/>
          <w:color w:val="auto"/>
        </w:rPr>
      </w:pPr>
      <w:r>
        <w:rPr>
          <w:rFonts w:ascii="Times New Roman" w:cs="Times New Roman" w:eastAsia="Times New Roman" w:hAnsi="Times New Roman"/>
          <w:sz w:val="24"/>
          <w:szCs w:val="24"/>
          <w:b w:val="1"/>
          <w:bCs w:val="1"/>
          <w:color w:val="auto"/>
        </w:rPr>
        <w:t>proposed issue</w:t>
      </w:r>
    </w:p>
    <w:p>
      <w:pPr>
        <w:spacing w:after="0" w:line="142" w:lineRule="exact"/>
        <w:rPr>
          <w:sz w:val="20"/>
          <w:szCs w:val="20"/>
          <w:color w:val="auto"/>
        </w:rPr>
      </w:pPr>
    </w:p>
    <w:p>
      <w:pPr>
        <w:ind w:left="8440"/>
        <w:spacing w:after="0"/>
        <w:rPr>
          <w:sz w:val="20"/>
          <w:szCs w:val="20"/>
          <w:color w:val="auto"/>
        </w:rPr>
      </w:pPr>
      <w:r>
        <w:rPr>
          <w:rFonts w:ascii="Times New Roman" w:cs="Times New Roman" w:eastAsia="Times New Roman" w:hAnsi="Times New Roman"/>
          <w:sz w:val="24"/>
          <w:szCs w:val="24"/>
          <w:color w:val="auto"/>
        </w:rPr>
        <w:t>(` in</w:t>
      </w:r>
    </w:p>
    <w:p>
      <w:pPr>
        <w:spacing w:after="0" w:line="139" w:lineRule="exact"/>
        <w:rPr>
          <w:sz w:val="20"/>
          <w:szCs w:val="20"/>
          <w:color w:val="auto"/>
        </w:rPr>
      </w:pPr>
    </w:p>
    <w:p>
      <w:pPr>
        <w:ind w:left="8180"/>
        <w:spacing w:after="0"/>
        <w:rPr>
          <w:sz w:val="20"/>
          <w:szCs w:val="20"/>
          <w:color w:val="auto"/>
        </w:rPr>
      </w:pPr>
      <w:r>
        <w:rPr>
          <w:rFonts w:ascii="Times New Roman" w:cs="Times New Roman" w:eastAsia="Times New Roman" w:hAnsi="Times New Roman"/>
          <w:sz w:val="24"/>
          <w:szCs w:val="24"/>
          <w:color w:val="auto"/>
        </w:rPr>
        <w:t>crores)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2266315</wp:posOffset>
                </wp:positionH>
                <wp:positionV relativeFrom="paragraph">
                  <wp:posOffset>91440</wp:posOffset>
                </wp:positionV>
                <wp:extent cx="0" cy="81534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1534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0" o:spid="_x0000_s10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8.45pt,7.2pt" to="178.45pt,71.4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4067175</wp:posOffset>
                </wp:positionH>
                <wp:positionV relativeFrom="paragraph">
                  <wp:posOffset>91440</wp:posOffset>
                </wp:positionV>
                <wp:extent cx="0" cy="81534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1534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20.25pt,7.2pt" to="320.25pt,71.4pt" o:allowincell="f" strokecolor="#000000" strokeweight="0.48pt"/>
            </w:pict>
          </mc:Fallback>
        </mc:AlternateContent>
      </w:r>
    </w:p>
    <w:p>
      <w:pPr>
        <w:spacing w:after="0" w:line="134"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b w:val="1"/>
          <w:bCs w:val="1"/>
          <w:color w:val="auto"/>
        </w:rPr>
        <w:t>Total borrowings</w:t>
      </w:r>
    </w:p>
    <w:p>
      <w:pPr>
        <w:spacing w:after="0" w:line="142"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24"/>
          <w:szCs w:val="24"/>
          <w:color w:val="auto"/>
        </w:rPr>
        <w:t>Current borrowings*</w:t>
      </w:r>
    </w:p>
    <w:p>
      <w:pPr>
        <w:spacing w:after="0" w:line="149"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24"/>
          <w:szCs w:val="24"/>
          <w:color w:val="auto"/>
        </w:rPr>
        <w:t>Non-current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461645</wp:posOffset>
                </wp:positionH>
                <wp:positionV relativeFrom="paragraph">
                  <wp:posOffset>95885</wp:posOffset>
                </wp:positionV>
                <wp:extent cx="5227320" cy="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732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35pt,7.55pt" to="447.95pt,7.55pt" o:allowincell="f" strokecolor="#000000" strokeweight="0.4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232</w:t>
      </w:r>
    </w:p>
    <w:p>
      <w:pPr>
        <w:sectPr>
          <w:pgSz w:w="11900" w:h="16836" w:orient="portrait"/>
          <w:cols w:equalWidth="0" w:num="1">
            <w:col w:w="9180"/>
          </w:cols>
          <w:pgMar w:left="1440" w:top="1156" w:right="1284" w:bottom="103" w:gutter="0" w:footer="0" w:header="0"/>
        </w:sectPr>
      </w:pPr>
    </w:p>
    <w:bookmarkStart w:id="232" w:name="page233"/>
    <w:bookmarkEnd w:id="232"/>
    <w:p>
      <w:pPr>
        <w:ind w:left="1448"/>
        <w:spacing w:after="0"/>
        <w:rPr>
          <w:sz w:val="20"/>
          <w:szCs w:val="20"/>
          <w:color w:val="auto"/>
        </w:rPr>
      </w:pPr>
      <w:r>
        <w:rPr>
          <w:rFonts w:ascii="Times New Roman" w:cs="Times New Roman" w:eastAsia="Times New Roman" w:hAnsi="Times New Roman"/>
          <w:sz w:val="24"/>
          <w:szCs w:val="24"/>
          <w:color w:val="auto"/>
        </w:rPr>
        <mc:AlternateContent>
          <mc:Choice Requires="wps">
            <w:drawing>
              <wp:anchor simplePos="0" relativeHeight="251657728" behindDoc="1" locked="0" layoutInCell="0" allowOverlap="1">
                <wp:simplePos x="0" y="0"/>
                <wp:positionH relativeFrom="page">
                  <wp:posOffset>1376045</wp:posOffset>
                </wp:positionH>
                <wp:positionV relativeFrom="page">
                  <wp:posOffset>734060</wp:posOffset>
                </wp:positionV>
                <wp:extent cx="5227320" cy="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732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3" o:spid="_x0000_s106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35pt,57.8pt" to="519.95pt,57.8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1376045</wp:posOffset>
                </wp:positionH>
                <wp:positionV relativeFrom="page">
                  <wp:posOffset>1266190</wp:posOffset>
                </wp:positionV>
                <wp:extent cx="5227320" cy="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732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35pt,99.7pt" to="519.95pt,99.7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1376045</wp:posOffset>
                </wp:positionH>
                <wp:positionV relativeFrom="page">
                  <wp:posOffset>1536065</wp:posOffset>
                </wp:positionV>
                <wp:extent cx="5227320" cy="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732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5" o:spid="_x0000_s107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35pt,120.95pt" to="519.95pt,120.95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1376045</wp:posOffset>
                </wp:positionH>
                <wp:positionV relativeFrom="page">
                  <wp:posOffset>1804035</wp:posOffset>
                </wp:positionV>
                <wp:extent cx="5227320" cy="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732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35pt,142.05pt" to="519.95pt,142.05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1376045</wp:posOffset>
                </wp:positionH>
                <wp:positionV relativeFrom="page">
                  <wp:posOffset>2073910</wp:posOffset>
                </wp:positionV>
                <wp:extent cx="5227320" cy="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732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7" o:spid="_x0000_s107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35pt,163.3pt" to="519.95pt,163.3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1376045</wp:posOffset>
                </wp:positionH>
                <wp:positionV relativeFrom="page">
                  <wp:posOffset>2343785</wp:posOffset>
                </wp:positionV>
                <wp:extent cx="5227320" cy="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732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35pt,184.55pt" to="519.95pt,184.55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1376045</wp:posOffset>
                </wp:positionH>
                <wp:positionV relativeFrom="page">
                  <wp:posOffset>2612390</wp:posOffset>
                </wp:positionV>
                <wp:extent cx="5227320" cy="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732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9" o:spid="_x0000_s107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35pt,205.7pt" to="519.95pt,205.7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1379220</wp:posOffset>
                </wp:positionH>
                <wp:positionV relativeFrom="page">
                  <wp:posOffset>731520</wp:posOffset>
                </wp:positionV>
                <wp:extent cx="0" cy="2417445"/>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41744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0" o:spid="_x0000_s107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6pt,57.6pt" to="108.6pt,247.95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3180715</wp:posOffset>
                </wp:positionH>
                <wp:positionV relativeFrom="page">
                  <wp:posOffset>731520</wp:posOffset>
                </wp:positionV>
                <wp:extent cx="0" cy="2417445"/>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41744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1" o:spid="_x0000_s107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50.45pt,57.6pt" to="250.45pt,247.95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4981575</wp:posOffset>
                </wp:positionH>
                <wp:positionV relativeFrom="page">
                  <wp:posOffset>731520</wp:posOffset>
                </wp:positionV>
                <wp:extent cx="0" cy="2417445"/>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41744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392.25pt,57.6pt" to="392.25pt,247.95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6600190</wp:posOffset>
                </wp:positionH>
                <wp:positionV relativeFrom="page">
                  <wp:posOffset>731520</wp:posOffset>
                </wp:positionV>
                <wp:extent cx="0" cy="2417445"/>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41744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3" o:spid="_x0000_s107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19.7pt,57.6pt" to="519.7pt,247.95pt" o:allowincell="f" strokecolor="#000000" strokeweight="0.48pt">
                <w10:wrap anchorx="page" anchory="page"/>
              </v:line>
            </w:pict>
          </mc:Fallback>
        </mc:AlternateContent>
        <w:t>borrowings (including</w:t>
      </w:r>
    </w:p>
    <w:p>
      <w:pPr>
        <w:spacing w:after="0" w:line="140" w:lineRule="exact"/>
        <w:rPr>
          <w:sz w:val="20"/>
          <w:szCs w:val="20"/>
          <w:color w:val="auto"/>
        </w:rPr>
      </w:pPr>
    </w:p>
    <w:p>
      <w:pPr>
        <w:ind w:left="1448"/>
        <w:spacing w:after="0"/>
        <w:rPr>
          <w:sz w:val="20"/>
          <w:szCs w:val="20"/>
          <w:color w:val="auto"/>
        </w:rPr>
      </w:pPr>
      <w:r>
        <w:rPr>
          <w:rFonts w:ascii="Times New Roman" w:cs="Times New Roman" w:eastAsia="Times New Roman" w:hAnsi="Times New Roman"/>
          <w:sz w:val="24"/>
          <w:szCs w:val="24"/>
          <w:color w:val="auto"/>
        </w:rPr>
        <w:t>current maturity)*</w:t>
      </w:r>
    </w:p>
    <w:p>
      <w:pPr>
        <w:spacing w:after="0" w:line="200" w:lineRule="exact"/>
        <w:rPr>
          <w:sz w:val="20"/>
          <w:szCs w:val="20"/>
          <w:color w:val="auto"/>
        </w:rPr>
      </w:pPr>
    </w:p>
    <w:p>
      <w:pPr>
        <w:spacing w:after="0" w:line="376" w:lineRule="exact"/>
        <w:rPr>
          <w:sz w:val="20"/>
          <w:szCs w:val="20"/>
          <w:color w:val="auto"/>
        </w:rPr>
      </w:pPr>
    </w:p>
    <w:p>
      <w:pPr>
        <w:ind w:left="1128"/>
        <w:spacing w:after="0"/>
        <w:rPr>
          <w:sz w:val="20"/>
          <w:szCs w:val="20"/>
          <w:color w:val="auto"/>
        </w:rPr>
      </w:pPr>
      <w:r>
        <w:rPr>
          <w:rFonts w:ascii="Times New Roman" w:cs="Times New Roman" w:eastAsia="Times New Roman" w:hAnsi="Times New Roman"/>
          <w:sz w:val="24"/>
          <w:szCs w:val="24"/>
          <w:b w:val="1"/>
          <w:bCs w:val="1"/>
          <w:color w:val="auto"/>
        </w:rPr>
        <w:t>Total equity</w:t>
      </w:r>
    </w:p>
    <w:p>
      <w:pPr>
        <w:spacing w:after="0" w:line="144" w:lineRule="exact"/>
        <w:rPr>
          <w:sz w:val="20"/>
          <w:szCs w:val="20"/>
          <w:color w:val="auto"/>
        </w:rPr>
      </w:pPr>
    </w:p>
    <w:p>
      <w:pPr>
        <w:ind w:left="1448"/>
        <w:spacing w:after="0"/>
        <w:rPr>
          <w:sz w:val="20"/>
          <w:szCs w:val="20"/>
          <w:color w:val="auto"/>
        </w:rPr>
      </w:pPr>
      <w:r>
        <w:rPr>
          <w:rFonts w:ascii="Times New Roman" w:cs="Times New Roman" w:eastAsia="Times New Roman" w:hAnsi="Times New Roman"/>
          <w:sz w:val="24"/>
          <w:szCs w:val="24"/>
          <w:color w:val="auto"/>
        </w:rPr>
        <w:t>Equity share capital*</w:t>
      </w:r>
    </w:p>
    <w:p>
      <w:pPr>
        <w:spacing w:after="0" w:line="146" w:lineRule="exact"/>
        <w:rPr>
          <w:sz w:val="20"/>
          <w:szCs w:val="20"/>
          <w:color w:val="auto"/>
        </w:rPr>
      </w:pPr>
    </w:p>
    <w:p>
      <w:pPr>
        <w:ind w:left="1448"/>
        <w:spacing w:after="0"/>
        <w:rPr>
          <w:sz w:val="20"/>
          <w:szCs w:val="20"/>
          <w:color w:val="auto"/>
        </w:rPr>
      </w:pPr>
      <w:r>
        <w:rPr>
          <w:rFonts w:ascii="Times New Roman" w:cs="Times New Roman" w:eastAsia="Times New Roman" w:hAnsi="Times New Roman"/>
          <w:sz w:val="24"/>
          <w:szCs w:val="24"/>
          <w:color w:val="auto"/>
        </w:rPr>
        <w:t>Other equity*</w:t>
      </w:r>
    </w:p>
    <w:p>
      <w:pPr>
        <w:spacing w:after="0" w:line="154" w:lineRule="exact"/>
        <w:rPr>
          <w:sz w:val="20"/>
          <w:szCs w:val="20"/>
          <w:color w:val="auto"/>
        </w:rPr>
      </w:pPr>
    </w:p>
    <w:p>
      <w:pPr>
        <w:ind w:left="1128"/>
        <w:spacing w:after="0"/>
        <w:rPr>
          <w:sz w:val="20"/>
          <w:szCs w:val="20"/>
          <w:color w:val="auto"/>
        </w:rPr>
      </w:pPr>
      <w:r>
        <w:rPr>
          <w:rFonts w:ascii="Times New Roman" w:cs="Times New Roman" w:eastAsia="Times New Roman" w:hAnsi="Times New Roman"/>
          <w:sz w:val="24"/>
          <w:szCs w:val="24"/>
          <w:b w:val="1"/>
          <w:bCs w:val="1"/>
          <w:color w:val="auto"/>
        </w:rPr>
        <w:t>Total Capital</w:t>
      </w:r>
    </w:p>
    <w:p>
      <w:pPr>
        <w:spacing w:after="0" w:line="144" w:lineRule="exact"/>
        <w:rPr>
          <w:sz w:val="20"/>
          <w:szCs w:val="20"/>
          <w:color w:val="auto"/>
        </w:rPr>
      </w:pPr>
    </w:p>
    <w:p>
      <w:pPr>
        <w:ind w:left="1128"/>
        <w:spacing w:after="0"/>
        <w:rPr>
          <w:sz w:val="20"/>
          <w:szCs w:val="20"/>
          <w:color w:val="auto"/>
        </w:rPr>
      </w:pPr>
      <w:r>
        <w:rPr>
          <w:rFonts w:ascii="Times New Roman" w:cs="Times New Roman" w:eastAsia="Times New Roman" w:hAnsi="Times New Roman"/>
          <w:sz w:val="24"/>
          <w:szCs w:val="24"/>
          <w:color w:val="auto"/>
        </w:rPr>
        <w:t>Ratio: Non-current</w:t>
      </w:r>
    </w:p>
    <w:p>
      <w:pPr>
        <w:spacing w:after="0" w:line="137" w:lineRule="exact"/>
        <w:rPr>
          <w:sz w:val="20"/>
          <w:szCs w:val="20"/>
          <w:color w:val="auto"/>
        </w:rPr>
      </w:pPr>
    </w:p>
    <w:p>
      <w:pPr>
        <w:ind w:left="1128"/>
        <w:spacing w:after="0"/>
        <w:rPr>
          <w:sz w:val="20"/>
          <w:szCs w:val="20"/>
          <w:color w:val="auto"/>
        </w:rPr>
      </w:pPr>
      <w:r>
        <w:rPr>
          <w:rFonts w:ascii="Times New Roman" w:cs="Times New Roman" w:eastAsia="Times New Roman" w:hAnsi="Times New Roman"/>
          <w:sz w:val="24"/>
          <w:szCs w:val="24"/>
          <w:color w:val="auto"/>
        </w:rPr>
        <w:t>borrowings/ Total equity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644525</wp:posOffset>
                </wp:positionH>
                <wp:positionV relativeFrom="paragraph">
                  <wp:posOffset>95885</wp:posOffset>
                </wp:positionV>
                <wp:extent cx="5226685" cy="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668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0.75pt,7.55pt" to="462.3pt,7.55pt" o:allowincell="f" strokecolor="#000000" strokeweight="0.4799pt"/>
            </w:pict>
          </mc:Fallback>
        </mc:AlternateContent>
      </w:r>
    </w:p>
    <w:p>
      <w:pPr>
        <w:spacing w:after="0" w:line="129" w:lineRule="exact"/>
        <w:rPr>
          <w:sz w:val="20"/>
          <w:szCs w:val="20"/>
          <w:color w:val="auto"/>
        </w:rPr>
      </w:pPr>
    </w:p>
    <w:p>
      <w:pPr>
        <w:ind w:left="988"/>
        <w:spacing w:after="0"/>
        <w:rPr>
          <w:sz w:val="20"/>
          <w:szCs w:val="20"/>
          <w:color w:val="auto"/>
        </w:rPr>
      </w:pPr>
      <w:r>
        <w:rPr>
          <w:rFonts w:ascii="Times New Roman" w:cs="Times New Roman" w:eastAsia="Times New Roman" w:hAnsi="Times New Roman"/>
          <w:sz w:val="24"/>
          <w:szCs w:val="24"/>
          <w:color w:val="auto"/>
        </w:rPr>
        <w:t>*These terms shall carry the meaning as per Schedule III of the Companies Act, 2013</w:t>
      </w:r>
    </w:p>
    <w:p>
      <w:pPr>
        <w:spacing w:after="0" w:line="137" w:lineRule="exact"/>
        <w:rPr>
          <w:sz w:val="20"/>
          <w:szCs w:val="20"/>
          <w:color w:val="auto"/>
        </w:rPr>
      </w:pPr>
    </w:p>
    <w:p>
      <w:pPr>
        <w:ind w:left="988"/>
        <w:spacing w:after="0"/>
        <w:rPr>
          <w:sz w:val="20"/>
          <w:szCs w:val="20"/>
          <w:color w:val="auto"/>
        </w:rPr>
      </w:pPr>
      <w:r>
        <w:rPr>
          <w:rFonts w:ascii="Times New Roman" w:cs="Times New Roman" w:eastAsia="Times New Roman" w:hAnsi="Times New Roman"/>
          <w:sz w:val="24"/>
          <w:szCs w:val="24"/>
          <w:color w:val="auto"/>
        </w:rPr>
        <w:t>(as amended).</w:t>
      </w:r>
    </w:p>
    <w:p>
      <w:pPr>
        <w:spacing w:after="0" w:line="200" w:lineRule="exact"/>
        <w:rPr>
          <w:sz w:val="20"/>
          <w:szCs w:val="20"/>
          <w:color w:val="auto"/>
        </w:rPr>
      </w:pPr>
    </w:p>
    <w:p>
      <w:pPr>
        <w:spacing w:after="0" w:line="369" w:lineRule="exact"/>
        <w:rPr>
          <w:sz w:val="20"/>
          <w:szCs w:val="20"/>
          <w:color w:val="auto"/>
        </w:rPr>
      </w:pPr>
    </w:p>
    <w:p>
      <w:pPr>
        <w:ind w:left="8" w:hanging="8"/>
        <w:spacing w:after="0" w:line="350" w:lineRule="auto"/>
        <w:tabs>
          <w:tab w:leader="none" w:pos="473" w:val="left"/>
        </w:tabs>
        <w:numPr>
          <w:ilvl w:val="0"/>
          <w:numId w:val="84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Requirements in case Indian GAAP is applicable in the latest period presented in Restated Financial Information</w:t>
      </w:r>
    </w:p>
    <w:p>
      <w:pPr>
        <w:spacing w:after="0" w:line="18" w:lineRule="exact"/>
        <w:rPr>
          <w:sz w:val="20"/>
          <w:szCs w:val="20"/>
          <w:color w:val="auto"/>
        </w:rPr>
      </w:pPr>
    </w:p>
    <w:p>
      <w:pPr>
        <w:jc w:val="both"/>
        <w:ind w:left="8"/>
        <w:spacing w:after="0" w:line="356" w:lineRule="auto"/>
        <w:rPr>
          <w:sz w:val="20"/>
          <w:szCs w:val="20"/>
          <w:color w:val="auto"/>
        </w:rPr>
      </w:pPr>
      <w:r>
        <w:rPr>
          <w:rFonts w:ascii="Times New Roman" w:cs="Times New Roman" w:eastAsia="Times New Roman" w:hAnsi="Times New Roman"/>
          <w:sz w:val="24"/>
          <w:szCs w:val="24"/>
          <w:color w:val="auto"/>
        </w:rPr>
        <w:t>Financial information section of the offer document shall be divided into two parts, viz., restated financial information and other financial information. The restated and other financial information should be complete in all respects. To avoid duplication of disclosures in the offer document, appropriate use of cross reference may be made to the restated and other financial information.</w:t>
      </w:r>
    </w:p>
    <w:p>
      <w:pPr>
        <w:spacing w:after="0" w:line="200" w:lineRule="exact"/>
        <w:rPr>
          <w:sz w:val="20"/>
          <w:szCs w:val="20"/>
          <w:color w:val="auto"/>
        </w:rPr>
      </w:pPr>
    </w:p>
    <w:p>
      <w:pPr>
        <w:spacing w:after="0" w:line="220" w:lineRule="exact"/>
        <w:rPr>
          <w:sz w:val="20"/>
          <w:szCs w:val="20"/>
          <w:color w:val="auto"/>
        </w:rPr>
      </w:pPr>
    </w:p>
    <w:p>
      <w:pPr>
        <w:ind w:left="728" w:hanging="368"/>
        <w:spacing w:after="0"/>
        <w:tabs>
          <w:tab w:leader="none" w:pos="728" w:val="left"/>
        </w:tabs>
        <w:numPr>
          <w:ilvl w:val="0"/>
          <w:numId w:val="849"/>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Restated Financial information</w:t>
      </w:r>
    </w:p>
    <w:p>
      <w:pPr>
        <w:spacing w:after="0" w:line="144" w:lineRule="exact"/>
        <w:rPr>
          <w:rFonts w:ascii="Calibri" w:cs="Calibri" w:eastAsia="Calibri" w:hAnsi="Calibri"/>
          <w:sz w:val="22"/>
          <w:szCs w:val="22"/>
          <w:color w:val="auto"/>
        </w:rPr>
      </w:pPr>
    </w:p>
    <w:p>
      <w:pPr>
        <w:jc w:val="both"/>
        <w:ind w:left="1088" w:hanging="368"/>
        <w:spacing w:after="0" w:line="358" w:lineRule="auto"/>
        <w:tabs>
          <w:tab w:leader="none" w:pos="1088" w:val="left"/>
        </w:tabs>
        <w:numPr>
          <w:ilvl w:val="1"/>
          <w:numId w:val="849"/>
        </w:numPr>
        <w:rPr>
          <w:rFonts w:ascii="Calibri" w:cs="Calibri" w:eastAsia="Calibri" w:hAnsi="Calibri"/>
          <w:sz w:val="22"/>
          <w:szCs w:val="22"/>
          <w:color w:val="auto"/>
        </w:rPr>
      </w:pPr>
      <w:r>
        <w:rPr>
          <w:rFonts w:ascii="Times New Roman" w:cs="Times New Roman" w:eastAsia="Times New Roman" w:hAnsi="Times New Roman"/>
          <w:sz w:val="24"/>
          <w:szCs w:val="24"/>
          <w:color w:val="auto"/>
        </w:rPr>
        <w:t xml:space="preserve">Consolidated Financial Statements (CFS) prepared in accordance with Indian GAAP for three years and stub period (if applicable) should be audited and certified by the statutory auditor(s) who holds a valid certificate issued by the Peer Review Board of the Institute of Chartered Accountants of India (ICAI). The stub period CFS shall be required, if Indian GAAP CFS for latest full financial year included in the draft offer document/offer document is older than six months old from the date of filing of the draft offer document/offer document. The stub period should not end up to a date earlier than six months of the date of filing of the offer document. In accordance with AS 25 </w:t>
      </w:r>
      <w:r>
        <w:rPr>
          <w:rFonts w:ascii="Times New Roman" w:cs="Times New Roman" w:eastAsia="Times New Roman" w:hAnsi="Times New Roman"/>
          <w:sz w:val="24"/>
          <w:szCs w:val="24"/>
          <w:i w:val="1"/>
          <w:iCs w:val="1"/>
          <w:color w:val="auto"/>
        </w:rPr>
        <w:t>Interim Financial Reporting</w:t>
      </w:r>
      <w:r>
        <w:rPr>
          <w:rFonts w:ascii="Times New Roman" w:cs="Times New Roman" w:eastAsia="Times New Roman" w:hAnsi="Times New Roman"/>
          <w:sz w:val="24"/>
          <w:szCs w:val="24"/>
          <w:color w:val="auto"/>
        </w:rPr>
        <w:t>, the group should present a complete Indian GAAP CFS for the stub period, except the issuer has been exempted from presenting comparatives for the stub period. CFS shall be prepared as per the provisions of Companies Act, 2013 (as amended).</w:t>
      </w:r>
    </w:p>
    <w:p>
      <w:pPr>
        <w:spacing w:after="0" w:line="23" w:lineRule="exact"/>
        <w:rPr>
          <w:rFonts w:ascii="Calibri" w:cs="Calibri" w:eastAsia="Calibri" w:hAnsi="Calibri"/>
          <w:sz w:val="22"/>
          <w:szCs w:val="22"/>
          <w:color w:val="auto"/>
        </w:rPr>
      </w:pPr>
    </w:p>
    <w:p>
      <w:pPr>
        <w:jc w:val="both"/>
        <w:ind w:left="1448" w:hanging="368"/>
        <w:spacing w:after="0" w:line="344" w:lineRule="auto"/>
        <w:tabs>
          <w:tab w:leader="none" w:pos="1448" w:val="left"/>
        </w:tabs>
        <w:numPr>
          <w:ilvl w:val="2"/>
          <w:numId w:val="849"/>
        </w:numPr>
        <w:rPr>
          <w:rFonts w:ascii="Calibri" w:cs="Calibri" w:eastAsia="Calibri" w:hAnsi="Calibri"/>
          <w:sz w:val="24"/>
          <w:szCs w:val="24"/>
          <w:color w:val="auto"/>
        </w:rPr>
      </w:pPr>
      <w:r>
        <w:rPr>
          <w:rFonts w:ascii="Times New Roman" w:cs="Times New Roman" w:eastAsia="Times New Roman" w:hAnsi="Times New Roman"/>
          <w:sz w:val="24"/>
          <w:szCs w:val="24"/>
          <w:color w:val="auto"/>
        </w:rPr>
        <w:t>The CFS (including for the stub period if applicable) should be restated to ensure consistency of presentation, disclosures and the accounting policies for all the periods presented in line with that of the latest financial year/stub period presented.</w:t>
      </w:r>
    </w:p>
    <w:p>
      <w:pPr>
        <w:spacing w:after="0" w:line="190"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233</w:t>
      </w:r>
    </w:p>
    <w:p>
      <w:pPr>
        <w:sectPr>
          <w:pgSz w:w="11900" w:h="16836" w:orient="portrait"/>
          <w:cols w:equalWidth="0" w:num="1">
            <w:col w:w="9468"/>
          </w:cols>
          <w:pgMar w:left="1152" w:top="1154" w:right="1284" w:bottom="103" w:gutter="0" w:footer="0" w:header="0"/>
        </w:sectPr>
      </w:pPr>
    </w:p>
    <w:bookmarkStart w:id="233" w:name="page234"/>
    <w:bookmarkEnd w:id="233"/>
    <w:p>
      <w:pPr>
        <w:jc w:val="both"/>
        <w:ind w:left="1160"/>
        <w:spacing w:after="0" w:line="358" w:lineRule="auto"/>
        <w:rPr>
          <w:sz w:val="20"/>
          <w:szCs w:val="20"/>
          <w:color w:val="auto"/>
        </w:rPr>
      </w:pPr>
      <w:r>
        <w:rPr>
          <w:rFonts w:ascii="Times New Roman" w:cs="Times New Roman" w:eastAsia="Times New Roman" w:hAnsi="Times New Roman"/>
          <w:sz w:val="24"/>
          <w:szCs w:val="24"/>
          <w:color w:val="auto"/>
        </w:rPr>
        <w:t xml:space="preserve">Similarly, significant errors, non-provisions, regrouping, other adjustments, if any, should be reflected in the corresponding period. Changes in estimates, if any, need not to be restated, as they are events of that corresponding year. The issuer has an option to present comparatives for the stub period. Appropriate disclosures for correction of errors, changes in accounting policies and changes in accounting estimates should be made in accordance with </w:t>
      </w:r>
      <w:r>
        <w:rPr>
          <w:rFonts w:ascii="Times New Roman" w:cs="Times New Roman" w:eastAsia="Times New Roman" w:hAnsi="Times New Roman"/>
          <w:sz w:val="24"/>
          <w:szCs w:val="24"/>
          <w:i w:val="1"/>
          <w:iCs w:val="1"/>
          <w:color w:val="auto"/>
        </w:rPr>
        <w:t>AS 5 Net Profit or Loss for the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Period, Prior Period Items and Changes in Accounting Policies.</w:t>
      </w:r>
    </w:p>
    <w:p>
      <w:pPr>
        <w:spacing w:after="0" w:line="20" w:lineRule="exact"/>
        <w:rPr>
          <w:sz w:val="20"/>
          <w:szCs w:val="20"/>
          <w:color w:val="auto"/>
        </w:rPr>
      </w:pPr>
    </w:p>
    <w:p>
      <w:pPr>
        <w:jc w:val="both"/>
        <w:ind w:left="1160" w:hanging="368"/>
        <w:spacing w:after="0" w:line="354" w:lineRule="auto"/>
        <w:tabs>
          <w:tab w:leader="none" w:pos="1160" w:val="left"/>
        </w:tabs>
        <w:numPr>
          <w:ilvl w:val="0"/>
          <w:numId w:val="850"/>
        </w:numPr>
        <w:rPr>
          <w:rFonts w:ascii="Calibri" w:cs="Calibri" w:eastAsia="Calibri" w:hAnsi="Calibri"/>
          <w:sz w:val="24"/>
          <w:szCs w:val="24"/>
          <w:color w:val="auto"/>
        </w:rPr>
      </w:pPr>
      <w:r>
        <w:rPr>
          <w:rFonts w:ascii="Times New Roman" w:cs="Times New Roman" w:eastAsia="Times New Roman" w:hAnsi="Times New Roman"/>
          <w:sz w:val="24"/>
          <w:szCs w:val="24"/>
          <w:color w:val="auto"/>
        </w:rPr>
        <w:t xml:space="preserve">SA 705 </w:t>
      </w:r>
      <w:r>
        <w:rPr>
          <w:rFonts w:ascii="Times New Roman" w:cs="Times New Roman" w:eastAsia="Times New Roman" w:hAnsi="Times New Roman"/>
          <w:sz w:val="24"/>
          <w:szCs w:val="24"/>
          <w:i w:val="1"/>
          <w:iCs w:val="1"/>
          <w:color w:val="auto"/>
        </w:rPr>
        <w:t>Modification to the Opinion in the Independent Auditor’s Report</w:t>
      </w:r>
      <w:r>
        <w:rPr>
          <w:rFonts w:ascii="Times New Roman" w:cs="Times New Roman" w:eastAsia="Times New Roman" w:hAnsi="Times New Roman"/>
          <w:sz w:val="24"/>
          <w:szCs w:val="24"/>
          <w:color w:val="auto"/>
        </w:rPr>
        <w:t xml:space="preserve"> requires a qualified opinion, adverse opinion or disclaimer of opinion for material misstatements. With respect to an eligible issuer, audit modifications, which are quantifiable or can be estimated shall be adjusted in the restated financial information in the appropriate period. In situations where the qualification cannot be quantified or estimated, appropriate disclosures should be made, in the notes to account, explaining why the qualification cannot be quantified or estimated.</w:t>
      </w:r>
    </w:p>
    <w:p>
      <w:pPr>
        <w:spacing w:after="0" w:line="30" w:lineRule="exact"/>
        <w:rPr>
          <w:rFonts w:ascii="Calibri" w:cs="Calibri" w:eastAsia="Calibri" w:hAnsi="Calibri"/>
          <w:sz w:val="24"/>
          <w:szCs w:val="24"/>
          <w:color w:val="auto"/>
        </w:rPr>
      </w:pPr>
    </w:p>
    <w:p>
      <w:pPr>
        <w:jc w:val="both"/>
        <w:ind w:left="1160" w:hanging="368"/>
        <w:spacing w:after="0" w:line="343" w:lineRule="auto"/>
        <w:tabs>
          <w:tab w:leader="none" w:pos="1160" w:val="left"/>
        </w:tabs>
        <w:numPr>
          <w:ilvl w:val="0"/>
          <w:numId w:val="850"/>
        </w:numPr>
        <w:rPr>
          <w:rFonts w:ascii="Calibri" w:cs="Calibri" w:eastAsia="Calibri" w:hAnsi="Calibri"/>
          <w:sz w:val="24"/>
          <w:szCs w:val="24"/>
          <w:color w:val="auto"/>
        </w:rPr>
      </w:pPr>
      <w:r>
        <w:rPr>
          <w:rFonts w:ascii="Times New Roman" w:cs="Times New Roman" w:eastAsia="Times New Roman" w:hAnsi="Times New Roman"/>
          <w:sz w:val="24"/>
          <w:szCs w:val="24"/>
          <w:color w:val="auto"/>
        </w:rPr>
        <w:t>A reconciliation explaining the difference between the audited CFS equity and profit (loss) and the restated CFS equity and profit (loss)should be presented in a columnar format.</w:t>
      </w:r>
    </w:p>
    <w:p>
      <w:pPr>
        <w:spacing w:after="0" w:line="38" w:lineRule="exact"/>
        <w:rPr>
          <w:rFonts w:ascii="Calibri" w:cs="Calibri" w:eastAsia="Calibri" w:hAnsi="Calibri"/>
          <w:sz w:val="24"/>
          <w:szCs w:val="24"/>
          <w:color w:val="auto"/>
        </w:rPr>
      </w:pPr>
    </w:p>
    <w:p>
      <w:pPr>
        <w:jc w:val="both"/>
        <w:ind w:left="1160" w:hanging="368"/>
        <w:spacing w:after="0" w:line="344" w:lineRule="auto"/>
        <w:tabs>
          <w:tab w:leader="none" w:pos="1160" w:val="left"/>
        </w:tabs>
        <w:numPr>
          <w:ilvl w:val="0"/>
          <w:numId w:val="850"/>
        </w:numPr>
        <w:rPr>
          <w:rFonts w:ascii="Calibri" w:cs="Calibri" w:eastAsia="Calibri" w:hAnsi="Calibri"/>
          <w:sz w:val="24"/>
          <w:szCs w:val="24"/>
          <w:color w:val="auto"/>
        </w:rPr>
      </w:pPr>
      <w:r>
        <w:rPr>
          <w:rFonts w:ascii="Times New Roman" w:cs="Times New Roman" w:eastAsia="Times New Roman" w:hAnsi="Times New Roman"/>
          <w:sz w:val="24"/>
          <w:szCs w:val="24"/>
          <w:color w:val="auto"/>
        </w:rPr>
        <w:t xml:space="preserve">The auditor shall issue an examination report on the restated and audited financial information in accordance with the </w:t>
      </w:r>
      <w:r>
        <w:rPr>
          <w:rFonts w:ascii="Times New Roman" w:cs="Times New Roman" w:eastAsia="Times New Roman" w:hAnsi="Times New Roman"/>
          <w:sz w:val="24"/>
          <w:szCs w:val="24"/>
          <w:i w:val="1"/>
          <w:iCs w:val="1"/>
          <w:color w:val="auto"/>
        </w:rPr>
        <w:t>Guidance Note</w:t>
      </w:r>
      <w:r>
        <w:rPr>
          <w:rFonts w:ascii="Times New Roman" w:cs="Times New Roman" w:eastAsia="Times New Roman" w:hAnsi="Times New Roman"/>
          <w:sz w:val="24"/>
          <w:szCs w:val="24"/>
          <w:color w:val="auto"/>
        </w:rPr>
        <w:t xml:space="preserve"> issued by the ICAI from time to time.</w:t>
      </w:r>
    </w:p>
    <w:p>
      <w:pPr>
        <w:spacing w:after="0" w:line="34" w:lineRule="exact"/>
        <w:rPr>
          <w:rFonts w:ascii="Calibri" w:cs="Calibri" w:eastAsia="Calibri" w:hAnsi="Calibri"/>
          <w:sz w:val="24"/>
          <w:szCs w:val="24"/>
          <w:color w:val="auto"/>
        </w:rPr>
      </w:pPr>
    </w:p>
    <w:p>
      <w:pPr>
        <w:jc w:val="both"/>
        <w:ind w:left="1160" w:hanging="368"/>
        <w:spacing w:after="0" w:line="357" w:lineRule="auto"/>
        <w:tabs>
          <w:tab w:leader="none" w:pos="1160" w:val="left"/>
        </w:tabs>
        <w:numPr>
          <w:ilvl w:val="0"/>
          <w:numId w:val="850"/>
        </w:numPr>
        <w:rPr>
          <w:rFonts w:ascii="Calibri" w:cs="Calibri" w:eastAsia="Calibri" w:hAnsi="Calibri"/>
          <w:sz w:val="24"/>
          <w:szCs w:val="24"/>
          <w:color w:val="auto"/>
        </w:rPr>
      </w:pPr>
      <w:r>
        <w:rPr>
          <w:rFonts w:ascii="Times New Roman" w:cs="Times New Roman" w:eastAsia="Times New Roman" w:hAnsi="Times New Roman"/>
          <w:sz w:val="24"/>
          <w:szCs w:val="24"/>
          <w:color w:val="auto"/>
        </w:rPr>
        <w:t>Auditor should have a valid peer review certificate issued by the Peer Review Board of the Institute of Chartered Accountants of India (ICAI) as on the date of signing the restated financial information. If a new auditor holding a valid peer review certificate is appointed for the stub period, and the predecessor auditor did not hold a valid peer review certificate at the date of signing the last annual financial statement, then the last annual financial statement would need to be re-audited by the new auditor in accordance with applicable standards. The re-audit may exclude audit reporting matters on CARO, Internal financial control and other pure regulatory matters. Where auditor earlier held a valid peer review certificate, but did not hold a valid certificate at the date of signing the restated financial information, the earlier certificate shall be considered valid provided there is no express refusal by the peer review board to renew the certificate and the process to renew the peer review certificate was initiated by the auditor.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234</w:t>
      </w:r>
    </w:p>
    <w:p>
      <w:pPr>
        <w:sectPr>
          <w:pgSz w:w="11900" w:h="16836" w:orient="portrait"/>
          <w:cols w:equalWidth="0" w:num="1">
            <w:col w:w="9180"/>
          </w:cols>
          <w:pgMar w:left="1440" w:top="1156" w:right="1284" w:bottom="103" w:gutter="0" w:footer="0" w:header="0"/>
        </w:sectPr>
      </w:pPr>
    </w:p>
    <w:bookmarkStart w:id="234" w:name="page235"/>
    <w:bookmarkEnd w:id="234"/>
    <w:p>
      <w:pPr>
        <w:jc w:val="both"/>
        <w:ind w:left="1160" w:hanging="368"/>
        <w:spacing w:after="0" w:line="344" w:lineRule="auto"/>
        <w:tabs>
          <w:tab w:leader="none" w:pos="1160" w:val="left"/>
        </w:tabs>
        <w:numPr>
          <w:ilvl w:val="1"/>
          <w:numId w:val="851"/>
        </w:numPr>
        <w:rPr>
          <w:rFonts w:ascii="Calibri" w:cs="Calibri" w:eastAsia="Calibri" w:hAnsi="Calibri"/>
          <w:sz w:val="24"/>
          <w:szCs w:val="24"/>
          <w:color w:val="auto"/>
        </w:rPr>
      </w:pPr>
      <w:r>
        <w:rPr>
          <w:rFonts w:ascii="Times New Roman" w:cs="Times New Roman" w:eastAsia="Times New Roman" w:hAnsi="Times New Roman"/>
          <w:sz w:val="24"/>
          <w:szCs w:val="24"/>
          <w:color w:val="auto"/>
        </w:rPr>
        <w:t>Where an issuer does not have a subsidiary, associate or joint venture in any financial year, the issuer shall present separate financial statements for that financial year by following the applicable requirements of a restated CFS.</w:t>
      </w:r>
    </w:p>
    <w:p>
      <w:pPr>
        <w:spacing w:after="0" w:line="34" w:lineRule="exact"/>
        <w:rPr>
          <w:rFonts w:ascii="Calibri" w:cs="Calibri" w:eastAsia="Calibri" w:hAnsi="Calibri"/>
          <w:sz w:val="24"/>
          <w:szCs w:val="24"/>
          <w:color w:val="auto"/>
        </w:rPr>
      </w:pPr>
    </w:p>
    <w:p>
      <w:pPr>
        <w:jc w:val="both"/>
        <w:ind w:left="1160" w:hanging="368"/>
        <w:spacing w:after="0" w:line="351" w:lineRule="auto"/>
        <w:tabs>
          <w:tab w:leader="none" w:pos="1160" w:val="left"/>
        </w:tabs>
        <w:numPr>
          <w:ilvl w:val="1"/>
          <w:numId w:val="851"/>
        </w:numPr>
        <w:rPr>
          <w:rFonts w:ascii="Calibri" w:cs="Calibri" w:eastAsia="Calibri" w:hAnsi="Calibri"/>
          <w:sz w:val="24"/>
          <w:szCs w:val="24"/>
          <w:color w:val="auto"/>
        </w:rPr>
      </w:pPr>
      <w:r>
        <w:rPr>
          <w:rFonts w:ascii="Times New Roman" w:cs="Times New Roman" w:eastAsia="Times New Roman" w:hAnsi="Times New Roman"/>
          <w:sz w:val="24"/>
          <w:szCs w:val="24"/>
          <w:color w:val="auto"/>
        </w:rPr>
        <w:t>List of the related parties and all related party transactions of the consolidated entities (whether eliminated on consolidation or not), which require disclosure under AS 18 and/ or covered under section 188(2) of the Companies Act, 2013 (as amended), as disclosed in the separate financial statement of the consolidated entities, should be disclosed in the restated financial information.</w:t>
      </w:r>
    </w:p>
    <w:p>
      <w:pPr>
        <w:spacing w:after="0" w:line="45" w:lineRule="exact"/>
        <w:rPr>
          <w:rFonts w:ascii="Calibri" w:cs="Calibri" w:eastAsia="Calibri" w:hAnsi="Calibri"/>
          <w:sz w:val="24"/>
          <w:szCs w:val="24"/>
          <w:color w:val="auto"/>
        </w:rPr>
      </w:pPr>
    </w:p>
    <w:p>
      <w:pPr>
        <w:jc w:val="both"/>
        <w:ind w:left="1700" w:hanging="548"/>
        <w:spacing w:after="0" w:line="351" w:lineRule="auto"/>
        <w:tabs>
          <w:tab w:leader="none" w:pos="1700" w:val="left"/>
        </w:tabs>
        <w:numPr>
          <w:ilvl w:val="2"/>
          <w:numId w:val="851"/>
        </w:numPr>
        <w:rPr>
          <w:rFonts w:ascii="Symbol" w:cs="Symbol" w:eastAsia="Symbol" w:hAnsi="Symbol"/>
          <w:sz w:val="24"/>
          <w:szCs w:val="24"/>
          <w:color w:val="auto"/>
        </w:rPr>
      </w:pPr>
      <w:r>
        <w:rPr>
          <w:rFonts w:ascii="Times New Roman" w:cs="Times New Roman" w:eastAsia="Times New Roman" w:hAnsi="Times New Roman"/>
          <w:sz w:val="24"/>
          <w:szCs w:val="24"/>
          <w:color w:val="auto"/>
        </w:rPr>
        <w:t>All funding arrangements including inter-se guarantees among the entities consolidated; except contribution to equity share capital, shall be disclosed. The important terms and conditions of the funding arrangement and fund transfer restrictions, if any, should be disclosed in the restated financial information.</w:t>
      </w:r>
    </w:p>
    <w:p>
      <w:pPr>
        <w:spacing w:after="0" w:line="29" w:lineRule="exact"/>
        <w:rPr>
          <w:rFonts w:ascii="Symbol" w:cs="Symbol" w:eastAsia="Symbol" w:hAnsi="Symbol"/>
          <w:sz w:val="24"/>
          <w:szCs w:val="24"/>
          <w:color w:val="auto"/>
        </w:rPr>
      </w:pPr>
    </w:p>
    <w:p>
      <w:pPr>
        <w:jc w:val="both"/>
        <w:ind w:left="1160" w:hanging="368"/>
        <w:spacing w:after="0" w:line="344" w:lineRule="auto"/>
        <w:tabs>
          <w:tab w:leader="none" w:pos="1160" w:val="left"/>
        </w:tabs>
        <w:numPr>
          <w:ilvl w:val="1"/>
          <w:numId w:val="851"/>
        </w:numPr>
        <w:rPr>
          <w:rFonts w:ascii="Calibri" w:cs="Calibri" w:eastAsia="Calibri" w:hAnsi="Calibri"/>
          <w:sz w:val="24"/>
          <w:szCs w:val="24"/>
          <w:color w:val="auto"/>
        </w:rPr>
      </w:pPr>
      <w:r>
        <w:rPr>
          <w:rFonts w:ascii="Times New Roman" w:cs="Times New Roman" w:eastAsia="Times New Roman" w:hAnsi="Times New Roman"/>
          <w:sz w:val="24"/>
          <w:szCs w:val="24"/>
          <w:color w:val="auto"/>
        </w:rPr>
        <w:t>The following disclosures shall be made in the restated financial information on the basis of amounts recognized and measured as per Indian GAAP and in accordance with the Guidance Note of the ICAI issued from time to time:</w:t>
      </w:r>
    </w:p>
    <w:p>
      <w:pPr>
        <w:spacing w:after="0" w:line="20" w:lineRule="exact"/>
        <w:rPr>
          <w:rFonts w:ascii="Calibri" w:cs="Calibri" w:eastAsia="Calibri" w:hAnsi="Calibri"/>
          <w:sz w:val="24"/>
          <w:szCs w:val="24"/>
          <w:color w:val="auto"/>
        </w:rPr>
      </w:pPr>
    </w:p>
    <w:p>
      <w:pPr>
        <w:ind w:left="1880" w:hanging="315"/>
        <w:spacing w:after="0"/>
        <w:tabs>
          <w:tab w:leader="none" w:pos="1880" w:val="left"/>
        </w:tabs>
        <w:numPr>
          <w:ilvl w:val="3"/>
          <w:numId w:val="85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Disclosures as per AS 13</w:t>
      </w:r>
    </w:p>
    <w:p>
      <w:pPr>
        <w:spacing w:after="0" w:line="136" w:lineRule="exact"/>
        <w:rPr>
          <w:rFonts w:ascii="Times New Roman" w:cs="Times New Roman" w:eastAsia="Times New Roman" w:hAnsi="Times New Roman"/>
          <w:sz w:val="24"/>
          <w:szCs w:val="24"/>
          <w:color w:val="auto"/>
        </w:rPr>
      </w:pPr>
    </w:p>
    <w:p>
      <w:pPr>
        <w:ind w:left="1880" w:hanging="382"/>
        <w:spacing w:after="0"/>
        <w:tabs>
          <w:tab w:leader="none" w:pos="1880" w:val="left"/>
        </w:tabs>
        <w:numPr>
          <w:ilvl w:val="3"/>
          <w:numId w:val="85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Disclosures as per AS 14</w:t>
      </w:r>
    </w:p>
    <w:p>
      <w:pPr>
        <w:spacing w:after="0" w:line="200" w:lineRule="exact"/>
        <w:rPr>
          <w:rFonts w:ascii="Times New Roman" w:cs="Times New Roman" w:eastAsia="Times New Roman" w:hAnsi="Times New Roman"/>
          <w:sz w:val="24"/>
          <w:szCs w:val="24"/>
          <w:color w:val="auto"/>
        </w:rPr>
      </w:pPr>
    </w:p>
    <w:p>
      <w:pPr>
        <w:spacing w:after="0" w:line="364" w:lineRule="exact"/>
        <w:rPr>
          <w:rFonts w:ascii="Times New Roman" w:cs="Times New Roman" w:eastAsia="Times New Roman" w:hAnsi="Times New Roman"/>
          <w:sz w:val="24"/>
          <w:szCs w:val="24"/>
          <w:color w:val="auto"/>
        </w:rPr>
      </w:pPr>
    </w:p>
    <w:p>
      <w:pPr>
        <w:jc w:val="both"/>
        <w:ind w:left="800" w:hanging="368"/>
        <w:spacing w:after="0" w:line="357" w:lineRule="auto"/>
        <w:tabs>
          <w:tab w:leader="none" w:pos="800" w:val="left"/>
        </w:tabs>
        <w:numPr>
          <w:ilvl w:val="0"/>
          <w:numId w:val="852"/>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separate audited financial statements for past three full financial years immediately preceding the date of filing of offer document of the issuer company and all its material subsidiaries should be made available on issuer’s website in accordance with the materiality thresholds in (b) below. Alternatively, relevant link should be provided to the financial statement of subsidiaries on the Issuer’s website. The link to the issuer’s separate financial statement should be specified in the offer document. For this purpose, subsidiaries shall be identified based on definitions in the Companies Act, 2013. The above requirements shall apply for the periods of existence of the parent-subsidiary relationship.</w:t>
      </w:r>
    </w:p>
    <w:p>
      <w:pPr>
        <w:spacing w:after="0" w:line="24" w:lineRule="exact"/>
        <w:rPr>
          <w:rFonts w:ascii="Calibri" w:cs="Calibri" w:eastAsia="Calibri" w:hAnsi="Calibri"/>
          <w:sz w:val="22"/>
          <w:szCs w:val="22"/>
          <w:color w:val="auto"/>
        </w:rPr>
      </w:pPr>
    </w:p>
    <w:p>
      <w:pPr>
        <w:jc w:val="both"/>
        <w:ind w:left="1160" w:hanging="368"/>
        <w:spacing w:after="0" w:line="344" w:lineRule="auto"/>
        <w:tabs>
          <w:tab w:leader="none" w:pos="1160" w:val="left"/>
        </w:tabs>
        <w:numPr>
          <w:ilvl w:val="1"/>
          <w:numId w:val="852"/>
        </w:numPr>
        <w:rPr>
          <w:rFonts w:ascii="Calibri" w:cs="Calibri" w:eastAsia="Calibri" w:hAnsi="Calibri"/>
          <w:sz w:val="24"/>
          <w:szCs w:val="24"/>
          <w:color w:val="auto"/>
        </w:rPr>
      </w:pPr>
      <w:r>
        <w:rPr>
          <w:rFonts w:ascii="Times New Roman" w:cs="Times New Roman" w:eastAsia="Times New Roman" w:hAnsi="Times New Roman"/>
          <w:sz w:val="24"/>
          <w:szCs w:val="24"/>
          <w:color w:val="auto"/>
        </w:rPr>
        <w:t>a certified English translated copy of the financial statements should be made available on the Company’s website for every entity consolidated whose financial statements are not presented in English.</w:t>
      </w:r>
    </w:p>
    <w:p>
      <w:pPr>
        <w:spacing w:after="0" w:line="37" w:lineRule="exact"/>
        <w:rPr>
          <w:rFonts w:ascii="Calibri" w:cs="Calibri" w:eastAsia="Calibri" w:hAnsi="Calibri"/>
          <w:sz w:val="24"/>
          <w:szCs w:val="24"/>
          <w:color w:val="auto"/>
        </w:rPr>
      </w:pPr>
    </w:p>
    <w:p>
      <w:pPr>
        <w:jc w:val="both"/>
        <w:ind w:left="1160" w:hanging="368"/>
        <w:spacing w:after="0" w:line="348" w:lineRule="auto"/>
        <w:tabs>
          <w:tab w:leader="none" w:pos="1160" w:val="left"/>
        </w:tabs>
        <w:numPr>
          <w:ilvl w:val="1"/>
          <w:numId w:val="852"/>
        </w:numPr>
        <w:rPr>
          <w:rFonts w:ascii="Calibri" w:cs="Calibri" w:eastAsia="Calibri" w:hAnsi="Calibri"/>
          <w:sz w:val="24"/>
          <w:szCs w:val="24"/>
          <w:color w:val="auto"/>
        </w:rPr>
      </w:pPr>
      <w:r>
        <w:rPr>
          <w:rFonts w:ascii="Times New Roman" w:cs="Times New Roman" w:eastAsia="Times New Roman" w:hAnsi="Times New Roman"/>
          <w:sz w:val="24"/>
          <w:szCs w:val="24"/>
          <w:color w:val="auto"/>
        </w:rPr>
        <w:t xml:space="preserve">The financial statements reported in any currency other than Indian Rupee shall be translated into Indian Rupee in accordance with Ind AS 21 </w:t>
      </w:r>
      <w:r>
        <w:rPr>
          <w:rFonts w:ascii="Times New Roman" w:cs="Times New Roman" w:eastAsia="Times New Roman" w:hAnsi="Times New Roman"/>
          <w:sz w:val="24"/>
          <w:szCs w:val="24"/>
          <w:i w:val="1"/>
          <w:iCs w:val="1"/>
          <w:color w:val="auto"/>
        </w:rPr>
        <w:t>The Effects of Changes</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in Foreign Exchange Rates</w:t>
      </w:r>
      <w:r>
        <w:rPr>
          <w:rFonts w:ascii="Times New Roman" w:cs="Times New Roman" w:eastAsia="Times New Roman" w:hAnsi="Times New Roman"/>
          <w:sz w:val="24"/>
          <w:szCs w:val="24"/>
          <w:color w:val="auto"/>
        </w:rPr>
        <w:t>. The financial statements of all foreign consolidated</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entities should be audited, unless they are not material to the CFS and the local</w:t>
      </w:r>
    </w:p>
    <w:p>
      <w:pPr>
        <w:spacing w:after="0" w:line="234"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235</w:t>
      </w:r>
    </w:p>
    <w:p>
      <w:pPr>
        <w:sectPr>
          <w:pgSz w:w="11900" w:h="16836" w:orient="portrait"/>
          <w:cols w:equalWidth="0" w:num="1">
            <w:col w:w="9180"/>
          </w:cols>
          <w:pgMar w:left="1440" w:top="1161" w:right="1284" w:bottom="103" w:gutter="0" w:footer="0" w:header="0"/>
        </w:sectPr>
      </w:pPr>
    </w:p>
    <w:bookmarkStart w:id="235" w:name="page236"/>
    <w:bookmarkEnd w:id="235"/>
    <w:p>
      <w:pPr>
        <w:jc w:val="both"/>
        <w:ind w:left="1160"/>
        <w:spacing w:after="0" w:line="358" w:lineRule="auto"/>
        <w:rPr>
          <w:sz w:val="20"/>
          <w:szCs w:val="20"/>
          <w:color w:val="auto"/>
        </w:rPr>
      </w:pPr>
      <w:r>
        <w:rPr>
          <w:rFonts w:ascii="Times New Roman" w:cs="Times New Roman" w:eastAsia="Times New Roman" w:hAnsi="Times New Roman"/>
          <w:sz w:val="24"/>
          <w:szCs w:val="24"/>
          <w:color w:val="auto"/>
        </w:rPr>
        <w:t>regulation does not mandate audit. For this purpose, a consolidated entity shall be considered ‘material’ if it contributes 10% or more to the turnover or net-worth or profits before tax in the annual CFS of the respective year. Additionally, total unaudited CFS shall not exceed 20% of the turnover or net-worth or profits before tax of the CFS of the respective year. For the purpose of this clause, definition of turnover, net-worth and profits before tax should be as per Companies Act, 2013 (as amended).</w:t>
      </w:r>
    </w:p>
    <w:p>
      <w:pPr>
        <w:spacing w:after="0" w:line="20" w:lineRule="exact"/>
        <w:rPr>
          <w:sz w:val="20"/>
          <w:szCs w:val="20"/>
          <w:color w:val="auto"/>
        </w:rPr>
      </w:pPr>
    </w:p>
    <w:p>
      <w:pPr>
        <w:jc w:val="both"/>
        <w:ind w:left="1160" w:hanging="368"/>
        <w:spacing w:after="0" w:line="349" w:lineRule="auto"/>
        <w:tabs>
          <w:tab w:leader="none" w:pos="1160" w:val="left"/>
        </w:tabs>
        <w:numPr>
          <w:ilvl w:val="3"/>
          <w:numId w:val="853"/>
        </w:numPr>
        <w:rPr>
          <w:rFonts w:ascii="Calibri" w:cs="Calibri" w:eastAsia="Calibri" w:hAnsi="Calibri"/>
          <w:sz w:val="24"/>
          <w:szCs w:val="24"/>
          <w:color w:val="auto"/>
        </w:rPr>
      </w:pPr>
      <w:r>
        <w:rPr>
          <w:rFonts w:ascii="Times New Roman" w:cs="Times New Roman" w:eastAsia="Times New Roman" w:hAnsi="Times New Roman"/>
          <w:sz w:val="24"/>
          <w:szCs w:val="24"/>
          <w:color w:val="auto"/>
        </w:rPr>
        <w:t>The financial statements of foreign entities consolidated may be audited as per the requirements of local regulation applicable in the respective jurisdiction. However, in cases where the local regulation does not mandate audit, financial statements should be audited as per the auditing standards/ requirements applicable in India.</w:t>
      </w:r>
    </w:p>
    <w:p>
      <w:pPr>
        <w:spacing w:after="0" w:line="31" w:lineRule="exact"/>
        <w:rPr>
          <w:rFonts w:ascii="Calibri" w:cs="Calibri" w:eastAsia="Calibri" w:hAnsi="Calibri"/>
          <w:sz w:val="24"/>
          <w:szCs w:val="24"/>
          <w:color w:val="auto"/>
        </w:rPr>
      </w:pPr>
    </w:p>
    <w:p>
      <w:pPr>
        <w:ind w:left="1160" w:hanging="368"/>
        <w:spacing w:after="0" w:line="335" w:lineRule="auto"/>
        <w:tabs>
          <w:tab w:leader="none" w:pos="1160" w:val="left"/>
        </w:tabs>
        <w:numPr>
          <w:ilvl w:val="3"/>
          <w:numId w:val="853"/>
        </w:numPr>
        <w:rPr>
          <w:rFonts w:ascii="Calibri" w:cs="Calibri" w:eastAsia="Calibri" w:hAnsi="Calibri"/>
          <w:sz w:val="24"/>
          <w:szCs w:val="24"/>
          <w:color w:val="auto"/>
        </w:rPr>
      </w:pPr>
      <w:r>
        <w:rPr>
          <w:rFonts w:ascii="Times New Roman" w:cs="Times New Roman" w:eastAsia="Times New Roman" w:hAnsi="Times New Roman"/>
          <w:sz w:val="24"/>
          <w:szCs w:val="24"/>
          <w:color w:val="auto"/>
        </w:rPr>
        <w:t>The financial statements of foreign subsidiaries may be acceptable in a GAAP other than Indian GAAP, if local laws require application of local GAAP.</w:t>
      </w:r>
    </w:p>
    <w:p>
      <w:pPr>
        <w:spacing w:after="0" w:line="200" w:lineRule="exact"/>
        <w:rPr>
          <w:rFonts w:ascii="Calibri" w:cs="Calibri" w:eastAsia="Calibri" w:hAnsi="Calibri"/>
          <w:sz w:val="24"/>
          <w:szCs w:val="24"/>
          <w:color w:val="auto"/>
        </w:rPr>
      </w:pPr>
    </w:p>
    <w:p>
      <w:pPr>
        <w:spacing w:after="0" w:line="234" w:lineRule="exact"/>
        <w:rPr>
          <w:rFonts w:ascii="Calibri" w:cs="Calibri" w:eastAsia="Calibri" w:hAnsi="Calibri"/>
          <w:sz w:val="24"/>
          <w:szCs w:val="24"/>
          <w:color w:val="auto"/>
        </w:rPr>
      </w:pPr>
    </w:p>
    <w:p>
      <w:pPr>
        <w:ind w:left="440" w:hanging="368"/>
        <w:spacing w:after="0"/>
        <w:tabs>
          <w:tab w:leader="none" w:pos="440" w:val="left"/>
        </w:tabs>
        <w:numPr>
          <w:ilvl w:val="0"/>
          <w:numId w:val="854"/>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Other Financial Information</w:t>
      </w:r>
    </w:p>
    <w:p>
      <w:pPr>
        <w:spacing w:after="0" w:line="144" w:lineRule="exact"/>
        <w:rPr>
          <w:rFonts w:ascii="Calibri" w:cs="Calibri" w:eastAsia="Calibri" w:hAnsi="Calibri"/>
          <w:sz w:val="22"/>
          <w:szCs w:val="22"/>
          <w:color w:val="auto"/>
        </w:rPr>
      </w:pPr>
    </w:p>
    <w:p>
      <w:pPr>
        <w:ind w:left="800" w:hanging="368"/>
        <w:spacing w:after="0" w:line="342" w:lineRule="auto"/>
        <w:tabs>
          <w:tab w:leader="none" w:pos="800" w:val="left"/>
        </w:tabs>
        <w:numPr>
          <w:ilvl w:val="1"/>
          <w:numId w:val="854"/>
        </w:numPr>
        <w:rPr>
          <w:rFonts w:ascii="Calibri" w:cs="Calibri" w:eastAsia="Calibri" w:hAnsi="Calibri"/>
          <w:sz w:val="22"/>
          <w:szCs w:val="22"/>
          <w:color w:val="auto"/>
        </w:rPr>
      </w:pPr>
      <w:r>
        <w:rPr>
          <w:rFonts w:ascii="Times New Roman" w:cs="Times New Roman" w:eastAsia="Times New Roman" w:hAnsi="Times New Roman"/>
          <w:sz w:val="24"/>
          <w:szCs w:val="24"/>
          <w:color w:val="auto"/>
        </w:rPr>
        <w:t xml:space="preserve">The following information shall be computed as per the </w:t>
      </w:r>
      <w:r>
        <w:rPr>
          <w:rFonts w:ascii="Times New Roman" w:cs="Times New Roman" w:eastAsia="Times New Roman" w:hAnsi="Times New Roman"/>
          <w:sz w:val="24"/>
          <w:szCs w:val="24"/>
          <w:i w:val="1"/>
          <w:iCs w:val="1"/>
          <w:color w:val="auto"/>
        </w:rPr>
        <w:t>Guidance Note</w:t>
      </w:r>
      <w:r>
        <w:rPr>
          <w:rFonts w:ascii="Times New Roman" w:cs="Times New Roman" w:eastAsia="Times New Roman" w:hAnsi="Times New Roman"/>
          <w:sz w:val="24"/>
          <w:szCs w:val="24"/>
          <w:color w:val="auto"/>
        </w:rPr>
        <w:t xml:space="preserve"> issued by the ICAI from time to time and disclosed in other financial information</w:t>
      </w:r>
    </w:p>
    <w:p>
      <w:pPr>
        <w:spacing w:after="0" w:line="18" w:lineRule="exact"/>
        <w:rPr>
          <w:rFonts w:ascii="Calibri" w:cs="Calibri" w:eastAsia="Calibri" w:hAnsi="Calibri"/>
          <w:sz w:val="22"/>
          <w:szCs w:val="22"/>
          <w:color w:val="auto"/>
        </w:rPr>
      </w:pPr>
    </w:p>
    <w:p>
      <w:pPr>
        <w:ind w:left="860" w:hanging="298"/>
        <w:spacing w:after="0"/>
        <w:tabs>
          <w:tab w:leader="none" w:pos="860" w:val="left"/>
        </w:tabs>
        <w:numPr>
          <w:ilvl w:val="2"/>
          <w:numId w:val="854"/>
        </w:numPr>
        <w:rPr>
          <w:rFonts w:ascii="Symbol" w:cs="Symbol" w:eastAsia="Symbol" w:hAnsi="Symbol"/>
          <w:sz w:val="24"/>
          <w:szCs w:val="24"/>
          <w:color w:val="auto"/>
        </w:rPr>
      </w:pPr>
      <w:r>
        <w:rPr>
          <w:rFonts w:ascii="Times New Roman" w:cs="Times New Roman" w:eastAsia="Times New Roman" w:hAnsi="Times New Roman"/>
          <w:sz w:val="24"/>
          <w:szCs w:val="24"/>
          <w:color w:val="auto"/>
        </w:rPr>
        <w:t>Earnings per share (Basic and Diluted)</w:t>
      </w:r>
    </w:p>
    <w:p>
      <w:pPr>
        <w:spacing w:after="0" w:line="137" w:lineRule="exact"/>
        <w:rPr>
          <w:rFonts w:ascii="Symbol" w:cs="Symbol" w:eastAsia="Symbol" w:hAnsi="Symbol"/>
          <w:sz w:val="24"/>
          <w:szCs w:val="24"/>
          <w:color w:val="auto"/>
        </w:rPr>
      </w:pPr>
    </w:p>
    <w:p>
      <w:pPr>
        <w:ind w:left="860" w:hanging="298"/>
        <w:spacing w:after="0"/>
        <w:tabs>
          <w:tab w:leader="none" w:pos="860" w:val="left"/>
        </w:tabs>
        <w:numPr>
          <w:ilvl w:val="2"/>
          <w:numId w:val="854"/>
        </w:numPr>
        <w:rPr>
          <w:rFonts w:ascii="Symbol" w:cs="Symbol" w:eastAsia="Symbol" w:hAnsi="Symbol"/>
          <w:sz w:val="24"/>
          <w:szCs w:val="24"/>
          <w:color w:val="auto"/>
        </w:rPr>
      </w:pPr>
      <w:r>
        <w:rPr>
          <w:rFonts w:ascii="Times New Roman" w:cs="Times New Roman" w:eastAsia="Times New Roman" w:hAnsi="Times New Roman"/>
          <w:sz w:val="24"/>
          <w:szCs w:val="24"/>
          <w:color w:val="auto"/>
        </w:rPr>
        <w:t>Return on net worth</w:t>
      </w:r>
    </w:p>
    <w:p>
      <w:pPr>
        <w:spacing w:after="0" w:line="135" w:lineRule="exact"/>
        <w:rPr>
          <w:rFonts w:ascii="Symbol" w:cs="Symbol" w:eastAsia="Symbol" w:hAnsi="Symbol"/>
          <w:sz w:val="24"/>
          <w:szCs w:val="24"/>
          <w:color w:val="auto"/>
        </w:rPr>
      </w:pPr>
    </w:p>
    <w:p>
      <w:pPr>
        <w:ind w:left="860" w:hanging="298"/>
        <w:spacing w:after="0"/>
        <w:tabs>
          <w:tab w:leader="none" w:pos="860" w:val="left"/>
        </w:tabs>
        <w:numPr>
          <w:ilvl w:val="2"/>
          <w:numId w:val="854"/>
        </w:numPr>
        <w:rPr>
          <w:rFonts w:ascii="Symbol" w:cs="Symbol" w:eastAsia="Symbol" w:hAnsi="Symbol"/>
          <w:sz w:val="24"/>
          <w:szCs w:val="24"/>
          <w:color w:val="auto"/>
        </w:rPr>
      </w:pPr>
      <w:r>
        <w:rPr>
          <w:rFonts w:ascii="Times New Roman" w:cs="Times New Roman" w:eastAsia="Times New Roman" w:hAnsi="Times New Roman"/>
          <w:sz w:val="24"/>
          <w:szCs w:val="24"/>
          <w:color w:val="auto"/>
        </w:rPr>
        <w:t>Net Asset Value per share</w:t>
      </w:r>
    </w:p>
    <w:p>
      <w:pPr>
        <w:spacing w:after="0" w:line="137" w:lineRule="exact"/>
        <w:rPr>
          <w:rFonts w:ascii="Symbol" w:cs="Symbol" w:eastAsia="Symbol" w:hAnsi="Symbol"/>
          <w:sz w:val="24"/>
          <w:szCs w:val="24"/>
          <w:color w:val="auto"/>
        </w:rPr>
      </w:pPr>
    </w:p>
    <w:p>
      <w:pPr>
        <w:ind w:left="860" w:hanging="298"/>
        <w:spacing w:after="0"/>
        <w:tabs>
          <w:tab w:leader="none" w:pos="860" w:val="left"/>
        </w:tabs>
        <w:numPr>
          <w:ilvl w:val="2"/>
          <w:numId w:val="854"/>
        </w:numPr>
        <w:rPr>
          <w:rFonts w:ascii="Symbol" w:cs="Symbol" w:eastAsia="Symbol" w:hAnsi="Symbol"/>
          <w:sz w:val="24"/>
          <w:szCs w:val="24"/>
          <w:color w:val="auto"/>
        </w:rPr>
      </w:pPr>
      <w:r>
        <w:rPr>
          <w:rFonts w:ascii="Times New Roman" w:cs="Times New Roman" w:eastAsia="Times New Roman" w:hAnsi="Times New Roman"/>
          <w:sz w:val="24"/>
          <w:szCs w:val="24"/>
          <w:color w:val="auto"/>
        </w:rPr>
        <w:t>EBITDA</w:t>
      </w:r>
    </w:p>
    <w:p>
      <w:pPr>
        <w:spacing w:after="0" w:line="151" w:lineRule="exact"/>
        <w:rPr>
          <w:rFonts w:ascii="Symbol" w:cs="Symbol" w:eastAsia="Symbol" w:hAnsi="Symbol"/>
          <w:sz w:val="24"/>
          <w:szCs w:val="24"/>
          <w:color w:val="auto"/>
        </w:rPr>
      </w:pPr>
    </w:p>
    <w:p>
      <w:pPr>
        <w:jc w:val="both"/>
        <w:ind w:left="800" w:hanging="368"/>
        <w:spacing w:after="0" w:line="358" w:lineRule="auto"/>
        <w:tabs>
          <w:tab w:leader="none" w:pos="800" w:val="left"/>
        </w:tabs>
        <w:numPr>
          <w:ilvl w:val="1"/>
          <w:numId w:val="854"/>
        </w:numPr>
        <w:rPr>
          <w:rFonts w:ascii="Calibri" w:cs="Calibri" w:eastAsia="Calibri" w:hAnsi="Calibri"/>
          <w:sz w:val="22"/>
          <w:szCs w:val="22"/>
          <w:color w:val="auto"/>
        </w:rPr>
      </w:pPr>
      <w:r>
        <w:rPr>
          <w:rFonts w:ascii="Times New Roman" w:cs="Times New Roman" w:eastAsia="Times New Roman" w:hAnsi="Times New Roman"/>
          <w:sz w:val="24"/>
          <w:szCs w:val="24"/>
          <w:color w:val="auto"/>
        </w:rPr>
        <w:t xml:space="preserve">If the proceeds, fully or partly, directly or indirectly, is to be used for acquisition of one or more material businesses or entities, the audited statements of balance sheets, profit and loss, cash flow for the latest three financial years and stub period (if available) prepared as per framework applicable to the business or subsidiary proposed to be acquired shall be included in the draft offer document/offer document. For this purpose, the proposed acquisition (covering all businesses or subsidiaries proposed to be acquired) shall be considered material if it will make 20% or more contribution in aggregate to either turnover, or net worth or profit before tax in the latest annual CFS. The issuer Company may voluntarily choose to provide financial statements of above acquisitions out of the proceeds of the issue even if they are below the above materiality threshold. In cases where the general purpose financial statement of the businesses/entities to be acquired/ divested are not available , combined/ carved-out financial statements for that business/entity shall be prepared in accordance with </w:t>
      </w:r>
      <w:r>
        <w:rPr>
          <w:rFonts w:ascii="Times New Roman" w:cs="Times New Roman" w:eastAsia="Times New Roman" w:hAnsi="Times New Roman"/>
          <w:sz w:val="24"/>
          <w:szCs w:val="24"/>
          <w:i w:val="1"/>
          <w:iCs w:val="1"/>
          <w:color w:val="auto"/>
        </w:rPr>
        <w:t xml:space="preserve">Guidance Note </w:t>
      </w:r>
      <w:r>
        <w:rPr>
          <w:rFonts w:ascii="Times New Roman" w:cs="Times New Roman" w:eastAsia="Times New Roman" w:hAnsi="Times New Roman"/>
          <w:sz w:val="24"/>
          <w:szCs w:val="24"/>
          <w:color w:val="auto"/>
        </w:rPr>
        <w:t>issued by the ICAI from time to time. The combined/carved-out</w:t>
      </w:r>
    </w:p>
    <w:p>
      <w:pPr>
        <w:spacing w:after="0" w:line="188"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236</w:t>
      </w:r>
    </w:p>
    <w:p>
      <w:pPr>
        <w:sectPr>
          <w:pgSz w:w="11900" w:h="16836" w:orient="portrait"/>
          <w:cols w:equalWidth="0" w:num="1">
            <w:col w:w="9180"/>
          </w:cols>
          <w:pgMar w:left="1440" w:top="1156" w:right="1284" w:bottom="103" w:gutter="0" w:footer="0" w:header="0"/>
        </w:sectPr>
      </w:pPr>
    </w:p>
    <w:bookmarkStart w:id="236" w:name="page237"/>
    <w:bookmarkEnd w:id="236"/>
    <w:p>
      <w:pPr>
        <w:ind w:left="800"/>
        <w:spacing w:after="0" w:line="348" w:lineRule="auto"/>
        <w:rPr>
          <w:sz w:val="20"/>
          <w:szCs w:val="20"/>
          <w:color w:val="auto"/>
        </w:rPr>
      </w:pPr>
      <w:r>
        <w:rPr>
          <w:rFonts w:ascii="Times New Roman" w:cs="Times New Roman" w:eastAsia="Times New Roman" w:hAnsi="Times New Roman"/>
          <w:sz w:val="24"/>
          <w:szCs w:val="24"/>
          <w:color w:val="auto"/>
        </w:rPr>
        <w:t>financials statements shall be audited by the auditor of the seller in accordance with applicable framework.</w:t>
      </w:r>
    </w:p>
    <w:p>
      <w:pPr>
        <w:spacing w:after="0" w:line="28" w:lineRule="exact"/>
        <w:rPr>
          <w:sz w:val="20"/>
          <w:szCs w:val="20"/>
          <w:color w:val="auto"/>
        </w:rPr>
      </w:pPr>
    </w:p>
    <w:p>
      <w:pPr>
        <w:jc w:val="both"/>
        <w:ind w:left="800" w:hanging="368"/>
        <w:spacing w:after="0" w:line="375" w:lineRule="auto"/>
        <w:tabs>
          <w:tab w:leader="none" w:pos="800" w:val="left"/>
        </w:tabs>
        <w:numPr>
          <w:ilvl w:val="1"/>
          <w:numId w:val="855"/>
        </w:numPr>
        <w:rPr>
          <w:rFonts w:ascii="Calibri" w:cs="Calibri" w:eastAsia="Calibri" w:hAnsi="Calibri"/>
          <w:sz w:val="21"/>
          <w:szCs w:val="21"/>
          <w:color w:val="auto"/>
        </w:rPr>
      </w:pPr>
      <w:r>
        <w:rPr>
          <w:rFonts w:ascii="Times New Roman" w:cs="Times New Roman" w:eastAsia="Times New Roman" w:hAnsi="Times New Roman"/>
          <w:sz w:val="23"/>
          <w:szCs w:val="23"/>
          <w:color w:val="auto"/>
        </w:rPr>
        <w:t xml:space="preserve">Proforma financial statements – The Issuer shall provide Proforma financial statements, as certified by the statutory auditor, of all the subsidiaries or businesses material to the consolidated financial statements where the issuer or its subsidiaries have made an acquisition or divestment including deemed disposal after the latest period for which financial information is disclosed in the offer document but before the date of filing of the offer document. For this purpose, the acquisition/divestment would be considered as material if acquired/ divested business or subsidiary in aggregate contributes 20% or more to turnover, net worth or profit before tax in the latest annual CFS of the issuer. The Proforma financial statements shall be prepared for the period covering last completed financial year and the stub period (if any). The Proforma financial statements shall be prepared in accordance with Guidance Note issued by the ICAI from time to time and certified by the statutory auditor. The issuer Company may voluntarily choose to provide proforma financial statements of acquisitions even when they are below the above materiality threshold. In case of one or more acquisitions or divestments, one combined set of Proforma financial statements should be presented. Where the businesses acquired/ divested does not represent a separate entity, general purpose financial statement may not be available for such business. In such cases, combined/ carved-out financial statements for such businesses shall be prepared in accordance with </w:t>
      </w:r>
      <w:r>
        <w:rPr>
          <w:rFonts w:ascii="Times New Roman" w:cs="Times New Roman" w:eastAsia="Times New Roman" w:hAnsi="Times New Roman"/>
          <w:sz w:val="23"/>
          <w:szCs w:val="23"/>
          <w:i w:val="1"/>
          <w:iCs w:val="1"/>
          <w:color w:val="auto"/>
        </w:rPr>
        <w:t>Guidance Note</w:t>
      </w:r>
      <w:r>
        <w:rPr>
          <w:rFonts w:ascii="Times New Roman" w:cs="Times New Roman" w:eastAsia="Times New Roman" w:hAnsi="Times New Roman"/>
          <w:sz w:val="23"/>
          <w:szCs w:val="23"/>
          <w:color w:val="auto"/>
        </w:rPr>
        <w:t xml:space="preserve"> issued by the ICAI from time to time. Further, in case of non-material acquisitions/divestments disclosures in relation to the fact of the acquisition/divestment, consideration paid/received and mode of financing shall be certified by the statutory auditor of the issuer company.</w:t>
      </w:r>
    </w:p>
    <w:p>
      <w:pPr>
        <w:spacing w:after="0" w:line="200" w:lineRule="exact"/>
        <w:rPr>
          <w:rFonts w:ascii="Calibri" w:cs="Calibri" w:eastAsia="Calibri" w:hAnsi="Calibri"/>
          <w:sz w:val="21"/>
          <w:szCs w:val="21"/>
          <w:color w:val="auto"/>
        </w:rPr>
      </w:pPr>
    </w:p>
    <w:p>
      <w:pPr>
        <w:spacing w:after="0" w:line="200" w:lineRule="exact"/>
        <w:rPr>
          <w:rFonts w:ascii="Calibri" w:cs="Calibri" w:eastAsia="Calibri" w:hAnsi="Calibri"/>
          <w:sz w:val="21"/>
          <w:szCs w:val="21"/>
          <w:color w:val="auto"/>
        </w:rPr>
      </w:pPr>
    </w:p>
    <w:p>
      <w:pPr>
        <w:spacing w:after="0" w:line="200" w:lineRule="exact"/>
        <w:rPr>
          <w:rFonts w:ascii="Calibri" w:cs="Calibri" w:eastAsia="Calibri" w:hAnsi="Calibri"/>
          <w:sz w:val="21"/>
          <w:szCs w:val="21"/>
          <w:color w:val="auto"/>
        </w:rPr>
      </w:pPr>
    </w:p>
    <w:p>
      <w:pPr>
        <w:spacing w:after="0" w:line="233" w:lineRule="exact"/>
        <w:rPr>
          <w:rFonts w:ascii="Calibri" w:cs="Calibri" w:eastAsia="Calibri" w:hAnsi="Calibri"/>
          <w:sz w:val="21"/>
          <w:szCs w:val="21"/>
          <w:color w:val="auto"/>
        </w:rPr>
      </w:pPr>
    </w:p>
    <w:p>
      <w:pPr>
        <w:jc w:val="both"/>
        <w:ind w:left="440" w:hanging="368"/>
        <w:spacing w:after="0" w:line="350" w:lineRule="auto"/>
        <w:tabs>
          <w:tab w:leader="none" w:pos="440" w:val="left"/>
        </w:tabs>
        <w:numPr>
          <w:ilvl w:val="0"/>
          <w:numId w:val="856"/>
        </w:numPr>
        <w:rPr>
          <w:rFonts w:ascii="Calibri" w:cs="Calibri" w:eastAsia="Calibri" w:hAnsi="Calibri"/>
          <w:sz w:val="22"/>
          <w:szCs w:val="22"/>
          <w:color w:val="auto"/>
        </w:rPr>
      </w:pPr>
      <w:r>
        <w:rPr>
          <w:rFonts w:ascii="Times New Roman" w:cs="Times New Roman" w:eastAsia="Times New Roman" w:hAnsi="Times New Roman"/>
          <w:sz w:val="24"/>
          <w:szCs w:val="24"/>
          <w:color w:val="auto"/>
        </w:rPr>
        <w:t>Management’s Discussion and Analysis of Financial Position and Results of Operations as reflected in the restated Indian GAAP CFS shall be provided in other financial information.</w:t>
      </w:r>
    </w:p>
    <w:p>
      <w:pPr>
        <w:spacing w:after="0" w:line="25" w:lineRule="exact"/>
        <w:rPr>
          <w:rFonts w:ascii="Calibri" w:cs="Calibri" w:eastAsia="Calibri" w:hAnsi="Calibri"/>
          <w:sz w:val="22"/>
          <w:szCs w:val="22"/>
          <w:color w:val="auto"/>
        </w:rPr>
      </w:pPr>
    </w:p>
    <w:p>
      <w:pPr>
        <w:ind w:left="800" w:right="200" w:hanging="368"/>
        <w:spacing w:after="0" w:line="355" w:lineRule="auto"/>
        <w:tabs>
          <w:tab w:leader="none" w:pos="800" w:val="left"/>
        </w:tabs>
        <w:numPr>
          <w:ilvl w:val="1"/>
          <w:numId w:val="856"/>
        </w:numPr>
        <w:rPr>
          <w:rFonts w:ascii="Calibri" w:cs="Calibri" w:eastAsia="Calibri" w:hAnsi="Calibri"/>
          <w:sz w:val="22"/>
          <w:szCs w:val="22"/>
          <w:color w:val="auto"/>
        </w:rPr>
      </w:pPr>
      <w:r>
        <w:rPr>
          <w:rFonts w:ascii="Times New Roman" w:cs="Times New Roman" w:eastAsia="Times New Roman" w:hAnsi="Times New Roman"/>
          <w:sz w:val="24"/>
          <w:szCs w:val="24"/>
          <w:color w:val="auto"/>
        </w:rPr>
        <w:t>Significant developments subsequent to the last financial year or when applicable subsequent to the stub period: A statement by the directors whether in their opinion there have arisen any circumstances since the date of the last financial statements as disclosed in the offer document and which materially and adversely affect or is likely to affect within the next twelve months :</w:t>
      </w:r>
    </w:p>
    <w:p>
      <w:pPr>
        <w:spacing w:after="0" w:line="5" w:lineRule="exact"/>
        <w:rPr>
          <w:rFonts w:ascii="Calibri" w:cs="Calibri" w:eastAsia="Calibri" w:hAnsi="Calibri"/>
          <w:sz w:val="22"/>
          <w:szCs w:val="22"/>
          <w:color w:val="auto"/>
        </w:rPr>
      </w:pPr>
    </w:p>
    <w:p>
      <w:pPr>
        <w:ind w:left="1700" w:hanging="368"/>
        <w:spacing w:after="0"/>
        <w:tabs>
          <w:tab w:leader="none" w:pos="1700" w:val="left"/>
        </w:tabs>
        <w:numPr>
          <w:ilvl w:val="2"/>
          <w:numId w:val="85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trading or profitability of the issuer; or</w:t>
      </w:r>
    </w:p>
    <w:p>
      <w:pPr>
        <w:spacing w:after="0" w:line="139" w:lineRule="exact"/>
        <w:rPr>
          <w:rFonts w:ascii="Times New Roman" w:cs="Times New Roman" w:eastAsia="Times New Roman" w:hAnsi="Times New Roman"/>
          <w:sz w:val="24"/>
          <w:szCs w:val="24"/>
          <w:color w:val="auto"/>
        </w:rPr>
      </w:pPr>
    </w:p>
    <w:p>
      <w:pPr>
        <w:ind w:left="1700" w:hanging="368"/>
        <w:spacing w:after="0"/>
        <w:tabs>
          <w:tab w:leader="none" w:pos="1700" w:val="left"/>
        </w:tabs>
        <w:numPr>
          <w:ilvl w:val="2"/>
          <w:numId w:val="85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value of its assets; or</w:t>
      </w:r>
    </w:p>
    <w:p>
      <w:pPr>
        <w:spacing w:after="0" w:line="394"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237</w:t>
      </w:r>
    </w:p>
    <w:p>
      <w:pPr>
        <w:sectPr>
          <w:pgSz w:w="11900" w:h="16836" w:orient="portrait"/>
          <w:cols w:equalWidth="0" w:num="1">
            <w:col w:w="9180"/>
          </w:cols>
          <w:pgMar w:left="1440" w:top="1156" w:right="1284" w:bottom="103" w:gutter="0" w:footer="0" w:header="0"/>
        </w:sectPr>
      </w:pPr>
    </w:p>
    <w:bookmarkStart w:id="237" w:name="page238"/>
    <w:bookmarkEnd w:id="237"/>
    <w:p>
      <w:pPr>
        <w:ind w:left="1700" w:hanging="368"/>
        <w:spacing w:after="0"/>
        <w:tabs>
          <w:tab w:leader="none" w:pos="1700" w:val="left"/>
        </w:tabs>
        <w:numPr>
          <w:ilvl w:val="2"/>
          <w:numId w:val="85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its ability to pay its liabilities.</w:t>
      </w:r>
    </w:p>
    <w:p>
      <w:pPr>
        <w:spacing w:after="0" w:line="130" w:lineRule="exact"/>
        <w:rPr>
          <w:rFonts w:ascii="Times New Roman" w:cs="Times New Roman" w:eastAsia="Times New Roman" w:hAnsi="Times New Roman"/>
          <w:sz w:val="24"/>
          <w:szCs w:val="24"/>
          <w:color w:val="auto"/>
        </w:rPr>
      </w:pPr>
    </w:p>
    <w:p>
      <w:pPr>
        <w:ind w:left="800" w:hanging="368"/>
        <w:spacing w:after="0"/>
        <w:tabs>
          <w:tab w:leader="none" w:pos="800" w:val="left"/>
        </w:tabs>
        <w:numPr>
          <w:ilvl w:val="0"/>
          <w:numId w:val="858"/>
        </w:numPr>
        <w:rPr>
          <w:rFonts w:ascii="Calibri" w:cs="Calibri" w:eastAsia="Calibri" w:hAnsi="Calibri"/>
          <w:sz w:val="22"/>
          <w:szCs w:val="22"/>
          <w:color w:val="auto"/>
        </w:rPr>
      </w:pPr>
      <w:r>
        <w:rPr>
          <w:rFonts w:ascii="Times New Roman" w:cs="Times New Roman" w:eastAsia="Times New Roman" w:hAnsi="Times New Roman"/>
          <w:sz w:val="24"/>
          <w:szCs w:val="24"/>
          <w:color w:val="auto"/>
        </w:rPr>
        <w:t>Factors that may affect the results of operations.</w:t>
      </w:r>
    </w:p>
    <w:p>
      <w:pPr>
        <w:spacing w:after="0" w:line="151" w:lineRule="exact"/>
        <w:rPr>
          <w:rFonts w:ascii="Calibri" w:cs="Calibri" w:eastAsia="Calibri" w:hAnsi="Calibri"/>
          <w:sz w:val="22"/>
          <w:szCs w:val="22"/>
          <w:color w:val="auto"/>
        </w:rPr>
      </w:pPr>
    </w:p>
    <w:p>
      <w:pPr>
        <w:ind w:left="800" w:right="240" w:hanging="368"/>
        <w:spacing w:after="0" w:line="342" w:lineRule="auto"/>
        <w:tabs>
          <w:tab w:leader="none" w:pos="800" w:val="left"/>
        </w:tabs>
        <w:numPr>
          <w:ilvl w:val="0"/>
          <w:numId w:val="858"/>
        </w:numPr>
        <w:rPr>
          <w:rFonts w:ascii="Calibri" w:cs="Calibri" w:eastAsia="Calibri" w:hAnsi="Calibri"/>
          <w:sz w:val="22"/>
          <w:szCs w:val="22"/>
          <w:color w:val="auto"/>
        </w:rPr>
      </w:pPr>
      <w:r>
        <w:rPr>
          <w:rFonts w:ascii="Times New Roman" w:cs="Times New Roman" w:eastAsia="Times New Roman" w:hAnsi="Times New Roman"/>
          <w:sz w:val="24"/>
          <w:szCs w:val="24"/>
          <w:color w:val="auto"/>
        </w:rPr>
        <w:t>Discussion on the results of operations: This information shall, inter-alia, contain the following:</w:t>
      </w:r>
    </w:p>
    <w:p>
      <w:pPr>
        <w:spacing w:after="0" w:line="31" w:lineRule="exact"/>
        <w:rPr>
          <w:rFonts w:ascii="Calibri" w:cs="Calibri" w:eastAsia="Calibri" w:hAnsi="Calibri"/>
          <w:sz w:val="22"/>
          <w:szCs w:val="22"/>
          <w:color w:val="auto"/>
        </w:rPr>
      </w:pPr>
    </w:p>
    <w:p>
      <w:pPr>
        <w:jc w:val="both"/>
        <w:ind w:left="1700" w:hanging="368"/>
        <w:spacing w:after="0" w:line="354" w:lineRule="auto"/>
        <w:tabs>
          <w:tab w:leader="none" w:pos="1700" w:val="left"/>
        </w:tabs>
        <w:numPr>
          <w:ilvl w:val="2"/>
          <w:numId w:val="85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summary of the past financial results after adjustments as given in the auditor’s report for the past three full financial years and the stub period (if any) containing significant items of income and expenditure shall be given.</w:t>
      </w:r>
    </w:p>
    <w:p>
      <w:pPr>
        <w:spacing w:after="0" w:line="19" w:lineRule="exact"/>
        <w:rPr>
          <w:rFonts w:ascii="Times New Roman" w:cs="Times New Roman" w:eastAsia="Times New Roman" w:hAnsi="Times New Roman"/>
          <w:sz w:val="24"/>
          <w:szCs w:val="24"/>
          <w:color w:val="auto"/>
        </w:rPr>
      </w:pPr>
    </w:p>
    <w:p>
      <w:pPr>
        <w:ind w:left="1700" w:hanging="368"/>
        <w:spacing w:after="0" w:line="350" w:lineRule="auto"/>
        <w:tabs>
          <w:tab w:leader="none" w:pos="1700" w:val="left"/>
        </w:tabs>
        <w:numPr>
          <w:ilvl w:val="2"/>
          <w:numId w:val="85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summary of major items of income and expenditure for the last three years and most recent audit period</w:t>
      </w:r>
    </w:p>
    <w:p>
      <w:pPr>
        <w:spacing w:after="0" w:line="11" w:lineRule="exact"/>
        <w:rPr>
          <w:rFonts w:ascii="Times New Roman" w:cs="Times New Roman" w:eastAsia="Times New Roman" w:hAnsi="Times New Roman"/>
          <w:sz w:val="24"/>
          <w:szCs w:val="24"/>
          <w:color w:val="auto"/>
        </w:rPr>
      </w:pPr>
    </w:p>
    <w:p>
      <w:pPr>
        <w:ind w:left="1700" w:hanging="368"/>
        <w:spacing w:after="0"/>
        <w:tabs>
          <w:tab w:leader="none" w:pos="1700" w:val="left"/>
        </w:tabs>
        <w:numPr>
          <w:ilvl w:val="2"/>
          <w:numId w:val="85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income and sales on account of major product/ main activities.</w:t>
      </w:r>
    </w:p>
    <w:p>
      <w:pPr>
        <w:spacing w:after="0" w:line="151" w:lineRule="exact"/>
        <w:rPr>
          <w:rFonts w:ascii="Times New Roman" w:cs="Times New Roman" w:eastAsia="Times New Roman" w:hAnsi="Times New Roman"/>
          <w:sz w:val="24"/>
          <w:szCs w:val="24"/>
          <w:color w:val="auto"/>
        </w:rPr>
      </w:pPr>
    </w:p>
    <w:p>
      <w:pPr>
        <w:jc w:val="both"/>
        <w:ind w:left="1700" w:hanging="368"/>
        <w:spacing w:after="0" w:line="354" w:lineRule="auto"/>
        <w:tabs>
          <w:tab w:leader="none" w:pos="1700" w:val="left"/>
        </w:tabs>
        <w:numPr>
          <w:ilvl w:val="2"/>
          <w:numId w:val="85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the other income constitutes more than 10% of the total income, the break-up of the same along with the nature of the income, i.e., recurring or non-recurring shall be stated.</w:t>
      </w:r>
    </w:p>
    <w:p>
      <w:pPr>
        <w:spacing w:after="0" w:line="19" w:lineRule="exact"/>
        <w:rPr>
          <w:rFonts w:ascii="Times New Roman" w:cs="Times New Roman" w:eastAsia="Times New Roman" w:hAnsi="Times New Roman"/>
          <w:sz w:val="24"/>
          <w:szCs w:val="24"/>
          <w:color w:val="auto"/>
        </w:rPr>
      </w:pPr>
    </w:p>
    <w:p>
      <w:pPr>
        <w:jc w:val="both"/>
        <w:ind w:left="1700" w:hanging="368"/>
        <w:spacing w:after="0" w:line="357" w:lineRule="auto"/>
        <w:tabs>
          <w:tab w:leader="none" w:pos="1700" w:val="left"/>
        </w:tabs>
        <w:numPr>
          <w:ilvl w:val="2"/>
          <w:numId w:val="85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a material part of the income is dependent upon a single customer/supplier or a few major customers/suppliers, disclosure of this fact along with relevant data. Similarly if any foreign customer/supplier constitutes a significant portion of the issuer’s business, disclosure of the fact along with its impact on the business on account of exchange rate fluctuations.</w:t>
      </w:r>
    </w:p>
    <w:p>
      <w:pPr>
        <w:spacing w:after="0" w:line="19" w:lineRule="exact"/>
        <w:rPr>
          <w:rFonts w:ascii="Times New Roman" w:cs="Times New Roman" w:eastAsia="Times New Roman" w:hAnsi="Times New Roman"/>
          <w:sz w:val="24"/>
          <w:szCs w:val="24"/>
          <w:color w:val="auto"/>
        </w:rPr>
      </w:pPr>
    </w:p>
    <w:p>
      <w:pPr>
        <w:ind w:left="1700" w:hanging="368"/>
        <w:spacing w:after="0" w:line="348" w:lineRule="auto"/>
        <w:tabs>
          <w:tab w:leader="none" w:pos="1700" w:val="left"/>
        </w:tabs>
        <w:numPr>
          <w:ilvl w:val="2"/>
          <w:numId w:val="85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the issuer has deviated from statutorily prescribed manner for recording sales and revenues, its impact may be analysed and disclosed.</w:t>
      </w:r>
    </w:p>
    <w:p>
      <w:pPr>
        <w:spacing w:after="0" w:line="27" w:lineRule="exact"/>
        <w:rPr>
          <w:rFonts w:ascii="Times New Roman" w:cs="Times New Roman" w:eastAsia="Times New Roman" w:hAnsi="Times New Roman"/>
          <w:sz w:val="24"/>
          <w:szCs w:val="24"/>
          <w:color w:val="auto"/>
        </w:rPr>
      </w:pPr>
    </w:p>
    <w:p>
      <w:pPr>
        <w:ind w:left="1700" w:hanging="368"/>
        <w:spacing w:after="0" w:line="348" w:lineRule="auto"/>
        <w:tabs>
          <w:tab w:leader="none" w:pos="1700" w:val="left"/>
        </w:tabs>
        <w:numPr>
          <w:ilvl w:val="2"/>
          <w:numId w:val="85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nature of miscellaneous income and miscellaneous expenditure for the interim period and the preceding years, if applicable.</w:t>
      </w:r>
    </w:p>
    <w:p>
      <w:pPr>
        <w:spacing w:after="0" w:line="27" w:lineRule="exact"/>
        <w:rPr>
          <w:rFonts w:ascii="Times New Roman" w:cs="Times New Roman" w:eastAsia="Times New Roman" w:hAnsi="Times New Roman"/>
          <w:sz w:val="24"/>
          <w:szCs w:val="24"/>
          <w:color w:val="auto"/>
        </w:rPr>
      </w:pPr>
    </w:p>
    <w:p>
      <w:pPr>
        <w:jc w:val="both"/>
        <w:ind w:left="980" w:hanging="351"/>
        <w:spacing w:after="0" w:line="353" w:lineRule="auto"/>
        <w:tabs>
          <w:tab w:leader="none" w:pos="980" w:val="left"/>
        </w:tabs>
        <w:numPr>
          <w:ilvl w:val="1"/>
          <w:numId w:val="858"/>
        </w:numPr>
        <w:rPr>
          <w:rFonts w:ascii="Calibri" w:cs="Calibri" w:eastAsia="Calibri" w:hAnsi="Calibri"/>
          <w:sz w:val="22"/>
          <w:szCs w:val="22"/>
          <w:color w:val="auto"/>
        </w:rPr>
      </w:pPr>
      <w:r>
        <w:rPr>
          <w:rFonts w:ascii="Times New Roman" w:cs="Times New Roman" w:eastAsia="Times New Roman" w:hAnsi="Times New Roman"/>
          <w:sz w:val="24"/>
          <w:szCs w:val="24"/>
          <w:color w:val="auto"/>
        </w:rPr>
        <w:t>Comparison of last three years and the stub period on the major heads of the profit and loss statement, including an analysis of reasons for the changes in significant items of income and expenditure shall also be given, inter-alia, containing the following:</w:t>
      </w:r>
    </w:p>
    <w:p>
      <w:pPr>
        <w:spacing w:after="0" w:line="22" w:lineRule="exact"/>
        <w:rPr>
          <w:rFonts w:ascii="Calibri" w:cs="Calibri" w:eastAsia="Calibri" w:hAnsi="Calibri"/>
          <w:sz w:val="22"/>
          <w:szCs w:val="22"/>
          <w:color w:val="auto"/>
        </w:rPr>
      </w:pPr>
    </w:p>
    <w:p>
      <w:pPr>
        <w:jc w:val="both"/>
        <w:ind w:left="1700" w:hanging="368"/>
        <w:spacing w:after="0" w:line="354" w:lineRule="auto"/>
        <w:tabs>
          <w:tab w:leader="none" w:pos="1700" w:val="left"/>
        </w:tabs>
        <w:numPr>
          <w:ilvl w:val="2"/>
          <w:numId w:val="85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unusual or infrequent events or transactions including unusual trends on account of business activity, unusual items of income, change of accounting policies and discretionary reduction of expenses etc.</w:t>
      </w:r>
    </w:p>
    <w:p>
      <w:pPr>
        <w:spacing w:after="0" w:line="19" w:lineRule="exact"/>
        <w:rPr>
          <w:rFonts w:ascii="Times New Roman" w:cs="Times New Roman" w:eastAsia="Times New Roman" w:hAnsi="Times New Roman"/>
          <w:sz w:val="24"/>
          <w:szCs w:val="24"/>
          <w:color w:val="auto"/>
        </w:rPr>
      </w:pPr>
    </w:p>
    <w:p>
      <w:pPr>
        <w:ind w:left="1700" w:hanging="368"/>
        <w:spacing w:after="0" w:line="350" w:lineRule="auto"/>
        <w:tabs>
          <w:tab w:leader="none" w:pos="1700" w:val="left"/>
        </w:tabs>
        <w:numPr>
          <w:ilvl w:val="2"/>
          <w:numId w:val="85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significant economic changes that materially affected or are likely to affect income from continuing operations;</w:t>
      </w:r>
    </w:p>
    <w:p>
      <w:pPr>
        <w:spacing w:after="0" w:line="23" w:lineRule="exact"/>
        <w:rPr>
          <w:rFonts w:ascii="Times New Roman" w:cs="Times New Roman" w:eastAsia="Times New Roman" w:hAnsi="Times New Roman"/>
          <w:sz w:val="24"/>
          <w:szCs w:val="24"/>
          <w:color w:val="auto"/>
        </w:rPr>
      </w:pPr>
    </w:p>
    <w:p>
      <w:pPr>
        <w:ind w:left="1700" w:hanging="368"/>
        <w:spacing w:after="0" w:line="376" w:lineRule="auto"/>
        <w:tabs>
          <w:tab w:leader="none" w:pos="1700" w:val="left"/>
        </w:tabs>
        <w:numPr>
          <w:ilvl w:val="2"/>
          <w:numId w:val="858"/>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known trends or uncertainties that have had or are expected to have a material adverse impact on sales, revenue or income from continuing operations;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238</w:t>
      </w:r>
    </w:p>
    <w:p>
      <w:pPr>
        <w:sectPr>
          <w:pgSz w:w="11900" w:h="16836" w:orient="portrait"/>
          <w:cols w:equalWidth="0" w:num="1">
            <w:col w:w="9180"/>
          </w:cols>
          <w:pgMar w:left="1440" w:top="1144" w:right="1284" w:bottom="103" w:gutter="0" w:footer="0" w:header="0"/>
        </w:sectPr>
      </w:pPr>
    </w:p>
    <w:bookmarkStart w:id="238" w:name="page239"/>
    <w:bookmarkEnd w:id="238"/>
    <w:p>
      <w:pPr>
        <w:jc w:val="both"/>
        <w:ind w:left="1700" w:hanging="368"/>
        <w:spacing w:after="0" w:line="354" w:lineRule="auto"/>
        <w:tabs>
          <w:tab w:leader="none" w:pos="1700" w:val="left"/>
        </w:tabs>
        <w:numPr>
          <w:ilvl w:val="3"/>
          <w:numId w:val="85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expected future changes in relationship between costs and revenues, in case of events such as future increase in labour or material costs or prices that will cause a material change are known;</w:t>
      </w:r>
    </w:p>
    <w:p>
      <w:pPr>
        <w:spacing w:after="0" w:line="20" w:lineRule="exact"/>
        <w:rPr>
          <w:rFonts w:ascii="Times New Roman" w:cs="Times New Roman" w:eastAsia="Times New Roman" w:hAnsi="Times New Roman"/>
          <w:sz w:val="24"/>
          <w:szCs w:val="24"/>
          <w:color w:val="auto"/>
        </w:rPr>
      </w:pPr>
    </w:p>
    <w:p>
      <w:pPr>
        <w:jc w:val="both"/>
        <w:ind w:left="1700" w:hanging="368"/>
        <w:spacing w:after="0" w:line="354" w:lineRule="auto"/>
        <w:tabs>
          <w:tab w:leader="none" w:pos="1700" w:val="left"/>
        </w:tabs>
        <w:numPr>
          <w:ilvl w:val="3"/>
          <w:numId w:val="85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extent to which material increases in net sales or revenue are due to increased sales volume, introduction of new products or services or increased sales prices;</w:t>
      </w:r>
    </w:p>
    <w:p>
      <w:pPr>
        <w:spacing w:after="0" w:line="9" w:lineRule="exact"/>
        <w:rPr>
          <w:rFonts w:ascii="Times New Roman" w:cs="Times New Roman" w:eastAsia="Times New Roman" w:hAnsi="Times New Roman"/>
          <w:sz w:val="24"/>
          <w:szCs w:val="24"/>
          <w:color w:val="auto"/>
        </w:rPr>
      </w:pPr>
    </w:p>
    <w:p>
      <w:pPr>
        <w:ind w:left="1700" w:hanging="368"/>
        <w:spacing w:after="0"/>
        <w:tabs>
          <w:tab w:leader="none" w:pos="1700" w:val="left"/>
        </w:tabs>
        <w:numPr>
          <w:ilvl w:val="3"/>
          <w:numId w:val="85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total turnover of each major industry segment in which the issuer operated;</w:t>
      </w:r>
    </w:p>
    <w:p>
      <w:pPr>
        <w:spacing w:after="0" w:line="136" w:lineRule="exact"/>
        <w:rPr>
          <w:rFonts w:ascii="Times New Roman" w:cs="Times New Roman" w:eastAsia="Times New Roman" w:hAnsi="Times New Roman"/>
          <w:sz w:val="24"/>
          <w:szCs w:val="24"/>
          <w:color w:val="auto"/>
        </w:rPr>
      </w:pPr>
    </w:p>
    <w:p>
      <w:pPr>
        <w:ind w:left="1700" w:hanging="368"/>
        <w:spacing w:after="0"/>
        <w:tabs>
          <w:tab w:leader="none" w:pos="1700" w:val="left"/>
        </w:tabs>
        <w:numPr>
          <w:ilvl w:val="3"/>
          <w:numId w:val="85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status of any publicly announced new products or business segment;</w:t>
      </w:r>
    </w:p>
    <w:p>
      <w:pPr>
        <w:spacing w:after="0" w:line="139" w:lineRule="exact"/>
        <w:rPr>
          <w:rFonts w:ascii="Times New Roman" w:cs="Times New Roman" w:eastAsia="Times New Roman" w:hAnsi="Times New Roman"/>
          <w:sz w:val="24"/>
          <w:szCs w:val="24"/>
          <w:color w:val="auto"/>
        </w:rPr>
      </w:pPr>
    </w:p>
    <w:p>
      <w:pPr>
        <w:ind w:left="1700" w:hanging="368"/>
        <w:spacing w:after="0"/>
        <w:tabs>
          <w:tab w:leader="none" w:pos="1700" w:val="left"/>
        </w:tabs>
        <w:numPr>
          <w:ilvl w:val="3"/>
          <w:numId w:val="85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extent to which business is seasonal;</w:t>
      </w:r>
    </w:p>
    <w:p>
      <w:pPr>
        <w:spacing w:after="0" w:line="136" w:lineRule="exact"/>
        <w:rPr>
          <w:rFonts w:ascii="Times New Roman" w:cs="Times New Roman" w:eastAsia="Times New Roman" w:hAnsi="Times New Roman"/>
          <w:sz w:val="24"/>
          <w:szCs w:val="24"/>
          <w:color w:val="auto"/>
        </w:rPr>
      </w:pPr>
    </w:p>
    <w:p>
      <w:pPr>
        <w:ind w:left="1700" w:hanging="368"/>
        <w:spacing w:after="0"/>
        <w:tabs>
          <w:tab w:leader="none" w:pos="1700" w:val="left"/>
        </w:tabs>
        <w:numPr>
          <w:ilvl w:val="3"/>
          <w:numId w:val="85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significant dependence on a single or few suppliers or customers;</w:t>
      </w:r>
    </w:p>
    <w:p>
      <w:pPr>
        <w:spacing w:after="0" w:line="139" w:lineRule="exact"/>
        <w:rPr>
          <w:rFonts w:ascii="Times New Roman" w:cs="Times New Roman" w:eastAsia="Times New Roman" w:hAnsi="Times New Roman"/>
          <w:sz w:val="24"/>
          <w:szCs w:val="24"/>
          <w:color w:val="auto"/>
        </w:rPr>
      </w:pPr>
    </w:p>
    <w:p>
      <w:pPr>
        <w:ind w:left="1700" w:hanging="368"/>
        <w:spacing w:after="0"/>
        <w:tabs>
          <w:tab w:leader="none" w:pos="1700" w:val="left"/>
        </w:tabs>
        <w:numPr>
          <w:ilvl w:val="3"/>
          <w:numId w:val="85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competitive conditions.</w:t>
      </w:r>
    </w:p>
    <w:p>
      <w:pPr>
        <w:spacing w:after="0" w:line="149" w:lineRule="exact"/>
        <w:rPr>
          <w:rFonts w:ascii="Times New Roman" w:cs="Times New Roman" w:eastAsia="Times New Roman" w:hAnsi="Times New Roman"/>
          <w:sz w:val="24"/>
          <w:szCs w:val="24"/>
          <w:color w:val="auto"/>
        </w:rPr>
      </w:pPr>
    </w:p>
    <w:p>
      <w:pPr>
        <w:ind w:left="980" w:hanging="351"/>
        <w:spacing w:after="0" w:line="344" w:lineRule="auto"/>
        <w:tabs>
          <w:tab w:leader="none" w:pos="980" w:val="left"/>
        </w:tabs>
        <w:numPr>
          <w:ilvl w:val="2"/>
          <w:numId w:val="860"/>
        </w:numPr>
        <w:rPr>
          <w:rFonts w:ascii="Calibri" w:cs="Calibri" w:eastAsia="Calibri" w:hAnsi="Calibri"/>
          <w:sz w:val="22"/>
          <w:szCs w:val="22"/>
          <w:color w:val="auto"/>
        </w:rPr>
      </w:pPr>
      <w:r>
        <w:rPr>
          <w:rFonts w:ascii="Times New Roman" w:cs="Times New Roman" w:eastAsia="Times New Roman" w:hAnsi="Times New Roman"/>
          <w:sz w:val="24"/>
          <w:szCs w:val="24"/>
          <w:color w:val="auto"/>
        </w:rPr>
        <w:t>Management’s Discussion and Analysis shall be based on the restated financial information for the last three years and the stub period.</w:t>
      </w:r>
    </w:p>
    <w:p>
      <w:pPr>
        <w:spacing w:after="0" w:line="200" w:lineRule="exact"/>
        <w:rPr>
          <w:rFonts w:ascii="Calibri" w:cs="Calibri" w:eastAsia="Calibri" w:hAnsi="Calibri"/>
          <w:sz w:val="22"/>
          <w:szCs w:val="22"/>
          <w:color w:val="auto"/>
        </w:rPr>
      </w:pPr>
    </w:p>
    <w:p>
      <w:pPr>
        <w:spacing w:after="0" w:line="222" w:lineRule="exact"/>
        <w:rPr>
          <w:rFonts w:ascii="Calibri" w:cs="Calibri" w:eastAsia="Calibri" w:hAnsi="Calibri"/>
          <w:sz w:val="22"/>
          <w:szCs w:val="22"/>
          <w:color w:val="auto"/>
        </w:rPr>
      </w:pPr>
    </w:p>
    <w:p>
      <w:pPr>
        <w:ind w:left="440" w:hanging="368"/>
        <w:spacing w:after="0"/>
        <w:tabs>
          <w:tab w:leader="none" w:pos="440" w:val="left"/>
        </w:tabs>
        <w:numPr>
          <w:ilvl w:val="0"/>
          <w:numId w:val="861"/>
        </w:numPr>
        <w:rPr>
          <w:rFonts w:ascii="Calibri" w:cs="Calibri" w:eastAsia="Calibri" w:hAnsi="Calibri"/>
          <w:sz w:val="22"/>
          <w:szCs w:val="22"/>
          <w:color w:val="auto"/>
        </w:rPr>
      </w:pPr>
      <w:r>
        <w:rPr>
          <w:rFonts w:ascii="Times New Roman" w:cs="Times New Roman" w:eastAsia="Times New Roman" w:hAnsi="Times New Roman"/>
          <w:sz w:val="24"/>
          <w:szCs w:val="24"/>
          <w:color w:val="auto"/>
        </w:rPr>
        <w:t>Capitalisation statement</w:t>
      </w:r>
    </w:p>
    <w:p>
      <w:pPr>
        <w:spacing w:after="0" w:line="149" w:lineRule="exact"/>
        <w:rPr>
          <w:rFonts w:ascii="Calibri" w:cs="Calibri" w:eastAsia="Calibri" w:hAnsi="Calibri"/>
          <w:sz w:val="22"/>
          <w:szCs w:val="22"/>
          <w:color w:val="auto"/>
        </w:rPr>
      </w:pPr>
    </w:p>
    <w:p>
      <w:pPr>
        <w:jc w:val="both"/>
        <w:ind w:left="980" w:hanging="368"/>
        <w:spacing w:after="0" w:line="353" w:lineRule="auto"/>
        <w:tabs>
          <w:tab w:leader="none" w:pos="980" w:val="left"/>
        </w:tabs>
        <w:numPr>
          <w:ilvl w:val="1"/>
          <w:numId w:val="861"/>
        </w:numPr>
        <w:rPr>
          <w:rFonts w:ascii="Calibri" w:cs="Calibri" w:eastAsia="Calibri" w:hAnsi="Calibri"/>
          <w:sz w:val="22"/>
          <w:szCs w:val="22"/>
          <w:color w:val="auto"/>
        </w:rPr>
      </w:pPr>
      <w:r>
        <w:rPr>
          <w:rFonts w:ascii="Times New Roman" w:cs="Times New Roman" w:eastAsia="Times New Roman" w:hAnsi="Times New Roman"/>
          <w:sz w:val="24"/>
          <w:szCs w:val="24"/>
          <w:color w:val="auto"/>
        </w:rPr>
        <w:t>Capitalisation Statement showing total borrowings, total equity, and the borrowing/ equity ratios before and after the issue is made shall be incorporated. It shall be prepared on the basis of the restated CFS for the latest financial year or when applicable at the end of the stub period.</w:t>
      </w:r>
    </w:p>
    <w:p>
      <w:pPr>
        <w:spacing w:after="0" w:line="22" w:lineRule="exact"/>
        <w:rPr>
          <w:rFonts w:ascii="Calibri" w:cs="Calibri" w:eastAsia="Calibri" w:hAnsi="Calibri"/>
          <w:sz w:val="22"/>
          <w:szCs w:val="22"/>
          <w:color w:val="auto"/>
        </w:rPr>
      </w:pPr>
    </w:p>
    <w:p>
      <w:pPr>
        <w:jc w:val="both"/>
        <w:ind w:left="980" w:hanging="368"/>
        <w:spacing w:after="0" w:line="350" w:lineRule="auto"/>
        <w:tabs>
          <w:tab w:leader="none" w:pos="980" w:val="left"/>
        </w:tabs>
        <w:numPr>
          <w:ilvl w:val="1"/>
          <w:numId w:val="861"/>
        </w:numPr>
        <w:rPr>
          <w:rFonts w:ascii="Calibri" w:cs="Calibri" w:eastAsia="Calibri" w:hAnsi="Calibri"/>
          <w:sz w:val="22"/>
          <w:szCs w:val="22"/>
          <w:color w:val="auto"/>
        </w:rPr>
      </w:pPr>
      <w:r>
        <w:rPr>
          <w:rFonts w:ascii="Times New Roman" w:cs="Times New Roman" w:eastAsia="Times New Roman" w:hAnsi="Times New Roman"/>
          <w:sz w:val="24"/>
          <w:szCs w:val="24"/>
          <w:color w:val="auto"/>
        </w:rPr>
        <w:t>In case of any change in the share capital since the date as of which the financial information has been disclosed in the offer document, a note explaining the nature of the change shall be given.</w:t>
      </w:r>
    </w:p>
    <w:p>
      <w:pPr>
        <w:spacing w:after="0" w:line="5" w:lineRule="exact"/>
        <w:rPr>
          <w:rFonts w:ascii="Calibri" w:cs="Calibri" w:eastAsia="Calibri" w:hAnsi="Calibri"/>
          <w:sz w:val="22"/>
          <w:szCs w:val="22"/>
          <w:color w:val="auto"/>
        </w:rPr>
      </w:pPr>
    </w:p>
    <w:p>
      <w:pPr>
        <w:ind w:left="980" w:hanging="368"/>
        <w:spacing w:after="0"/>
        <w:tabs>
          <w:tab w:leader="none" w:pos="980" w:val="left"/>
        </w:tabs>
        <w:numPr>
          <w:ilvl w:val="1"/>
          <w:numId w:val="861"/>
        </w:numPr>
        <w:rPr>
          <w:rFonts w:ascii="Calibri" w:cs="Calibri" w:eastAsia="Calibri" w:hAnsi="Calibri"/>
          <w:sz w:val="22"/>
          <w:szCs w:val="22"/>
          <w:color w:val="auto"/>
        </w:rPr>
      </w:pPr>
      <w:r>
        <w:rPr>
          <w:rFonts w:ascii="Times New Roman" w:cs="Times New Roman" w:eastAsia="Times New Roman" w:hAnsi="Times New Roman"/>
          <w:sz w:val="24"/>
          <w:szCs w:val="24"/>
          <w:color w:val="auto"/>
        </w:rPr>
        <w:t>An illustrative format of the Capitalisation Statement is specified hereunder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461645</wp:posOffset>
                </wp:positionH>
                <wp:positionV relativeFrom="paragraph">
                  <wp:posOffset>358775</wp:posOffset>
                </wp:positionV>
                <wp:extent cx="5227320" cy="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732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5" o:spid="_x0000_s10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35pt,28.25pt" to="447.95pt,28.2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2266315</wp:posOffset>
                </wp:positionH>
                <wp:positionV relativeFrom="paragraph">
                  <wp:posOffset>355600</wp:posOffset>
                </wp:positionV>
                <wp:extent cx="0" cy="537845"/>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3784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6" o:spid="_x0000_s10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8.45pt,28pt" to="178.45pt,70.3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4067175</wp:posOffset>
                </wp:positionH>
                <wp:positionV relativeFrom="paragraph">
                  <wp:posOffset>355600</wp:posOffset>
                </wp:positionV>
                <wp:extent cx="0" cy="537845"/>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3784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7" o:spid="_x0000_s10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20.25pt,28pt" to="320.25pt,70.3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461645</wp:posOffset>
                </wp:positionH>
                <wp:positionV relativeFrom="paragraph">
                  <wp:posOffset>890270</wp:posOffset>
                </wp:positionV>
                <wp:extent cx="5227320" cy="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732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8" o:spid="_x0000_s10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35pt,70.1pt" to="447.95pt,70.1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461645</wp:posOffset>
                </wp:positionH>
                <wp:positionV relativeFrom="paragraph">
                  <wp:posOffset>1422400</wp:posOffset>
                </wp:positionV>
                <wp:extent cx="5227320" cy="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732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9" o:spid="_x0000_s10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35pt,112pt" to="447.95pt,112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461645</wp:posOffset>
                </wp:positionH>
                <wp:positionV relativeFrom="paragraph">
                  <wp:posOffset>1692275</wp:posOffset>
                </wp:positionV>
                <wp:extent cx="5227320" cy="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732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0" o:spid="_x0000_s10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35pt,133.25pt" to="447.95pt,133.2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461645</wp:posOffset>
                </wp:positionH>
                <wp:positionV relativeFrom="paragraph">
                  <wp:posOffset>1960245</wp:posOffset>
                </wp:positionV>
                <wp:extent cx="5227320" cy="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732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1" o:spid="_x0000_s10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35pt,154.35pt" to="447.95pt,154.3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461645</wp:posOffset>
                </wp:positionH>
                <wp:positionV relativeFrom="paragraph">
                  <wp:posOffset>2755900</wp:posOffset>
                </wp:positionV>
                <wp:extent cx="5227320" cy="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732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2" o:spid="_x0000_s10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35pt,217pt" to="447.95pt,217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464820</wp:posOffset>
                </wp:positionH>
                <wp:positionV relativeFrom="paragraph">
                  <wp:posOffset>355600</wp:posOffset>
                </wp:positionV>
                <wp:extent cx="0" cy="267335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7335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63" o:spid="_x0000_s10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6pt,28pt" to="36.6pt,238.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5685790</wp:posOffset>
                </wp:positionH>
                <wp:positionV relativeFrom="paragraph">
                  <wp:posOffset>355600</wp:posOffset>
                </wp:positionV>
                <wp:extent cx="0" cy="267335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7335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64" o:spid="_x0000_s10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47.7pt,28pt" to="447.7pt,238.5pt" o:allowincell="f" strokecolor="#000000" strokeweight="0.48pt"/>
            </w:pict>
          </mc:Fallback>
        </mc:AlternateContent>
      </w:r>
    </w:p>
    <w:p>
      <w:pPr>
        <w:spacing w:after="0" w:line="200" w:lineRule="exact"/>
        <w:rPr>
          <w:sz w:val="20"/>
          <w:szCs w:val="20"/>
          <w:color w:val="auto"/>
        </w:rPr>
      </w:pPr>
    </w:p>
    <w:p>
      <w:pPr>
        <w:spacing w:after="0" w:line="347" w:lineRule="exact"/>
        <w:rPr>
          <w:sz w:val="20"/>
          <w:szCs w:val="20"/>
          <w:color w:val="auto"/>
        </w:rPr>
      </w:pPr>
    </w:p>
    <w:tbl>
      <w:tblPr>
        <w:tblLayout w:type="fixed"/>
        <w:tblInd w:w="1580" w:type="dxa"/>
        <w:tblCellMar>
          <w:top w:w="0" w:type="dxa"/>
          <w:left w:w="0" w:type="dxa"/>
          <w:bottom w:w="0" w:type="dxa"/>
          <w:right w:w="0" w:type="dxa"/>
        </w:tblCellMar>
      </w:tblPr>
      <w:tr>
        <w:trPr>
          <w:trHeight w:val="276"/>
        </w:trPr>
        <w:tc>
          <w:tcPr>
            <w:tcW w:w="1980" w:type="dxa"/>
            <w:vAlign w:val="bottom"/>
          </w:tcPr>
          <w:p>
            <w:pPr>
              <w:spacing w:after="0"/>
              <w:rPr>
                <w:sz w:val="20"/>
                <w:szCs w:val="20"/>
                <w:color w:val="auto"/>
              </w:rPr>
            </w:pPr>
            <w:r>
              <w:rPr>
                <w:rFonts w:ascii="Times New Roman" w:cs="Times New Roman" w:eastAsia="Times New Roman" w:hAnsi="Times New Roman"/>
                <w:sz w:val="24"/>
                <w:szCs w:val="24"/>
                <w:b w:val="1"/>
                <w:bCs w:val="1"/>
                <w:color w:val="auto"/>
              </w:rPr>
              <w:t>Particulars</w:t>
            </w:r>
          </w:p>
        </w:tc>
        <w:tc>
          <w:tcPr>
            <w:tcW w:w="2580" w:type="dxa"/>
            <w:vAlign w:val="bottom"/>
          </w:tcPr>
          <w:p>
            <w:pPr>
              <w:ind w:left="840"/>
              <w:spacing w:after="0"/>
              <w:rPr>
                <w:sz w:val="20"/>
                <w:szCs w:val="20"/>
                <w:color w:val="auto"/>
              </w:rPr>
            </w:pPr>
            <w:r>
              <w:rPr>
                <w:rFonts w:ascii="Times New Roman" w:cs="Times New Roman" w:eastAsia="Times New Roman" w:hAnsi="Times New Roman"/>
                <w:sz w:val="24"/>
                <w:szCs w:val="24"/>
                <w:b w:val="1"/>
                <w:bCs w:val="1"/>
                <w:color w:val="auto"/>
              </w:rPr>
              <w:t>Pre-issue at</w:t>
            </w:r>
          </w:p>
        </w:tc>
        <w:tc>
          <w:tcPr>
            <w:tcW w:w="2520" w:type="dxa"/>
            <w:vAlign w:val="bottom"/>
          </w:tcPr>
          <w:p>
            <w:pPr>
              <w:ind w:left="560"/>
              <w:spacing w:after="0"/>
              <w:rPr>
                <w:sz w:val="20"/>
                <w:szCs w:val="20"/>
                <w:color w:val="auto"/>
              </w:rPr>
            </w:pPr>
            <w:r>
              <w:rPr>
                <w:rFonts w:ascii="Times New Roman" w:cs="Times New Roman" w:eastAsia="Times New Roman" w:hAnsi="Times New Roman"/>
                <w:sz w:val="24"/>
                <w:szCs w:val="24"/>
                <w:b w:val="1"/>
                <w:bCs w:val="1"/>
                <w:color w:val="auto"/>
                <w:w w:val="99"/>
              </w:rPr>
              <w:t>As adjusted for the</w:t>
            </w:r>
          </w:p>
        </w:tc>
      </w:tr>
    </w:tbl>
    <w:p>
      <w:pPr>
        <w:spacing w:after="0" w:line="137" w:lineRule="exact"/>
        <w:rPr>
          <w:sz w:val="20"/>
          <w:szCs w:val="20"/>
          <w:color w:val="auto"/>
        </w:rPr>
      </w:pPr>
    </w:p>
    <w:p>
      <w:pPr>
        <w:ind w:left="6920"/>
        <w:spacing w:after="0"/>
        <w:rPr>
          <w:sz w:val="20"/>
          <w:szCs w:val="20"/>
          <w:color w:val="auto"/>
        </w:rPr>
      </w:pPr>
      <w:r>
        <w:rPr>
          <w:rFonts w:ascii="Times New Roman" w:cs="Times New Roman" w:eastAsia="Times New Roman" w:hAnsi="Times New Roman"/>
          <w:sz w:val="24"/>
          <w:szCs w:val="24"/>
          <w:b w:val="1"/>
          <w:bCs w:val="1"/>
          <w:color w:val="auto"/>
        </w:rPr>
        <w:t>proposed issue</w:t>
      </w:r>
    </w:p>
    <w:p>
      <w:pPr>
        <w:spacing w:after="0" w:line="144" w:lineRule="exact"/>
        <w:rPr>
          <w:sz w:val="20"/>
          <w:szCs w:val="20"/>
          <w:color w:val="auto"/>
        </w:rPr>
      </w:pPr>
    </w:p>
    <w:p>
      <w:pPr>
        <w:jc w:val="right"/>
        <w:ind w:right="340"/>
        <w:spacing w:after="0"/>
        <w:rPr>
          <w:sz w:val="20"/>
          <w:szCs w:val="20"/>
          <w:color w:val="auto"/>
        </w:rPr>
      </w:pPr>
      <w:r>
        <w:rPr>
          <w:rFonts w:ascii="Times New Roman" w:cs="Times New Roman" w:eastAsia="Times New Roman" w:hAnsi="Times New Roman"/>
          <w:sz w:val="24"/>
          <w:szCs w:val="24"/>
          <w:color w:val="auto"/>
        </w:rPr>
        <w:t>(` in</w:t>
      </w:r>
    </w:p>
    <w:p>
      <w:pPr>
        <w:spacing w:after="0" w:line="137" w:lineRule="exact"/>
        <w:rPr>
          <w:sz w:val="20"/>
          <w:szCs w:val="20"/>
          <w:color w:val="auto"/>
        </w:rPr>
      </w:pPr>
    </w:p>
    <w:p>
      <w:pPr>
        <w:jc w:val="right"/>
        <w:ind w:right="340"/>
        <w:spacing w:after="0"/>
        <w:rPr>
          <w:sz w:val="20"/>
          <w:szCs w:val="20"/>
          <w:color w:val="auto"/>
        </w:rPr>
      </w:pPr>
      <w:r>
        <w:rPr>
          <w:rFonts w:ascii="Times New Roman" w:cs="Times New Roman" w:eastAsia="Times New Roman" w:hAnsi="Times New Roman"/>
          <w:sz w:val="24"/>
          <w:szCs w:val="24"/>
          <w:color w:val="auto"/>
        </w:rPr>
        <w:t>Crores)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2266315</wp:posOffset>
                </wp:positionH>
                <wp:positionV relativeFrom="paragraph">
                  <wp:posOffset>92710</wp:posOffset>
                </wp:positionV>
                <wp:extent cx="0" cy="1609725"/>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0972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5" o:spid="_x0000_s10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8.45pt,7.3pt" to="178.45pt,134.0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4067175</wp:posOffset>
                </wp:positionH>
                <wp:positionV relativeFrom="paragraph">
                  <wp:posOffset>92710</wp:posOffset>
                </wp:positionV>
                <wp:extent cx="0" cy="1609725"/>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0972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66" o:spid="_x0000_s10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20.25pt,7.3pt" to="320.25pt,134.05pt" o:allowincell="f" strokecolor="#000000" strokeweight="0.48pt"/>
            </w:pict>
          </mc:Fallback>
        </mc:AlternateContent>
      </w:r>
    </w:p>
    <w:p>
      <w:pPr>
        <w:spacing w:after="0" w:line="134"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b w:val="1"/>
          <w:bCs w:val="1"/>
          <w:color w:val="auto"/>
        </w:rPr>
        <w:t>Total borrowings</w:t>
      </w:r>
    </w:p>
    <w:p>
      <w:pPr>
        <w:spacing w:after="0" w:line="144"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24"/>
          <w:szCs w:val="24"/>
          <w:color w:val="auto"/>
        </w:rPr>
        <w:t>Short term borrowings*</w:t>
      </w:r>
    </w:p>
    <w:p>
      <w:pPr>
        <w:spacing w:after="0" w:line="146"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24"/>
          <w:szCs w:val="24"/>
          <w:color w:val="auto"/>
        </w:rPr>
        <w:t>Long term borrowings</w:t>
      </w:r>
    </w:p>
    <w:p>
      <w:pPr>
        <w:spacing w:after="0" w:line="140"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24"/>
          <w:szCs w:val="24"/>
          <w:color w:val="auto"/>
        </w:rPr>
        <w:t>(including current</w:t>
      </w:r>
    </w:p>
    <w:p>
      <w:pPr>
        <w:spacing w:after="0" w:line="137"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24"/>
          <w:szCs w:val="24"/>
          <w:color w:val="auto"/>
        </w:rPr>
        <w:t>maturity)*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461645</wp:posOffset>
                </wp:positionH>
                <wp:positionV relativeFrom="paragraph">
                  <wp:posOffset>365760</wp:posOffset>
                </wp:positionV>
                <wp:extent cx="5227320" cy="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732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7" o:spid="_x0000_s10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35pt,28.8pt" to="447.95pt,28.8pt" o:allowincell="f" strokecolor="#000000" strokeweight="0.479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239</w:t>
      </w:r>
    </w:p>
    <w:p>
      <w:pPr>
        <w:sectPr>
          <w:pgSz w:w="11900" w:h="16836" w:orient="portrait"/>
          <w:cols w:equalWidth="0" w:num="1">
            <w:col w:w="9180"/>
          </w:cols>
          <w:pgMar w:left="1440" w:top="1156" w:right="1284" w:bottom="103" w:gutter="0" w:footer="0" w:header="0"/>
        </w:sectPr>
      </w:pPr>
    </w:p>
    <w:bookmarkStart w:id="239" w:name="page240"/>
    <w:bookmarkEnd w:id="239"/>
    <w:p>
      <w:pPr>
        <w:ind w:left="1128"/>
        <w:spacing w:after="0"/>
        <w:rPr>
          <w:sz w:val="20"/>
          <w:szCs w:val="20"/>
          <w:color w:val="auto"/>
        </w:rPr>
      </w:pPr>
      <w:r>
        <w:rPr>
          <w:rFonts w:ascii="Times New Roman" w:cs="Times New Roman" w:eastAsia="Times New Roman" w:hAnsi="Times New Roman"/>
          <w:sz w:val="24"/>
          <w:szCs w:val="24"/>
          <w:b w:val="1"/>
          <w:bCs w:val="1"/>
          <w:color w:val="auto"/>
        </w:rPr>
        <mc:AlternateContent>
          <mc:Choice Requires="wps">
            <w:drawing>
              <wp:anchor simplePos="0" relativeHeight="251657728" behindDoc="1" locked="0" layoutInCell="0" allowOverlap="1">
                <wp:simplePos x="0" y="0"/>
                <wp:positionH relativeFrom="page">
                  <wp:posOffset>1376045</wp:posOffset>
                </wp:positionH>
                <wp:positionV relativeFrom="page">
                  <wp:posOffset>734060</wp:posOffset>
                </wp:positionV>
                <wp:extent cx="5227320" cy="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732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68" o:spid="_x0000_s109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35pt,57.8pt" to="519.95pt,57.8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1376045</wp:posOffset>
                </wp:positionH>
                <wp:positionV relativeFrom="page">
                  <wp:posOffset>1003935</wp:posOffset>
                </wp:positionV>
                <wp:extent cx="5227320" cy="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732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9" o:spid="_x0000_s109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35pt,79.05pt" to="519.95pt,79.05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1376045</wp:posOffset>
                </wp:positionH>
                <wp:positionV relativeFrom="page">
                  <wp:posOffset>1272540</wp:posOffset>
                </wp:positionV>
                <wp:extent cx="5227320" cy="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732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0" o:spid="_x0000_s109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35pt,100.2pt" to="519.95pt,100.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1376045</wp:posOffset>
                </wp:positionH>
                <wp:positionV relativeFrom="page">
                  <wp:posOffset>1542415</wp:posOffset>
                </wp:positionV>
                <wp:extent cx="5227320" cy="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732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1" o:spid="_x0000_s109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35pt,121.45pt" to="519.95pt,121.45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1376045</wp:posOffset>
                </wp:positionH>
                <wp:positionV relativeFrom="page">
                  <wp:posOffset>2073910</wp:posOffset>
                </wp:positionV>
                <wp:extent cx="5227320" cy="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732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2" o:spid="_x0000_s109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35pt,163.3pt" to="519.95pt,163.3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1376045</wp:posOffset>
                </wp:positionH>
                <wp:positionV relativeFrom="page">
                  <wp:posOffset>2343785</wp:posOffset>
                </wp:positionV>
                <wp:extent cx="5227320" cy="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732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3" o:spid="_x0000_s109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35pt,184.55pt" to="519.95pt,184.55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1379220</wp:posOffset>
                </wp:positionH>
                <wp:positionV relativeFrom="page">
                  <wp:posOffset>731520</wp:posOffset>
                </wp:positionV>
                <wp:extent cx="0" cy="2411095"/>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41109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4" o:spid="_x0000_s109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6pt,57.6pt" to="108.6pt,247.45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3180715</wp:posOffset>
                </wp:positionH>
                <wp:positionV relativeFrom="page">
                  <wp:posOffset>731520</wp:posOffset>
                </wp:positionV>
                <wp:extent cx="0" cy="2411095"/>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41109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5" o:spid="_x0000_s110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50.45pt,57.6pt" to="250.45pt,247.45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4981575</wp:posOffset>
                </wp:positionH>
                <wp:positionV relativeFrom="page">
                  <wp:posOffset>731520</wp:posOffset>
                </wp:positionV>
                <wp:extent cx="0" cy="2411095"/>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41109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6" o:spid="_x0000_s110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392.25pt,57.6pt" to="392.25pt,247.45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6600190</wp:posOffset>
                </wp:positionH>
                <wp:positionV relativeFrom="page">
                  <wp:posOffset>731520</wp:posOffset>
                </wp:positionV>
                <wp:extent cx="0" cy="2411095"/>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41109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7" o:spid="_x0000_s110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19.7pt,57.6pt" to="519.7pt,247.45pt" o:allowincell="f" strokecolor="#000000" strokeweight="0.48pt">
                <w10:wrap anchorx="page" anchory="page"/>
              </v:line>
            </w:pict>
          </mc:Fallback>
        </mc:AlternateContent>
        <w:t>Total equity</w:t>
      </w:r>
    </w:p>
    <w:p>
      <w:pPr>
        <w:spacing w:after="0" w:line="144" w:lineRule="exact"/>
        <w:rPr>
          <w:sz w:val="20"/>
          <w:szCs w:val="20"/>
          <w:color w:val="auto"/>
        </w:rPr>
      </w:pPr>
    </w:p>
    <w:p>
      <w:pPr>
        <w:ind w:left="1448"/>
        <w:spacing w:after="0"/>
        <w:rPr>
          <w:sz w:val="20"/>
          <w:szCs w:val="20"/>
          <w:color w:val="auto"/>
        </w:rPr>
      </w:pPr>
      <w:r>
        <w:rPr>
          <w:rFonts w:ascii="Times New Roman" w:cs="Times New Roman" w:eastAsia="Times New Roman" w:hAnsi="Times New Roman"/>
          <w:sz w:val="24"/>
          <w:szCs w:val="24"/>
          <w:color w:val="auto"/>
        </w:rPr>
        <w:t>Share capital*</w:t>
      </w:r>
    </w:p>
    <w:p>
      <w:pPr>
        <w:spacing w:after="0" w:line="146" w:lineRule="exact"/>
        <w:rPr>
          <w:sz w:val="20"/>
          <w:szCs w:val="20"/>
          <w:color w:val="auto"/>
        </w:rPr>
      </w:pPr>
    </w:p>
    <w:p>
      <w:pPr>
        <w:ind w:left="1448"/>
        <w:spacing w:after="0"/>
        <w:rPr>
          <w:sz w:val="20"/>
          <w:szCs w:val="20"/>
          <w:color w:val="auto"/>
        </w:rPr>
      </w:pPr>
      <w:r>
        <w:rPr>
          <w:rFonts w:ascii="Times New Roman" w:cs="Times New Roman" w:eastAsia="Times New Roman" w:hAnsi="Times New Roman"/>
          <w:sz w:val="24"/>
          <w:szCs w:val="24"/>
          <w:color w:val="auto"/>
        </w:rPr>
        <w:t>Reserves and surplus*</w:t>
      </w:r>
    </w:p>
    <w:p>
      <w:pPr>
        <w:spacing w:after="0" w:line="149" w:lineRule="exact"/>
        <w:rPr>
          <w:sz w:val="20"/>
          <w:szCs w:val="20"/>
          <w:color w:val="auto"/>
        </w:rPr>
      </w:pPr>
    </w:p>
    <w:p>
      <w:pPr>
        <w:ind w:left="1448"/>
        <w:spacing w:after="0"/>
        <w:rPr>
          <w:sz w:val="20"/>
          <w:szCs w:val="20"/>
          <w:color w:val="auto"/>
        </w:rPr>
      </w:pPr>
      <w:r>
        <w:rPr>
          <w:rFonts w:ascii="Times New Roman" w:cs="Times New Roman" w:eastAsia="Times New Roman" w:hAnsi="Times New Roman"/>
          <w:sz w:val="24"/>
          <w:szCs w:val="24"/>
          <w:color w:val="auto"/>
        </w:rPr>
        <w:t>Money received against</w:t>
      </w:r>
    </w:p>
    <w:p>
      <w:pPr>
        <w:spacing w:after="0" w:line="139" w:lineRule="exact"/>
        <w:rPr>
          <w:sz w:val="20"/>
          <w:szCs w:val="20"/>
          <w:color w:val="auto"/>
        </w:rPr>
      </w:pPr>
    </w:p>
    <w:p>
      <w:pPr>
        <w:ind w:left="1448"/>
        <w:spacing w:after="0"/>
        <w:rPr>
          <w:sz w:val="20"/>
          <w:szCs w:val="20"/>
          <w:color w:val="auto"/>
        </w:rPr>
      </w:pPr>
      <w:r>
        <w:rPr>
          <w:rFonts w:ascii="Times New Roman" w:cs="Times New Roman" w:eastAsia="Times New Roman" w:hAnsi="Times New Roman"/>
          <w:sz w:val="24"/>
          <w:szCs w:val="24"/>
          <w:color w:val="auto"/>
        </w:rPr>
        <w:t>share warrants*</w:t>
      </w:r>
    </w:p>
    <w:p>
      <w:pPr>
        <w:spacing w:after="0" w:line="151" w:lineRule="exact"/>
        <w:rPr>
          <w:sz w:val="20"/>
          <w:szCs w:val="20"/>
          <w:color w:val="auto"/>
        </w:rPr>
      </w:pPr>
    </w:p>
    <w:p>
      <w:pPr>
        <w:ind w:left="1128"/>
        <w:spacing w:after="0"/>
        <w:rPr>
          <w:sz w:val="20"/>
          <w:szCs w:val="20"/>
          <w:color w:val="auto"/>
        </w:rPr>
      </w:pPr>
      <w:r>
        <w:rPr>
          <w:rFonts w:ascii="Times New Roman" w:cs="Times New Roman" w:eastAsia="Times New Roman" w:hAnsi="Times New Roman"/>
          <w:sz w:val="24"/>
          <w:szCs w:val="24"/>
          <w:b w:val="1"/>
          <w:bCs w:val="1"/>
          <w:color w:val="auto"/>
        </w:rPr>
        <w:t>Total Capital</w:t>
      </w:r>
    </w:p>
    <w:p>
      <w:pPr>
        <w:spacing w:after="0" w:line="144" w:lineRule="exact"/>
        <w:rPr>
          <w:sz w:val="20"/>
          <w:szCs w:val="20"/>
          <w:color w:val="auto"/>
        </w:rPr>
      </w:pPr>
    </w:p>
    <w:p>
      <w:pPr>
        <w:ind w:left="1128"/>
        <w:spacing w:after="0"/>
        <w:rPr>
          <w:sz w:val="20"/>
          <w:szCs w:val="20"/>
          <w:color w:val="auto"/>
        </w:rPr>
      </w:pPr>
      <w:r>
        <w:rPr>
          <w:rFonts w:ascii="Times New Roman" w:cs="Times New Roman" w:eastAsia="Times New Roman" w:hAnsi="Times New Roman"/>
          <w:sz w:val="24"/>
          <w:szCs w:val="24"/>
          <w:color w:val="auto"/>
        </w:rPr>
        <w:t>Ratio: Long term</w:t>
      </w:r>
    </w:p>
    <w:p>
      <w:pPr>
        <w:spacing w:after="0" w:line="137" w:lineRule="exact"/>
        <w:rPr>
          <w:sz w:val="20"/>
          <w:szCs w:val="20"/>
          <w:color w:val="auto"/>
        </w:rPr>
      </w:pPr>
    </w:p>
    <w:p>
      <w:pPr>
        <w:ind w:left="1128"/>
        <w:spacing w:after="0"/>
        <w:rPr>
          <w:sz w:val="20"/>
          <w:szCs w:val="20"/>
          <w:color w:val="auto"/>
        </w:rPr>
      </w:pPr>
      <w:r>
        <w:rPr>
          <w:rFonts w:ascii="Times New Roman" w:cs="Times New Roman" w:eastAsia="Times New Roman" w:hAnsi="Times New Roman"/>
          <w:sz w:val="24"/>
          <w:szCs w:val="24"/>
          <w:color w:val="auto"/>
        </w:rPr>
        <w:t>borrowings/ Total equity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644525</wp:posOffset>
                </wp:positionH>
                <wp:positionV relativeFrom="paragraph">
                  <wp:posOffset>360045</wp:posOffset>
                </wp:positionV>
                <wp:extent cx="5226685" cy="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668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8" o:spid="_x0000_s11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0.75pt,28.35pt" to="462.3pt,28.35pt" o:allowincell="f" strokecolor="#000000" strokeweight="0.48pt"/>
            </w:pict>
          </mc:Fallback>
        </mc:AlternateContent>
      </w:r>
    </w:p>
    <w:p>
      <w:pPr>
        <w:spacing w:after="0" w:line="200" w:lineRule="exact"/>
        <w:rPr>
          <w:sz w:val="20"/>
          <w:szCs w:val="20"/>
          <w:color w:val="auto"/>
        </w:rPr>
      </w:pPr>
    </w:p>
    <w:p>
      <w:pPr>
        <w:spacing w:after="0" w:line="357" w:lineRule="exact"/>
        <w:rPr>
          <w:sz w:val="20"/>
          <w:szCs w:val="20"/>
          <w:color w:val="auto"/>
        </w:rPr>
      </w:pPr>
    </w:p>
    <w:p>
      <w:pPr>
        <w:ind w:left="1448"/>
        <w:spacing w:after="0" w:line="348" w:lineRule="auto"/>
        <w:rPr>
          <w:sz w:val="20"/>
          <w:szCs w:val="20"/>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These terms shall carry the meaning as per Schedule III of the Companies Act,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2013 (as amended).</w:t>
      </w:r>
    </w:p>
    <w:p>
      <w:pPr>
        <w:spacing w:after="0" w:line="200" w:lineRule="exact"/>
        <w:rPr>
          <w:sz w:val="20"/>
          <w:szCs w:val="20"/>
          <w:color w:val="auto"/>
        </w:rPr>
      </w:pPr>
    </w:p>
    <w:p>
      <w:pPr>
        <w:spacing w:after="0" w:line="233" w:lineRule="exact"/>
        <w:rPr>
          <w:sz w:val="20"/>
          <w:szCs w:val="20"/>
          <w:color w:val="auto"/>
        </w:rPr>
      </w:pPr>
    </w:p>
    <w:p>
      <w:pPr>
        <w:ind w:left="508" w:hanging="508"/>
        <w:spacing w:after="0"/>
        <w:tabs>
          <w:tab w:leader="none" w:pos="508" w:val="left"/>
        </w:tabs>
        <w:numPr>
          <w:ilvl w:val="0"/>
          <w:numId w:val="86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Financial Information of the Issuer in further public offers:</w:t>
      </w:r>
    </w:p>
    <w:p>
      <w:pPr>
        <w:spacing w:after="0" w:line="144" w:lineRule="exact"/>
        <w:rPr>
          <w:rFonts w:ascii="Times New Roman" w:cs="Times New Roman" w:eastAsia="Times New Roman" w:hAnsi="Times New Roman"/>
          <w:sz w:val="24"/>
          <w:szCs w:val="24"/>
          <w:b w:val="1"/>
          <w:bCs w:val="1"/>
          <w:color w:val="auto"/>
        </w:rPr>
      </w:pPr>
    </w:p>
    <w:p>
      <w:pPr>
        <w:jc w:val="both"/>
        <w:ind w:left="1088" w:hanging="548"/>
        <w:spacing w:after="0" w:line="344" w:lineRule="auto"/>
        <w:tabs>
          <w:tab w:leader="none" w:pos="1088" w:val="left"/>
        </w:tabs>
        <w:numPr>
          <w:ilvl w:val="1"/>
          <w:numId w:val="862"/>
        </w:numPr>
        <w:rPr>
          <w:rFonts w:ascii="Calibri" w:cs="Calibri" w:eastAsia="Calibri" w:hAnsi="Calibri"/>
          <w:sz w:val="22"/>
          <w:szCs w:val="22"/>
          <w:color w:val="auto"/>
        </w:rPr>
      </w:pPr>
      <w:r>
        <w:rPr>
          <w:rFonts w:ascii="Times New Roman" w:cs="Times New Roman" w:eastAsia="Times New Roman" w:hAnsi="Times New Roman"/>
          <w:sz w:val="24"/>
          <w:szCs w:val="24"/>
          <w:color w:val="auto"/>
        </w:rPr>
        <w:t>An issuer making a further public offer may disclose the financial information specified in clause (ii) of this sub-item, in lieu of information specified under sub-item</w:t>
      </w:r>
    </w:p>
    <w:p>
      <w:pPr>
        <w:spacing w:after="0" w:line="14" w:lineRule="exact"/>
        <w:rPr>
          <w:rFonts w:ascii="Calibri" w:cs="Calibri" w:eastAsia="Calibri" w:hAnsi="Calibri"/>
          <w:sz w:val="22"/>
          <w:szCs w:val="22"/>
          <w:color w:val="auto"/>
        </w:rPr>
      </w:pPr>
    </w:p>
    <w:p>
      <w:pPr>
        <w:ind w:left="1468" w:hanging="388"/>
        <w:spacing w:after="0"/>
        <w:tabs>
          <w:tab w:leader="none" w:pos="1468" w:val="left"/>
        </w:tabs>
        <w:numPr>
          <w:ilvl w:val="2"/>
          <w:numId w:val="86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w:t>
      </w:r>
    </w:p>
    <w:p>
      <w:pPr>
        <w:spacing w:after="0" w:line="152" w:lineRule="exact"/>
        <w:rPr>
          <w:sz w:val="20"/>
          <w:szCs w:val="20"/>
          <w:color w:val="auto"/>
        </w:rPr>
      </w:pPr>
    </w:p>
    <w:p>
      <w:pPr>
        <w:ind w:left="1448" w:hanging="368"/>
        <w:spacing w:after="0" w:line="348" w:lineRule="auto"/>
        <w:tabs>
          <w:tab w:leader="none" w:pos="1448" w:val="left"/>
        </w:tabs>
        <w:numPr>
          <w:ilvl w:val="1"/>
          <w:numId w:val="8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is making a further public offer through the fast track route in accordance with applicable provisions of these regulations;</w:t>
      </w:r>
    </w:p>
    <w:p>
      <w:pPr>
        <w:spacing w:after="0" w:line="27" w:lineRule="exact"/>
        <w:rPr>
          <w:rFonts w:ascii="Times New Roman" w:cs="Times New Roman" w:eastAsia="Times New Roman" w:hAnsi="Times New Roman"/>
          <w:sz w:val="24"/>
          <w:szCs w:val="24"/>
          <w:color w:val="auto"/>
        </w:rPr>
      </w:pPr>
    </w:p>
    <w:p>
      <w:pPr>
        <w:ind w:left="1448" w:hanging="368"/>
        <w:spacing w:after="0" w:line="348" w:lineRule="auto"/>
        <w:tabs>
          <w:tab w:leader="none" w:pos="1448" w:val="left"/>
        </w:tabs>
        <w:numPr>
          <w:ilvl w:val="1"/>
          <w:numId w:val="8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specified securities offered in further public offer are of the same class of those already listed on a stock exchange;</w:t>
      </w:r>
    </w:p>
    <w:p>
      <w:pPr>
        <w:spacing w:after="0" w:line="27" w:lineRule="exact"/>
        <w:rPr>
          <w:rFonts w:ascii="Times New Roman" w:cs="Times New Roman" w:eastAsia="Times New Roman" w:hAnsi="Times New Roman"/>
          <w:sz w:val="24"/>
          <w:szCs w:val="24"/>
          <w:color w:val="auto"/>
        </w:rPr>
      </w:pPr>
    </w:p>
    <w:p>
      <w:pPr>
        <w:ind w:left="1448" w:hanging="368"/>
        <w:spacing w:after="0" w:line="348" w:lineRule="auto"/>
        <w:tabs>
          <w:tab w:leader="none" w:pos="1448" w:val="left"/>
        </w:tabs>
        <w:numPr>
          <w:ilvl w:val="1"/>
          <w:numId w:val="8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financial reports of the issuer are available on the website of any stock exchange or on a common e-filing platform specified by the Board;</w:t>
      </w:r>
    </w:p>
    <w:p>
      <w:pPr>
        <w:spacing w:after="0" w:line="15" w:lineRule="exact"/>
        <w:rPr>
          <w:rFonts w:ascii="Times New Roman" w:cs="Times New Roman" w:eastAsia="Times New Roman" w:hAnsi="Times New Roman"/>
          <w:sz w:val="24"/>
          <w:szCs w:val="24"/>
          <w:color w:val="auto"/>
        </w:rPr>
      </w:pPr>
    </w:p>
    <w:p>
      <w:pPr>
        <w:ind w:left="1448" w:hanging="368"/>
        <w:spacing w:after="0"/>
        <w:tabs>
          <w:tab w:leader="none" w:pos="1448" w:val="left"/>
        </w:tabs>
        <w:numPr>
          <w:ilvl w:val="1"/>
          <w:numId w:val="8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there has not been any change in management of the issuer;</w:t>
      </w:r>
    </w:p>
    <w:p>
      <w:pPr>
        <w:spacing w:after="0" w:line="149" w:lineRule="exact"/>
        <w:rPr>
          <w:rFonts w:ascii="Times New Roman" w:cs="Times New Roman" w:eastAsia="Times New Roman" w:hAnsi="Times New Roman"/>
          <w:sz w:val="24"/>
          <w:szCs w:val="24"/>
          <w:color w:val="auto"/>
        </w:rPr>
      </w:pPr>
    </w:p>
    <w:p>
      <w:pPr>
        <w:jc w:val="both"/>
        <w:ind w:left="1448" w:hanging="368"/>
        <w:spacing w:after="0" w:line="354" w:lineRule="auto"/>
        <w:tabs>
          <w:tab w:leader="none" w:pos="1448" w:val="left"/>
        </w:tabs>
        <w:numPr>
          <w:ilvl w:val="1"/>
          <w:numId w:val="8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specified securities of issuer have not been listed pursuant to relaxation granted from clause (b) of sub-rule (2) of rule 19 of Securities Contracts (Regulation) Rules, 1957.</w:t>
      </w:r>
    </w:p>
    <w:p>
      <w:pPr>
        <w:spacing w:after="0" w:line="22" w:lineRule="exact"/>
        <w:rPr>
          <w:rFonts w:ascii="Times New Roman" w:cs="Times New Roman" w:eastAsia="Times New Roman" w:hAnsi="Times New Roman"/>
          <w:sz w:val="24"/>
          <w:szCs w:val="24"/>
          <w:color w:val="auto"/>
        </w:rPr>
      </w:pPr>
    </w:p>
    <w:p>
      <w:pPr>
        <w:ind w:left="1088" w:hanging="548"/>
        <w:spacing w:after="0" w:line="342" w:lineRule="auto"/>
        <w:tabs>
          <w:tab w:leader="none" w:pos="1088" w:val="left"/>
        </w:tabs>
        <w:numPr>
          <w:ilvl w:val="0"/>
          <w:numId w:val="864"/>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issuer satisfying the conditions specified in clause (i) may disclose consolidated financial statements as disclosed under Companies Act, 2013.</w:t>
      </w:r>
    </w:p>
    <w:p>
      <w:pPr>
        <w:spacing w:after="0" w:line="31" w:lineRule="exact"/>
        <w:rPr>
          <w:rFonts w:ascii="Calibri" w:cs="Calibri" w:eastAsia="Calibri" w:hAnsi="Calibri"/>
          <w:sz w:val="22"/>
          <w:szCs w:val="22"/>
          <w:color w:val="auto"/>
        </w:rPr>
      </w:pPr>
    </w:p>
    <w:p>
      <w:pPr>
        <w:jc w:val="both"/>
        <w:ind w:left="1088" w:hanging="548"/>
        <w:spacing w:after="0" w:line="353" w:lineRule="auto"/>
        <w:tabs>
          <w:tab w:leader="none" w:pos="1088" w:val="left"/>
        </w:tabs>
        <w:numPr>
          <w:ilvl w:val="0"/>
          <w:numId w:val="864"/>
        </w:numPr>
        <w:rPr>
          <w:rFonts w:ascii="Calibri" w:cs="Calibri" w:eastAsia="Calibri" w:hAnsi="Calibri"/>
          <w:sz w:val="22"/>
          <w:szCs w:val="22"/>
          <w:color w:val="auto"/>
        </w:rPr>
      </w:pPr>
      <w:r>
        <w:rPr>
          <w:rFonts w:ascii="Times New Roman" w:cs="Times New Roman" w:eastAsia="Times New Roman" w:hAnsi="Times New Roman"/>
          <w:sz w:val="24"/>
          <w:szCs w:val="24"/>
          <w:color w:val="auto"/>
        </w:rPr>
        <w:t>A report by the auditors of the issuer on a limited review of the profit or loss and assets and liabilities (indicating changes in accounting policies, if any), as at a date not earlier than six months prior to the date of the opening of the issue, where audited accounts as at such date are not available. For this purpose, it shall be sufficient if:</w:t>
      </w:r>
    </w:p>
    <w:p>
      <w:pPr>
        <w:spacing w:after="0" w:line="22" w:lineRule="exact"/>
        <w:rPr>
          <w:rFonts w:ascii="Calibri" w:cs="Calibri" w:eastAsia="Calibri" w:hAnsi="Calibri"/>
          <w:sz w:val="22"/>
          <w:szCs w:val="22"/>
          <w:color w:val="auto"/>
        </w:rPr>
      </w:pPr>
    </w:p>
    <w:p>
      <w:pPr>
        <w:jc w:val="both"/>
        <w:ind w:left="1448" w:hanging="368"/>
        <w:spacing w:after="0" w:line="354" w:lineRule="auto"/>
        <w:tabs>
          <w:tab w:leader="none" w:pos="1448" w:val="left"/>
        </w:tabs>
        <w:numPr>
          <w:ilvl w:val="1"/>
          <w:numId w:val="86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the statement of the assets and liabilities, the main heads of assets and liabilities as provided in Part I of Schedule III of the Companies Act, 2013 have been provided. If an issuer is governed by a statute other than the Companies Act, 2013,</w:t>
      </w:r>
    </w:p>
    <w:p>
      <w:pPr>
        <w:spacing w:after="0" w:line="195"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240</w:t>
      </w:r>
    </w:p>
    <w:p>
      <w:pPr>
        <w:sectPr>
          <w:pgSz w:w="11900" w:h="16836" w:orient="portrait"/>
          <w:cols w:equalWidth="0" w:num="1">
            <w:col w:w="9468"/>
          </w:cols>
          <w:pgMar w:left="1152" w:top="1158" w:right="1284" w:bottom="103" w:gutter="0" w:footer="0" w:header="0"/>
        </w:sectPr>
      </w:pPr>
    </w:p>
    <w:bookmarkStart w:id="240" w:name="page241"/>
    <w:bookmarkEnd w:id="240"/>
    <w:p>
      <w:pPr>
        <w:ind w:left="1160"/>
        <w:spacing w:after="0" w:line="348" w:lineRule="auto"/>
        <w:rPr>
          <w:sz w:val="20"/>
          <w:szCs w:val="20"/>
          <w:color w:val="auto"/>
        </w:rPr>
      </w:pPr>
      <w:r>
        <w:rPr>
          <w:rFonts w:ascii="Times New Roman" w:cs="Times New Roman" w:eastAsia="Times New Roman" w:hAnsi="Times New Roman"/>
          <w:sz w:val="24"/>
          <w:szCs w:val="24"/>
          <w:color w:val="auto"/>
        </w:rPr>
        <w:t>the main heads of assets and liabilities as specified in such statute shall be provided in the statement of assets and liabilities.</w:t>
      </w:r>
    </w:p>
    <w:p>
      <w:pPr>
        <w:spacing w:after="0" w:line="28" w:lineRule="exact"/>
        <w:rPr>
          <w:sz w:val="20"/>
          <w:szCs w:val="20"/>
          <w:color w:val="auto"/>
        </w:rPr>
      </w:pPr>
    </w:p>
    <w:p>
      <w:pPr>
        <w:jc w:val="both"/>
        <w:ind w:left="1160" w:hanging="368"/>
        <w:spacing w:after="0" w:line="357" w:lineRule="auto"/>
        <w:tabs>
          <w:tab w:leader="none" w:pos="1160" w:val="left"/>
        </w:tabs>
        <w:numPr>
          <w:ilvl w:val="1"/>
          <w:numId w:val="8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the statement of profit or loss, the information required to be disclosed under the heads of income and expenditure as per Regulation 33 of the Securities and Exchange Board of India (Listing Obligations and Disclosure Requirements) Regulations, 2015 in respect of quarterly financial information to be filed with the stock exchanges, has been provided.</w:t>
      </w:r>
    </w:p>
    <w:p>
      <w:pPr>
        <w:ind w:left="800" w:hanging="548"/>
        <w:spacing w:after="0"/>
        <w:tabs>
          <w:tab w:leader="none" w:pos="800" w:val="left"/>
        </w:tabs>
        <w:numPr>
          <w:ilvl w:val="0"/>
          <w:numId w:val="866"/>
        </w:numPr>
        <w:rPr>
          <w:rFonts w:ascii="Calibri" w:cs="Calibri" w:eastAsia="Calibri" w:hAnsi="Calibri"/>
          <w:sz w:val="22"/>
          <w:szCs w:val="22"/>
          <w:color w:val="auto"/>
        </w:rPr>
      </w:pPr>
      <w:r>
        <w:rPr>
          <w:rFonts w:ascii="Times New Roman" w:cs="Times New Roman" w:eastAsia="Times New Roman" w:hAnsi="Times New Roman"/>
          <w:sz w:val="24"/>
          <w:szCs w:val="24"/>
          <w:color w:val="auto"/>
        </w:rPr>
        <w:t>Material changes and commitments, if any, affecting financial position of the issuer.</w:t>
      </w:r>
    </w:p>
    <w:p>
      <w:pPr>
        <w:spacing w:after="0" w:line="152" w:lineRule="exact"/>
        <w:rPr>
          <w:rFonts w:ascii="Calibri" w:cs="Calibri" w:eastAsia="Calibri" w:hAnsi="Calibri"/>
          <w:sz w:val="22"/>
          <w:szCs w:val="22"/>
          <w:color w:val="auto"/>
        </w:rPr>
      </w:pPr>
    </w:p>
    <w:p>
      <w:pPr>
        <w:jc w:val="both"/>
        <w:ind w:left="800" w:hanging="548"/>
        <w:spacing w:after="0" w:line="353" w:lineRule="auto"/>
        <w:tabs>
          <w:tab w:leader="none" w:pos="800" w:val="left"/>
        </w:tabs>
        <w:numPr>
          <w:ilvl w:val="0"/>
          <w:numId w:val="866"/>
        </w:numPr>
        <w:rPr>
          <w:rFonts w:ascii="Calibri" w:cs="Calibri" w:eastAsia="Calibri" w:hAnsi="Calibri"/>
          <w:sz w:val="22"/>
          <w:szCs w:val="22"/>
          <w:color w:val="auto"/>
        </w:rPr>
      </w:pPr>
      <w:r>
        <w:rPr>
          <w:rFonts w:ascii="Times New Roman" w:cs="Times New Roman" w:eastAsia="Times New Roman" w:hAnsi="Times New Roman"/>
          <w:sz w:val="24"/>
          <w:szCs w:val="24"/>
          <w:color w:val="auto"/>
        </w:rPr>
        <w:t>Week-end prices for the last four weeks; current market price; and highest and lowest prices of equity shares during the period with the relative dates. If the equity shares of the issuer are listed on more than one stock exchange, the above information shall be provided for each stock exchange separately.</w:t>
      </w:r>
    </w:p>
    <w:p>
      <w:pPr>
        <w:spacing w:after="0" w:line="21" w:lineRule="exact"/>
        <w:rPr>
          <w:rFonts w:ascii="Calibri" w:cs="Calibri" w:eastAsia="Calibri" w:hAnsi="Calibri"/>
          <w:sz w:val="22"/>
          <w:szCs w:val="22"/>
          <w:color w:val="auto"/>
        </w:rPr>
      </w:pPr>
    </w:p>
    <w:p>
      <w:pPr>
        <w:jc w:val="both"/>
        <w:ind w:left="800" w:hanging="548"/>
        <w:spacing w:after="0" w:line="353" w:lineRule="auto"/>
        <w:tabs>
          <w:tab w:leader="none" w:pos="800" w:val="left"/>
        </w:tabs>
        <w:numPr>
          <w:ilvl w:val="0"/>
          <w:numId w:val="866"/>
        </w:numPr>
        <w:rPr>
          <w:rFonts w:ascii="Calibri" w:cs="Calibri" w:eastAsia="Calibri" w:hAnsi="Calibri"/>
          <w:sz w:val="22"/>
          <w:szCs w:val="22"/>
          <w:color w:val="auto"/>
        </w:rPr>
      </w:pPr>
      <w:r>
        <w:rPr>
          <w:rFonts w:ascii="Times New Roman" w:cs="Times New Roman" w:eastAsia="Times New Roman" w:hAnsi="Times New Roman"/>
          <w:sz w:val="24"/>
          <w:szCs w:val="24"/>
          <w:color w:val="auto"/>
        </w:rPr>
        <w:t>Stock market quotation of shares/ convertible instruments of the company (high/ low price in each of the last three years and monthly high/low price during the last six months). If the equity shares of the issuer are listed on more than one stock exchange, the above information shall be provided for each stock exchange separately.</w:t>
      </w:r>
    </w:p>
    <w:p>
      <w:pPr>
        <w:spacing w:after="0" w:line="22" w:lineRule="exact"/>
        <w:rPr>
          <w:rFonts w:ascii="Calibri" w:cs="Calibri" w:eastAsia="Calibri" w:hAnsi="Calibri"/>
          <w:sz w:val="22"/>
          <w:szCs w:val="22"/>
          <w:color w:val="auto"/>
        </w:rPr>
      </w:pPr>
    </w:p>
    <w:p>
      <w:pPr>
        <w:ind w:left="800" w:hanging="548"/>
        <w:spacing w:after="0" w:line="342" w:lineRule="auto"/>
        <w:tabs>
          <w:tab w:leader="none" w:pos="800" w:val="left"/>
        </w:tabs>
        <w:numPr>
          <w:ilvl w:val="0"/>
          <w:numId w:val="866"/>
        </w:numPr>
        <w:rPr>
          <w:rFonts w:ascii="Calibri" w:cs="Calibri" w:eastAsia="Calibri" w:hAnsi="Calibri"/>
          <w:sz w:val="22"/>
          <w:szCs w:val="22"/>
          <w:color w:val="auto"/>
        </w:rPr>
      </w:pPr>
      <w:r>
        <w:rPr>
          <w:rFonts w:ascii="Times New Roman" w:cs="Times New Roman" w:eastAsia="Times New Roman" w:hAnsi="Times New Roman"/>
          <w:sz w:val="24"/>
          <w:szCs w:val="24"/>
          <w:color w:val="auto"/>
        </w:rPr>
        <w:t>Accounting and other ratios: The following accounting ratios for each of the accounting periods for which financial information is given:</w:t>
      </w:r>
    </w:p>
    <w:p>
      <w:pPr>
        <w:spacing w:after="0" w:line="17" w:lineRule="exact"/>
        <w:rPr>
          <w:rFonts w:ascii="Calibri" w:cs="Calibri" w:eastAsia="Calibri" w:hAnsi="Calibri"/>
          <w:sz w:val="22"/>
          <w:szCs w:val="22"/>
          <w:color w:val="auto"/>
        </w:rPr>
      </w:pPr>
    </w:p>
    <w:p>
      <w:pPr>
        <w:ind w:left="1880" w:hanging="728"/>
        <w:spacing w:after="0"/>
        <w:tabs>
          <w:tab w:leader="none" w:pos="1880" w:val="left"/>
        </w:tabs>
        <w:numPr>
          <w:ilvl w:val="2"/>
          <w:numId w:val="866"/>
        </w:numPr>
        <w:rPr>
          <w:rFonts w:ascii="Symbol" w:cs="Symbol" w:eastAsia="Symbol" w:hAnsi="Symbol"/>
          <w:sz w:val="24"/>
          <w:szCs w:val="24"/>
          <w:color w:val="auto"/>
        </w:rPr>
      </w:pPr>
      <w:r>
        <w:rPr>
          <w:rFonts w:ascii="Times New Roman" w:cs="Times New Roman" w:eastAsia="Times New Roman" w:hAnsi="Times New Roman"/>
          <w:sz w:val="24"/>
          <w:szCs w:val="24"/>
          <w:color w:val="auto"/>
        </w:rPr>
        <w:t>Earnings per share (Basic and Diluted)</w:t>
      </w:r>
    </w:p>
    <w:p>
      <w:pPr>
        <w:spacing w:after="0" w:line="135" w:lineRule="exact"/>
        <w:rPr>
          <w:rFonts w:ascii="Symbol" w:cs="Symbol" w:eastAsia="Symbol" w:hAnsi="Symbol"/>
          <w:sz w:val="24"/>
          <w:szCs w:val="24"/>
          <w:color w:val="auto"/>
        </w:rPr>
      </w:pPr>
    </w:p>
    <w:p>
      <w:pPr>
        <w:ind w:left="1880" w:hanging="728"/>
        <w:spacing w:after="0"/>
        <w:tabs>
          <w:tab w:leader="none" w:pos="1880" w:val="left"/>
        </w:tabs>
        <w:numPr>
          <w:ilvl w:val="2"/>
          <w:numId w:val="866"/>
        </w:numPr>
        <w:rPr>
          <w:rFonts w:ascii="Symbol" w:cs="Symbol" w:eastAsia="Symbol" w:hAnsi="Symbol"/>
          <w:sz w:val="24"/>
          <w:szCs w:val="24"/>
          <w:color w:val="auto"/>
        </w:rPr>
      </w:pPr>
      <w:r>
        <w:rPr>
          <w:rFonts w:ascii="Times New Roman" w:cs="Times New Roman" w:eastAsia="Times New Roman" w:hAnsi="Times New Roman"/>
          <w:sz w:val="24"/>
          <w:szCs w:val="24"/>
          <w:color w:val="auto"/>
        </w:rPr>
        <w:t>Return on net worth</w:t>
      </w:r>
    </w:p>
    <w:p>
      <w:pPr>
        <w:spacing w:after="0" w:line="137" w:lineRule="exact"/>
        <w:rPr>
          <w:rFonts w:ascii="Symbol" w:cs="Symbol" w:eastAsia="Symbol" w:hAnsi="Symbol"/>
          <w:sz w:val="24"/>
          <w:szCs w:val="24"/>
          <w:color w:val="auto"/>
        </w:rPr>
      </w:pPr>
    </w:p>
    <w:p>
      <w:pPr>
        <w:ind w:left="1880" w:hanging="728"/>
        <w:spacing w:after="0"/>
        <w:tabs>
          <w:tab w:leader="none" w:pos="1880" w:val="left"/>
        </w:tabs>
        <w:numPr>
          <w:ilvl w:val="2"/>
          <w:numId w:val="866"/>
        </w:numPr>
        <w:rPr>
          <w:rFonts w:ascii="Symbol" w:cs="Symbol" w:eastAsia="Symbol" w:hAnsi="Symbol"/>
          <w:sz w:val="24"/>
          <w:szCs w:val="24"/>
          <w:color w:val="auto"/>
        </w:rPr>
      </w:pPr>
      <w:r>
        <w:rPr>
          <w:rFonts w:ascii="Times New Roman" w:cs="Times New Roman" w:eastAsia="Times New Roman" w:hAnsi="Times New Roman"/>
          <w:sz w:val="24"/>
          <w:szCs w:val="24"/>
          <w:color w:val="auto"/>
        </w:rPr>
        <w:t>Net Asset Value per share</w:t>
      </w:r>
    </w:p>
    <w:p>
      <w:pPr>
        <w:spacing w:after="0" w:line="137" w:lineRule="exact"/>
        <w:rPr>
          <w:rFonts w:ascii="Symbol" w:cs="Symbol" w:eastAsia="Symbol" w:hAnsi="Symbol"/>
          <w:sz w:val="24"/>
          <w:szCs w:val="24"/>
          <w:color w:val="auto"/>
        </w:rPr>
      </w:pPr>
    </w:p>
    <w:p>
      <w:pPr>
        <w:ind w:left="1880" w:hanging="728"/>
        <w:spacing w:after="0"/>
        <w:tabs>
          <w:tab w:leader="none" w:pos="1880" w:val="left"/>
        </w:tabs>
        <w:numPr>
          <w:ilvl w:val="2"/>
          <w:numId w:val="866"/>
        </w:numPr>
        <w:rPr>
          <w:rFonts w:ascii="Symbol" w:cs="Symbol" w:eastAsia="Symbol" w:hAnsi="Symbol"/>
          <w:sz w:val="24"/>
          <w:szCs w:val="24"/>
          <w:color w:val="auto"/>
        </w:rPr>
      </w:pPr>
      <w:r>
        <w:rPr>
          <w:rFonts w:ascii="Times New Roman" w:cs="Times New Roman" w:eastAsia="Times New Roman" w:hAnsi="Times New Roman"/>
          <w:sz w:val="24"/>
          <w:szCs w:val="24"/>
          <w:color w:val="auto"/>
        </w:rPr>
        <w:t>EBITDA</w:t>
      </w:r>
    </w:p>
    <w:p>
      <w:pPr>
        <w:spacing w:after="0" w:line="129" w:lineRule="exact"/>
        <w:rPr>
          <w:rFonts w:ascii="Symbol" w:cs="Symbol" w:eastAsia="Symbol" w:hAnsi="Symbol"/>
          <w:sz w:val="24"/>
          <w:szCs w:val="24"/>
          <w:color w:val="auto"/>
        </w:rPr>
      </w:pPr>
    </w:p>
    <w:p>
      <w:pPr>
        <w:ind w:left="800" w:hanging="548"/>
        <w:spacing w:after="0"/>
        <w:tabs>
          <w:tab w:leader="none" w:pos="800" w:val="left"/>
        </w:tabs>
        <w:numPr>
          <w:ilvl w:val="0"/>
          <w:numId w:val="866"/>
        </w:numPr>
        <w:rPr>
          <w:rFonts w:ascii="Calibri" w:cs="Calibri" w:eastAsia="Calibri" w:hAnsi="Calibri"/>
          <w:sz w:val="22"/>
          <w:szCs w:val="22"/>
          <w:color w:val="auto"/>
        </w:rPr>
      </w:pPr>
      <w:r>
        <w:rPr>
          <w:rFonts w:ascii="Times New Roman" w:cs="Times New Roman" w:eastAsia="Times New Roman" w:hAnsi="Times New Roman"/>
          <w:sz w:val="24"/>
          <w:szCs w:val="24"/>
          <w:color w:val="auto"/>
        </w:rPr>
        <w:t>Capitalisation Statement:</w:t>
      </w:r>
    </w:p>
    <w:p>
      <w:pPr>
        <w:spacing w:after="0" w:line="152" w:lineRule="exact"/>
        <w:rPr>
          <w:rFonts w:ascii="Calibri" w:cs="Calibri" w:eastAsia="Calibri" w:hAnsi="Calibri"/>
          <w:sz w:val="22"/>
          <w:szCs w:val="22"/>
          <w:color w:val="auto"/>
        </w:rPr>
      </w:pPr>
    </w:p>
    <w:p>
      <w:pPr>
        <w:ind w:left="1160" w:hanging="368"/>
        <w:spacing w:after="0" w:line="348" w:lineRule="auto"/>
        <w:tabs>
          <w:tab w:leader="none" w:pos="1160" w:val="left"/>
        </w:tabs>
        <w:numPr>
          <w:ilvl w:val="1"/>
          <w:numId w:val="8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Capitalisation Statement showing total debt, net worth, and the debt/ equity ratios before and after the issue is made.</w:t>
      </w:r>
    </w:p>
    <w:p>
      <w:pPr>
        <w:spacing w:after="0" w:line="27" w:lineRule="exact"/>
        <w:rPr>
          <w:rFonts w:ascii="Times New Roman" w:cs="Times New Roman" w:eastAsia="Times New Roman" w:hAnsi="Times New Roman"/>
          <w:sz w:val="24"/>
          <w:szCs w:val="24"/>
          <w:color w:val="auto"/>
        </w:rPr>
      </w:pPr>
    </w:p>
    <w:p>
      <w:pPr>
        <w:jc w:val="both"/>
        <w:ind w:left="1160" w:hanging="368"/>
        <w:spacing w:after="0" w:line="354" w:lineRule="auto"/>
        <w:tabs>
          <w:tab w:leader="none" w:pos="1160" w:val="left"/>
        </w:tabs>
        <w:numPr>
          <w:ilvl w:val="1"/>
          <w:numId w:val="8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any change in the share capital since the date as of which the financial information has been disclosed in the prospectus, a note explaining the nature of the change.</w:t>
      </w:r>
    </w:p>
    <w:p>
      <w:pPr>
        <w:spacing w:after="0" w:line="7" w:lineRule="exact"/>
        <w:rPr>
          <w:rFonts w:ascii="Times New Roman" w:cs="Times New Roman" w:eastAsia="Times New Roman" w:hAnsi="Times New Roman"/>
          <w:sz w:val="24"/>
          <w:szCs w:val="24"/>
          <w:color w:val="auto"/>
        </w:rPr>
      </w:pPr>
    </w:p>
    <w:p>
      <w:pPr>
        <w:ind w:left="1160" w:hanging="368"/>
        <w:spacing w:after="0"/>
        <w:tabs>
          <w:tab w:leader="none" w:pos="1160" w:val="left"/>
        </w:tabs>
        <w:numPr>
          <w:ilvl w:val="1"/>
          <w:numId w:val="8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 illustrative format of the Capitalisation Statement is specified hereunder: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461645</wp:posOffset>
                </wp:positionH>
                <wp:positionV relativeFrom="paragraph">
                  <wp:posOffset>358140</wp:posOffset>
                </wp:positionV>
                <wp:extent cx="5227320" cy="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732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9" o:spid="_x0000_s11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35pt,28.2pt" to="447.95pt,28.2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2266315</wp:posOffset>
                </wp:positionH>
                <wp:positionV relativeFrom="paragraph">
                  <wp:posOffset>354965</wp:posOffset>
                </wp:positionV>
                <wp:extent cx="0" cy="53848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3848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0" o:spid="_x0000_s11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8.45pt,27.95pt" to="178.45pt,70.3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4067175</wp:posOffset>
                </wp:positionH>
                <wp:positionV relativeFrom="paragraph">
                  <wp:posOffset>354965</wp:posOffset>
                </wp:positionV>
                <wp:extent cx="0" cy="53848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3848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81" o:spid="_x0000_s11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20.25pt,27.95pt" to="320.25pt,70.3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461645</wp:posOffset>
                </wp:positionH>
                <wp:positionV relativeFrom="paragraph">
                  <wp:posOffset>890270</wp:posOffset>
                </wp:positionV>
                <wp:extent cx="5227320" cy="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732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2" o:spid="_x0000_s11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35pt,70.1pt" to="447.95pt,70.1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464820</wp:posOffset>
                </wp:positionH>
                <wp:positionV relativeFrom="paragraph">
                  <wp:posOffset>354965</wp:posOffset>
                </wp:positionV>
                <wp:extent cx="0" cy="107188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7188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83" o:spid="_x0000_s11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6pt,27.95pt" to="36.6pt,112.3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5685790</wp:posOffset>
                </wp:positionH>
                <wp:positionV relativeFrom="paragraph">
                  <wp:posOffset>354965</wp:posOffset>
                </wp:positionV>
                <wp:extent cx="0" cy="107188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7188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84" o:spid="_x0000_s11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47.7pt,27.95pt" to="447.7pt,112.35pt" o:allowincell="f" strokecolor="#000000" strokeweight="0.48pt"/>
            </w:pict>
          </mc:Fallback>
        </mc:AlternateContent>
      </w:r>
    </w:p>
    <w:p>
      <w:pPr>
        <w:spacing w:after="0" w:line="200" w:lineRule="exact"/>
        <w:rPr>
          <w:sz w:val="20"/>
          <w:szCs w:val="20"/>
          <w:color w:val="auto"/>
        </w:rPr>
      </w:pPr>
    </w:p>
    <w:p>
      <w:pPr>
        <w:spacing w:after="0" w:line="346" w:lineRule="exact"/>
        <w:rPr>
          <w:sz w:val="20"/>
          <w:szCs w:val="20"/>
          <w:color w:val="auto"/>
        </w:rPr>
      </w:pPr>
    </w:p>
    <w:tbl>
      <w:tblPr>
        <w:tblLayout w:type="fixed"/>
        <w:tblInd w:w="840" w:type="dxa"/>
        <w:tblCellMar>
          <w:top w:w="0" w:type="dxa"/>
          <w:left w:w="0" w:type="dxa"/>
          <w:bottom w:w="0" w:type="dxa"/>
          <w:right w:w="0" w:type="dxa"/>
        </w:tblCellMar>
      </w:tblPr>
      <w:tr>
        <w:trPr>
          <w:trHeight w:val="276"/>
        </w:trPr>
        <w:tc>
          <w:tcPr>
            <w:tcW w:w="2000" w:type="dxa"/>
            <w:vAlign w:val="bottom"/>
          </w:tcPr>
          <w:p>
            <w:pPr>
              <w:spacing w:after="0"/>
              <w:rPr>
                <w:sz w:val="20"/>
                <w:szCs w:val="20"/>
                <w:color w:val="auto"/>
              </w:rPr>
            </w:pPr>
            <w:r>
              <w:rPr>
                <w:rFonts w:ascii="Times New Roman" w:cs="Times New Roman" w:eastAsia="Times New Roman" w:hAnsi="Times New Roman"/>
                <w:sz w:val="24"/>
                <w:szCs w:val="24"/>
                <w:b w:val="1"/>
                <w:bCs w:val="1"/>
                <w:color w:val="auto"/>
              </w:rPr>
              <w:t>Particulars</w:t>
            </w:r>
          </w:p>
        </w:tc>
        <w:tc>
          <w:tcPr>
            <w:tcW w:w="2860" w:type="dxa"/>
            <w:vAlign w:val="bottom"/>
          </w:tcPr>
          <w:p>
            <w:pPr>
              <w:ind w:left="840"/>
              <w:spacing w:after="0"/>
              <w:rPr>
                <w:sz w:val="20"/>
                <w:szCs w:val="20"/>
                <w:color w:val="auto"/>
              </w:rPr>
            </w:pPr>
            <w:r>
              <w:rPr>
                <w:rFonts w:ascii="Times New Roman" w:cs="Times New Roman" w:eastAsia="Times New Roman" w:hAnsi="Times New Roman"/>
                <w:sz w:val="24"/>
                <w:szCs w:val="24"/>
                <w:b w:val="1"/>
                <w:bCs w:val="1"/>
                <w:color w:val="auto"/>
              </w:rPr>
              <w:t>Pre-issue at</w:t>
            </w:r>
          </w:p>
        </w:tc>
        <w:tc>
          <w:tcPr>
            <w:tcW w:w="2760" w:type="dxa"/>
            <w:vAlign w:val="bottom"/>
          </w:tcPr>
          <w:p>
            <w:pPr>
              <w:ind w:left="820"/>
              <w:spacing w:after="0"/>
              <w:rPr>
                <w:sz w:val="20"/>
                <w:szCs w:val="20"/>
                <w:color w:val="auto"/>
              </w:rPr>
            </w:pPr>
            <w:r>
              <w:rPr>
                <w:rFonts w:ascii="Times New Roman" w:cs="Times New Roman" w:eastAsia="Times New Roman" w:hAnsi="Times New Roman"/>
                <w:sz w:val="24"/>
                <w:szCs w:val="24"/>
                <w:b w:val="1"/>
                <w:bCs w:val="1"/>
                <w:color w:val="auto"/>
                <w:w w:val="98"/>
              </w:rPr>
              <w:t>As adjusted for the</w:t>
            </w:r>
          </w:p>
        </w:tc>
      </w:tr>
    </w:tbl>
    <w:p>
      <w:pPr>
        <w:spacing w:after="0" w:line="140" w:lineRule="exact"/>
        <w:rPr>
          <w:sz w:val="20"/>
          <w:szCs w:val="20"/>
          <w:color w:val="auto"/>
        </w:rPr>
      </w:pPr>
    </w:p>
    <w:p>
      <w:pPr>
        <w:ind w:left="6520"/>
        <w:spacing w:after="0"/>
        <w:rPr>
          <w:sz w:val="20"/>
          <w:szCs w:val="20"/>
          <w:color w:val="auto"/>
        </w:rPr>
      </w:pPr>
      <w:r>
        <w:rPr>
          <w:rFonts w:ascii="Times New Roman" w:cs="Times New Roman" w:eastAsia="Times New Roman" w:hAnsi="Times New Roman"/>
          <w:sz w:val="24"/>
          <w:szCs w:val="24"/>
          <w:b w:val="1"/>
          <w:bCs w:val="1"/>
          <w:color w:val="auto"/>
        </w:rPr>
        <w:t>proposed issue</w:t>
      </w:r>
    </w:p>
    <w:p>
      <w:pPr>
        <w:spacing w:after="0" w:line="144" w:lineRule="exact"/>
        <w:rPr>
          <w:sz w:val="20"/>
          <w:szCs w:val="20"/>
          <w:color w:val="auto"/>
        </w:rPr>
      </w:pPr>
    </w:p>
    <w:p>
      <w:pPr>
        <w:jc w:val="right"/>
        <w:ind w:right="340"/>
        <w:spacing w:after="0"/>
        <w:rPr>
          <w:sz w:val="20"/>
          <w:szCs w:val="20"/>
          <w:color w:val="auto"/>
        </w:rPr>
      </w:pP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b w:val="1"/>
          <w:bCs w:val="1"/>
          <w:color w:val="auto"/>
        </w:rPr>
        <w:t xml:space="preserve"> in</w:t>
      </w:r>
    </w:p>
    <w:p>
      <w:pPr>
        <w:spacing w:after="0" w:line="142" w:lineRule="exact"/>
        <w:rPr>
          <w:sz w:val="20"/>
          <w:szCs w:val="20"/>
          <w:color w:val="auto"/>
        </w:rPr>
      </w:pPr>
    </w:p>
    <w:p>
      <w:pPr>
        <w:jc w:val="right"/>
        <w:ind w:right="340"/>
        <w:spacing w:after="0"/>
        <w:rPr>
          <w:sz w:val="20"/>
          <w:szCs w:val="20"/>
          <w:color w:val="auto"/>
        </w:rPr>
      </w:pPr>
      <w:r>
        <w:rPr>
          <w:rFonts w:ascii="Times New Roman" w:cs="Times New Roman" w:eastAsia="Times New Roman" w:hAnsi="Times New Roman"/>
          <w:sz w:val="24"/>
          <w:szCs w:val="24"/>
          <w:b w:val="1"/>
          <w:bCs w:val="1"/>
          <w:color w:val="auto"/>
        </w:rPr>
        <w:t>Crores)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461645</wp:posOffset>
                </wp:positionH>
                <wp:positionV relativeFrom="paragraph">
                  <wp:posOffset>92710</wp:posOffset>
                </wp:positionV>
                <wp:extent cx="5227320" cy="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732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5" o:spid="_x0000_s11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35pt,7.3pt" to="447.95pt,7.3pt" o:allowincell="f" strokecolor="#000000" strokeweight="0.479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241</w:t>
      </w:r>
    </w:p>
    <w:p>
      <w:pPr>
        <w:sectPr>
          <w:pgSz w:w="11900" w:h="16836" w:orient="portrait"/>
          <w:cols w:equalWidth="0" w:num="1">
            <w:col w:w="9180"/>
          </w:cols>
          <w:pgMar w:left="1440" w:top="1156" w:right="1284" w:bottom="103" w:gutter="0" w:footer="0" w:header="0"/>
        </w:sectPr>
      </w:pPr>
    </w:p>
    <w:bookmarkStart w:id="241" w:name="page242"/>
    <w:bookmarkEnd w:id="241"/>
    <w:p>
      <w:pPr>
        <w:ind w:left="840"/>
        <w:spacing w:after="0"/>
        <w:rPr>
          <w:sz w:val="20"/>
          <w:szCs w:val="20"/>
          <w:color w:val="auto"/>
        </w:rPr>
      </w:pPr>
      <w:r>
        <w:rPr>
          <w:rFonts w:ascii="Times New Roman" w:cs="Times New Roman" w:eastAsia="Times New Roman" w:hAnsi="Times New Roman"/>
          <w:sz w:val="24"/>
          <w:szCs w:val="24"/>
          <w:b w:val="1"/>
          <w:bCs w:val="1"/>
          <w:color w:val="auto"/>
        </w:rPr>
        <mc:AlternateContent>
          <mc:Choice Requires="wps">
            <w:drawing>
              <wp:anchor simplePos="0" relativeHeight="251657728" behindDoc="1" locked="0" layoutInCell="0" allowOverlap="1">
                <wp:simplePos x="0" y="0"/>
                <wp:positionH relativeFrom="page">
                  <wp:posOffset>1376045</wp:posOffset>
                </wp:positionH>
                <wp:positionV relativeFrom="page">
                  <wp:posOffset>734060</wp:posOffset>
                </wp:positionV>
                <wp:extent cx="5227320" cy="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732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86" o:spid="_x0000_s111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35pt,57.8pt" to="519.95pt,57.8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1376045</wp:posOffset>
                </wp:positionH>
                <wp:positionV relativeFrom="page">
                  <wp:posOffset>1003935</wp:posOffset>
                </wp:positionV>
                <wp:extent cx="5227320" cy="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732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7" o:spid="_x0000_s111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35pt,79.05pt" to="519.95pt,79.05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1376045</wp:posOffset>
                </wp:positionH>
                <wp:positionV relativeFrom="page">
                  <wp:posOffset>1272540</wp:posOffset>
                </wp:positionV>
                <wp:extent cx="5227320" cy="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732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8" o:spid="_x0000_s111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35pt,100.2pt" to="519.95pt,100.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1376045</wp:posOffset>
                </wp:positionH>
                <wp:positionV relativeFrom="page">
                  <wp:posOffset>2068195</wp:posOffset>
                </wp:positionV>
                <wp:extent cx="5227320" cy="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732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9" o:spid="_x0000_s111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35pt,162.85pt" to="519.95pt,162.85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1376045</wp:posOffset>
                </wp:positionH>
                <wp:positionV relativeFrom="page">
                  <wp:posOffset>2337435</wp:posOffset>
                </wp:positionV>
                <wp:extent cx="5227320" cy="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732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0" o:spid="_x0000_s111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35pt,184.05pt" to="519.95pt,184.05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1376045</wp:posOffset>
                </wp:positionH>
                <wp:positionV relativeFrom="page">
                  <wp:posOffset>2606040</wp:posOffset>
                </wp:positionV>
                <wp:extent cx="5227320" cy="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732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1" o:spid="_x0000_s111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35pt,205.2pt" to="519.95pt,205.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1376045</wp:posOffset>
                </wp:positionH>
                <wp:positionV relativeFrom="page">
                  <wp:posOffset>2875915</wp:posOffset>
                </wp:positionV>
                <wp:extent cx="5227320" cy="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732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92" o:spid="_x0000_s111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35pt,226.45pt" to="519.95pt,226.45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1376045</wp:posOffset>
                </wp:positionH>
                <wp:positionV relativeFrom="page">
                  <wp:posOffset>3145790</wp:posOffset>
                </wp:positionV>
                <wp:extent cx="5227320" cy="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732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3" o:spid="_x0000_s111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35pt,247.7pt" to="519.95pt,247.7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1376045</wp:posOffset>
                </wp:positionH>
                <wp:positionV relativeFrom="page">
                  <wp:posOffset>3677920</wp:posOffset>
                </wp:positionV>
                <wp:extent cx="5227320" cy="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732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4" o:spid="_x0000_s111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35pt,289.6pt" to="519.95pt,289.6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1376045</wp:posOffset>
                </wp:positionH>
                <wp:positionV relativeFrom="page">
                  <wp:posOffset>3945890</wp:posOffset>
                </wp:positionV>
                <wp:extent cx="5227320" cy="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732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5" o:spid="_x0000_s112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35pt,310.7pt" to="519.95pt,310.7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1379220</wp:posOffset>
                </wp:positionH>
                <wp:positionV relativeFrom="page">
                  <wp:posOffset>731520</wp:posOffset>
                </wp:positionV>
                <wp:extent cx="0" cy="401320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01320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96" o:spid="_x0000_s112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6pt,57.6pt" to="108.6pt,373.6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3180715</wp:posOffset>
                </wp:positionH>
                <wp:positionV relativeFrom="page">
                  <wp:posOffset>731520</wp:posOffset>
                </wp:positionV>
                <wp:extent cx="0" cy="4013200"/>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01320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7" o:spid="_x0000_s112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50.45pt,57.6pt" to="250.45pt,373.6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4981575</wp:posOffset>
                </wp:positionH>
                <wp:positionV relativeFrom="page">
                  <wp:posOffset>731520</wp:posOffset>
                </wp:positionV>
                <wp:extent cx="0" cy="401320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01320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98" o:spid="_x0000_s112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392.25pt,57.6pt" to="392.25pt,373.6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6600190</wp:posOffset>
                </wp:positionH>
                <wp:positionV relativeFrom="page">
                  <wp:posOffset>731520</wp:posOffset>
                </wp:positionV>
                <wp:extent cx="0" cy="401320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01320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99" o:spid="_x0000_s112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19.7pt,57.6pt" to="519.7pt,373.6pt" o:allowincell="f" strokecolor="#000000" strokeweight="0.48pt">
                <w10:wrap anchorx="page" anchory="page"/>
              </v:line>
            </w:pict>
          </mc:Fallback>
        </mc:AlternateContent>
        <w:t>Total borrowings</w:t>
      </w:r>
    </w:p>
    <w:p>
      <w:pPr>
        <w:spacing w:after="0" w:line="144"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24"/>
          <w:szCs w:val="24"/>
          <w:color w:val="auto"/>
        </w:rPr>
        <w:t>Current borrowings*</w:t>
      </w:r>
    </w:p>
    <w:p>
      <w:pPr>
        <w:spacing w:after="0" w:line="146"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24"/>
          <w:szCs w:val="24"/>
          <w:color w:val="auto"/>
        </w:rPr>
        <w:t>Non-current</w:t>
      </w:r>
    </w:p>
    <w:p>
      <w:pPr>
        <w:spacing w:after="0" w:line="139"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24"/>
          <w:szCs w:val="24"/>
          <w:color w:val="auto"/>
        </w:rPr>
        <w:t>borrowings (including</w:t>
      </w:r>
    </w:p>
    <w:p>
      <w:pPr>
        <w:spacing w:after="0" w:line="137"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24"/>
          <w:szCs w:val="24"/>
          <w:color w:val="auto"/>
        </w:rPr>
        <w:t>current maturity)*</w:t>
      </w:r>
    </w:p>
    <w:p>
      <w:pPr>
        <w:spacing w:after="0" w:line="200" w:lineRule="exact"/>
        <w:rPr>
          <w:sz w:val="20"/>
          <w:szCs w:val="20"/>
          <w:color w:val="auto"/>
        </w:rPr>
      </w:pPr>
    </w:p>
    <w:p>
      <w:pPr>
        <w:spacing w:after="0" w:line="37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b w:val="1"/>
          <w:bCs w:val="1"/>
          <w:color w:val="auto"/>
        </w:rPr>
        <w:t>Total equity</w:t>
      </w:r>
    </w:p>
    <w:p>
      <w:pPr>
        <w:spacing w:after="0" w:line="142"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24"/>
          <w:szCs w:val="24"/>
          <w:color w:val="auto"/>
        </w:rPr>
        <w:t>Share capital*</w:t>
      </w:r>
    </w:p>
    <w:p>
      <w:pPr>
        <w:spacing w:after="0" w:line="149"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24"/>
          <w:szCs w:val="24"/>
          <w:color w:val="auto"/>
        </w:rPr>
        <w:t>Reserves and surplus*</w:t>
      </w:r>
    </w:p>
    <w:p>
      <w:pPr>
        <w:spacing w:after="0" w:line="149"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24"/>
          <w:szCs w:val="24"/>
          <w:color w:val="auto"/>
        </w:rPr>
        <w:t>Money received against</w:t>
      </w:r>
    </w:p>
    <w:p>
      <w:pPr>
        <w:spacing w:after="0" w:line="137"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24"/>
          <w:szCs w:val="24"/>
          <w:color w:val="auto"/>
        </w:rPr>
        <w:t>share warrants*</w:t>
      </w:r>
    </w:p>
    <w:p>
      <w:pPr>
        <w:spacing w:after="0" w:line="154"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b w:val="1"/>
          <w:bCs w:val="1"/>
          <w:color w:val="auto"/>
        </w:rPr>
        <w:t>Total Capital</w:t>
      </w:r>
    </w:p>
    <w:p>
      <w:pPr>
        <w:spacing w:after="0" w:line="142"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Ratio: Non-current</w:t>
      </w:r>
    </w:p>
    <w:p>
      <w:pPr>
        <w:spacing w:after="0" w:line="139"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borrowings/ Total equity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461645</wp:posOffset>
                </wp:positionH>
                <wp:positionV relativeFrom="paragraph">
                  <wp:posOffset>358140</wp:posOffset>
                </wp:positionV>
                <wp:extent cx="5227320" cy="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732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00" o:spid="_x0000_s11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35pt,28.2pt" to="447.95pt,28.2pt" o:allowincell="f" strokecolor="#000000" strokeweight="0.48pt"/>
            </w:pict>
          </mc:Fallback>
        </mc:AlternateContent>
      </w:r>
    </w:p>
    <w:p>
      <w:pPr>
        <w:spacing w:after="0" w:line="200" w:lineRule="exact"/>
        <w:rPr>
          <w:sz w:val="20"/>
          <w:szCs w:val="20"/>
          <w:color w:val="auto"/>
        </w:rPr>
      </w:pPr>
    </w:p>
    <w:p>
      <w:pPr>
        <w:spacing w:after="0" w:line="354" w:lineRule="exact"/>
        <w:rPr>
          <w:sz w:val="20"/>
          <w:szCs w:val="20"/>
          <w:color w:val="auto"/>
        </w:rPr>
      </w:pPr>
    </w:p>
    <w:p>
      <w:pPr>
        <w:ind w:left="1160" w:right="360"/>
        <w:spacing w:after="0" w:line="350" w:lineRule="auto"/>
        <w:rPr>
          <w:sz w:val="20"/>
          <w:szCs w:val="20"/>
          <w:color w:val="auto"/>
        </w:rPr>
      </w:pPr>
      <w:r>
        <w:rPr>
          <w:rFonts w:ascii="Times New Roman" w:cs="Times New Roman" w:eastAsia="Times New Roman" w:hAnsi="Times New Roman"/>
          <w:sz w:val="24"/>
          <w:szCs w:val="24"/>
          <w:color w:val="auto"/>
        </w:rPr>
        <w:t>*These terms shall carry the meaning as per Schedule III of the Companies Act, 2013 (as amended).</w:t>
      </w:r>
    </w:p>
    <w:p>
      <w:pPr>
        <w:spacing w:after="0" w:line="200" w:lineRule="exact"/>
        <w:rPr>
          <w:sz w:val="20"/>
          <w:szCs w:val="20"/>
          <w:color w:val="auto"/>
        </w:rPr>
      </w:pPr>
    </w:p>
    <w:p>
      <w:pPr>
        <w:spacing w:after="0" w:line="219" w:lineRule="exact"/>
        <w:rPr>
          <w:sz w:val="20"/>
          <w:szCs w:val="20"/>
          <w:color w:val="auto"/>
        </w:rPr>
      </w:pPr>
    </w:p>
    <w:p>
      <w:pPr>
        <w:ind w:left="800" w:hanging="548"/>
        <w:spacing w:after="0"/>
        <w:tabs>
          <w:tab w:leader="none" w:pos="800" w:val="left"/>
        </w:tabs>
        <w:numPr>
          <w:ilvl w:val="0"/>
          <w:numId w:val="867"/>
        </w:numPr>
        <w:rPr>
          <w:rFonts w:ascii="Calibri" w:cs="Calibri" w:eastAsia="Calibri" w:hAnsi="Calibri"/>
          <w:sz w:val="22"/>
          <w:szCs w:val="22"/>
          <w:color w:val="auto"/>
        </w:rPr>
      </w:pPr>
      <w:r>
        <w:rPr>
          <w:rFonts w:ascii="Times New Roman" w:cs="Times New Roman" w:eastAsia="Times New Roman" w:hAnsi="Times New Roman"/>
          <w:sz w:val="24"/>
          <w:szCs w:val="24"/>
          <w:color w:val="auto"/>
        </w:rPr>
        <w:t>Management’s  Discussion  and  Analysis  of  Financial  Position  and  Results  of</w:t>
      </w:r>
    </w:p>
    <w:p>
      <w:pPr>
        <w:spacing w:after="0" w:line="149" w:lineRule="exact"/>
        <w:rPr>
          <w:rFonts w:ascii="Calibri" w:cs="Calibri" w:eastAsia="Calibri" w:hAnsi="Calibri"/>
          <w:sz w:val="22"/>
          <w:szCs w:val="22"/>
          <w:color w:val="auto"/>
        </w:rPr>
      </w:pPr>
    </w:p>
    <w:p>
      <w:pPr>
        <w:ind w:left="800"/>
        <w:spacing w:after="0" w:line="350" w:lineRule="auto"/>
        <w:rPr>
          <w:rFonts w:ascii="Calibri" w:cs="Calibri" w:eastAsia="Calibri" w:hAnsi="Calibri"/>
          <w:sz w:val="22"/>
          <w:szCs w:val="22"/>
          <w:color w:val="auto"/>
        </w:rPr>
      </w:pPr>
      <w:r>
        <w:rPr>
          <w:rFonts w:ascii="Times New Roman" w:cs="Times New Roman" w:eastAsia="Times New Roman" w:hAnsi="Times New Roman"/>
          <w:sz w:val="24"/>
          <w:szCs w:val="24"/>
          <w:color w:val="auto"/>
        </w:rPr>
        <w:t>Operations as reflected in the restated Indian GAAP CFS shall be provided in other financial information.</w:t>
      </w:r>
    </w:p>
    <w:p>
      <w:pPr>
        <w:spacing w:after="0" w:line="3" w:lineRule="exact"/>
        <w:rPr>
          <w:rFonts w:ascii="Calibri" w:cs="Calibri" w:eastAsia="Calibri" w:hAnsi="Calibri"/>
          <w:sz w:val="22"/>
          <w:szCs w:val="22"/>
          <w:color w:val="auto"/>
        </w:rPr>
      </w:pPr>
    </w:p>
    <w:p>
      <w:pPr>
        <w:ind w:left="800" w:hanging="548"/>
        <w:spacing w:after="0"/>
        <w:tabs>
          <w:tab w:leader="none" w:pos="800" w:val="left"/>
        </w:tabs>
        <w:numPr>
          <w:ilvl w:val="0"/>
          <w:numId w:val="867"/>
        </w:numPr>
        <w:rPr>
          <w:rFonts w:ascii="Calibri" w:cs="Calibri" w:eastAsia="Calibri" w:hAnsi="Calibri"/>
          <w:sz w:val="22"/>
          <w:szCs w:val="22"/>
          <w:color w:val="auto"/>
        </w:rPr>
      </w:pPr>
      <w:r>
        <w:rPr>
          <w:rFonts w:ascii="Times New Roman" w:cs="Times New Roman" w:eastAsia="Times New Roman" w:hAnsi="Times New Roman"/>
          <w:sz w:val="24"/>
          <w:szCs w:val="24"/>
          <w:color w:val="auto"/>
        </w:rPr>
        <w:t>Overview of the business of the issuer.</w:t>
      </w:r>
    </w:p>
    <w:p>
      <w:pPr>
        <w:spacing w:after="0" w:line="151" w:lineRule="exact"/>
        <w:rPr>
          <w:rFonts w:ascii="Calibri" w:cs="Calibri" w:eastAsia="Calibri" w:hAnsi="Calibri"/>
          <w:sz w:val="22"/>
          <w:szCs w:val="22"/>
          <w:color w:val="auto"/>
        </w:rPr>
      </w:pPr>
    </w:p>
    <w:p>
      <w:pPr>
        <w:jc w:val="both"/>
        <w:ind w:left="800" w:hanging="548"/>
        <w:spacing w:after="0" w:line="354" w:lineRule="auto"/>
        <w:tabs>
          <w:tab w:leader="none" w:pos="800" w:val="left"/>
        </w:tabs>
        <w:numPr>
          <w:ilvl w:val="0"/>
          <w:numId w:val="867"/>
        </w:numPr>
        <w:rPr>
          <w:rFonts w:ascii="Calibri" w:cs="Calibri" w:eastAsia="Calibri" w:hAnsi="Calibri"/>
          <w:sz w:val="22"/>
          <w:szCs w:val="22"/>
          <w:color w:val="auto"/>
        </w:rPr>
      </w:pPr>
      <w:r>
        <w:rPr>
          <w:rFonts w:ascii="Times New Roman" w:cs="Times New Roman" w:eastAsia="Times New Roman" w:hAnsi="Times New Roman"/>
          <w:sz w:val="24"/>
          <w:szCs w:val="24"/>
          <w:color w:val="auto"/>
        </w:rPr>
        <w:t>Significant developments subsequent to the last financial year or when applicable subsequent to the stub period: A statement by the directors whether in their opinion there have arisen any circumstances since the date of the last financial statements as disclosed in the offer document and which materially and adversely affect or is likely to affect within the next twelve months :</w:t>
      </w:r>
    </w:p>
    <w:p>
      <w:pPr>
        <w:spacing w:after="0" w:line="11" w:lineRule="exact"/>
        <w:rPr>
          <w:rFonts w:ascii="Calibri" w:cs="Calibri" w:eastAsia="Calibri" w:hAnsi="Calibri"/>
          <w:sz w:val="22"/>
          <w:szCs w:val="22"/>
          <w:color w:val="auto"/>
        </w:rPr>
      </w:pPr>
    </w:p>
    <w:p>
      <w:pPr>
        <w:ind w:left="1780" w:hanging="356"/>
        <w:spacing w:after="0"/>
        <w:tabs>
          <w:tab w:leader="none" w:pos="1780" w:val="left"/>
        </w:tabs>
        <w:numPr>
          <w:ilvl w:val="1"/>
          <w:numId w:val="86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trading or profitability of the issuer; or</w:t>
      </w:r>
    </w:p>
    <w:p>
      <w:pPr>
        <w:spacing w:after="0" w:line="136" w:lineRule="exact"/>
        <w:rPr>
          <w:rFonts w:ascii="Times New Roman" w:cs="Times New Roman" w:eastAsia="Times New Roman" w:hAnsi="Times New Roman"/>
          <w:sz w:val="24"/>
          <w:szCs w:val="24"/>
          <w:color w:val="auto"/>
        </w:rPr>
      </w:pPr>
    </w:p>
    <w:p>
      <w:pPr>
        <w:ind w:left="1780" w:hanging="356"/>
        <w:spacing w:after="0"/>
        <w:tabs>
          <w:tab w:leader="none" w:pos="1780" w:val="left"/>
        </w:tabs>
        <w:numPr>
          <w:ilvl w:val="1"/>
          <w:numId w:val="86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value of its assets; or</w:t>
      </w:r>
    </w:p>
    <w:p>
      <w:pPr>
        <w:spacing w:after="0" w:line="139" w:lineRule="exact"/>
        <w:rPr>
          <w:rFonts w:ascii="Times New Roman" w:cs="Times New Roman" w:eastAsia="Times New Roman" w:hAnsi="Times New Roman"/>
          <w:sz w:val="24"/>
          <w:szCs w:val="24"/>
          <w:color w:val="auto"/>
        </w:rPr>
      </w:pPr>
    </w:p>
    <w:p>
      <w:pPr>
        <w:ind w:left="1780" w:hanging="356"/>
        <w:spacing w:after="0"/>
        <w:tabs>
          <w:tab w:leader="none" w:pos="1780" w:val="left"/>
        </w:tabs>
        <w:numPr>
          <w:ilvl w:val="1"/>
          <w:numId w:val="86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its ability to pay its liabilities.</w:t>
      </w:r>
    </w:p>
    <w:p>
      <w:pPr>
        <w:spacing w:after="0" w:line="129" w:lineRule="exact"/>
        <w:rPr>
          <w:rFonts w:ascii="Times New Roman" w:cs="Times New Roman" w:eastAsia="Times New Roman" w:hAnsi="Times New Roman"/>
          <w:sz w:val="24"/>
          <w:szCs w:val="24"/>
          <w:color w:val="auto"/>
        </w:rPr>
      </w:pPr>
    </w:p>
    <w:p>
      <w:pPr>
        <w:ind w:left="800" w:hanging="548"/>
        <w:spacing w:after="0"/>
        <w:tabs>
          <w:tab w:leader="none" w:pos="800" w:val="left"/>
        </w:tabs>
        <w:numPr>
          <w:ilvl w:val="0"/>
          <w:numId w:val="867"/>
        </w:numPr>
        <w:rPr>
          <w:rFonts w:ascii="Calibri" w:cs="Calibri" w:eastAsia="Calibri" w:hAnsi="Calibri"/>
          <w:sz w:val="22"/>
          <w:szCs w:val="22"/>
          <w:color w:val="auto"/>
        </w:rPr>
      </w:pPr>
      <w:r>
        <w:rPr>
          <w:rFonts w:ascii="Times New Roman" w:cs="Times New Roman" w:eastAsia="Times New Roman" w:hAnsi="Times New Roman"/>
          <w:sz w:val="24"/>
          <w:szCs w:val="24"/>
          <w:color w:val="auto"/>
        </w:rPr>
        <w:t>Factors that may affect the results of operations.</w:t>
      </w:r>
    </w:p>
    <w:p>
      <w:pPr>
        <w:spacing w:after="0" w:line="151" w:lineRule="exact"/>
        <w:rPr>
          <w:rFonts w:ascii="Calibri" w:cs="Calibri" w:eastAsia="Calibri" w:hAnsi="Calibri"/>
          <w:sz w:val="22"/>
          <w:szCs w:val="22"/>
          <w:color w:val="auto"/>
        </w:rPr>
      </w:pPr>
    </w:p>
    <w:p>
      <w:pPr>
        <w:ind w:left="800" w:hanging="548"/>
        <w:spacing w:after="0" w:line="342" w:lineRule="auto"/>
        <w:tabs>
          <w:tab w:leader="none" w:pos="800" w:val="left"/>
        </w:tabs>
        <w:numPr>
          <w:ilvl w:val="0"/>
          <w:numId w:val="867"/>
        </w:numPr>
        <w:rPr>
          <w:rFonts w:ascii="Calibri" w:cs="Calibri" w:eastAsia="Calibri" w:hAnsi="Calibri"/>
          <w:sz w:val="22"/>
          <w:szCs w:val="22"/>
          <w:color w:val="auto"/>
        </w:rPr>
      </w:pPr>
      <w:r>
        <w:rPr>
          <w:rFonts w:ascii="Times New Roman" w:cs="Times New Roman" w:eastAsia="Times New Roman" w:hAnsi="Times New Roman"/>
          <w:sz w:val="24"/>
          <w:szCs w:val="24"/>
          <w:color w:val="auto"/>
        </w:rPr>
        <w:t>Discussion on the results of operations: This information shall, inter-alia, contain the following: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242</w:t>
      </w:r>
    </w:p>
    <w:p>
      <w:pPr>
        <w:sectPr>
          <w:pgSz w:w="11900" w:h="16836" w:orient="portrait"/>
          <w:cols w:equalWidth="0" w:num="1">
            <w:col w:w="9180"/>
          </w:cols>
          <w:pgMar w:left="1440" w:top="1158" w:right="1284" w:bottom="103" w:gutter="0" w:footer="0" w:header="0"/>
        </w:sectPr>
      </w:pPr>
    </w:p>
    <w:bookmarkStart w:id="242" w:name="page243"/>
    <w:bookmarkEnd w:id="242"/>
    <w:p>
      <w:pPr>
        <w:ind w:left="1780" w:right="160" w:hanging="356"/>
        <w:spacing w:after="0" w:line="354" w:lineRule="auto"/>
        <w:tabs>
          <w:tab w:leader="none" w:pos="1780" w:val="left"/>
        </w:tabs>
        <w:numPr>
          <w:ilvl w:val="2"/>
          <w:numId w:val="86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summary of the past financial results after adjustments as given in the auditor’s report for the past three full financial years and the stub period (if any) containing significant items of income and expenditure shall be given.</w:t>
      </w:r>
    </w:p>
    <w:p>
      <w:pPr>
        <w:spacing w:after="0" w:line="20" w:lineRule="exact"/>
        <w:rPr>
          <w:rFonts w:ascii="Times New Roman" w:cs="Times New Roman" w:eastAsia="Times New Roman" w:hAnsi="Times New Roman"/>
          <w:sz w:val="24"/>
          <w:szCs w:val="24"/>
          <w:color w:val="auto"/>
        </w:rPr>
      </w:pPr>
    </w:p>
    <w:p>
      <w:pPr>
        <w:ind w:left="1780" w:right="560" w:hanging="356"/>
        <w:spacing w:after="0" w:line="350" w:lineRule="auto"/>
        <w:tabs>
          <w:tab w:leader="none" w:pos="1780" w:val="left"/>
        </w:tabs>
        <w:numPr>
          <w:ilvl w:val="2"/>
          <w:numId w:val="86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summary of major items of income and expenditure for the last three years and most recent audit period</w:t>
      </w:r>
    </w:p>
    <w:p>
      <w:pPr>
        <w:spacing w:after="0" w:line="10" w:lineRule="exact"/>
        <w:rPr>
          <w:rFonts w:ascii="Times New Roman" w:cs="Times New Roman" w:eastAsia="Times New Roman" w:hAnsi="Times New Roman"/>
          <w:sz w:val="24"/>
          <w:szCs w:val="24"/>
          <w:color w:val="auto"/>
        </w:rPr>
      </w:pPr>
    </w:p>
    <w:p>
      <w:pPr>
        <w:ind w:left="1780" w:hanging="356"/>
        <w:spacing w:after="0"/>
        <w:tabs>
          <w:tab w:leader="none" w:pos="1780" w:val="left"/>
        </w:tabs>
        <w:numPr>
          <w:ilvl w:val="2"/>
          <w:numId w:val="86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income and sales on account of major product/ main activities.</w:t>
      </w:r>
    </w:p>
    <w:p>
      <w:pPr>
        <w:spacing w:after="0" w:line="151" w:lineRule="exact"/>
        <w:rPr>
          <w:rFonts w:ascii="Times New Roman" w:cs="Times New Roman" w:eastAsia="Times New Roman" w:hAnsi="Times New Roman"/>
          <w:sz w:val="24"/>
          <w:szCs w:val="24"/>
          <w:color w:val="auto"/>
        </w:rPr>
      </w:pPr>
    </w:p>
    <w:p>
      <w:pPr>
        <w:ind w:left="1780" w:right="160" w:hanging="356"/>
        <w:spacing w:after="0" w:line="354" w:lineRule="auto"/>
        <w:tabs>
          <w:tab w:leader="none" w:pos="1780" w:val="left"/>
        </w:tabs>
        <w:numPr>
          <w:ilvl w:val="2"/>
          <w:numId w:val="86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the other income constitutes more than 10% of the total income, the break-up of the same along with the nature of the income, i.e., recurring or non-recurring shall be stated.</w:t>
      </w:r>
    </w:p>
    <w:p>
      <w:pPr>
        <w:spacing w:after="0" w:line="20" w:lineRule="exact"/>
        <w:rPr>
          <w:rFonts w:ascii="Times New Roman" w:cs="Times New Roman" w:eastAsia="Times New Roman" w:hAnsi="Times New Roman"/>
          <w:sz w:val="24"/>
          <w:szCs w:val="24"/>
          <w:color w:val="auto"/>
        </w:rPr>
      </w:pPr>
    </w:p>
    <w:p>
      <w:pPr>
        <w:ind w:left="1780" w:right="20" w:hanging="356"/>
        <w:spacing w:after="0" w:line="357" w:lineRule="auto"/>
        <w:tabs>
          <w:tab w:leader="none" w:pos="1780" w:val="left"/>
        </w:tabs>
        <w:numPr>
          <w:ilvl w:val="2"/>
          <w:numId w:val="86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a material part of the income is dependent upon a single customer/supplier or a few major customers/suppliers, disclosure of this fact along with relevant data. Similarly if any foreign customer/supplier constitutes a significant portion of the issuer’s business, disclosure of the fact along with its impact on the business on account of exchange rate fluctuations.</w:t>
      </w:r>
    </w:p>
    <w:p>
      <w:pPr>
        <w:spacing w:after="0" w:line="18" w:lineRule="exact"/>
        <w:rPr>
          <w:rFonts w:ascii="Times New Roman" w:cs="Times New Roman" w:eastAsia="Times New Roman" w:hAnsi="Times New Roman"/>
          <w:sz w:val="24"/>
          <w:szCs w:val="24"/>
          <w:color w:val="auto"/>
        </w:rPr>
      </w:pPr>
    </w:p>
    <w:p>
      <w:pPr>
        <w:ind w:left="1780" w:right="500" w:hanging="356"/>
        <w:spacing w:after="0" w:line="373" w:lineRule="auto"/>
        <w:tabs>
          <w:tab w:leader="none" w:pos="1780" w:val="left"/>
        </w:tabs>
        <w:numPr>
          <w:ilvl w:val="2"/>
          <w:numId w:val="868"/>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In case the issuer has deviated from statutorily prescribed manner for recording sales and revenues, its impact may be analysed and disclosed.</w:t>
      </w:r>
    </w:p>
    <w:p>
      <w:pPr>
        <w:spacing w:after="0" w:line="6" w:lineRule="exact"/>
        <w:rPr>
          <w:rFonts w:ascii="Times New Roman" w:cs="Times New Roman" w:eastAsia="Times New Roman" w:hAnsi="Times New Roman"/>
          <w:sz w:val="23"/>
          <w:szCs w:val="23"/>
          <w:color w:val="auto"/>
        </w:rPr>
      </w:pPr>
    </w:p>
    <w:p>
      <w:pPr>
        <w:ind w:left="1780" w:right="200" w:hanging="356"/>
        <w:spacing w:after="0" w:line="348" w:lineRule="auto"/>
        <w:tabs>
          <w:tab w:leader="none" w:pos="1780" w:val="left"/>
        </w:tabs>
        <w:numPr>
          <w:ilvl w:val="2"/>
          <w:numId w:val="86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nature of miscellaneous income and miscellaneous expenditure for the interim period and the preceding years, if applicable.</w:t>
      </w:r>
    </w:p>
    <w:p>
      <w:pPr>
        <w:spacing w:after="0" w:line="27" w:lineRule="exact"/>
        <w:rPr>
          <w:rFonts w:ascii="Times New Roman" w:cs="Times New Roman" w:eastAsia="Times New Roman" w:hAnsi="Times New Roman"/>
          <w:sz w:val="24"/>
          <w:szCs w:val="24"/>
          <w:color w:val="auto"/>
        </w:rPr>
      </w:pPr>
    </w:p>
    <w:p>
      <w:pPr>
        <w:jc w:val="both"/>
        <w:ind w:left="800" w:hanging="548"/>
        <w:spacing w:after="0" w:line="350" w:lineRule="auto"/>
        <w:tabs>
          <w:tab w:leader="none" w:pos="800" w:val="left"/>
        </w:tabs>
        <w:numPr>
          <w:ilvl w:val="0"/>
          <w:numId w:val="869"/>
        </w:numPr>
        <w:rPr>
          <w:rFonts w:ascii="Calibri" w:cs="Calibri" w:eastAsia="Calibri" w:hAnsi="Calibri"/>
          <w:sz w:val="22"/>
          <w:szCs w:val="22"/>
          <w:color w:val="auto"/>
        </w:rPr>
      </w:pPr>
      <w:r>
        <w:rPr>
          <w:rFonts w:ascii="Times New Roman" w:cs="Times New Roman" w:eastAsia="Times New Roman" w:hAnsi="Times New Roman"/>
          <w:sz w:val="24"/>
          <w:szCs w:val="24"/>
          <w:color w:val="auto"/>
        </w:rPr>
        <w:t>Comparison of last three years and the stub period on the major heads of the profit and loss statement, including an analysis of reasons for the changes in significant items of income and expenditure shall also be given, inter-alia, containing the following:</w:t>
      </w:r>
    </w:p>
    <w:p>
      <w:pPr>
        <w:spacing w:after="0" w:line="22" w:lineRule="exact"/>
        <w:rPr>
          <w:rFonts w:ascii="Calibri" w:cs="Calibri" w:eastAsia="Calibri" w:hAnsi="Calibri"/>
          <w:sz w:val="22"/>
          <w:szCs w:val="22"/>
          <w:color w:val="auto"/>
        </w:rPr>
      </w:pPr>
    </w:p>
    <w:p>
      <w:pPr>
        <w:ind w:left="1880" w:hanging="548"/>
        <w:spacing w:after="0" w:line="354" w:lineRule="auto"/>
        <w:tabs>
          <w:tab w:leader="none" w:pos="1880" w:val="left"/>
        </w:tabs>
        <w:numPr>
          <w:ilvl w:val="1"/>
          <w:numId w:val="86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unusual or infrequent events or transactions including unusual trends on account of business activity, unusual items of income, change of accounting policies and discretionary reduction of expenses etc.</w:t>
      </w:r>
    </w:p>
    <w:p>
      <w:pPr>
        <w:spacing w:after="0" w:line="22" w:lineRule="exact"/>
        <w:rPr>
          <w:rFonts w:ascii="Times New Roman" w:cs="Times New Roman" w:eastAsia="Times New Roman" w:hAnsi="Times New Roman"/>
          <w:sz w:val="24"/>
          <w:szCs w:val="24"/>
          <w:color w:val="auto"/>
        </w:rPr>
      </w:pPr>
    </w:p>
    <w:p>
      <w:pPr>
        <w:ind w:left="1880" w:right="120" w:hanging="548"/>
        <w:spacing w:after="0" w:line="348" w:lineRule="auto"/>
        <w:tabs>
          <w:tab w:leader="none" w:pos="1880" w:val="left"/>
        </w:tabs>
        <w:numPr>
          <w:ilvl w:val="1"/>
          <w:numId w:val="86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significant economic changes that materially affected or are likely to affect income from continuing operations;</w:t>
      </w:r>
    </w:p>
    <w:p>
      <w:pPr>
        <w:spacing w:after="0" w:line="27" w:lineRule="exact"/>
        <w:rPr>
          <w:rFonts w:ascii="Times New Roman" w:cs="Times New Roman" w:eastAsia="Times New Roman" w:hAnsi="Times New Roman"/>
          <w:sz w:val="24"/>
          <w:szCs w:val="24"/>
          <w:color w:val="auto"/>
        </w:rPr>
      </w:pPr>
    </w:p>
    <w:p>
      <w:pPr>
        <w:jc w:val="both"/>
        <w:ind w:left="1880" w:right="680" w:hanging="548"/>
        <w:spacing w:after="0" w:line="354" w:lineRule="auto"/>
        <w:tabs>
          <w:tab w:leader="none" w:pos="1880" w:val="left"/>
        </w:tabs>
        <w:numPr>
          <w:ilvl w:val="1"/>
          <w:numId w:val="86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known trends or uncertainties that have had or are expected to have a material adverse impact on sales, revenue or income from continuing operations;</w:t>
      </w:r>
    </w:p>
    <w:p>
      <w:pPr>
        <w:spacing w:after="0" w:line="19" w:lineRule="exact"/>
        <w:rPr>
          <w:rFonts w:ascii="Times New Roman" w:cs="Times New Roman" w:eastAsia="Times New Roman" w:hAnsi="Times New Roman"/>
          <w:sz w:val="24"/>
          <w:szCs w:val="24"/>
          <w:color w:val="auto"/>
        </w:rPr>
      </w:pPr>
    </w:p>
    <w:p>
      <w:pPr>
        <w:ind w:left="1880" w:right="60" w:hanging="548"/>
        <w:spacing w:after="0" w:line="354" w:lineRule="auto"/>
        <w:tabs>
          <w:tab w:leader="none" w:pos="1880" w:val="left"/>
        </w:tabs>
        <w:numPr>
          <w:ilvl w:val="1"/>
          <w:numId w:val="86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expected future changes in relationship between costs and revenues, in case of events such as future increase in labour or material costs or prices that will cause a material change are known;</w:t>
      </w:r>
    </w:p>
    <w:p>
      <w:pPr>
        <w:spacing w:after="0" w:line="22" w:lineRule="exact"/>
        <w:rPr>
          <w:rFonts w:ascii="Times New Roman" w:cs="Times New Roman" w:eastAsia="Times New Roman" w:hAnsi="Times New Roman"/>
          <w:sz w:val="24"/>
          <w:szCs w:val="24"/>
          <w:color w:val="auto"/>
        </w:rPr>
      </w:pPr>
    </w:p>
    <w:p>
      <w:pPr>
        <w:ind w:left="1880" w:right="480" w:hanging="548"/>
        <w:spacing w:after="0" w:line="354" w:lineRule="auto"/>
        <w:tabs>
          <w:tab w:leader="none" w:pos="1880" w:val="left"/>
        </w:tabs>
        <w:numPr>
          <w:ilvl w:val="1"/>
          <w:numId w:val="86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extent to which material increases in net sales or revenue are due to increased sales volume, introduction of new products or services or increased sales prices;</w:t>
      </w:r>
    </w:p>
    <w:p>
      <w:pPr>
        <w:spacing w:after="0" w:line="264"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243</w:t>
      </w:r>
    </w:p>
    <w:p>
      <w:pPr>
        <w:sectPr>
          <w:pgSz w:w="11900" w:h="16836" w:orient="portrait"/>
          <w:cols w:equalWidth="0" w:num="1">
            <w:col w:w="9180"/>
          </w:cols>
          <w:pgMar w:left="1440" w:top="1156" w:right="1284" w:bottom="103" w:gutter="0" w:footer="0" w:header="0"/>
        </w:sectPr>
      </w:pPr>
    </w:p>
    <w:bookmarkStart w:id="243" w:name="page244"/>
    <w:bookmarkEnd w:id="243"/>
    <w:p>
      <w:pPr>
        <w:ind w:left="2168" w:hanging="548"/>
        <w:spacing w:after="0"/>
        <w:tabs>
          <w:tab w:leader="none" w:pos="2168" w:val="left"/>
        </w:tabs>
        <w:numPr>
          <w:ilvl w:val="1"/>
          <w:numId w:val="87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total turnover of each major industry segment in which the issuer operated;</w:t>
      </w:r>
    </w:p>
    <w:p>
      <w:pPr>
        <w:spacing w:after="0" w:line="137" w:lineRule="exact"/>
        <w:rPr>
          <w:rFonts w:ascii="Times New Roman" w:cs="Times New Roman" w:eastAsia="Times New Roman" w:hAnsi="Times New Roman"/>
          <w:sz w:val="24"/>
          <w:szCs w:val="24"/>
          <w:color w:val="auto"/>
        </w:rPr>
      </w:pPr>
    </w:p>
    <w:p>
      <w:pPr>
        <w:ind w:left="2168" w:hanging="548"/>
        <w:spacing w:after="0"/>
        <w:tabs>
          <w:tab w:leader="none" w:pos="2168" w:val="left"/>
        </w:tabs>
        <w:numPr>
          <w:ilvl w:val="1"/>
          <w:numId w:val="87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status of any publicly announced new products or business segment;</w:t>
      </w:r>
    </w:p>
    <w:p>
      <w:pPr>
        <w:spacing w:after="0" w:line="139" w:lineRule="exact"/>
        <w:rPr>
          <w:rFonts w:ascii="Times New Roman" w:cs="Times New Roman" w:eastAsia="Times New Roman" w:hAnsi="Times New Roman"/>
          <w:sz w:val="24"/>
          <w:szCs w:val="24"/>
          <w:color w:val="auto"/>
        </w:rPr>
      </w:pPr>
    </w:p>
    <w:p>
      <w:pPr>
        <w:ind w:left="2168" w:hanging="548"/>
        <w:spacing w:after="0"/>
        <w:tabs>
          <w:tab w:leader="none" w:pos="2168" w:val="left"/>
        </w:tabs>
        <w:numPr>
          <w:ilvl w:val="1"/>
          <w:numId w:val="87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extent to which business is seasonal;</w:t>
      </w:r>
    </w:p>
    <w:p>
      <w:pPr>
        <w:spacing w:after="0" w:line="136" w:lineRule="exact"/>
        <w:rPr>
          <w:rFonts w:ascii="Times New Roman" w:cs="Times New Roman" w:eastAsia="Times New Roman" w:hAnsi="Times New Roman"/>
          <w:sz w:val="24"/>
          <w:szCs w:val="24"/>
          <w:color w:val="auto"/>
        </w:rPr>
      </w:pPr>
    </w:p>
    <w:p>
      <w:pPr>
        <w:ind w:left="2168" w:hanging="548"/>
        <w:spacing w:after="0"/>
        <w:tabs>
          <w:tab w:leader="none" w:pos="2168" w:val="left"/>
        </w:tabs>
        <w:numPr>
          <w:ilvl w:val="1"/>
          <w:numId w:val="87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significant dependence on a single or few suppliers or customers;</w:t>
      </w:r>
    </w:p>
    <w:p>
      <w:pPr>
        <w:spacing w:after="0" w:line="139" w:lineRule="exact"/>
        <w:rPr>
          <w:rFonts w:ascii="Times New Roman" w:cs="Times New Roman" w:eastAsia="Times New Roman" w:hAnsi="Times New Roman"/>
          <w:sz w:val="24"/>
          <w:szCs w:val="24"/>
          <w:color w:val="auto"/>
        </w:rPr>
      </w:pPr>
    </w:p>
    <w:p>
      <w:pPr>
        <w:ind w:left="2168" w:hanging="548"/>
        <w:spacing w:after="0"/>
        <w:tabs>
          <w:tab w:leader="none" w:pos="2168" w:val="left"/>
        </w:tabs>
        <w:numPr>
          <w:ilvl w:val="1"/>
          <w:numId w:val="87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competitive conditions.</w:t>
      </w:r>
    </w:p>
    <w:p>
      <w:pPr>
        <w:spacing w:after="0" w:line="200" w:lineRule="exact"/>
        <w:rPr>
          <w:rFonts w:ascii="Times New Roman" w:cs="Times New Roman" w:eastAsia="Times New Roman" w:hAnsi="Times New Roman"/>
          <w:sz w:val="24"/>
          <w:szCs w:val="24"/>
          <w:color w:val="auto"/>
        </w:rPr>
      </w:pPr>
    </w:p>
    <w:p>
      <w:pPr>
        <w:spacing w:after="0" w:line="356"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871"/>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b w:val="1"/>
          <w:bCs w:val="1"/>
          <w:color w:val="auto"/>
        </w:rPr>
        <w:t>Legal and Other Information:</w:t>
      </w:r>
    </w:p>
    <w:p>
      <w:pPr>
        <w:spacing w:after="0" w:line="137" w:lineRule="exact"/>
        <w:rPr>
          <w:sz w:val="20"/>
          <w:szCs w:val="20"/>
          <w:color w:val="auto"/>
        </w:rPr>
      </w:pPr>
    </w:p>
    <w:p>
      <w:pPr>
        <w:ind w:left="1088" w:hanging="512"/>
        <w:spacing w:after="0"/>
        <w:tabs>
          <w:tab w:leader="none" w:pos="1088" w:val="left"/>
        </w:tabs>
        <w:numPr>
          <w:ilvl w:val="0"/>
          <w:numId w:val="87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Outstanding Litigations and Material Developments:</w:t>
      </w:r>
    </w:p>
    <w:p>
      <w:pPr>
        <w:spacing w:after="0" w:line="135" w:lineRule="exact"/>
        <w:rPr>
          <w:rFonts w:ascii="Times New Roman" w:cs="Times New Roman" w:eastAsia="Times New Roman" w:hAnsi="Times New Roman"/>
          <w:sz w:val="24"/>
          <w:szCs w:val="24"/>
          <w:color w:val="auto"/>
        </w:rPr>
      </w:pPr>
    </w:p>
    <w:p>
      <w:pPr>
        <w:ind w:left="1088" w:hanging="456"/>
        <w:spacing w:after="0"/>
        <w:tabs>
          <w:tab w:leader="none" w:pos="1088" w:val="left"/>
        </w:tabs>
        <w:numPr>
          <w:ilvl w:val="1"/>
          <w:numId w:val="87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Pending Litigations involving the issuer/ its directors/ promoters/ subsidiaries:</w:t>
      </w:r>
    </w:p>
    <w:p>
      <w:pPr>
        <w:spacing w:after="0" w:line="136" w:lineRule="exact"/>
        <w:rPr>
          <w:rFonts w:ascii="Times New Roman" w:cs="Times New Roman" w:eastAsia="Times New Roman" w:hAnsi="Times New Roman"/>
          <w:sz w:val="24"/>
          <w:szCs w:val="24"/>
          <w:color w:val="auto"/>
        </w:rPr>
      </w:pPr>
    </w:p>
    <w:p>
      <w:pPr>
        <w:ind w:left="2168" w:hanging="548"/>
        <w:spacing w:after="0"/>
        <w:tabs>
          <w:tab w:leader="none" w:pos="2168" w:val="left"/>
        </w:tabs>
        <w:numPr>
          <w:ilvl w:val="4"/>
          <w:numId w:val="87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All criminal proceedings;</w:t>
      </w:r>
    </w:p>
    <w:p>
      <w:pPr>
        <w:spacing w:after="0" w:line="139" w:lineRule="exact"/>
        <w:rPr>
          <w:rFonts w:ascii="Times New Roman" w:cs="Times New Roman" w:eastAsia="Times New Roman" w:hAnsi="Times New Roman"/>
          <w:sz w:val="24"/>
          <w:szCs w:val="24"/>
          <w:color w:val="auto"/>
        </w:rPr>
      </w:pPr>
    </w:p>
    <w:p>
      <w:pPr>
        <w:ind w:left="2168" w:hanging="548"/>
        <w:spacing w:after="0"/>
        <w:tabs>
          <w:tab w:leader="none" w:pos="2168" w:val="left"/>
        </w:tabs>
        <w:numPr>
          <w:ilvl w:val="4"/>
          <w:numId w:val="87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All actions by regulatory authorities and statutory authorities;</w:t>
      </w:r>
    </w:p>
    <w:p>
      <w:pPr>
        <w:spacing w:after="0" w:line="149" w:lineRule="exact"/>
        <w:rPr>
          <w:rFonts w:ascii="Times New Roman" w:cs="Times New Roman" w:eastAsia="Times New Roman" w:hAnsi="Times New Roman"/>
          <w:sz w:val="24"/>
          <w:szCs w:val="24"/>
          <w:color w:val="auto"/>
        </w:rPr>
      </w:pPr>
    </w:p>
    <w:p>
      <w:pPr>
        <w:jc w:val="both"/>
        <w:ind w:left="2168" w:hanging="548"/>
        <w:spacing w:after="0" w:line="354" w:lineRule="auto"/>
        <w:tabs>
          <w:tab w:leader="none" w:pos="2168" w:val="left"/>
        </w:tabs>
        <w:numPr>
          <w:ilvl w:val="4"/>
          <w:numId w:val="87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Disciplinary action including penalty imposed by SEBI or stock exchanges against the promoters in the last five financial years including outstanding action;</w:t>
      </w:r>
    </w:p>
    <w:p>
      <w:pPr>
        <w:spacing w:after="0" w:line="22" w:lineRule="exact"/>
        <w:rPr>
          <w:rFonts w:ascii="Times New Roman" w:cs="Times New Roman" w:eastAsia="Times New Roman" w:hAnsi="Times New Roman"/>
          <w:sz w:val="24"/>
          <w:szCs w:val="24"/>
          <w:color w:val="auto"/>
        </w:rPr>
      </w:pPr>
    </w:p>
    <w:p>
      <w:pPr>
        <w:ind w:left="2168" w:hanging="548"/>
        <w:spacing w:after="0" w:line="348" w:lineRule="auto"/>
        <w:tabs>
          <w:tab w:leader="none" w:pos="2168" w:val="left"/>
        </w:tabs>
        <w:numPr>
          <w:ilvl w:val="4"/>
          <w:numId w:val="87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Claims related to direct and indirect taxes, in a consolidated manner, giving the number of cases and total amount;</w:t>
      </w:r>
    </w:p>
    <w:p>
      <w:pPr>
        <w:spacing w:after="0" w:line="28" w:lineRule="exact"/>
        <w:rPr>
          <w:rFonts w:ascii="Times New Roman" w:cs="Times New Roman" w:eastAsia="Times New Roman" w:hAnsi="Times New Roman"/>
          <w:sz w:val="24"/>
          <w:szCs w:val="24"/>
          <w:color w:val="auto"/>
        </w:rPr>
      </w:pPr>
    </w:p>
    <w:p>
      <w:pPr>
        <w:ind w:left="2168" w:hanging="548"/>
        <w:spacing w:after="0" w:line="348" w:lineRule="auto"/>
        <w:tabs>
          <w:tab w:leader="none" w:pos="2168" w:val="left"/>
        </w:tabs>
        <w:numPr>
          <w:ilvl w:val="4"/>
          <w:numId w:val="87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Other pending litigations - As per the policy of materiality defined by the board of directors of the issuer and disclosed in the offer document.</w:t>
      </w:r>
    </w:p>
    <w:p>
      <w:pPr>
        <w:spacing w:after="0" w:line="15" w:lineRule="exact"/>
        <w:rPr>
          <w:rFonts w:ascii="Times New Roman" w:cs="Times New Roman" w:eastAsia="Times New Roman" w:hAnsi="Times New Roman"/>
          <w:sz w:val="24"/>
          <w:szCs w:val="24"/>
          <w:color w:val="auto"/>
        </w:rPr>
      </w:pPr>
    </w:p>
    <w:p>
      <w:pPr>
        <w:ind w:left="1148" w:hanging="396"/>
        <w:spacing w:after="0"/>
        <w:tabs>
          <w:tab w:leader="none" w:pos="1148" w:val="left"/>
        </w:tabs>
        <w:numPr>
          <w:ilvl w:val="2"/>
          <w:numId w:val="87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Outstanding dues to creditors:</w:t>
      </w:r>
    </w:p>
    <w:p>
      <w:pPr>
        <w:spacing w:after="0" w:line="149" w:lineRule="exact"/>
        <w:rPr>
          <w:rFonts w:ascii="Times New Roman" w:cs="Times New Roman" w:eastAsia="Times New Roman" w:hAnsi="Times New Roman"/>
          <w:sz w:val="24"/>
          <w:szCs w:val="24"/>
          <w:color w:val="auto"/>
        </w:rPr>
      </w:pPr>
    </w:p>
    <w:p>
      <w:pPr>
        <w:jc w:val="both"/>
        <w:ind w:left="2168" w:hanging="548"/>
        <w:spacing w:after="0" w:line="354" w:lineRule="auto"/>
        <w:tabs>
          <w:tab w:leader="none" w:pos="2168" w:val="left"/>
        </w:tabs>
        <w:numPr>
          <w:ilvl w:val="4"/>
          <w:numId w:val="87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Based on the policy on materiality defined by the board of directors of the issuer, details of creditors which include the consolidated number of creditors and the aggregate amount involved</w:t>
      </w:r>
    </w:p>
    <w:p>
      <w:pPr>
        <w:spacing w:after="0" w:line="22" w:lineRule="exact"/>
        <w:rPr>
          <w:rFonts w:ascii="Times New Roman" w:cs="Times New Roman" w:eastAsia="Times New Roman" w:hAnsi="Times New Roman"/>
          <w:sz w:val="24"/>
          <w:szCs w:val="24"/>
          <w:color w:val="auto"/>
        </w:rPr>
      </w:pPr>
    </w:p>
    <w:p>
      <w:pPr>
        <w:jc w:val="both"/>
        <w:ind w:left="2168" w:hanging="548"/>
        <w:spacing w:after="0" w:line="354" w:lineRule="auto"/>
        <w:tabs>
          <w:tab w:leader="none" w:pos="2168" w:val="left"/>
        </w:tabs>
        <w:numPr>
          <w:ilvl w:val="4"/>
          <w:numId w:val="87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Consolidated information on outstanding dues to micro, small and medium enterprises and other creditors, separately giving details of number of cases and amount involved;</w:t>
      </w:r>
    </w:p>
    <w:p>
      <w:pPr>
        <w:spacing w:after="0" w:line="20" w:lineRule="exact"/>
        <w:rPr>
          <w:rFonts w:ascii="Times New Roman" w:cs="Times New Roman" w:eastAsia="Times New Roman" w:hAnsi="Times New Roman"/>
          <w:sz w:val="24"/>
          <w:szCs w:val="24"/>
          <w:color w:val="auto"/>
        </w:rPr>
      </w:pPr>
    </w:p>
    <w:p>
      <w:pPr>
        <w:jc w:val="both"/>
        <w:ind w:left="2168" w:hanging="548"/>
        <w:spacing w:after="0" w:line="354" w:lineRule="auto"/>
        <w:tabs>
          <w:tab w:leader="none" w:pos="2168" w:val="left"/>
        </w:tabs>
        <w:numPr>
          <w:ilvl w:val="4"/>
          <w:numId w:val="87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Complete details about outstanding overdues to material creditors along with the name and amount involved for each such material creditor shall be disclosed, on the website of the company with a web link thereto.</w:t>
      </w:r>
    </w:p>
    <w:p>
      <w:pPr>
        <w:spacing w:after="0" w:line="200" w:lineRule="exact"/>
        <w:rPr>
          <w:rFonts w:ascii="Times New Roman" w:cs="Times New Roman" w:eastAsia="Times New Roman" w:hAnsi="Times New Roman"/>
          <w:sz w:val="24"/>
          <w:szCs w:val="24"/>
          <w:color w:val="auto"/>
        </w:rPr>
      </w:pPr>
    </w:p>
    <w:p>
      <w:pPr>
        <w:spacing w:after="0" w:line="234" w:lineRule="exact"/>
        <w:rPr>
          <w:rFonts w:ascii="Times New Roman" w:cs="Times New Roman" w:eastAsia="Times New Roman" w:hAnsi="Times New Roman"/>
          <w:sz w:val="24"/>
          <w:szCs w:val="24"/>
          <w:color w:val="auto"/>
        </w:rPr>
      </w:pPr>
    </w:p>
    <w:p>
      <w:pPr>
        <w:jc w:val="both"/>
        <w:ind w:left="1448" w:hanging="456"/>
        <w:spacing w:after="0" w:line="357" w:lineRule="auto"/>
        <w:tabs>
          <w:tab w:leader="none" w:pos="1448" w:val="left"/>
        </w:tabs>
        <w:numPr>
          <w:ilvl w:val="3"/>
          <w:numId w:val="87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any of the above mentioned litigations, material developments, dues to creditors etc., arise after the filing the offer document, the facts shall be incorporated appropriately in the offer document. In case there are no such cases, a distinct negative statement is required to be made in this regard in the offer document. Material developments since the date of the last balance sheet.</w:t>
      </w: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244</w:t>
      </w:r>
    </w:p>
    <w:p>
      <w:pPr>
        <w:sectPr>
          <w:pgSz w:w="11900" w:h="16836" w:orient="portrait"/>
          <w:cols w:equalWidth="0" w:num="1">
            <w:col w:w="9468"/>
          </w:cols>
          <w:pgMar w:left="1152" w:top="1144" w:right="1284" w:bottom="103" w:gutter="0" w:footer="0" w:header="0"/>
        </w:sectPr>
      </w:pPr>
    </w:p>
    <w:bookmarkStart w:id="244" w:name="page245"/>
    <w:bookmarkEnd w:id="244"/>
    <w:p>
      <w:pPr>
        <w:jc w:val="both"/>
        <w:ind w:left="1448" w:hanging="456"/>
        <w:spacing w:after="0" w:line="354" w:lineRule="auto"/>
        <w:tabs>
          <w:tab w:leader="none" w:pos="1448" w:val="left"/>
        </w:tabs>
        <w:numPr>
          <w:ilvl w:val="4"/>
          <w:numId w:val="87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Disclosures pertaining to wilful defaulters in case of a further public offer or a rights issue</w:t>
      </w:r>
      <w:r>
        <w:rPr>
          <w:rFonts w:ascii="Times New Roman" w:cs="Times New Roman" w:eastAsia="Times New Roman" w:hAnsi="Times New Roman"/>
          <w:sz w:val="24"/>
          <w:szCs w:val="24"/>
          <w:color w:val="auto"/>
        </w:rPr>
        <w:t>: If the issuer or any of its promoter or director has been declared as a</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wilful defaulter, it shall make the following disclosures with respect to each such person separately:</w:t>
      </w:r>
    </w:p>
    <w:p>
      <w:pPr>
        <w:spacing w:after="0" w:line="11" w:lineRule="exact"/>
        <w:rPr>
          <w:rFonts w:ascii="Times New Roman" w:cs="Times New Roman" w:eastAsia="Times New Roman" w:hAnsi="Times New Roman"/>
          <w:sz w:val="24"/>
          <w:szCs w:val="24"/>
          <w:color w:val="auto"/>
        </w:rPr>
      </w:pPr>
    </w:p>
    <w:p>
      <w:pPr>
        <w:ind w:left="1768" w:hanging="328"/>
        <w:spacing w:after="0"/>
        <w:tabs>
          <w:tab w:leader="none" w:pos="1768" w:val="left"/>
        </w:tabs>
        <w:numPr>
          <w:ilvl w:val="6"/>
          <w:numId w:val="87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 of the person declared as a wilful defaulter;</w:t>
      </w:r>
    </w:p>
    <w:p>
      <w:pPr>
        <w:spacing w:after="0" w:line="136" w:lineRule="exact"/>
        <w:rPr>
          <w:rFonts w:ascii="Times New Roman" w:cs="Times New Roman" w:eastAsia="Times New Roman" w:hAnsi="Times New Roman"/>
          <w:sz w:val="24"/>
          <w:szCs w:val="24"/>
          <w:color w:val="auto"/>
        </w:rPr>
      </w:pPr>
    </w:p>
    <w:p>
      <w:pPr>
        <w:ind w:left="1788" w:hanging="348"/>
        <w:spacing w:after="0"/>
        <w:tabs>
          <w:tab w:leader="none" w:pos="1788" w:val="left"/>
        </w:tabs>
        <w:numPr>
          <w:ilvl w:val="6"/>
          <w:numId w:val="87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 of the Bank declaring the person as a wilful defaulter;</w:t>
      </w:r>
    </w:p>
    <w:p>
      <w:pPr>
        <w:spacing w:after="0" w:line="139" w:lineRule="exact"/>
        <w:rPr>
          <w:rFonts w:ascii="Times New Roman" w:cs="Times New Roman" w:eastAsia="Times New Roman" w:hAnsi="Times New Roman"/>
          <w:sz w:val="24"/>
          <w:szCs w:val="24"/>
          <w:color w:val="auto"/>
        </w:rPr>
      </w:pPr>
    </w:p>
    <w:p>
      <w:pPr>
        <w:ind w:left="1768" w:hanging="328"/>
        <w:spacing w:after="0"/>
        <w:tabs>
          <w:tab w:leader="none" w:pos="1768" w:val="left"/>
        </w:tabs>
        <w:numPr>
          <w:ilvl w:val="6"/>
          <w:numId w:val="87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Year in which the person was declared as a wilful defaulter;</w:t>
      </w:r>
    </w:p>
    <w:p>
      <w:pPr>
        <w:spacing w:after="0" w:line="136" w:lineRule="exact"/>
        <w:rPr>
          <w:rFonts w:ascii="Times New Roman" w:cs="Times New Roman" w:eastAsia="Times New Roman" w:hAnsi="Times New Roman"/>
          <w:sz w:val="24"/>
          <w:szCs w:val="24"/>
          <w:color w:val="auto"/>
        </w:rPr>
      </w:pPr>
    </w:p>
    <w:p>
      <w:pPr>
        <w:ind w:left="1788" w:hanging="348"/>
        <w:spacing w:after="0"/>
        <w:tabs>
          <w:tab w:leader="none" w:pos="1788" w:val="left"/>
        </w:tabs>
        <w:numPr>
          <w:ilvl w:val="6"/>
          <w:numId w:val="87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Outstanding amount when the person was declared as a wilful defaulter;</w:t>
      </w:r>
    </w:p>
    <w:p>
      <w:pPr>
        <w:spacing w:after="0" w:line="152" w:lineRule="exact"/>
        <w:rPr>
          <w:rFonts w:ascii="Times New Roman" w:cs="Times New Roman" w:eastAsia="Times New Roman" w:hAnsi="Times New Roman"/>
          <w:sz w:val="24"/>
          <w:szCs w:val="24"/>
          <w:color w:val="auto"/>
        </w:rPr>
      </w:pPr>
    </w:p>
    <w:p>
      <w:pPr>
        <w:ind w:left="1808" w:hanging="368"/>
        <w:spacing w:after="0" w:line="348" w:lineRule="auto"/>
        <w:tabs>
          <w:tab w:leader="none" w:pos="1776" w:val="left"/>
        </w:tabs>
        <w:numPr>
          <w:ilvl w:val="6"/>
          <w:numId w:val="87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Steps taken, if any, by the person for removal of its name from the list of wilful defaulters;</w:t>
      </w:r>
    </w:p>
    <w:p>
      <w:pPr>
        <w:spacing w:after="0" w:line="27" w:lineRule="exact"/>
        <w:rPr>
          <w:rFonts w:ascii="Times New Roman" w:cs="Times New Roman" w:eastAsia="Times New Roman" w:hAnsi="Times New Roman"/>
          <w:sz w:val="24"/>
          <w:szCs w:val="24"/>
          <w:color w:val="auto"/>
        </w:rPr>
      </w:pPr>
    </w:p>
    <w:p>
      <w:pPr>
        <w:ind w:left="1808" w:hanging="368"/>
        <w:spacing w:after="0" w:line="348" w:lineRule="auto"/>
        <w:tabs>
          <w:tab w:leader="none" w:pos="1853" w:val="left"/>
        </w:tabs>
        <w:numPr>
          <w:ilvl w:val="6"/>
          <w:numId w:val="87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Other disclosures, as deemed fit by the issuer, in order to enable investors to take an informed decision;</w:t>
      </w:r>
    </w:p>
    <w:p>
      <w:pPr>
        <w:spacing w:after="0" w:line="15" w:lineRule="exact"/>
        <w:rPr>
          <w:rFonts w:ascii="Times New Roman" w:cs="Times New Roman" w:eastAsia="Times New Roman" w:hAnsi="Times New Roman"/>
          <w:sz w:val="24"/>
          <w:szCs w:val="24"/>
          <w:color w:val="auto"/>
        </w:rPr>
      </w:pPr>
    </w:p>
    <w:p>
      <w:pPr>
        <w:ind w:left="1788" w:hanging="348"/>
        <w:spacing w:after="0"/>
        <w:tabs>
          <w:tab w:leader="none" w:pos="1788" w:val="left"/>
        </w:tabs>
        <w:numPr>
          <w:ilvl w:val="6"/>
          <w:numId w:val="87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other disclosure as specified by the Board.</w:t>
      </w:r>
    </w:p>
    <w:p>
      <w:pPr>
        <w:spacing w:after="0" w:line="149" w:lineRule="exact"/>
        <w:rPr>
          <w:rFonts w:ascii="Times New Roman" w:cs="Times New Roman" w:eastAsia="Times New Roman" w:hAnsi="Times New Roman"/>
          <w:sz w:val="24"/>
          <w:szCs w:val="24"/>
          <w:color w:val="auto"/>
        </w:rPr>
      </w:pPr>
    </w:p>
    <w:p>
      <w:pPr>
        <w:jc w:val="both"/>
        <w:ind w:left="1448" w:hanging="456"/>
        <w:spacing w:after="0" w:line="354" w:lineRule="auto"/>
        <w:tabs>
          <w:tab w:leader="none" w:pos="1448" w:val="left"/>
        </w:tabs>
        <w:numPr>
          <w:ilvl w:val="4"/>
          <w:numId w:val="87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fact that the issuer or any of its promoters or directors is a wilful defaulter shall be disclosed prominently on the cover page with suitable cross-referencing to the inside pages.</w:t>
      </w:r>
    </w:p>
    <w:p>
      <w:pPr>
        <w:spacing w:after="0" w:line="22" w:lineRule="exact"/>
        <w:rPr>
          <w:rFonts w:ascii="Times New Roman" w:cs="Times New Roman" w:eastAsia="Times New Roman" w:hAnsi="Times New Roman"/>
          <w:sz w:val="24"/>
          <w:szCs w:val="24"/>
          <w:color w:val="auto"/>
        </w:rPr>
      </w:pPr>
    </w:p>
    <w:p>
      <w:pPr>
        <w:ind w:left="1448" w:hanging="456"/>
        <w:spacing w:after="0" w:line="348" w:lineRule="auto"/>
        <w:tabs>
          <w:tab w:leader="none" w:pos="1448" w:val="left"/>
        </w:tabs>
        <w:numPr>
          <w:ilvl w:val="4"/>
          <w:numId w:val="87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Disclosures specified herein shall be made in a separate chapter or section, distinctly identifiable in the Index /Table of Contents.</w:t>
      </w:r>
    </w:p>
    <w:p>
      <w:pPr>
        <w:spacing w:after="0" w:line="200" w:lineRule="exact"/>
        <w:rPr>
          <w:rFonts w:ascii="Times New Roman" w:cs="Times New Roman" w:eastAsia="Times New Roman" w:hAnsi="Times New Roman"/>
          <w:sz w:val="24"/>
          <w:szCs w:val="24"/>
          <w:color w:val="auto"/>
        </w:rPr>
      </w:pPr>
    </w:p>
    <w:p>
      <w:pPr>
        <w:spacing w:after="0" w:line="233" w:lineRule="exact"/>
        <w:rPr>
          <w:rFonts w:ascii="Times New Roman" w:cs="Times New Roman" w:eastAsia="Times New Roman" w:hAnsi="Times New Roman"/>
          <w:sz w:val="24"/>
          <w:szCs w:val="24"/>
          <w:color w:val="auto"/>
        </w:rPr>
      </w:pPr>
    </w:p>
    <w:p>
      <w:pPr>
        <w:ind w:left="1088" w:hanging="512"/>
        <w:spacing w:after="0"/>
        <w:tabs>
          <w:tab w:leader="none" w:pos="1088" w:val="left"/>
        </w:tabs>
        <w:numPr>
          <w:ilvl w:val="2"/>
          <w:numId w:val="87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Government approvals:</w:t>
      </w:r>
    </w:p>
    <w:p>
      <w:pPr>
        <w:spacing w:after="0" w:line="146" w:lineRule="exact"/>
        <w:rPr>
          <w:rFonts w:ascii="Times New Roman" w:cs="Times New Roman" w:eastAsia="Times New Roman" w:hAnsi="Times New Roman"/>
          <w:sz w:val="24"/>
          <w:szCs w:val="24"/>
          <w:color w:val="auto"/>
        </w:rPr>
      </w:pPr>
    </w:p>
    <w:p>
      <w:pPr>
        <w:jc w:val="both"/>
        <w:ind w:left="1648" w:hanging="568"/>
        <w:spacing w:after="0" w:line="356" w:lineRule="auto"/>
        <w:tabs>
          <w:tab w:leader="none" w:pos="1648" w:val="left"/>
        </w:tabs>
        <w:numPr>
          <w:ilvl w:val="5"/>
          <w:numId w:val="87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Investment approvals (GoI/ RBI, etc., as applicable), letter of intent or industrial license and declaration of the Central Government, Reserve Bank of India or any regulatory authority about the non-responsibility for financial soundness or correctness of the statements;</w:t>
      </w:r>
    </w:p>
    <w:p>
      <w:pPr>
        <w:spacing w:after="0" w:line="19" w:lineRule="exact"/>
        <w:rPr>
          <w:rFonts w:ascii="Times New Roman" w:cs="Times New Roman" w:eastAsia="Times New Roman" w:hAnsi="Times New Roman"/>
          <w:sz w:val="24"/>
          <w:szCs w:val="24"/>
          <w:color w:val="auto"/>
        </w:rPr>
      </w:pPr>
    </w:p>
    <w:p>
      <w:pPr>
        <w:ind w:left="1648" w:hanging="568"/>
        <w:spacing w:after="0" w:line="348" w:lineRule="auto"/>
        <w:tabs>
          <w:tab w:leader="none" w:pos="1648" w:val="left"/>
        </w:tabs>
        <w:numPr>
          <w:ilvl w:val="5"/>
          <w:numId w:val="87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All government and other approvals which are material and necessary for carrying on the business and operations of the issuer and material subsidiaries.</w:t>
      </w:r>
    </w:p>
    <w:p>
      <w:pPr>
        <w:spacing w:after="0" w:line="200" w:lineRule="exact"/>
        <w:rPr>
          <w:rFonts w:ascii="Times New Roman" w:cs="Times New Roman" w:eastAsia="Times New Roman" w:hAnsi="Times New Roman"/>
          <w:sz w:val="24"/>
          <w:szCs w:val="24"/>
          <w:color w:val="auto"/>
        </w:rPr>
      </w:pPr>
    </w:p>
    <w:p>
      <w:pPr>
        <w:spacing w:after="0" w:line="233"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875"/>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b w:val="1"/>
          <w:bCs w:val="1"/>
          <w:color w:val="auto"/>
        </w:rPr>
        <w:t>Information with respect to group companies</w:t>
      </w:r>
    </w:p>
    <w:p>
      <w:pPr>
        <w:spacing w:after="0" w:line="146" w:lineRule="exact"/>
        <w:rPr>
          <w:rFonts w:ascii="Times New Roman" w:cs="Times New Roman" w:eastAsia="Times New Roman" w:hAnsi="Times New Roman"/>
          <w:sz w:val="22"/>
          <w:szCs w:val="22"/>
          <w:color w:val="auto"/>
        </w:rPr>
      </w:pPr>
    </w:p>
    <w:p>
      <w:pPr>
        <w:jc w:val="both"/>
        <w:ind w:left="728" w:hanging="368"/>
        <w:spacing w:after="0" w:line="353" w:lineRule="auto"/>
        <w:tabs>
          <w:tab w:leader="none" w:pos="728" w:val="left"/>
        </w:tabs>
        <w:numPr>
          <w:ilvl w:val="1"/>
          <w:numId w:val="875"/>
        </w:numPr>
        <w:rPr>
          <w:rFonts w:ascii="Calibri" w:cs="Calibri" w:eastAsia="Calibri" w:hAnsi="Calibri"/>
          <w:sz w:val="22"/>
          <w:szCs w:val="22"/>
          <w:color w:val="auto"/>
        </w:rPr>
      </w:pPr>
      <w:r>
        <w:rPr>
          <w:rFonts w:ascii="Times New Roman" w:cs="Times New Roman" w:eastAsia="Times New Roman" w:hAnsi="Times New Roman"/>
          <w:sz w:val="24"/>
          <w:szCs w:val="24"/>
          <w:color w:val="auto"/>
        </w:rPr>
        <w:t>In case of an issuer not being a government company, statutory authority or corporation or any special purpose vehicle set up by any of them, the following information for the last three years, based on the audited statements, in respect of all the group companies for past three years shall be given, wherever applicable, along with significant notes of auditors.</w:t>
      </w:r>
    </w:p>
    <w:p>
      <w:pPr>
        <w:ind w:left="1088" w:hanging="368"/>
        <w:spacing w:after="0"/>
        <w:tabs>
          <w:tab w:leader="none" w:pos="1088" w:val="left"/>
        </w:tabs>
        <w:numPr>
          <w:ilvl w:val="3"/>
          <w:numId w:val="875"/>
        </w:numPr>
        <w:rPr>
          <w:rFonts w:ascii="Calibri" w:cs="Calibri" w:eastAsia="Calibri" w:hAnsi="Calibri"/>
          <w:sz w:val="24"/>
          <w:szCs w:val="24"/>
          <w:color w:val="auto"/>
        </w:rPr>
      </w:pPr>
      <w:r>
        <w:rPr>
          <w:rFonts w:ascii="Times New Roman" w:cs="Times New Roman" w:eastAsia="Times New Roman" w:hAnsi="Times New Roman"/>
          <w:sz w:val="24"/>
          <w:szCs w:val="24"/>
          <w:color w:val="auto"/>
        </w:rPr>
        <w:t>Date of Incorporation;</w:t>
      </w:r>
    </w:p>
    <w:p>
      <w:pPr>
        <w:spacing w:after="0" w:line="124" w:lineRule="exact"/>
        <w:rPr>
          <w:rFonts w:ascii="Calibri" w:cs="Calibri" w:eastAsia="Calibri" w:hAnsi="Calibri"/>
          <w:sz w:val="24"/>
          <w:szCs w:val="24"/>
          <w:color w:val="auto"/>
        </w:rPr>
      </w:pPr>
    </w:p>
    <w:p>
      <w:pPr>
        <w:ind w:left="1088" w:hanging="368"/>
        <w:spacing w:after="0"/>
        <w:tabs>
          <w:tab w:leader="none" w:pos="1088" w:val="left"/>
        </w:tabs>
        <w:numPr>
          <w:ilvl w:val="3"/>
          <w:numId w:val="875"/>
        </w:numPr>
        <w:rPr>
          <w:rFonts w:ascii="Calibri" w:cs="Calibri" w:eastAsia="Calibri" w:hAnsi="Calibri"/>
          <w:sz w:val="24"/>
          <w:szCs w:val="24"/>
          <w:color w:val="auto"/>
        </w:rPr>
      </w:pPr>
      <w:r>
        <w:rPr>
          <w:rFonts w:ascii="Times New Roman" w:cs="Times New Roman" w:eastAsia="Times New Roman" w:hAnsi="Times New Roman"/>
          <w:sz w:val="24"/>
          <w:szCs w:val="24"/>
          <w:color w:val="auto"/>
        </w:rPr>
        <w:t>Nature of activities;</w:t>
      </w:r>
    </w:p>
    <w:p>
      <w:pPr>
        <w:spacing w:after="0" w:line="124" w:lineRule="exact"/>
        <w:rPr>
          <w:rFonts w:ascii="Calibri" w:cs="Calibri" w:eastAsia="Calibri" w:hAnsi="Calibri"/>
          <w:sz w:val="24"/>
          <w:szCs w:val="24"/>
          <w:color w:val="auto"/>
        </w:rPr>
      </w:pPr>
    </w:p>
    <w:p>
      <w:pPr>
        <w:ind w:left="1088" w:hanging="368"/>
        <w:spacing w:after="0"/>
        <w:tabs>
          <w:tab w:leader="none" w:pos="1088" w:val="left"/>
        </w:tabs>
        <w:numPr>
          <w:ilvl w:val="3"/>
          <w:numId w:val="875"/>
        </w:numPr>
        <w:rPr>
          <w:rFonts w:ascii="Calibri" w:cs="Calibri" w:eastAsia="Calibri" w:hAnsi="Calibri"/>
          <w:sz w:val="24"/>
          <w:szCs w:val="24"/>
          <w:color w:val="auto"/>
        </w:rPr>
      </w:pPr>
      <w:r>
        <w:rPr>
          <w:rFonts w:ascii="Times New Roman" w:cs="Times New Roman" w:eastAsia="Times New Roman" w:hAnsi="Times New Roman"/>
          <w:sz w:val="24"/>
          <w:szCs w:val="24"/>
          <w:color w:val="auto"/>
        </w:rPr>
        <w:t>Equity Capital;</w:t>
      </w:r>
    </w:p>
    <w:p>
      <w:pPr>
        <w:spacing w:after="0" w:line="382"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245</w:t>
      </w:r>
    </w:p>
    <w:p>
      <w:pPr>
        <w:sectPr>
          <w:pgSz w:w="11900" w:h="16836" w:orient="portrait"/>
          <w:cols w:equalWidth="0" w:num="1">
            <w:col w:w="9468"/>
          </w:cols>
          <w:pgMar w:left="1152" w:top="1161" w:right="1284" w:bottom="103" w:gutter="0" w:footer="0" w:header="0"/>
        </w:sectPr>
      </w:pPr>
    </w:p>
    <w:bookmarkStart w:id="245" w:name="page246"/>
    <w:bookmarkEnd w:id="245"/>
    <w:p>
      <w:pPr>
        <w:ind w:left="800" w:hanging="368"/>
        <w:spacing w:after="0"/>
        <w:tabs>
          <w:tab w:leader="none" w:pos="800" w:val="left"/>
        </w:tabs>
        <w:numPr>
          <w:ilvl w:val="1"/>
          <w:numId w:val="876"/>
        </w:numPr>
        <w:rPr>
          <w:rFonts w:ascii="Calibri" w:cs="Calibri" w:eastAsia="Calibri" w:hAnsi="Calibri"/>
          <w:sz w:val="24"/>
          <w:szCs w:val="24"/>
          <w:color w:val="auto"/>
        </w:rPr>
      </w:pPr>
      <w:r>
        <w:rPr>
          <w:rFonts w:ascii="Times New Roman" w:cs="Times New Roman" w:eastAsia="Times New Roman" w:hAnsi="Times New Roman"/>
          <w:sz w:val="24"/>
          <w:szCs w:val="24"/>
          <w:color w:val="auto"/>
        </w:rPr>
        <w:t>Reserves (excluding revaluation reserve);</w:t>
      </w:r>
    </w:p>
    <w:p>
      <w:pPr>
        <w:spacing w:after="0" w:line="125" w:lineRule="exact"/>
        <w:rPr>
          <w:rFonts w:ascii="Calibri" w:cs="Calibri" w:eastAsia="Calibri" w:hAnsi="Calibri"/>
          <w:sz w:val="24"/>
          <w:szCs w:val="24"/>
          <w:color w:val="auto"/>
        </w:rPr>
      </w:pPr>
    </w:p>
    <w:p>
      <w:pPr>
        <w:ind w:left="800" w:hanging="368"/>
        <w:spacing w:after="0"/>
        <w:tabs>
          <w:tab w:leader="none" w:pos="800" w:val="left"/>
        </w:tabs>
        <w:numPr>
          <w:ilvl w:val="1"/>
          <w:numId w:val="876"/>
        </w:numPr>
        <w:rPr>
          <w:rFonts w:ascii="Calibri" w:cs="Calibri" w:eastAsia="Calibri" w:hAnsi="Calibri"/>
          <w:sz w:val="24"/>
          <w:szCs w:val="24"/>
          <w:color w:val="auto"/>
        </w:rPr>
      </w:pPr>
      <w:r>
        <w:rPr>
          <w:rFonts w:ascii="Times New Roman" w:cs="Times New Roman" w:eastAsia="Times New Roman" w:hAnsi="Times New Roman"/>
          <w:sz w:val="24"/>
          <w:szCs w:val="24"/>
          <w:color w:val="auto"/>
        </w:rPr>
        <w:t>Sales;</w:t>
      </w:r>
    </w:p>
    <w:p>
      <w:pPr>
        <w:spacing w:after="0" w:line="127" w:lineRule="exact"/>
        <w:rPr>
          <w:rFonts w:ascii="Calibri" w:cs="Calibri" w:eastAsia="Calibri" w:hAnsi="Calibri"/>
          <w:sz w:val="24"/>
          <w:szCs w:val="24"/>
          <w:color w:val="auto"/>
        </w:rPr>
      </w:pPr>
    </w:p>
    <w:p>
      <w:pPr>
        <w:ind w:left="800" w:hanging="368"/>
        <w:spacing w:after="0"/>
        <w:tabs>
          <w:tab w:leader="none" w:pos="800" w:val="left"/>
        </w:tabs>
        <w:numPr>
          <w:ilvl w:val="1"/>
          <w:numId w:val="876"/>
        </w:numPr>
        <w:rPr>
          <w:rFonts w:ascii="Calibri" w:cs="Calibri" w:eastAsia="Calibri" w:hAnsi="Calibri"/>
          <w:sz w:val="24"/>
          <w:szCs w:val="24"/>
          <w:color w:val="auto"/>
        </w:rPr>
      </w:pPr>
      <w:r>
        <w:rPr>
          <w:rFonts w:ascii="Times New Roman" w:cs="Times New Roman" w:eastAsia="Times New Roman" w:hAnsi="Times New Roman"/>
          <w:sz w:val="24"/>
          <w:szCs w:val="24"/>
          <w:color w:val="auto"/>
        </w:rPr>
        <w:t>Profit after tax;</w:t>
      </w:r>
    </w:p>
    <w:p>
      <w:pPr>
        <w:spacing w:after="0" w:line="124" w:lineRule="exact"/>
        <w:rPr>
          <w:rFonts w:ascii="Calibri" w:cs="Calibri" w:eastAsia="Calibri" w:hAnsi="Calibri"/>
          <w:sz w:val="24"/>
          <w:szCs w:val="24"/>
          <w:color w:val="auto"/>
        </w:rPr>
      </w:pPr>
    </w:p>
    <w:p>
      <w:pPr>
        <w:ind w:left="1160" w:hanging="728"/>
        <w:spacing w:after="0"/>
        <w:tabs>
          <w:tab w:leader="none" w:pos="1160" w:val="left"/>
        </w:tabs>
        <w:numPr>
          <w:ilvl w:val="1"/>
          <w:numId w:val="876"/>
        </w:numPr>
        <w:rPr>
          <w:rFonts w:ascii="Calibri" w:cs="Calibri" w:eastAsia="Calibri" w:hAnsi="Calibri"/>
          <w:sz w:val="24"/>
          <w:szCs w:val="24"/>
          <w:color w:val="auto"/>
        </w:rPr>
      </w:pPr>
      <w:r>
        <w:rPr>
          <w:rFonts w:ascii="Times New Roman" w:cs="Times New Roman" w:eastAsia="Times New Roman" w:hAnsi="Times New Roman"/>
          <w:sz w:val="24"/>
          <w:szCs w:val="24"/>
          <w:color w:val="auto"/>
        </w:rPr>
        <w:t>Earnings per share and Diluted Earnings Per Share;</w:t>
      </w:r>
    </w:p>
    <w:p>
      <w:pPr>
        <w:spacing w:after="0" w:line="124" w:lineRule="exact"/>
        <w:rPr>
          <w:rFonts w:ascii="Calibri" w:cs="Calibri" w:eastAsia="Calibri" w:hAnsi="Calibri"/>
          <w:sz w:val="24"/>
          <w:szCs w:val="24"/>
          <w:color w:val="auto"/>
        </w:rPr>
      </w:pPr>
    </w:p>
    <w:p>
      <w:pPr>
        <w:ind w:left="1160" w:hanging="728"/>
        <w:spacing w:after="0"/>
        <w:tabs>
          <w:tab w:leader="none" w:pos="1160" w:val="left"/>
        </w:tabs>
        <w:numPr>
          <w:ilvl w:val="1"/>
          <w:numId w:val="876"/>
        </w:numPr>
        <w:rPr>
          <w:rFonts w:ascii="Calibri" w:cs="Calibri" w:eastAsia="Calibri" w:hAnsi="Calibri"/>
          <w:sz w:val="24"/>
          <w:szCs w:val="24"/>
          <w:color w:val="auto"/>
        </w:rPr>
      </w:pPr>
      <w:r>
        <w:rPr>
          <w:rFonts w:ascii="Times New Roman" w:cs="Times New Roman" w:eastAsia="Times New Roman" w:hAnsi="Times New Roman"/>
          <w:sz w:val="24"/>
          <w:szCs w:val="24"/>
          <w:color w:val="auto"/>
        </w:rPr>
        <w:t>Net Asset Value;</w:t>
      </w:r>
    </w:p>
    <w:p>
      <w:pPr>
        <w:spacing w:after="0" w:line="156" w:lineRule="exact"/>
        <w:rPr>
          <w:rFonts w:ascii="Calibri" w:cs="Calibri" w:eastAsia="Calibri" w:hAnsi="Calibri"/>
          <w:sz w:val="24"/>
          <w:szCs w:val="24"/>
          <w:color w:val="auto"/>
        </w:rPr>
      </w:pPr>
    </w:p>
    <w:p>
      <w:pPr>
        <w:ind w:left="800" w:right="40" w:hanging="368"/>
        <w:spacing w:after="0" w:line="333" w:lineRule="auto"/>
        <w:tabs>
          <w:tab w:leader="none" w:pos="800" w:val="left"/>
        </w:tabs>
        <w:numPr>
          <w:ilvl w:val="1"/>
          <w:numId w:val="876"/>
        </w:numPr>
        <w:rPr>
          <w:rFonts w:ascii="Calibri" w:cs="Calibri" w:eastAsia="Calibri" w:hAnsi="Calibri"/>
          <w:sz w:val="24"/>
          <w:szCs w:val="24"/>
          <w:color w:val="auto"/>
        </w:rPr>
      </w:pPr>
      <w:r>
        <w:rPr>
          <w:rFonts w:ascii="Times New Roman" w:cs="Times New Roman" w:eastAsia="Times New Roman" w:hAnsi="Times New Roman"/>
          <w:sz w:val="24"/>
          <w:szCs w:val="24"/>
          <w:color w:val="auto"/>
        </w:rPr>
        <w:t>In case of listed group companies, the highest and lowest market price of shares during the preceding six months; and</w:t>
      </w:r>
    </w:p>
    <w:p>
      <w:pPr>
        <w:spacing w:after="0" w:line="43" w:lineRule="exact"/>
        <w:rPr>
          <w:rFonts w:ascii="Calibri" w:cs="Calibri" w:eastAsia="Calibri" w:hAnsi="Calibri"/>
          <w:sz w:val="24"/>
          <w:szCs w:val="24"/>
          <w:color w:val="auto"/>
        </w:rPr>
      </w:pPr>
    </w:p>
    <w:p>
      <w:pPr>
        <w:ind w:left="800" w:right="320" w:hanging="368"/>
        <w:spacing w:after="0" w:line="334" w:lineRule="auto"/>
        <w:tabs>
          <w:tab w:leader="none" w:pos="800" w:val="left"/>
        </w:tabs>
        <w:numPr>
          <w:ilvl w:val="1"/>
          <w:numId w:val="876"/>
        </w:numPr>
        <w:rPr>
          <w:rFonts w:ascii="Calibri" w:cs="Calibri" w:eastAsia="Calibri" w:hAnsi="Calibri"/>
          <w:sz w:val="24"/>
          <w:szCs w:val="24"/>
          <w:color w:val="auto"/>
        </w:rPr>
      </w:pPr>
      <w:r>
        <w:rPr>
          <w:rFonts w:ascii="Times New Roman" w:cs="Times New Roman" w:eastAsia="Times New Roman" w:hAnsi="Times New Roman"/>
          <w:sz w:val="24"/>
          <w:szCs w:val="24"/>
          <w:color w:val="auto"/>
        </w:rPr>
        <w:t>If any of the companies has made public or rights issue in the preceding three years, the issue price of the security, the current market price.</w:t>
      </w:r>
    </w:p>
    <w:p>
      <w:pPr>
        <w:spacing w:after="0" w:line="34" w:lineRule="exact"/>
        <w:rPr>
          <w:rFonts w:ascii="Calibri" w:cs="Calibri" w:eastAsia="Calibri" w:hAnsi="Calibri"/>
          <w:sz w:val="24"/>
          <w:szCs w:val="24"/>
          <w:color w:val="auto"/>
        </w:rPr>
      </w:pPr>
    </w:p>
    <w:p>
      <w:pPr>
        <w:jc w:val="both"/>
        <w:ind w:left="440" w:hanging="368"/>
        <w:spacing w:after="0" w:line="357" w:lineRule="auto"/>
        <w:tabs>
          <w:tab w:leader="none" w:pos="440" w:val="left"/>
        </w:tabs>
        <w:numPr>
          <w:ilvl w:val="0"/>
          <w:numId w:val="877"/>
        </w:numPr>
        <w:rPr>
          <w:rFonts w:ascii="Calibri" w:cs="Calibri" w:eastAsia="Calibri" w:hAnsi="Calibri"/>
          <w:sz w:val="22"/>
          <w:szCs w:val="22"/>
          <w:color w:val="auto"/>
        </w:rPr>
      </w:pPr>
      <w:r>
        <w:rPr>
          <w:rFonts w:ascii="Times New Roman" w:cs="Times New Roman" w:eastAsia="Times New Roman" w:hAnsi="Times New Roman"/>
          <w:sz w:val="24"/>
          <w:szCs w:val="24"/>
          <w:color w:val="auto"/>
        </w:rPr>
        <w:t>In case there are more than five listed group companies, the financial information may be restricted to the five largest listed group companies to be determined on the basis of the market capitalization one month before the date of filing the draft offer document or in case of a fast track issue, one month before the reference date referred to in Explanation to sub-regulation (2) of regulation 99 and in Explanation to sub-regulation (2) of regulation 156. In case there are less than five listed group companies, the financial information shall be given for all the listed group companies and in addition for the largest unlisted group companies (based on turnover) so that the total number of listed and unlisted group companies for which the information is required to be given does not exceed five.</w:t>
      </w:r>
    </w:p>
    <w:p>
      <w:pPr>
        <w:spacing w:after="0" w:line="22" w:lineRule="exact"/>
        <w:rPr>
          <w:rFonts w:ascii="Calibri" w:cs="Calibri" w:eastAsia="Calibri" w:hAnsi="Calibri"/>
          <w:sz w:val="22"/>
          <w:szCs w:val="22"/>
          <w:color w:val="auto"/>
        </w:rPr>
      </w:pPr>
    </w:p>
    <w:p>
      <w:pPr>
        <w:ind w:left="440" w:hanging="368"/>
        <w:spacing w:after="0" w:line="342" w:lineRule="auto"/>
        <w:tabs>
          <w:tab w:leader="none" w:pos="440" w:val="left"/>
        </w:tabs>
        <w:numPr>
          <w:ilvl w:val="0"/>
          <w:numId w:val="877"/>
        </w:numPr>
        <w:rPr>
          <w:rFonts w:ascii="Calibri" w:cs="Calibri" w:eastAsia="Calibri" w:hAnsi="Calibri"/>
          <w:sz w:val="22"/>
          <w:szCs w:val="22"/>
          <w:color w:val="auto"/>
        </w:rPr>
      </w:pPr>
      <w:r>
        <w:rPr>
          <w:rFonts w:ascii="Times New Roman" w:cs="Times New Roman" w:eastAsia="Times New Roman" w:hAnsi="Times New Roman"/>
          <w:sz w:val="24"/>
          <w:szCs w:val="24"/>
          <w:color w:val="auto"/>
        </w:rPr>
        <w:t>In case there are no listed group companies, the financial information shall be given for the five largest unlisted group companies based on turnover.</w:t>
      </w:r>
    </w:p>
    <w:p>
      <w:pPr>
        <w:spacing w:after="0" w:line="31" w:lineRule="exact"/>
        <w:rPr>
          <w:rFonts w:ascii="Calibri" w:cs="Calibri" w:eastAsia="Calibri" w:hAnsi="Calibri"/>
          <w:sz w:val="22"/>
          <w:szCs w:val="22"/>
          <w:color w:val="auto"/>
        </w:rPr>
      </w:pPr>
    </w:p>
    <w:p>
      <w:pPr>
        <w:ind w:left="440" w:hanging="368"/>
        <w:spacing w:after="0" w:line="342" w:lineRule="auto"/>
        <w:tabs>
          <w:tab w:leader="none" w:pos="440" w:val="left"/>
        </w:tabs>
        <w:numPr>
          <w:ilvl w:val="0"/>
          <w:numId w:val="877"/>
        </w:numPr>
        <w:rPr>
          <w:rFonts w:ascii="Calibri" w:cs="Calibri" w:eastAsia="Calibri" w:hAnsi="Calibri"/>
          <w:sz w:val="22"/>
          <w:szCs w:val="22"/>
          <w:color w:val="auto"/>
        </w:rPr>
      </w:pPr>
      <w:r>
        <w:rPr>
          <w:rFonts w:ascii="Times New Roman" w:cs="Times New Roman" w:eastAsia="Times New Roman" w:hAnsi="Times New Roman"/>
          <w:sz w:val="24"/>
          <w:szCs w:val="24"/>
          <w:color w:val="auto"/>
        </w:rPr>
        <w:t>Any pending litigation involving the group company which has a material impact on the issuer.</w:t>
      </w:r>
    </w:p>
    <w:p>
      <w:pPr>
        <w:spacing w:after="0" w:line="31" w:lineRule="exact"/>
        <w:rPr>
          <w:rFonts w:ascii="Calibri" w:cs="Calibri" w:eastAsia="Calibri" w:hAnsi="Calibri"/>
          <w:sz w:val="22"/>
          <w:szCs w:val="22"/>
          <w:color w:val="auto"/>
        </w:rPr>
      </w:pPr>
    </w:p>
    <w:p>
      <w:pPr>
        <w:ind w:left="440" w:hanging="368"/>
        <w:spacing w:after="0" w:line="342" w:lineRule="auto"/>
        <w:tabs>
          <w:tab w:leader="none" w:pos="440" w:val="left"/>
        </w:tabs>
        <w:numPr>
          <w:ilvl w:val="0"/>
          <w:numId w:val="877"/>
        </w:numPr>
        <w:rPr>
          <w:rFonts w:ascii="Calibri" w:cs="Calibri" w:eastAsia="Calibri" w:hAnsi="Calibri"/>
          <w:sz w:val="22"/>
          <w:szCs w:val="22"/>
          <w:color w:val="auto"/>
        </w:rPr>
      </w:pPr>
      <w:r>
        <w:rPr>
          <w:rFonts w:ascii="Times New Roman" w:cs="Times New Roman" w:eastAsia="Times New Roman" w:hAnsi="Times New Roman"/>
          <w:sz w:val="24"/>
          <w:szCs w:val="24"/>
          <w:color w:val="auto"/>
        </w:rPr>
        <w:t>Information regarding significant adverse factors related to the group companies and in particular regarding:</w:t>
      </w:r>
    </w:p>
    <w:p>
      <w:pPr>
        <w:spacing w:after="0" w:line="36" w:lineRule="exact"/>
        <w:rPr>
          <w:rFonts w:ascii="Calibri" w:cs="Calibri" w:eastAsia="Calibri" w:hAnsi="Calibri"/>
          <w:sz w:val="22"/>
          <w:szCs w:val="22"/>
          <w:color w:val="auto"/>
        </w:rPr>
      </w:pPr>
    </w:p>
    <w:p>
      <w:pPr>
        <w:ind w:left="800" w:right="580" w:hanging="368"/>
        <w:spacing w:after="0" w:line="343" w:lineRule="auto"/>
        <w:tabs>
          <w:tab w:leader="none" w:pos="800" w:val="left"/>
        </w:tabs>
        <w:numPr>
          <w:ilvl w:val="1"/>
          <w:numId w:val="877"/>
        </w:numPr>
        <w:rPr>
          <w:rFonts w:ascii="Calibri" w:cs="Calibri" w:eastAsia="Calibri" w:hAnsi="Calibri"/>
          <w:sz w:val="24"/>
          <w:szCs w:val="24"/>
          <w:color w:val="auto"/>
        </w:rPr>
      </w:pPr>
      <w:r>
        <w:rPr>
          <w:rFonts w:ascii="Times New Roman" w:cs="Times New Roman" w:eastAsia="Times New Roman" w:hAnsi="Times New Roman"/>
          <w:sz w:val="24"/>
          <w:szCs w:val="24"/>
          <w:color w:val="auto"/>
        </w:rPr>
        <w:t>whether the company has become a sick company within the meaning of the Sick Industrial Companies (Special Provisions) Act, 1995 or is under winding up/insolvency proceedings;</w:t>
      </w:r>
    </w:p>
    <w:p>
      <w:pPr>
        <w:spacing w:after="0" w:line="38" w:lineRule="exact"/>
        <w:rPr>
          <w:rFonts w:ascii="Calibri" w:cs="Calibri" w:eastAsia="Calibri" w:hAnsi="Calibri"/>
          <w:sz w:val="24"/>
          <w:szCs w:val="24"/>
          <w:color w:val="auto"/>
        </w:rPr>
      </w:pPr>
    </w:p>
    <w:p>
      <w:pPr>
        <w:ind w:left="800" w:right="120" w:hanging="368"/>
        <w:spacing w:after="0" w:line="333" w:lineRule="auto"/>
        <w:tabs>
          <w:tab w:leader="none" w:pos="800" w:val="left"/>
        </w:tabs>
        <w:numPr>
          <w:ilvl w:val="1"/>
          <w:numId w:val="877"/>
        </w:numPr>
        <w:rPr>
          <w:rFonts w:ascii="Calibri" w:cs="Calibri" w:eastAsia="Calibri" w:hAnsi="Calibri"/>
          <w:sz w:val="24"/>
          <w:szCs w:val="24"/>
          <w:color w:val="auto"/>
        </w:rPr>
      </w:pPr>
      <w:r>
        <w:rPr>
          <w:rFonts w:ascii="Times New Roman" w:cs="Times New Roman" w:eastAsia="Times New Roman" w:hAnsi="Times New Roman"/>
          <w:sz w:val="24"/>
          <w:szCs w:val="24"/>
          <w:color w:val="auto"/>
        </w:rPr>
        <w:t>whether the company has made a loss in the immediately preceding year and if so, the profit or loss figures for the immediately preceding three years.</w:t>
      </w:r>
    </w:p>
    <w:p>
      <w:pPr>
        <w:spacing w:after="0" w:line="38" w:lineRule="exact"/>
        <w:rPr>
          <w:rFonts w:ascii="Calibri" w:cs="Calibri" w:eastAsia="Calibri" w:hAnsi="Calibri"/>
          <w:sz w:val="24"/>
          <w:szCs w:val="24"/>
          <w:color w:val="auto"/>
        </w:rPr>
      </w:pPr>
    </w:p>
    <w:p>
      <w:pPr>
        <w:jc w:val="both"/>
        <w:ind w:left="440" w:hanging="368"/>
        <w:spacing w:after="0" w:line="355" w:lineRule="auto"/>
        <w:tabs>
          <w:tab w:leader="none" w:pos="440" w:val="left"/>
        </w:tabs>
        <w:numPr>
          <w:ilvl w:val="0"/>
          <w:numId w:val="877"/>
        </w:numPr>
        <w:rPr>
          <w:rFonts w:ascii="Calibri" w:cs="Calibri" w:eastAsia="Calibri" w:hAnsi="Calibri"/>
          <w:sz w:val="22"/>
          <w:szCs w:val="22"/>
          <w:color w:val="auto"/>
        </w:rPr>
      </w:pPr>
      <w:r>
        <w:rPr>
          <w:rFonts w:ascii="Times New Roman" w:cs="Times New Roman" w:eastAsia="Times New Roman" w:hAnsi="Times New Roman"/>
          <w:sz w:val="24"/>
          <w:szCs w:val="24"/>
          <w:color w:val="auto"/>
        </w:rPr>
        <w:t>Disclosure shall be made about group companies which had remained defunct and for which application was made to the Registrar of Companies for striking off the name of the company, during the five years preceding the date of filing draft offer document with the Board. The disclosure shall include reasons for the company having become defunct as also all pending litigations, if any, in respect of such companies</w:t>
      </w:r>
    </w:p>
    <w:p>
      <w:pPr>
        <w:ind w:left="440" w:hanging="368"/>
        <w:spacing w:after="0"/>
        <w:tabs>
          <w:tab w:leader="none" w:pos="440" w:val="left"/>
        </w:tabs>
        <w:numPr>
          <w:ilvl w:val="0"/>
          <w:numId w:val="877"/>
        </w:numPr>
        <w:rPr>
          <w:rFonts w:ascii="Calibri" w:cs="Calibri" w:eastAsia="Calibri" w:hAnsi="Calibri"/>
          <w:sz w:val="22"/>
          <w:szCs w:val="22"/>
          <w:color w:val="auto"/>
        </w:rPr>
      </w:pPr>
      <w:r>
        <w:rPr>
          <w:rFonts w:ascii="Times New Roman" w:cs="Times New Roman" w:eastAsia="Times New Roman" w:hAnsi="Times New Roman"/>
          <w:sz w:val="24"/>
          <w:szCs w:val="24"/>
          <w:color w:val="auto"/>
        </w:rPr>
        <w:t>Common Pursuits:</w:t>
      </w:r>
    </w:p>
    <w:p>
      <w:pPr>
        <w:spacing w:after="0" w:line="355"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246</w:t>
      </w:r>
    </w:p>
    <w:p>
      <w:pPr>
        <w:sectPr>
          <w:pgSz w:w="11900" w:h="16836" w:orient="portrait"/>
          <w:cols w:equalWidth="0" w:num="1">
            <w:col w:w="9180"/>
          </w:cols>
          <w:pgMar w:left="1440" w:top="1132" w:right="1284" w:bottom="103" w:gutter="0" w:footer="0" w:header="0"/>
        </w:sectPr>
      </w:pPr>
    </w:p>
    <w:bookmarkStart w:id="246" w:name="page247"/>
    <w:bookmarkEnd w:id="246"/>
    <w:p>
      <w:pPr>
        <w:ind w:left="1088" w:right="260" w:hanging="368"/>
        <w:spacing w:after="0" w:line="344" w:lineRule="auto"/>
        <w:tabs>
          <w:tab w:leader="none" w:pos="1088" w:val="left"/>
        </w:tabs>
        <w:numPr>
          <w:ilvl w:val="2"/>
          <w:numId w:val="878"/>
        </w:numPr>
        <w:rPr>
          <w:rFonts w:ascii="Calibri" w:cs="Calibri" w:eastAsia="Calibri" w:hAnsi="Calibri"/>
          <w:sz w:val="24"/>
          <w:szCs w:val="24"/>
          <w:color w:val="auto"/>
        </w:rPr>
      </w:pPr>
      <w:r>
        <w:rPr>
          <w:rFonts w:ascii="Times New Roman" w:cs="Times New Roman" w:eastAsia="Times New Roman" w:hAnsi="Times New Roman"/>
          <w:sz w:val="24"/>
          <w:szCs w:val="24"/>
          <w:color w:val="auto"/>
        </w:rPr>
        <w:t>In case there are common pursuits amongst the group companies/ subsidiaries/associates companies and the issuer, the reasons and justification for the same shall be spelt out and the conflict of interest situations shall be stated.</w:t>
      </w:r>
    </w:p>
    <w:p>
      <w:pPr>
        <w:spacing w:after="0" w:line="34" w:lineRule="exact"/>
        <w:rPr>
          <w:rFonts w:ascii="Calibri" w:cs="Calibri" w:eastAsia="Calibri" w:hAnsi="Calibri"/>
          <w:sz w:val="24"/>
          <w:szCs w:val="24"/>
          <w:color w:val="auto"/>
        </w:rPr>
      </w:pPr>
    </w:p>
    <w:p>
      <w:pPr>
        <w:ind w:left="1088" w:right="800" w:hanging="368"/>
        <w:spacing w:after="0" w:line="335" w:lineRule="auto"/>
        <w:tabs>
          <w:tab w:leader="none" w:pos="1088" w:val="left"/>
        </w:tabs>
        <w:numPr>
          <w:ilvl w:val="2"/>
          <w:numId w:val="878"/>
        </w:numPr>
        <w:rPr>
          <w:rFonts w:ascii="Calibri" w:cs="Calibri" w:eastAsia="Calibri" w:hAnsi="Calibri"/>
          <w:sz w:val="24"/>
          <w:szCs w:val="24"/>
          <w:color w:val="auto"/>
        </w:rPr>
      </w:pPr>
      <w:r>
        <w:rPr>
          <w:rFonts w:ascii="Times New Roman" w:cs="Times New Roman" w:eastAsia="Times New Roman" w:hAnsi="Times New Roman"/>
          <w:sz w:val="24"/>
          <w:szCs w:val="24"/>
          <w:color w:val="auto"/>
        </w:rPr>
        <w:t>The related business transactions within the group and their significance on the financial performance of the issuer.</w:t>
      </w:r>
    </w:p>
    <w:p>
      <w:pPr>
        <w:spacing w:after="0" w:line="38" w:lineRule="exact"/>
        <w:rPr>
          <w:rFonts w:ascii="Calibri" w:cs="Calibri" w:eastAsia="Calibri" w:hAnsi="Calibri"/>
          <w:sz w:val="24"/>
          <w:szCs w:val="24"/>
          <w:color w:val="auto"/>
        </w:rPr>
      </w:pPr>
    </w:p>
    <w:p>
      <w:pPr>
        <w:ind w:left="1088" w:right="260" w:hanging="368"/>
        <w:spacing w:after="0" w:line="349" w:lineRule="auto"/>
        <w:tabs>
          <w:tab w:leader="none" w:pos="1088" w:val="left"/>
        </w:tabs>
        <w:numPr>
          <w:ilvl w:val="2"/>
          <w:numId w:val="878"/>
        </w:numPr>
        <w:rPr>
          <w:rFonts w:ascii="Calibri" w:cs="Calibri" w:eastAsia="Calibri" w:hAnsi="Calibri"/>
          <w:sz w:val="24"/>
          <w:szCs w:val="24"/>
          <w:color w:val="auto"/>
        </w:rPr>
      </w:pPr>
      <w:r>
        <w:rPr>
          <w:rFonts w:ascii="Times New Roman" w:cs="Times New Roman" w:eastAsia="Times New Roman" w:hAnsi="Times New Roman"/>
          <w:sz w:val="24"/>
          <w:szCs w:val="24"/>
          <w:color w:val="auto"/>
        </w:rPr>
        <w:t>If any of the other group companies/subsidiaries/associate companies has business interests in the issuer then the amount of commercial business that the said company has /proposes to have with the issuer may be quantified. If no, a distinct negative statement may be incorporated to this effect.</w:t>
      </w:r>
    </w:p>
    <w:p>
      <w:pPr>
        <w:spacing w:after="0" w:line="200" w:lineRule="exact"/>
        <w:rPr>
          <w:rFonts w:ascii="Calibri" w:cs="Calibri" w:eastAsia="Calibri" w:hAnsi="Calibri"/>
          <w:sz w:val="24"/>
          <w:szCs w:val="24"/>
          <w:color w:val="auto"/>
        </w:rPr>
      </w:pPr>
    </w:p>
    <w:p>
      <w:pPr>
        <w:spacing w:after="0" w:line="232" w:lineRule="exact"/>
        <w:rPr>
          <w:rFonts w:ascii="Calibri" w:cs="Calibri" w:eastAsia="Calibri" w:hAnsi="Calibri"/>
          <w:sz w:val="24"/>
          <w:szCs w:val="24"/>
          <w:color w:val="auto"/>
        </w:rPr>
      </w:pPr>
    </w:p>
    <w:p>
      <w:pPr>
        <w:ind w:left="568" w:hanging="568"/>
        <w:spacing w:after="0"/>
        <w:tabs>
          <w:tab w:leader="none" w:pos="568" w:val="left"/>
        </w:tabs>
        <w:numPr>
          <w:ilvl w:val="0"/>
          <w:numId w:val="879"/>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b w:val="1"/>
          <w:bCs w:val="1"/>
          <w:color w:val="auto"/>
        </w:rPr>
        <w:t>Other Regulatory and Statutory Disclosures:</w:t>
      </w:r>
    </w:p>
    <w:p>
      <w:pPr>
        <w:spacing w:after="0" w:line="134" w:lineRule="exact"/>
        <w:rPr>
          <w:rFonts w:ascii="Times New Roman" w:cs="Times New Roman" w:eastAsia="Times New Roman" w:hAnsi="Times New Roman"/>
          <w:sz w:val="22"/>
          <w:szCs w:val="22"/>
          <w:color w:val="auto"/>
        </w:rPr>
      </w:pPr>
    </w:p>
    <w:p>
      <w:pPr>
        <w:ind w:left="1088" w:hanging="512"/>
        <w:spacing w:after="0"/>
        <w:tabs>
          <w:tab w:leader="none" w:pos="1088" w:val="left"/>
        </w:tabs>
        <w:numPr>
          <w:ilvl w:val="1"/>
          <w:numId w:val="87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Authority for the issue and details of resolution(s) passed for the issue.</w:t>
      </w:r>
    </w:p>
    <w:p>
      <w:pPr>
        <w:spacing w:after="0" w:line="149" w:lineRule="exact"/>
        <w:rPr>
          <w:rFonts w:ascii="Times New Roman" w:cs="Times New Roman" w:eastAsia="Times New Roman" w:hAnsi="Times New Roman"/>
          <w:sz w:val="24"/>
          <w:szCs w:val="24"/>
          <w:color w:val="auto"/>
        </w:rPr>
      </w:pPr>
    </w:p>
    <w:p>
      <w:pPr>
        <w:jc w:val="both"/>
        <w:ind w:left="1088" w:hanging="512"/>
        <w:spacing w:after="0" w:line="357" w:lineRule="auto"/>
        <w:tabs>
          <w:tab w:leader="none" w:pos="1088" w:val="left"/>
        </w:tabs>
        <w:numPr>
          <w:ilvl w:val="1"/>
          <w:numId w:val="87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statement by the issuer that the issuer, promoters, promoter group, directors, person(s) in control of the promoter or issuer, if applicable, or selling shareholders are not prohibited from accessing the capital market or debarred from buying, selling or dealing in securities under any order or direction passed by the Board or any securities market regulator in any other jurisdiction or any other authority/court.</w:t>
      </w:r>
    </w:p>
    <w:p>
      <w:pPr>
        <w:spacing w:after="0" w:line="19" w:lineRule="exact"/>
        <w:rPr>
          <w:rFonts w:ascii="Times New Roman" w:cs="Times New Roman" w:eastAsia="Times New Roman" w:hAnsi="Times New Roman"/>
          <w:sz w:val="24"/>
          <w:szCs w:val="24"/>
          <w:color w:val="auto"/>
        </w:rPr>
      </w:pPr>
    </w:p>
    <w:p>
      <w:pPr>
        <w:jc w:val="both"/>
        <w:ind w:left="1088" w:hanging="512"/>
        <w:spacing w:after="0" w:line="354" w:lineRule="auto"/>
        <w:tabs>
          <w:tab w:leader="none" w:pos="1088" w:val="left"/>
        </w:tabs>
        <w:numPr>
          <w:ilvl w:val="1"/>
          <w:numId w:val="87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A confirmation that the issuer, </w:t>
      </w:r>
      <w:r>
        <w:rPr>
          <w:rFonts w:ascii="Times New Roman" w:cs="Times New Roman" w:eastAsia="Times New Roman" w:hAnsi="Times New Roman"/>
          <w:sz w:val="24"/>
          <w:szCs w:val="24"/>
          <w:color w:val="auto"/>
          <w:strike w:val="1"/>
        </w:rPr>
        <w:t>any of</w:t>
      </w:r>
      <w:r>
        <w:rPr>
          <w:rFonts w:ascii="Times New Roman" w:cs="Times New Roman" w:eastAsia="Times New Roman" w:hAnsi="Times New Roman"/>
          <w:sz w:val="24"/>
          <w:szCs w:val="24"/>
          <w:color w:val="auto"/>
        </w:rPr>
        <w:t xml:space="preserve"> its promoters, promoter group or selling shareholders is in compliance with the Companies (Significant Beneficial Ownership) Rules, 2018.</w:t>
      </w:r>
    </w:p>
    <w:p>
      <w:pPr>
        <w:spacing w:after="0" w:line="19" w:lineRule="exact"/>
        <w:rPr>
          <w:rFonts w:ascii="Times New Roman" w:cs="Times New Roman" w:eastAsia="Times New Roman" w:hAnsi="Times New Roman"/>
          <w:sz w:val="24"/>
          <w:szCs w:val="24"/>
          <w:color w:val="auto"/>
        </w:rPr>
      </w:pPr>
    </w:p>
    <w:p>
      <w:pPr>
        <w:jc w:val="both"/>
        <w:ind w:left="1088" w:hanging="512"/>
        <w:spacing w:after="0" w:line="354" w:lineRule="auto"/>
        <w:tabs>
          <w:tab w:leader="none" w:pos="1088" w:val="left"/>
        </w:tabs>
        <w:numPr>
          <w:ilvl w:val="1"/>
          <w:numId w:val="87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confirmation whether any of the directors of the issuer are associated with the securities market in any manner, and if yes, any outstanding action against them initiated by the Board in the past five years.</w:t>
      </w:r>
    </w:p>
    <w:p>
      <w:pPr>
        <w:spacing w:after="0" w:line="22" w:lineRule="exact"/>
        <w:rPr>
          <w:rFonts w:ascii="Times New Roman" w:cs="Times New Roman" w:eastAsia="Times New Roman" w:hAnsi="Times New Roman"/>
          <w:sz w:val="24"/>
          <w:szCs w:val="24"/>
          <w:color w:val="auto"/>
        </w:rPr>
      </w:pPr>
    </w:p>
    <w:p>
      <w:pPr>
        <w:jc w:val="both"/>
        <w:ind w:left="1088" w:hanging="512"/>
        <w:spacing w:after="0" w:line="354" w:lineRule="auto"/>
        <w:tabs>
          <w:tab w:leader="none" w:pos="1088" w:val="left"/>
        </w:tabs>
        <w:numPr>
          <w:ilvl w:val="1"/>
          <w:numId w:val="87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Eligibility of the issuer to enter the capital market in terms of these Regulations. (Details of compliance with eligibility requirements to make a fast track issue, if applicable.)</w:t>
      </w:r>
    </w:p>
    <w:p>
      <w:pPr>
        <w:spacing w:after="0" w:line="7" w:lineRule="exact"/>
        <w:rPr>
          <w:rFonts w:ascii="Times New Roman" w:cs="Times New Roman" w:eastAsia="Times New Roman" w:hAnsi="Times New Roman"/>
          <w:sz w:val="24"/>
          <w:szCs w:val="24"/>
          <w:color w:val="auto"/>
        </w:rPr>
      </w:pPr>
    </w:p>
    <w:p>
      <w:pPr>
        <w:ind w:left="1088" w:hanging="512"/>
        <w:spacing w:after="0"/>
        <w:tabs>
          <w:tab w:leader="none" w:pos="1088" w:val="left"/>
        </w:tabs>
        <w:numPr>
          <w:ilvl w:val="1"/>
          <w:numId w:val="87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Compliance with Part B of this Schedule, as the case may be, if applicable.</w:t>
      </w:r>
    </w:p>
    <w:p>
      <w:pPr>
        <w:spacing w:after="0" w:line="139" w:lineRule="exact"/>
        <w:rPr>
          <w:rFonts w:ascii="Times New Roman" w:cs="Times New Roman" w:eastAsia="Times New Roman" w:hAnsi="Times New Roman"/>
          <w:sz w:val="24"/>
          <w:szCs w:val="24"/>
          <w:color w:val="auto"/>
        </w:rPr>
      </w:pPr>
    </w:p>
    <w:p>
      <w:pPr>
        <w:ind w:left="1088" w:hanging="512"/>
        <w:spacing w:after="0"/>
        <w:tabs>
          <w:tab w:leader="none" w:pos="1088" w:val="left"/>
        </w:tabs>
        <w:numPr>
          <w:ilvl w:val="1"/>
          <w:numId w:val="87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Disclaimer clauses:</w:t>
      </w:r>
    </w:p>
    <w:p>
      <w:pPr>
        <w:spacing w:after="0" w:line="149" w:lineRule="exact"/>
        <w:rPr>
          <w:rFonts w:ascii="Times New Roman" w:cs="Times New Roman" w:eastAsia="Times New Roman" w:hAnsi="Times New Roman"/>
          <w:sz w:val="24"/>
          <w:szCs w:val="24"/>
          <w:color w:val="auto"/>
        </w:rPr>
      </w:pPr>
    </w:p>
    <w:p>
      <w:pPr>
        <w:ind w:left="1648" w:hanging="568"/>
        <w:spacing w:after="0" w:line="350" w:lineRule="auto"/>
        <w:tabs>
          <w:tab w:leader="none" w:pos="1648" w:val="left"/>
        </w:tabs>
        <w:numPr>
          <w:ilvl w:val="3"/>
          <w:numId w:val="87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offer document shall contain the following disclaimer clause in bold capital letters:</w:t>
      </w:r>
    </w:p>
    <w:p>
      <w:pPr>
        <w:spacing w:after="0" w:line="23" w:lineRule="exact"/>
        <w:rPr>
          <w:rFonts w:ascii="Times New Roman" w:cs="Times New Roman" w:eastAsia="Times New Roman" w:hAnsi="Times New Roman"/>
          <w:sz w:val="24"/>
          <w:szCs w:val="24"/>
          <w:color w:val="auto"/>
        </w:rPr>
      </w:pPr>
    </w:p>
    <w:p>
      <w:pPr>
        <w:jc w:val="both"/>
        <w:ind w:left="1628"/>
        <w:spacing w:after="0" w:line="357"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 is to be distinctly understood that submission of the draft offer document/draft letter of offer/offer document to the Securities and Exchange Board of India (SEBI) should not in any way be deemed or construed that the same has been cleared or approved by SEBI. SEBI does not take any responsibility either for the financial soundness of any scheme or the project for which the issue is proposed</w:t>
      </w:r>
    </w:p>
    <w:p>
      <w:pPr>
        <w:spacing w:after="0" w:line="24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247</w:t>
      </w:r>
    </w:p>
    <w:p>
      <w:pPr>
        <w:sectPr>
          <w:pgSz w:w="11900" w:h="16836" w:orient="portrait"/>
          <w:cols w:equalWidth="0" w:num="1">
            <w:col w:w="9468"/>
          </w:cols>
          <w:pgMar w:left="1152" w:top="1161" w:right="1284" w:bottom="103" w:gutter="0" w:footer="0" w:header="0"/>
        </w:sectPr>
      </w:pPr>
    </w:p>
    <w:bookmarkStart w:id="247" w:name="page248"/>
    <w:bookmarkEnd w:id="247"/>
    <w:p>
      <w:pPr>
        <w:jc w:val="both"/>
        <w:ind w:left="1340"/>
        <w:spacing w:after="0" w:line="357" w:lineRule="auto"/>
        <w:rPr>
          <w:sz w:val="20"/>
          <w:szCs w:val="20"/>
          <w:color w:val="auto"/>
        </w:rPr>
      </w:pPr>
      <w:r>
        <w:rPr>
          <w:rFonts w:ascii="Times New Roman" w:cs="Times New Roman" w:eastAsia="Times New Roman" w:hAnsi="Times New Roman"/>
          <w:sz w:val="24"/>
          <w:szCs w:val="24"/>
          <w:color w:val="auto"/>
        </w:rPr>
        <w:t>to be made or for the correctness of the statements made or opinions expressed in the draft offer document/draft letter of offer/offer document. The lead manager(s), has certified that the disclosures made in the draft offer document/draft letter of offer/offer document are generally adequate and are in conformity with the Regulations. This requirement is to facilitate investors to take an informed decision for making investment in the proposed issue.</w:t>
      </w:r>
    </w:p>
    <w:p>
      <w:pPr>
        <w:spacing w:after="0" w:line="200" w:lineRule="exact"/>
        <w:rPr>
          <w:sz w:val="20"/>
          <w:szCs w:val="20"/>
          <w:color w:val="auto"/>
        </w:rPr>
      </w:pPr>
    </w:p>
    <w:p>
      <w:pPr>
        <w:spacing w:after="0" w:line="234" w:lineRule="exact"/>
        <w:rPr>
          <w:sz w:val="20"/>
          <w:szCs w:val="20"/>
          <w:color w:val="auto"/>
        </w:rPr>
      </w:pPr>
    </w:p>
    <w:p>
      <w:pPr>
        <w:jc w:val="both"/>
        <w:ind w:left="1340"/>
        <w:spacing w:after="0" w:line="358" w:lineRule="auto"/>
        <w:rPr>
          <w:sz w:val="20"/>
          <w:szCs w:val="20"/>
          <w:color w:val="auto"/>
        </w:rPr>
      </w:pPr>
      <w:r>
        <w:rPr>
          <w:rFonts w:ascii="Times New Roman" w:cs="Times New Roman" w:eastAsia="Times New Roman" w:hAnsi="Times New Roman"/>
          <w:sz w:val="24"/>
          <w:szCs w:val="24"/>
          <w:color w:val="auto"/>
        </w:rPr>
        <w:t>It should also be clearly understood that while the issuer is primarily responsible for the correctness, adequacy and disclosure of all relevant information in the draft offer document/draft letter of offer/offer document, the lead manager(s) is expected to exercise due diligence to ensure that the issuer discharges its responsibility adequately in this behalf and towards this purpose, the lead manager(s) _______________ has furnished to SEBI a due diligence certificate</w:t>
      </w:r>
    </w:p>
    <w:p>
      <w:pPr>
        <w:spacing w:after="0" w:line="2"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4"/>
          <w:szCs w:val="24"/>
          <w:color w:val="auto"/>
        </w:rPr>
        <w:t>dated ______________ in the format prescribed under Schedule V(A) of the</w:t>
      </w:r>
    </w:p>
    <w:p>
      <w:pPr>
        <w:spacing w:after="0" w:line="151" w:lineRule="exact"/>
        <w:rPr>
          <w:sz w:val="20"/>
          <w:szCs w:val="20"/>
          <w:color w:val="auto"/>
        </w:rPr>
      </w:pPr>
    </w:p>
    <w:p>
      <w:pPr>
        <w:jc w:val="both"/>
        <w:ind w:left="1340"/>
        <w:spacing w:after="0" w:line="348" w:lineRule="auto"/>
        <w:rPr>
          <w:sz w:val="20"/>
          <w:szCs w:val="20"/>
          <w:color w:val="auto"/>
        </w:rPr>
      </w:pPr>
      <w:r>
        <w:rPr>
          <w:rFonts w:ascii="Times New Roman" w:cs="Times New Roman" w:eastAsia="Times New Roman" w:hAnsi="Times New Roman"/>
          <w:sz w:val="24"/>
          <w:szCs w:val="24"/>
          <w:color w:val="auto"/>
        </w:rPr>
        <w:t xml:space="preserve">Securities and Exchange Board of India (Issue of Capital and Disclosure Requirements) Regulations, </w:t>
      </w:r>
      <w:r>
        <w:rPr>
          <w:rFonts w:ascii="Times New Roman" w:cs="Times New Roman" w:eastAsia="Times New Roman" w:hAnsi="Times New Roman"/>
          <w:sz w:val="24"/>
          <w:szCs w:val="24"/>
          <w:color w:val="auto"/>
          <w:strike w:val="1"/>
        </w:rPr>
        <w:t>2009</w:t>
      </w:r>
      <w:r>
        <w:rPr>
          <w:rFonts w:ascii="Times New Roman" w:cs="Times New Roman" w:eastAsia="Times New Roman" w:hAnsi="Times New Roman"/>
          <w:sz w:val="24"/>
          <w:szCs w:val="24"/>
          <w:color w:val="auto"/>
        </w:rPr>
        <w:t xml:space="preserve"> 2018.</w:t>
      </w:r>
    </w:p>
    <w:p>
      <w:pPr>
        <w:spacing w:after="0" w:line="200" w:lineRule="exact"/>
        <w:rPr>
          <w:sz w:val="20"/>
          <w:szCs w:val="20"/>
          <w:color w:val="auto"/>
        </w:rPr>
      </w:pPr>
    </w:p>
    <w:p>
      <w:pPr>
        <w:spacing w:after="0" w:line="241" w:lineRule="exact"/>
        <w:rPr>
          <w:sz w:val="20"/>
          <w:szCs w:val="20"/>
          <w:color w:val="auto"/>
        </w:rPr>
      </w:pPr>
    </w:p>
    <w:p>
      <w:pPr>
        <w:jc w:val="both"/>
        <w:ind w:left="1340"/>
        <w:spacing w:after="0" w:line="358" w:lineRule="auto"/>
        <w:rPr>
          <w:sz w:val="20"/>
          <w:szCs w:val="20"/>
          <w:color w:val="auto"/>
        </w:rPr>
      </w:pPr>
      <w:r>
        <w:rPr>
          <w:rFonts w:ascii="Times New Roman" w:cs="Times New Roman" w:eastAsia="Times New Roman" w:hAnsi="Times New Roman"/>
          <w:sz w:val="24"/>
          <w:szCs w:val="24"/>
          <w:color w:val="auto"/>
        </w:rPr>
        <w:t>The filing of the draft offer document/draft letter of offer/offer document does not, however, absolve the issuer from any liabilities under the Companies Act, 2013] or from the requirement of obtaining such statutory or other clearances as may be required for the purpose of the proposed issue. SEBI further reserves the right to take up, at any point of time, with the lead manager(s) any irregularities or lapses in the draft offer document/draft letter of offer/offer document."</w:t>
      </w:r>
    </w:p>
    <w:p>
      <w:pPr>
        <w:spacing w:after="0" w:line="15" w:lineRule="exact"/>
        <w:rPr>
          <w:sz w:val="20"/>
          <w:szCs w:val="20"/>
          <w:color w:val="auto"/>
        </w:rPr>
      </w:pPr>
    </w:p>
    <w:p>
      <w:pPr>
        <w:jc w:val="both"/>
        <w:ind w:left="1360" w:hanging="568"/>
        <w:spacing w:after="0" w:line="358" w:lineRule="auto"/>
        <w:tabs>
          <w:tab w:leader="none" w:pos="1360" w:val="left"/>
        </w:tabs>
        <w:numPr>
          <w:ilvl w:val="1"/>
          <w:numId w:val="88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Disclaimer Statement from the issuer and lead manager(s): A statement to the effect that the issuer and the lead manager(s) accept no responsibility for statements made otherwise than in the draft offer document/draft letter of offer/offer document or in the advertisement or any other material issued by or at the instance of the issuer and that anyone placing reliance on any other source of information would be doing so at their own risk.</w:t>
      </w:r>
    </w:p>
    <w:p>
      <w:pPr>
        <w:spacing w:after="0" w:line="14" w:lineRule="exact"/>
        <w:rPr>
          <w:rFonts w:ascii="Times New Roman" w:cs="Times New Roman" w:eastAsia="Times New Roman" w:hAnsi="Times New Roman"/>
          <w:sz w:val="24"/>
          <w:szCs w:val="24"/>
          <w:color w:val="auto"/>
        </w:rPr>
      </w:pPr>
    </w:p>
    <w:p>
      <w:pPr>
        <w:jc w:val="both"/>
        <w:ind w:left="800" w:hanging="512"/>
        <w:spacing w:after="0" w:line="354" w:lineRule="auto"/>
        <w:tabs>
          <w:tab w:leader="none" w:pos="800" w:val="left"/>
        </w:tabs>
        <w:numPr>
          <w:ilvl w:val="0"/>
          <w:numId w:val="88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Disclaimer in respect of jurisdiction: A brief paragraph mentioning the jurisdiction under which provisions of law and the rules and regulations are applicable to the draft offer document/ draft letter of offer/ offer document.</w:t>
      </w:r>
    </w:p>
    <w:p>
      <w:pPr>
        <w:spacing w:after="0" w:line="10" w:lineRule="exact"/>
        <w:rPr>
          <w:rFonts w:ascii="Times New Roman" w:cs="Times New Roman" w:eastAsia="Times New Roman" w:hAnsi="Times New Roman"/>
          <w:sz w:val="24"/>
          <w:szCs w:val="24"/>
          <w:color w:val="auto"/>
        </w:rPr>
      </w:pPr>
    </w:p>
    <w:p>
      <w:pPr>
        <w:ind w:left="800" w:hanging="512"/>
        <w:spacing w:after="0"/>
        <w:tabs>
          <w:tab w:leader="none" w:pos="800" w:val="left"/>
        </w:tabs>
        <w:numPr>
          <w:ilvl w:val="0"/>
          <w:numId w:val="88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Disclaimer clause of the stock exchanges.</w:t>
      </w:r>
    </w:p>
    <w:p>
      <w:pPr>
        <w:spacing w:after="0" w:line="149" w:lineRule="exact"/>
        <w:rPr>
          <w:rFonts w:ascii="Times New Roman" w:cs="Times New Roman" w:eastAsia="Times New Roman" w:hAnsi="Times New Roman"/>
          <w:sz w:val="24"/>
          <w:szCs w:val="24"/>
          <w:color w:val="auto"/>
        </w:rPr>
      </w:pPr>
    </w:p>
    <w:p>
      <w:pPr>
        <w:ind w:left="800" w:hanging="512"/>
        <w:spacing w:after="0" w:line="350" w:lineRule="auto"/>
        <w:tabs>
          <w:tab w:leader="none" w:pos="800" w:val="left"/>
        </w:tabs>
        <w:numPr>
          <w:ilvl w:val="0"/>
          <w:numId w:val="88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Disclaimer clause of the Reserve Bank of India, the Insurance Regulatory and Development Authority of India or of any other relevant regulatory authority.</w:t>
      </w:r>
    </w:p>
    <w:p>
      <w:pPr>
        <w:spacing w:after="0" w:line="268"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4"/>
          <w:szCs w:val="24"/>
          <w:color w:val="auto"/>
        </w:rPr>
        <w:t>248</w:t>
      </w:r>
    </w:p>
    <w:p>
      <w:pPr>
        <w:sectPr>
          <w:pgSz w:w="11900" w:h="16836" w:orient="portrait"/>
          <w:cols w:equalWidth="0" w:num="1">
            <w:col w:w="9180"/>
          </w:cols>
          <w:pgMar w:left="1440" w:top="1156" w:right="1284" w:bottom="103" w:gutter="0" w:footer="0" w:header="0"/>
        </w:sectPr>
      </w:pPr>
    </w:p>
    <w:bookmarkStart w:id="248" w:name="page249"/>
    <w:bookmarkEnd w:id="248"/>
    <w:p>
      <w:pPr>
        <w:jc w:val="both"/>
        <w:ind w:left="800" w:hanging="512"/>
        <w:spacing w:after="0" w:line="354" w:lineRule="auto"/>
        <w:tabs>
          <w:tab w:leader="none" w:pos="800" w:val="left"/>
        </w:tabs>
        <w:numPr>
          <w:ilvl w:val="0"/>
          <w:numId w:val="88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Listing: Names of the designated stock exchange and other stock exchanges to which application has been made for listing of the specified securities offered in the present issue.</w:t>
      </w:r>
    </w:p>
    <w:p>
      <w:pPr>
        <w:spacing w:after="0" w:line="20" w:lineRule="exact"/>
        <w:rPr>
          <w:rFonts w:ascii="Times New Roman" w:cs="Times New Roman" w:eastAsia="Times New Roman" w:hAnsi="Times New Roman"/>
          <w:sz w:val="24"/>
          <w:szCs w:val="24"/>
          <w:color w:val="auto"/>
        </w:rPr>
      </w:pPr>
    </w:p>
    <w:p>
      <w:pPr>
        <w:ind w:left="800" w:hanging="512"/>
        <w:spacing w:after="0" w:line="350" w:lineRule="auto"/>
        <w:tabs>
          <w:tab w:leader="none" w:pos="800" w:val="left"/>
        </w:tabs>
        <w:numPr>
          <w:ilvl w:val="0"/>
          <w:numId w:val="88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Consent of the directors, auditors, solicitors or advocates, lead manager(s), registrar to the issue, bankers to the issuer and experts.</w:t>
      </w:r>
    </w:p>
    <w:p>
      <w:pPr>
        <w:spacing w:after="0" w:line="10" w:lineRule="exact"/>
        <w:rPr>
          <w:rFonts w:ascii="Times New Roman" w:cs="Times New Roman" w:eastAsia="Times New Roman" w:hAnsi="Times New Roman"/>
          <w:sz w:val="24"/>
          <w:szCs w:val="24"/>
          <w:color w:val="auto"/>
        </w:rPr>
      </w:pPr>
    </w:p>
    <w:p>
      <w:pPr>
        <w:ind w:left="800" w:hanging="512"/>
        <w:spacing w:after="0"/>
        <w:tabs>
          <w:tab w:leader="none" w:pos="800" w:val="left"/>
        </w:tabs>
        <w:numPr>
          <w:ilvl w:val="0"/>
          <w:numId w:val="88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Expert opinion obtained, if any.</w:t>
      </w:r>
    </w:p>
    <w:p>
      <w:pPr>
        <w:spacing w:after="0" w:line="139" w:lineRule="exact"/>
        <w:rPr>
          <w:rFonts w:ascii="Times New Roman" w:cs="Times New Roman" w:eastAsia="Times New Roman" w:hAnsi="Times New Roman"/>
          <w:sz w:val="24"/>
          <w:szCs w:val="24"/>
          <w:color w:val="auto"/>
        </w:rPr>
      </w:pPr>
    </w:p>
    <w:p>
      <w:pPr>
        <w:ind w:left="800" w:hanging="512"/>
        <w:spacing w:after="0"/>
        <w:tabs>
          <w:tab w:leader="none" w:pos="800" w:val="left"/>
        </w:tabs>
        <w:numPr>
          <w:ilvl w:val="0"/>
          <w:numId w:val="88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Previous public or rights issues, if any, during the last five years:</w:t>
      </w:r>
    </w:p>
    <w:p>
      <w:pPr>
        <w:spacing w:after="0" w:line="136" w:lineRule="exact"/>
        <w:rPr>
          <w:rFonts w:ascii="Times New Roman" w:cs="Times New Roman" w:eastAsia="Times New Roman" w:hAnsi="Times New Roman"/>
          <w:sz w:val="24"/>
          <w:szCs w:val="24"/>
          <w:color w:val="auto"/>
        </w:rPr>
      </w:pPr>
    </w:p>
    <w:p>
      <w:pPr>
        <w:ind w:left="1360" w:hanging="568"/>
        <w:spacing w:after="0"/>
        <w:tabs>
          <w:tab w:leader="none" w:pos="1360" w:val="left"/>
        </w:tabs>
        <w:numPr>
          <w:ilvl w:val="1"/>
          <w:numId w:val="88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Closing date.</w:t>
      </w:r>
    </w:p>
    <w:p>
      <w:pPr>
        <w:spacing w:after="0" w:line="139" w:lineRule="exact"/>
        <w:rPr>
          <w:rFonts w:ascii="Times New Roman" w:cs="Times New Roman" w:eastAsia="Times New Roman" w:hAnsi="Times New Roman"/>
          <w:sz w:val="24"/>
          <w:szCs w:val="24"/>
          <w:color w:val="auto"/>
        </w:rPr>
      </w:pPr>
    </w:p>
    <w:p>
      <w:pPr>
        <w:ind w:left="1360" w:hanging="568"/>
        <w:spacing w:after="0"/>
        <w:tabs>
          <w:tab w:leader="none" w:pos="1360" w:val="left"/>
        </w:tabs>
        <w:numPr>
          <w:ilvl w:val="1"/>
          <w:numId w:val="88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Date of allotment.</w:t>
      </w:r>
    </w:p>
    <w:p>
      <w:pPr>
        <w:spacing w:after="0" w:line="136" w:lineRule="exact"/>
        <w:rPr>
          <w:rFonts w:ascii="Times New Roman" w:cs="Times New Roman" w:eastAsia="Times New Roman" w:hAnsi="Times New Roman"/>
          <w:sz w:val="24"/>
          <w:szCs w:val="24"/>
          <w:color w:val="auto"/>
        </w:rPr>
      </w:pPr>
    </w:p>
    <w:p>
      <w:pPr>
        <w:ind w:left="1360" w:hanging="568"/>
        <w:spacing w:after="0"/>
        <w:tabs>
          <w:tab w:leader="none" w:pos="1360" w:val="left"/>
        </w:tabs>
        <w:numPr>
          <w:ilvl w:val="1"/>
          <w:numId w:val="88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Date of refunds.</w:t>
      </w:r>
    </w:p>
    <w:p>
      <w:pPr>
        <w:spacing w:after="0" w:line="139" w:lineRule="exact"/>
        <w:rPr>
          <w:rFonts w:ascii="Times New Roman" w:cs="Times New Roman" w:eastAsia="Times New Roman" w:hAnsi="Times New Roman"/>
          <w:sz w:val="24"/>
          <w:szCs w:val="24"/>
          <w:color w:val="auto"/>
        </w:rPr>
      </w:pPr>
    </w:p>
    <w:p>
      <w:pPr>
        <w:ind w:left="1360" w:hanging="568"/>
        <w:spacing w:after="0"/>
        <w:tabs>
          <w:tab w:leader="none" w:pos="1360" w:val="left"/>
        </w:tabs>
        <w:numPr>
          <w:ilvl w:val="1"/>
          <w:numId w:val="88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Date of listing on the stock exchange(s).</w:t>
      </w:r>
    </w:p>
    <w:p>
      <w:pPr>
        <w:spacing w:after="0" w:line="136" w:lineRule="exact"/>
        <w:rPr>
          <w:rFonts w:ascii="Times New Roman" w:cs="Times New Roman" w:eastAsia="Times New Roman" w:hAnsi="Times New Roman"/>
          <w:sz w:val="24"/>
          <w:szCs w:val="24"/>
          <w:color w:val="auto"/>
        </w:rPr>
      </w:pPr>
    </w:p>
    <w:p>
      <w:pPr>
        <w:ind w:left="1360" w:hanging="568"/>
        <w:spacing w:after="0"/>
        <w:tabs>
          <w:tab w:leader="none" w:pos="1360" w:val="left"/>
        </w:tabs>
        <w:numPr>
          <w:ilvl w:val="1"/>
          <w:numId w:val="88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issue(s) was at premium or discount, the amount thereof.</w:t>
      </w:r>
    </w:p>
    <w:p>
      <w:pPr>
        <w:spacing w:after="0" w:line="139" w:lineRule="exact"/>
        <w:rPr>
          <w:rFonts w:ascii="Times New Roman" w:cs="Times New Roman" w:eastAsia="Times New Roman" w:hAnsi="Times New Roman"/>
          <w:sz w:val="24"/>
          <w:szCs w:val="24"/>
          <w:color w:val="auto"/>
        </w:rPr>
      </w:pPr>
    </w:p>
    <w:p>
      <w:pPr>
        <w:ind w:left="800" w:hanging="512"/>
        <w:spacing w:after="0"/>
        <w:tabs>
          <w:tab w:leader="none" w:pos="800" w:val="left"/>
        </w:tabs>
        <w:numPr>
          <w:ilvl w:val="0"/>
          <w:numId w:val="88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Commission or brokerage on previous issues in last five years.</w:t>
      </w:r>
    </w:p>
    <w:p>
      <w:pPr>
        <w:spacing w:after="0" w:line="149" w:lineRule="exact"/>
        <w:rPr>
          <w:rFonts w:ascii="Times New Roman" w:cs="Times New Roman" w:eastAsia="Times New Roman" w:hAnsi="Times New Roman"/>
          <w:sz w:val="24"/>
          <w:szCs w:val="24"/>
          <w:color w:val="auto"/>
        </w:rPr>
      </w:pPr>
    </w:p>
    <w:p>
      <w:pPr>
        <w:jc w:val="both"/>
        <w:ind w:left="800" w:hanging="512"/>
        <w:spacing w:after="0" w:line="354" w:lineRule="auto"/>
        <w:tabs>
          <w:tab w:leader="none" w:pos="800" w:val="left"/>
        </w:tabs>
        <w:numPr>
          <w:ilvl w:val="0"/>
          <w:numId w:val="88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Following particulars in regard to the issuer and other listed group companies/subsidiaries/associates which made any capital issue during the last three years shall be given:</w:t>
      </w:r>
    </w:p>
    <w:p>
      <w:pPr>
        <w:spacing w:after="0" w:line="10" w:lineRule="exact"/>
        <w:rPr>
          <w:rFonts w:ascii="Times New Roman" w:cs="Times New Roman" w:eastAsia="Times New Roman" w:hAnsi="Times New Roman"/>
          <w:sz w:val="24"/>
          <w:szCs w:val="24"/>
          <w:color w:val="auto"/>
        </w:rPr>
      </w:pPr>
    </w:p>
    <w:p>
      <w:pPr>
        <w:ind w:left="1140" w:hanging="348"/>
        <w:spacing w:after="0"/>
        <w:tabs>
          <w:tab w:leader="none" w:pos="1140" w:val="left"/>
        </w:tabs>
        <w:numPr>
          <w:ilvl w:val="1"/>
          <w:numId w:val="88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 of the Company.</w:t>
      </w:r>
    </w:p>
    <w:p>
      <w:pPr>
        <w:spacing w:after="0" w:line="136" w:lineRule="exact"/>
        <w:rPr>
          <w:rFonts w:ascii="Times New Roman" w:cs="Times New Roman" w:eastAsia="Times New Roman" w:hAnsi="Times New Roman"/>
          <w:sz w:val="24"/>
          <w:szCs w:val="24"/>
          <w:color w:val="auto"/>
        </w:rPr>
      </w:pPr>
    </w:p>
    <w:p>
      <w:pPr>
        <w:ind w:left="1140" w:hanging="348"/>
        <w:spacing w:after="0"/>
        <w:tabs>
          <w:tab w:leader="none" w:pos="1140" w:val="left"/>
        </w:tabs>
        <w:numPr>
          <w:ilvl w:val="1"/>
          <w:numId w:val="88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Year of Issue.</w:t>
      </w:r>
    </w:p>
    <w:p>
      <w:pPr>
        <w:spacing w:after="0" w:line="139" w:lineRule="exact"/>
        <w:rPr>
          <w:rFonts w:ascii="Times New Roman" w:cs="Times New Roman" w:eastAsia="Times New Roman" w:hAnsi="Times New Roman"/>
          <w:sz w:val="24"/>
          <w:szCs w:val="24"/>
          <w:color w:val="auto"/>
        </w:rPr>
      </w:pPr>
    </w:p>
    <w:p>
      <w:pPr>
        <w:ind w:left="1140" w:hanging="348"/>
        <w:spacing w:after="0"/>
        <w:tabs>
          <w:tab w:leader="none" w:pos="1140" w:val="left"/>
        </w:tabs>
        <w:numPr>
          <w:ilvl w:val="1"/>
          <w:numId w:val="88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Type of Issue (public/rights/composite).</w:t>
      </w:r>
    </w:p>
    <w:p>
      <w:pPr>
        <w:spacing w:after="0" w:line="136" w:lineRule="exact"/>
        <w:rPr>
          <w:rFonts w:ascii="Times New Roman" w:cs="Times New Roman" w:eastAsia="Times New Roman" w:hAnsi="Times New Roman"/>
          <w:sz w:val="24"/>
          <w:szCs w:val="24"/>
          <w:color w:val="auto"/>
        </w:rPr>
      </w:pPr>
    </w:p>
    <w:p>
      <w:pPr>
        <w:ind w:left="1140" w:hanging="348"/>
        <w:spacing w:after="0"/>
        <w:tabs>
          <w:tab w:leader="none" w:pos="1140" w:val="left"/>
        </w:tabs>
        <w:numPr>
          <w:ilvl w:val="1"/>
          <w:numId w:val="88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Amount of issue.</w:t>
      </w:r>
    </w:p>
    <w:p>
      <w:pPr>
        <w:spacing w:after="0" w:line="139" w:lineRule="exact"/>
        <w:rPr>
          <w:rFonts w:ascii="Times New Roman" w:cs="Times New Roman" w:eastAsia="Times New Roman" w:hAnsi="Times New Roman"/>
          <w:sz w:val="24"/>
          <w:szCs w:val="24"/>
          <w:color w:val="auto"/>
        </w:rPr>
      </w:pPr>
    </w:p>
    <w:p>
      <w:pPr>
        <w:ind w:left="1140" w:hanging="348"/>
        <w:spacing w:after="0"/>
        <w:tabs>
          <w:tab w:leader="none" w:pos="1140" w:val="left"/>
        </w:tabs>
        <w:numPr>
          <w:ilvl w:val="1"/>
          <w:numId w:val="88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Date of closure of issue.</w:t>
      </w:r>
    </w:p>
    <w:p>
      <w:pPr>
        <w:spacing w:after="0" w:line="136" w:lineRule="exact"/>
        <w:rPr>
          <w:rFonts w:ascii="Times New Roman" w:cs="Times New Roman" w:eastAsia="Times New Roman" w:hAnsi="Times New Roman"/>
          <w:sz w:val="24"/>
          <w:szCs w:val="24"/>
          <w:color w:val="auto"/>
        </w:rPr>
      </w:pPr>
    </w:p>
    <w:p>
      <w:pPr>
        <w:ind w:left="1140" w:hanging="348"/>
        <w:spacing w:after="0"/>
        <w:tabs>
          <w:tab w:leader="none" w:pos="1140" w:val="left"/>
        </w:tabs>
        <w:numPr>
          <w:ilvl w:val="1"/>
          <w:numId w:val="88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Date of allotment and date of credit of securities to the demat account.</w:t>
      </w:r>
    </w:p>
    <w:p>
      <w:pPr>
        <w:spacing w:after="0" w:line="151" w:lineRule="exact"/>
        <w:rPr>
          <w:rFonts w:ascii="Times New Roman" w:cs="Times New Roman" w:eastAsia="Times New Roman" w:hAnsi="Times New Roman"/>
          <w:sz w:val="24"/>
          <w:szCs w:val="24"/>
          <w:color w:val="auto"/>
        </w:rPr>
      </w:pPr>
    </w:p>
    <w:p>
      <w:pPr>
        <w:ind w:left="800" w:right="600" w:hanging="8"/>
        <w:spacing w:after="0" w:line="348" w:lineRule="auto"/>
        <w:tabs>
          <w:tab w:leader="none" w:pos="1138" w:val="left"/>
        </w:tabs>
        <w:numPr>
          <w:ilvl w:val="1"/>
          <w:numId w:val="88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Date of completion of the project, where object of the issue was financing the project.</w:t>
      </w:r>
    </w:p>
    <w:p>
      <w:pPr>
        <w:spacing w:after="0" w:line="16" w:lineRule="exact"/>
        <w:rPr>
          <w:rFonts w:ascii="Times New Roman" w:cs="Times New Roman" w:eastAsia="Times New Roman" w:hAnsi="Times New Roman"/>
          <w:sz w:val="24"/>
          <w:szCs w:val="24"/>
          <w:color w:val="auto"/>
        </w:rPr>
      </w:pPr>
    </w:p>
    <w:p>
      <w:pPr>
        <w:ind w:left="1140" w:hanging="348"/>
        <w:spacing w:after="0"/>
        <w:tabs>
          <w:tab w:leader="none" w:pos="1140" w:val="left"/>
        </w:tabs>
        <w:numPr>
          <w:ilvl w:val="1"/>
          <w:numId w:val="88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Rate of dividend paid.</w:t>
      </w:r>
    </w:p>
    <w:p>
      <w:pPr>
        <w:spacing w:after="0" w:line="136" w:lineRule="exact"/>
        <w:rPr>
          <w:rFonts w:ascii="Times New Roman" w:cs="Times New Roman" w:eastAsia="Times New Roman" w:hAnsi="Times New Roman"/>
          <w:sz w:val="24"/>
          <w:szCs w:val="24"/>
          <w:color w:val="auto"/>
        </w:rPr>
      </w:pPr>
    </w:p>
    <w:p>
      <w:pPr>
        <w:ind w:left="800" w:hanging="512"/>
        <w:spacing w:after="0"/>
        <w:tabs>
          <w:tab w:leader="none" w:pos="800" w:val="left"/>
        </w:tabs>
        <w:numPr>
          <w:ilvl w:val="0"/>
          <w:numId w:val="88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Performance vis-à-vis objects:</w:t>
      </w:r>
    </w:p>
    <w:p>
      <w:pPr>
        <w:spacing w:after="0" w:line="139" w:lineRule="exact"/>
        <w:rPr>
          <w:rFonts w:ascii="Times New Roman" w:cs="Times New Roman" w:eastAsia="Times New Roman" w:hAnsi="Times New Roman"/>
          <w:sz w:val="24"/>
          <w:szCs w:val="24"/>
          <w:color w:val="auto"/>
        </w:rPr>
      </w:pPr>
    </w:p>
    <w:p>
      <w:pPr>
        <w:ind w:left="1360" w:hanging="568"/>
        <w:spacing w:after="0"/>
        <w:tabs>
          <w:tab w:leader="none" w:pos="1360" w:val="left"/>
        </w:tabs>
        <w:numPr>
          <w:ilvl w:val="1"/>
          <w:numId w:val="88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Issuer:</w:t>
      </w:r>
    </w:p>
    <w:p>
      <w:pPr>
        <w:spacing w:after="0" w:line="149" w:lineRule="exact"/>
        <w:rPr>
          <w:rFonts w:ascii="Times New Roman" w:cs="Times New Roman" w:eastAsia="Times New Roman" w:hAnsi="Times New Roman"/>
          <w:sz w:val="24"/>
          <w:szCs w:val="24"/>
          <w:color w:val="auto"/>
        </w:rPr>
      </w:pPr>
    </w:p>
    <w:p>
      <w:pPr>
        <w:ind w:left="1940" w:hanging="572"/>
        <w:spacing w:after="0" w:line="344" w:lineRule="auto"/>
        <w:tabs>
          <w:tab w:leader="none" w:pos="1940" w:val="left"/>
        </w:tabs>
        <w:numPr>
          <w:ilvl w:val="2"/>
          <w:numId w:val="882"/>
        </w:numPr>
        <w:rPr>
          <w:rFonts w:ascii="Calibri" w:cs="Calibri" w:eastAsia="Calibri" w:hAnsi="Calibri"/>
          <w:sz w:val="22"/>
          <w:szCs w:val="22"/>
          <w:color w:val="auto"/>
        </w:rPr>
      </w:pPr>
      <w:r>
        <w:rPr>
          <w:rFonts w:ascii="Times New Roman" w:cs="Times New Roman" w:eastAsia="Times New Roman" w:hAnsi="Times New Roman"/>
          <w:sz w:val="24"/>
          <w:szCs w:val="24"/>
          <w:color w:val="auto"/>
        </w:rPr>
        <w:t>A list of all the public/rights issues made during the preceding five years, along with the year of issue.</w:t>
      </w:r>
    </w:p>
    <w:p>
      <w:pPr>
        <w:spacing w:after="0" w:line="26" w:lineRule="exact"/>
        <w:rPr>
          <w:rFonts w:ascii="Calibri" w:cs="Calibri" w:eastAsia="Calibri" w:hAnsi="Calibri"/>
          <w:sz w:val="22"/>
          <w:szCs w:val="22"/>
          <w:color w:val="auto"/>
        </w:rPr>
      </w:pPr>
    </w:p>
    <w:p>
      <w:pPr>
        <w:ind w:left="1940" w:hanging="572"/>
        <w:spacing w:after="0" w:line="344" w:lineRule="auto"/>
        <w:tabs>
          <w:tab w:leader="none" w:pos="1940" w:val="left"/>
        </w:tabs>
        <w:numPr>
          <w:ilvl w:val="2"/>
          <w:numId w:val="882"/>
        </w:numPr>
        <w:rPr>
          <w:rFonts w:ascii="Calibri" w:cs="Calibri" w:eastAsia="Calibri" w:hAnsi="Calibri"/>
          <w:sz w:val="22"/>
          <w:szCs w:val="22"/>
          <w:color w:val="auto"/>
        </w:rPr>
      </w:pPr>
      <w:r>
        <w:rPr>
          <w:rFonts w:ascii="Times New Roman" w:cs="Times New Roman" w:eastAsia="Times New Roman" w:hAnsi="Times New Roman"/>
          <w:sz w:val="24"/>
          <w:szCs w:val="24"/>
          <w:color w:val="auto"/>
        </w:rPr>
        <w:t>Details of non-achievement of objects, with quantification of shortfall and delays for such public/rights issues.</w:t>
      </w:r>
    </w:p>
    <w:p>
      <w:pPr>
        <w:spacing w:after="0" w:line="14" w:lineRule="exact"/>
        <w:rPr>
          <w:rFonts w:ascii="Calibri" w:cs="Calibri" w:eastAsia="Calibri" w:hAnsi="Calibri"/>
          <w:sz w:val="22"/>
          <w:szCs w:val="22"/>
          <w:color w:val="auto"/>
        </w:rPr>
      </w:pPr>
    </w:p>
    <w:p>
      <w:pPr>
        <w:ind w:left="1360" w:hanging="568"/>
        <w:spacing w:after="0"/>
        <w:tabs>
          <w:tab w:leader="none" w:pos="1360" w:val="left"/>
        </w:tabs>
        <w:numPr>
          <w:ilvl w:val="1"/>
          <w:numId w:val="88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Listed Subsidiaries/Listed Promoters:</w:t>
      </w:r>
    </w:p>
    <w:p>
      <w:pPr>
        <w:spacing w:after="0" w:line="151" w:lineRule="exact"/>
        <w:rPr>
          <w:rFonts w:ascii="Times New Roman" w:cs="Times New Roman" w:eastAsia="Times New Roman" w:hAnsi="Times New Roman"/>
          <w:sz w:val="24"/>
          <w:szCs w:val="24"/>
          <w:color w:val="auto"/>
        </w:rPr>
      </w:pPr>
    </w:p>
    <w:p>
      <w:pPr>
        <w:jc w:val="both"/>
        <w:ind w:left="1940" w:hanging="572"/>
        <w:spacing w:after="0" w:line="348" w:lineRule="auto"/>
        <w:tabs>
          <w:tab w:leader="none" w:pos="1940" w:val="left"/>
        </w:tabs>
        <w:numPr>
          <w:ilvl w:val="2"/>
          <w:numId w:val="88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separate paragraph entitled "Performance vis-à-vis objects - Last one public/rights issue of subsidiaries/Listed Promoters ", indicating whether</w:t>
      </w: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4"/>
          <w:szCs w:val="24"/>
          <w:color w:val="auto"/>
        </w:rPr>
        <w:t>249</w:t>
      </w:r>
    </w:p>
    <w:p>
      <w:pPr>
        <w:sectPr>
          <w:pgSz w:w="11900" w:h="16836" w:orient="portrait"/>
          <w:cols w:equalWidth="0" w:num="1">
            <w:col w:w="9180"/>
          </w:cols>
          <w:pgMar w:left="1440" w:top="1156" w:right="1284" w:bottom="103" w:gutter="0" w:footer="0" w:header="0"/>
        </w:sectPr>
      </w:pPr>
    </w:p>
    <w:bookmarkStart w:id="249" w:name="page250"/>
    <w:bookmarkEnd w:id="249"/>
    <w:p>
      <w:pPr>
        <w:ind w:left="2228"/>
        <w:spacing w:after="0" w:line="348" w:lineRule="auto"/>
        <w:rPr>
          <w:sz w:val="20"/>
          <w:szCs w:val="20"/>
          <w:color w:val="auto"/>
        </w:rPr>
      </w:pPr>
      <w:r>
        <w:rPr>
          <w:rFonts w:ascii="Times New Roman" w:cs="Times New Roman" w:eastAsia="Times New Roman" w:hAnsi="Times New Roman"/>
          <w:sz w:val="24"/>
          <w:szCs w:val="24"/>
          <w:color w:val="auto"/>
        </w:rPr>
        <w:t>all the objects mentioned in the offer document of the last one issue of each of such companies during the preceding five years were met.</w:t>
      </w:r>
    </w:p>
    <w:p>
      <w:pPr>
        <w:spacing w:after="0" w:line="28" w:lineRule="exact"/>
        <w:rPr>
          <w:sz w:val="20"/>
          <w:szCs w:val="20"/>
          <w:color w:val="auto"/>
        </w:rPr>
      </w:pPr>
    </w:p>
    <w:p>
      <w:pPr>
        <w:ind w:left="2228" w:hanging="572"/>
        <w:spacing w:after="0" w:line="348" w:lineRule="auto"/>
        <w:tabs>
          <w:tab w:leader="none" w:pos="2228" w:val="left"/>
        </w:tabs>
        <w:numPr>
          <w:ilvl w:val="1"/>
          <w:numId w:val="88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not, details of non-achievement of objects, with quantification of shortfall and delays.</w:t>
      </w:r>
    </w:p>
    <w:p>
      <w:pPr>
        <w:spacing w:after="0" w:line="27" w:lineRule="exact"/>
        <w:rPr>
          <w:rFonts w:ascii="Times New Roman" w:cs="Times New Roman" w:eastAsia="Times New Roman" w:hAnsi="Times New Roman"/>
          <w:sz w:val="24"/>
          <w:szCs w:val="24"/>
          <w:color w:val="auto"/>
        </w:rPr>
      </w:pPr>
    </w:p>
    <w:p>
      <w:pPr>
        <w:ind w:left="1088" w:hanging="512"/>
        <w:spacing w:after="0" w:line="348" w:lineRule="auto"/>
        <w:tabs>
          <w:tab w:leader="none" w:pos="1148" w:val="left"/>
        </w:tabs>
        <w:numPr>
          <w:ilvl w:val="0"/>
          <w:numId w:val="88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Price information of past issues handled by the lead manager(s) in the format given below: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276860</wp:posOffset>
            </wp:positionV>
            <wp:extent cx="5944870" cy="360235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9">
                      <a:extLst>
                        <a:ext uri="{28A0092B-C50C-407E-A947-70E740481C1C}"/>
                      </a:extLst>
                    </a:blip>
                    <a:srcRect/>
                    <a:stretch>
                      <a:fillRect/>
                    </a:stretch>
                  </pic:blipFill>
                  <pic:spPr bwMode="auto">
                    <a:xfrm>
                      <a:off x="0" y="0"/>
                      <a:ext cx="5944870" cy="36023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ind w:left="88" w:firstLine="4"/>
        <w:spacing w:after="0" w:line="285" w:lineRule="auto"/>
        <w:tabs>
          <w:tab w:leader="none" w:pos="471" w:val="left"/>
        </w:tabs>
        <w:numPr>
          <w:ilvl w:val="0"/>
          <w:numId w:val="88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the 30</w:t>
      </w:r>
      <w:r>
        <w:rPr>
          <w:rFonts w:ascii="Times New Roman" w:cs="Times New Roman" w:eastAsia="Times New Roman" w:hAnsi="Times New Roman"/>
          <w:sz w:val="32"/>
          <w:szCs w:val="32"/>
          <w:color w:val="auto"/>
          <w:vertAlign w:val="superscript"/>
        </w:rPr>
        <w:t>th</w:t>
      </w:r>
      <w:r>
        <w:rPr>
          <w:rFonts w:ascii="Times New Roman" w:cs="Times New Roman" w:eastAsia="Times New Roman" w:hAnsi="Times New Roman"/>
          <w:sz w:val="24"/>
          <w:szCs w:val="24"/>
          <w:color w:val="auto"/>
        </w:rPr>
        <w:t>/60</w:t>
      </w:r>
      <w:r>
        <w:rPr>
          <w:rFonts w:ascii="Times New Roman" w:cs="Times New Roman" w:eastAsia="Times New Roman" w:hAnsi="Times New Roman"/>
          <w:sz w:val="32"/>
          <w:szCs w:val="32"/>
          <w:color w:val="auto"/>
          <w:vertAlign w:val="superscript"/>
        </w:rPr>
        <w:t>th</w:t>
      </w:r>
      <w:r>
        <w:rPr>
          <w:rFonts w:ascii="Times New Roman" w:cs="Times New Roman" w:eastAsia="Times New Roman" w:hAnsi="Times New Roman"/>
          <w:sz w:val="24"/>
          <w:szCs w:val="24"/>
          <w:color w:val="auto"/>
        </w:rPr>
        <w:t>/90</w:t>
      </w:r>
      <w:r>
        <w:rPr>
          <w:rFonts w:ascii="Times New Roman" w:cs="Times New Roman" w:eastAsia="Times New Roman" w:hAnsi="Times New Roman"/>
          <w:sz w:val="32"/>
          <w:szCs w:val="32"/>
          <w:color w:val="auto"/>
          <w:vertAlign w:val="superscript"/>
        </w:rPr>
        <w:t>th</w:t>
      </w:r>
      <w:r>
        <w:rPr>
          <w:rFonts w:ascii="Times New Roman" w:cs="Times New Roman" w:eastAsia="Times New Roman" w:hAnsi="Times New Roman"/>
          <w:sz w:val="24"/>
          <w:szCs w:val="24"/>
          <w:color w:val="auto"/>
        </w:rPr>
        <w:t xml:space="preserve"> calendar day is a holiday, data from previous trading day to be considered.</w:t>
      </w:r>
    </w:p>
    <w:p>
      <w:pPr>
        <w:spacing w:after="0" w:line="200" w:lineRule="exact"/>
        <w:rPr>
          <w:sz w:val="20"/>
          <w:szCs w:val="20"/>
          <w:color w:val="auto"/>
        </w:rPr>
      </w:pPr>
    </w:p>
    <w:p>
      <w:pPr>
        <w:spacing w:after="0" w:line="301" w:lineRule="exact"/>
        <w:rPr>
          <w:sz w:val="20"/>
          <w:szCs w:val="20"/>
          <w:color w:val="auto"/>
        </w:rPr>
      </w:pPr>
    </w:p>
    <w:p>
      <w:pPr>
        <w:ind w:left="508" w:right="3040" w:hanging="508"/>
        <w:spacing w:after="0" w:line="346" w:lineRule="auto"/>
        <w:tabs>
          <w:tab w:leader="none" w:pos="508" w:val="left"/>
        </w:tabs>
        <w:numPr>
          <w:ilvl w:val="0"/>
          <w:numId w:val="88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Stock market data for equity shares of the issuer, if listed: </w:t>
      </w:r>
      <w:r>
        <w:rPr>
          <w:rFonts w:ascii="Times New Roman" w:cs="Times New Roman" w:eastAsia="Times New Roman" w:hAnsi="Times New Roman"/>
          <w:sz w:val="24"/>
          <w:szCs w:val="24"/>
          <w:color w:val="auto"/>
        </w:rPr>
        <w:t>Particulars of:</w:t>
      </w:r>
    </w:p>
    <w:p>
      <w:pPr>
        <w:spacing w:after="0" w:line="27" w:lineRule="exact"/>
        <w:rPr>
          <w:rFonts w:ascii="Times New Roman" w:cs="Times New Roman" w:eastAsia="Times New Roman" w:hAnsi="Times New Roman"/>
          <w:sz w:val="24"/>
          <w:szCs w:val="24"/>
          <w:color w:val="auto"/>
        </w:rPr>
      </w:pPr>
    </w:p>
    <w:p>
      <w:pPr>
        <w:ind w:left="1648" w:hanging="568"/>
        <w:spacing w:after="0" w:line="350" w:lineRule="auto"/>
        <w:tabs>
          <w:tab w:leader="none" w:pos="1648" w:val="left"/>
        </w:tabs>
        <w:numPr>
          <w:ilvl w:val="1"/>
          <w:numId w:val="88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high, low and average market prices of the equity shares of the issuer during the preceding three years;</w:t>
      </w:r>
    </w:p>
    <w:p>
      <w:pPr>
        <w:spacing w:after="0" w:line="23" w:lineRule="exact"/>
        <w:rPr>
          <w:rFonts w:ascii="Times New Roman" w:cs="Times New Roman" w:eastAsia="Times New Roman" w:hAnsi="Times New Roman"/>
          <w:sz w:val="24"/>
          <w:szCs w:val="24"/>
          <w:color w:val="auto"/>
        </w:rPr>
      </w:pPr>
    </w:p>
    <w:p>
      <w:pPr>
        <w:jc w:val="both"/>
        <w:ind w:left="1648" w:hanging="568"/>
        <w:spacing w:after="0" w:line="354" w:lineRule="auto"/>
        <w:tabs>
          <w:tab w:leader="none" w:pos="1648" w:val="left"/>
        </w:tabs>
        <w:numPr>
          <w:ilvl w:val="1"/>
          <w:numId w:val="88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monthly high and low prices for the six months preceding the date of filing the draft offer document with the Board which shall be updated till the time of filing the offer document with the Registrar of Companies;</w:t>
      </w:r>
    </w:p>
    <w:p>
      <w:pPr>
        <w:spacing w:after="0" w:line="22" w:lineRule="exact"/>
        <w:rPr>
          <w:rFonts w:ascii="Times New Roman" w:cs="Times New Roman" w:eastAsia="Times New Roman" w:hAnsi="Times New Roman"/>
          <w:sz w:val="24"/>
          <w:szCs w:val="24"/>
          <w:color w:val="auto"/>
        </w:rPr>
      </w:pPr>
    </w:p>
    <w:p>
      <w:pPr>
        <w:jc w:val="both"/>
        <w:ind w:left="1648" w:hanging="568"/>
        <w:spacing w:after="0" w:line="354" w:lineRule="auto"/>
        <w:tabs>
          <w:tab w:leader="none" w:pos="1648" w:val="left"/>
        </w:tabs>
        <w:numPr>
          <w:ilvl w:val="1"/>
          <w:numId w:val="88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number of shares traded on the days when high and low prices were recorded in the relevant stock exchange(s) during the said period of (a) and (b) above and indicating the total number of days of trading during the preceding six months</w:t>
      </w: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250</w:t>
      </w:r>
    </w:p>
    <w:p>
      <w:pPr>
        <w:sectPr>
          <w:pgSz w:w="11900" w:h="16836" w:orient="portrait"/>
          <w:cols w:equalWidth="0" w:num="1">
            <w:col w:w="9468"/>
          </w:cols>
          <w:pgMar w:left="1152" w:top="1156" w:right="1284" w:bottom="103" w:gutter="0" w:footer="0" w:header="0"/>
        </w:sectPr>
      </w:pPr>
    </w:p>
    <w:bookmarkStart w:id="250" w:name="page251"/>
    <w:bookmarkEnd w:id="250"/>
    <w:p>
      <w:pPr>
        <w:ind w:left="1648"/>
        <w:spacing w:after="0" w:line="348" w:lineRule="auto"/>
        <w:rPr>
          <w:sz w:val="20"/>
          <w:szCs w:val="20"/>
          <w:color w:val="auto"/>
        </w:rPr>
      </w:pPr>
      <w:r>
        <w:rPr>
          <w:rFonts w:ascii="Times New Roman" w:cs="Times New Roman" w:eastAsia="Times New Roman" w:hAnsi="Times New Roman"/>
          <w:sz w:val="24"/>
          <w:szCs w:val="24"/>
          <w:color w:val="auto"/>
        </w:rPr>
        <w:t>and the average volume of equity shares traded during that period and a statement if the equity shares were not actively traded;</w:t>
      </w:r>
    </w:p>
    <w:p>
      <w:pPr>
        <w:spacing w:after="0" w:line="28" w:lineRule="exact"/>
        <w:rPr>
          <w:sz w:val="20"/>
          <w:szCs w:val="20"/>
          <w:color w:val="auto"/>
        </w:rPr>
      </w:pPr>
    </w:p>
    <w:p>
      <w:pPr>
        <w:jc w:val="both"/>
        <w:ind w:left="1648" w:hanging="568"/>
        <w:spacing w:after="0" w:line="356" w:lineRule="auto"/>
        <w:tabs>
          <w:tab w:leader="none" w:pos="1648" w:val="left"/>
        </w:tabs>
        <w:numPr>
          <w:ilvl w:val="2"/>
          <w:numId w:val="88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stock market data referred to above shall be shown separately for periods marked by a change in capital structure, with such period commencing from the date the relevant stock exchange recognises the change in the capital structure (e.g. when the shares have become ex-rights or ex-bonus);</w:t>
      </w:r>
    </w:p>
    <w:p>
      <w:pPr>
        <w:spacing w:after="0" w:line="18" w:lineRule="exact"/>
        <w:rPr>
          <w:rFonts w:ascii="Times New Roman" w:cs="Times New Roman" w:eastAsia="Times New Roman" w:hAnsi="Times New Roman"/>
          <w:sz w:val="24"/>
          <w:szCs w:val="24"/>
          <w:color w:val="auto"/>
        </w:rPr>
      </w:pPr>
    </w:p>
    <w:p>
      <w:pPr>
        <w:ind w:left="1648" w:hanging="568"/>
        <w:spacing w:after="0" w:line="348" w:lineRule="auto"/>
        <w:tabs>
          <w:tab w:leader="none" w:pos="1648" w:val="left"/>
        </w:tabs>
        <w:numPr>
          <w:ilvl w:val="2"/>
          <w:numId w:val="88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market price of equity shares immediately after the date on which the resolution of the board of directors approving the issue;</w:t>
      </w:r>
    </w:p>
    <w:p>
      <w:pPr>
        <w:spacing w:after="0" w:line="28" w:lineRule="exact"/>
        <w:rPr>
          <w:rFonts w:ascii="Times New Roman" w:cs="Times New Roman" w:eastAsia="Times New Roman" w:hAnsi="Times New Roman"/>
          <w:sz w:val="24"/>
          <w:szCs w:val="24"/>
          <w:color w:val="auto"/>
        </w:rPr>
      </w:pPr>
    </w:p>
    <w:p>
      <w:pPr>
        <w:ind w:left="1648" w:hanging="568"/>
        <w:spacing w:after="0" w:line="348" w:lineRule="auto"/>
        <w:tabs>
          <w:tab w:leader="none" w:pos="1648" w:val="left"/>
        </w:tabs>
        <w:numPr>
          <w:ilvl w:val="2"/>
          <w:numId w:val="88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volume of securities traded in each month during the six months preceding the date on which the offer document is filed with the Registrar of Companies; and</w:t>
      </w:r>
    </w:p>
    <w:p>
      <w:pPr>
        <w:spacing w:after="0" w:line="27" w:lineRule="exact"/>
        <w:rPr>
          <w:rFonts w:ascii="Times New Roman" w:cs="Times New Roman" w:eastAsia="Times New Roman" w:hAnsi="Times New Roman"/>
          <w:sz w:val="24"/>
          <w:szCs w:val="24"/>
          <w:color w:val="auto"/>
        </w:rPr>
      </w:pPr>
    </w:p>
    <w:p>
      <w:pPr>
        <w:ind w:left="1648" w:hanging="568"/>
        <w:spacing w:after="0" w:line="348" w:lineRule="auto"/>
        <w:tabs>
          <w:tab w:leader="none" w:pos="1648" w:val="left"/>
        </w:tabs>
        <w:numPr>
          <w:ilvl w:val="2"/>
          <w:numId w:val="88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volume of shares traded along with high, low and average prices of shares of the issuer shall also be stated for respective periods.</w:t>
      </w:r>
    </w:p>
    <w:p>
      <w:pPr>
        <w:spacing w:after="0" w:line="27" w:lineRule="exact"/>
        <w:rPr>
          <w:rFonts w:ascii="Times New Roman" w:cs="Times New Roman" w:eastAsia="Times New Roman" w:hAnsi="Times New Roman"/>
          <w:sz w:val="24"/>
          <w:szCs w:val="24"/>
          <w:color w:val="auto"/>
        </w:rPr>
      </w:pPr>
    </w:p>
    <w:p>
      <w:pPr>
        <w:jc w:val="both"/>
        <w:ind w:left="1648"/>
        <w:spacing w:after="0" w:line="356"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i w:val="1"/>
          <w:iCs w:val="1"/>
          <w:color w:val="auto"/>
        </w:rPr>
        <w:t>Explanation</w:t>
      </w:r>
      <w:r>
        <w:rPr>
          <w:rFonts w:ascii="Times New Roman" w:cs="Times New Roman" w:eastAsia="Times New Roman" w:hAnsi="Times New Roman"/>
          <w:sz w:val="24"/>
          <w:szCs w:val="24"/>
          <w:color w:val="auto"/>
        </w:rPr>
        <w:t>: If the equity shares of the issuer are listed on more than one stock</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exchange, the above information shall be provided for each stock exchange separately. Average market prices in point (1) above should be calculated on closing price on the stock exchange.</w:t>
      </w:r>
    </w:p>
    <w:p>
      <w:pPr>
        <w:spacing w:after="0" w:line="200" w:lineRule="exact"/>
        <w:rPr>
          <w:rFonts w:ascii="Times New Roman" w:cs="Times New Roman" w:eastAsia="Times New Roman" w:hAnsi="Times New Roman"/>
          <w:sz w:val="24"/>
          <w:szCs w:val="24"/>
          <w:color w:val="auto"/>
        </w:rPr>
      </w:pPr>
    </w:p>
    <w:p>
      <w:pPr>
        <w:spacing w:after="0" w:line="219" w:lineRule="exact"/>
        <w:rPr>
          <w:rFonts w:ascii="Times New Roman" w:cs="Times New Roman" w:eastAsia="Times New Roman" w:hAnsi="Times New Roman"/>
          <w:sz w:val="24"/>
          <w:szCs w:val="24"/>
          <w:color w:val="auto"/>
        </w:rPr>
      </w:pPr>
    </w:p>
    <w:p>
      <w:pPr>
        <w:ind w:left="1088" w:hanging="512"/>
        <w:spacing w:after="0"/>
        <w:tabs>
          <w:tab w:leader="none" w:pos="1088" w:val="left"/>
        </w:tabs>
        <w:numPr>
          <w:ilvl w:val="1"/>
          <w:numId w:val="88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Mechanism evolved for redressal of investor grievances:</w:t>
      </w:r>
    </w:p>
    <w:p>
      <w:pPr>
        <w:spacing w:after="0" w:line="151" w:lineRule="exact"/>
        <w:rPr>
          <w:rFonts w:ascii="Times New Roman" w:cs="Times New Roman" w:eastAsia="Times New Roman" w:hAnsi="Times New Roman"/>
          <w:sz w:val="24"/>
          <w:szCs w:val="24"/>
          <w:color w:val="auto"/>
        </w:rPr>
      </w:pPr>
    </w:p>
    <w:p>
      <w:pPr>
        <w:ind w:left="1648" w:hanging="568"/>
        <w:spacing w:after="0" w:line="348" w:lineRule="auto"/>
        <w:tabs>
          <w:tab w:leader="none" w:pos="1648" w:val="left"/>
        </w:tabs>
        <w:numPr>
          <w:ilvl w:val="2"/>
          <w:numId w:val="88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arrangements or mechanism evolved by the issuer for redressal of investor grievances including through SEBI Complaints Redress System (SCORES)</w:t>
      </w:r>
    </w:p>
    <w:p>
      <w:pPr>
        <w:spacing w:after="0" w:line="27" w:lineRule="exact"/>
        <w:rPr>
          <w:rFonts w:ascii="Times New Roman" w:cs="Times New Roman" w:eastAsia="Times New Roman" w:hAnsi="Times New Roman"/>
          <w:sz w:val="24"/>
          <w:szCs w:val="24"/>
          <w:color w:val="auto"/>
        </w:rPr>
      </w:pPr>
    </w:p>
    <w:p>
      <w:pPr>
        <w:ind w:left="1648" w:hanging="568"/>
        <w:spacing w:after="0" w:line="348" w:lineRule="auto"/>
        <w:tabs>
          <w:tab w:leader="none" w:pos="1648" w:val="left"/>
        </w:tabs>
        <w:numPr>
          <w:ilvl w:val="2"/>
          <w:numId w:val="88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number of investor complaints received during the preceding three years and the number of complaints disposed off during that period</w:t>
      </w:r>
    </w:p>
    <w:p>
      <w:pPr>
        <w:spacing w:after="0" w:line="27" w:lineRule="exact"/>
        <w:rPr>
          <w:rFonts w:ascii="Times New Roman" w:cs="Times New Roman" w:eastAsia="Times New Roman" w:hAnsi="Times New Roman"/>
          <w:sz w:val="24"/>
          <w:szCs w:val="24"/>
          <w:color w:val="auto"/>
        </w:rPr>
      </w:pPr>
    </w:p>
    <w:p>
      <w:pPr>
        <w:ind w:left="1648" w:hanging="568"/>
        <w:spacing w:after="0" w:line="348" w:lineRule="auto"/>
        <w:tabs>
          <w:tab w:leader="none" w:pos="1648" w:val="left"/>
        </w:tabs>
        <w:numPr>
          <w:ilvl w:val="2"/>
          <w:numId w:val="88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number of investor complaints pending on the date of filing the draft offer document</w:t>
      </w:r>
    </w:p>
    <w:p>
      <w:pPr>
        <w:spacing w:after="0" w:line="28" w:lineRule="exact"/>
        <w:rPr>
          <w:rFonts w:ascii="Times New Roman" w:cs="Times New Roman" w:eastAsia="Times New Roman" w:hAnsi="Times New Roman"/>
          <w:sz w:val="24"/>
          <w:szCs w:val="24"/>
          <w:color w:val="auto"/>
        </w:rPr>
      </w:pPr>
    </w:p>
    <w:p>
      <w:pPr>
        <w:jc w:val="both"/>
        <w:ind w:left="1648" w:hanging="568"/>
        <w:spacing w:after="0" w:line="354" w:lineRule="auto"/>
        <w:tabs>
          <w:tab w:leader="none" w:pos="1648" w:val="left"/>
        </w:tabs>
        <w:numPr>
          <w:ilvl w:val="2"/>
          <w:numId w:val="88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number of investor complaints pending on the date of filing the draft offer document in respect of the five largest (in terms of market capitalization) listed group companies.</w:t>
      </w:r>
    </w:p>
    <w:p>
      <w:pPr>
        <w:spacing w:after="0" w:line="19" w:lineRule="exact"/>
        <w:rPr>
          <w:rFonts w:ascii="Times New Roman" w:cs="Times New Roman" w:eastAsia="Times New Roman" w:hAnsi="Times New Roman"/>
          <w:sz w:val="24"/>
          <w:szCs w:val="24"/>
          <w:color w:val="auto"/>
        </w:rPr>
      </w:pPr>
    </w:p>
    <w:p>
      <w:pPr>
        <w:ind w:left="1648" w:hanging="568"/>
        <w:spacing w:after="0" w:line="350" w:lineRule="auto"/>
        <w:tabs>
          <w:tab w:leader="none" w:pos="1648" w:val="left"/>
        </w:tabs>
        <w:numPr>
          <w:ilvl w:val="2"/>
          <w:numId w:val="88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time normally taken by the issuer for disposal of various types of investor grievances.</w:t>
      </w:r>
    </w:p>
    <w:p>
      <w:pPr>
        <w:spacing w:after="0" w:line="23" w:lineRule="exact"/>
        <w:rPr>
          <w:rFonts w:ascii="Times New Roman" w:cs="Times New Roman" w:eastAsia="Times New Roman" w:hAnsi="Times New Roman"/>
          <w:sz w:val="24"/>
          <w:szCs w:val="24"/>
          <w:color w:val="auto"/>
        </w:rPr>
      </w:pPr>
    </w:p>
    <w:p>
      <w:pPr>
        <w:ind w:left="1648" w:hanging="568"/>
        <w:spacing w:after="0" w:line="350" w:lineRule="auto"/>
        <w:tabs>
          <w:tab w:leader="none" w:pos="1648" w:val="left"/>
        </w:tabs>
        <w:numPr>
          <w:ilvl w:val="2"/>
          <w:numId w:val="88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Disclosures prescribed under sub-clauses (2) to (5) shall also be made in regard to the listed subsidiaries.</w:t>
      </w:r>
    </w:p>
    <w:p>
      <w:pPr>
        <w:spacing w:after="0" w:line="200" w:lineRule="exact"/>
        <w:rPr>
          <w:rFonts w:ascii="Times New Roman" w:cs="Times New Roman" w:eastAsia="Times New Roman" w:hAnsi="Times New Roman"/>
          <w:sz w:val="24"/>
          <w:szCs w:val="24"/>
          <w:color w:val="auto"/>
        </w:rPr>
      </w:pPr>
    </w:p>
    <w:p>
      <w:pPr>
        <w:spacing w:after="0" w:line="231"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889"/>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b w:val="1"/>
          <w:bCs w:val="1"/>
          <w:color w:val="auto"/>
        </w:rPr>
        <w:t>Offering Information:</w:t>
      </w:r>
    </w:p>
    <w:p>
      <w:pPr>
        <w:spacing w:after="0" w:line="129" w:lineRule="exact"/>
        <w:rPr>
          <w:rFonts w:ascii="Times New Roman" w:cs="Times New Roman" w:eastAsia="Times New Roman" w:hAnsi="Times New Roman"/>
          <w:sz w:val="22"/>
          <w:szCs w:val="22"/>
          <w:color w:val="auto"/>
        </w:rPr>
      </w:pPr>
    </w:p>
    <w:p>
      <w:pPr>
        <w:ind w:left="1088" w:hanging="512"/>
        <w:spacing w:after="0"/>
        <w:tabs>
          <w:tab w:leader="none" w:pos="1088" w:val="left"/>
        </w:tabs>
        <w:numPr>
          <w:ilvl w:val="1"/>
          <w:numId w:val="889"/>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Terms of the Issue: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251</w:t>
      </w:r>
    </w:p>
    <w:p>
      <w:pPr>
        <w:sectPr>
          <w:pgSz w:w="11900" w:h="16836" w:orient="portrait"/>
          <w:cols w:equalWidth="0" w:num="1">
            <w:col w:w="9468"/>
          </w:cols>
          <w:pgMar w:left="1152" w:top="1156" w:right="1284" w:bottom="103" w:gutter="0" w:footer="0" w:header="0"/>
        </w:sectPr>
      </w:pPr>
    </w:p>
    <w:bookmarkStart w:id="251" w:name="page252"/>
    <w:bookmarkEnd w:id="251"/>
    <w:p>
      <w:pPr>
        <w:ind w:left="1440" w:hanging="548"/>
        <w:spacing w:after="0"/>
        <w:tabs>
          <w:tab w:leader="none" w:pos="1440" w:val="left"/>
        </w:tabs>
        <w:numPr>
          <w:ilvl w:val="0"/>
          <w:numId w:val="890"/>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Statement that the shares issued in the issue shall be pari passu with the existing</w:t>
      </w:r>
    </w:p>
    <w:p>
      <w:pPr>
        <w:spacing w:after="0" w:line="129" w:lineRule="exact"/>
        <w:rPr>
          <w:rFonts w:ascii="Times New Roman" w:cs="Times New Roman" w:eastAsia="Times New Roman" w:hAnsi="Times New Roman"/>
          <w:sz w:val="22"/>
          <w:szCs w:val="22"/>
          <w:color w:val="auto"/>
        </w:rPr>
      </w:pPr>
    </w:p>
    <w:p>
      <w:pPr>
        <w:jc w:val="both"/>
        <w:ind w:left="1440"/>
        <w:spacing w:after="0" w:line="326" w:lineRule="auto"/>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 xml:space="preserve">shares in all respects including dividends. </w:t>
      </w:r>
      <w:r>
        <w:rPr>
          <w:rFonts w:ascii="Times New Roman" w:cs="Times New Roman" w:eastAsia="Times New Roman" w:hAnsi="Times New Roman"/>
          <w:sz w:val="32"/>
          <w:szCs w:val="32"/>
          <w:color w:val="auto"/>
          <w:vertAlign w:val="superscript"/>
        </w:rPr>
        <w:t>115</w:t>
      </w:r>
      <w:r>
        <w:rPr>
          <w:rFonts w:ascii="Times New Roman" w:cs="Times New Roman" w:eastAsia="Times New Roman" w:hAnsi="Times New Roman"/>
          <w:sz w:val="24"/>
          <w:szCs w:val="24"/>
          <w:color w:val="auto"/>
        </w:rPr>
        <w:t>[In case of companies having SR equity shares, a statement that the shares issued in the issue shall be pari passu with the existing shares (excluding SR equity shares) in all respects including dividends.]</w:t>
      </w:r>
    </w:p>
    <w:p>
      <w:pPr>
        <w:spacing w:after="0" w:line="51" w:lineRule="exact"/>
        <w:rPr>
          <w:rFonts w:ascii="Times New Roman" w:cs="Times New Roman" w:eastAsia="Times New Roman" w:hAnsi="Times New Roman"/>
          <w:sz w:val="22"/>
          <w:szCs w:val="22"/>
          <w:color w:val="auto"/>
        </w:rPr>
      </w:pPr>
    </w:p>
    <w:p>
      <w:pPr>
        <w:ind w:left="1440" w:hanging="548"/>
        <w:spacing w:after="0" w:line="350" w:lineRule="auto"/>
        <w:tabs>
          <w:tab w:leader="none" w:pos="1440" w:val="left"/>
        </w:tabs>
        <w:numPr>
          <w:ilvl w:val="0"/>
          <w:numId w:val="890"/>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Statement that in the case of offer for sale, the dividend for the entire year shall be payable to the transferees.</w:t>
      </w:r>
    </w:p>
    <w:p>
      <w:pPr>
        <w:spacing w:after="0" w:line="10" w:lineRule="exact"/>
        <w:rPr>
          <w:rFonts w:ascii="Times New Roman" w:cs="Times New Roman" w:eastAsia="Times New Roman" w:hAnsi="Times New Roman"/>
          <w:sz w:val="22"/>
          <w:szCs w:val="22"/>
          <w:color w:val="auto"/>
        </w:rPr>
      </w:pPr>
    </w:p>
    <w:p>
      <w:pPr>
        <w:ind w:left="1440" w:hanging="548"/>
        <w:spacing w:after="0"/>
        <w:tabs>
          <w:tab w:leader="none" w:pos="1440" w:val="left"/>
        </w:tabs>
        <w:numPr>
          <w:ilvl w:val="0"/>
          <w:numId w:val="890"/>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Face value and issue price/ floor price/ price band.</w:t>
      </w:r>
    </w:p>
    <w:p>
      <w:pPr>
        <w:spacing w:after="0" w:line="131" w:lineRule="exact"/>
        <w:rPr>
          <w:rFonts w:ascii="Times New Roman" w:cs="Times New Roman" w:eastAsia="Times New Roman" w:hAnsi="Times New Roman"/>
          <w:sz w:val="22"/>
          <w:szCs w:val="22"/>
          <w:color w:val="auto"/>
        </w:rPr>
      </w:pPr>
    </w:p>
    <w:p>
      <w:pPr>
        <w:jc w:val="both"/>
        <w:ind w:left="1440" w:hanging="548"/>
        <w:spacing w:after="0" w:line="325" w:lineRule="auto"/>
        <w:tabs>
          <w:tab w:leader="none" w:pos="1440" w:val="left"/>
        </w:tabs>
        <w:numPr>
          <w:ilvl w:val="0"/>
          <w:numId w:val="890"/>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 xml:space="preserve">Rights of the instrument holders. </w:t>
      </w:r>
      <w:r>
        <w:rPr>
          <w:rFonts w:ascii="Times New Roman" w:cs="Times New Roman" w:eastAsia="Times New Roman" w:hAnsi="Times New Roman"/>
          <w:sz w:val="32"/>
          <w:szCs w:val="32"/>
          <w:color w:val="auto"/>
          <w:vertAlign w:val="superscript"/>
        </w:rPr>
        <w:t>116</w:t>
      </w:r>
      <w:r>
        <w:rPr>
          <w:rFonts w:ascii="Times New Roman" w:cs="Times New Roman" w:eastAsia="Times New Roman" w:hAnsi="Times New Roman"/>
          <w:sz w:val="24"/>
          <w:szCs w:val="24"/>
          <w:color w:val="auto"/>
        </w:rPr>
        <w:t>[ In case of an issuer having SR equity shares, the special rights of such SR shareholders shall be disclosed alongwith the circumstances in which the SR equity shares shall be treated as ordinary equity shares.]</w:t>
      </w:r>
    </w:p>
    <w:p>
      <w:pPr>
        <w:spacing w:after="0" w:line="44" w:lineRule="exact"/>
        <w:rPr>
          <w:rFonts w:ascii="Times New Roman" w:cs="Times New Roman" w:eastAsia="Times New Roman" w:hAnsi="Times New Roman"/>
          <w:sz w:val="22"/>
          <w:szCs w:val="22"/>
          <w:color w:val="auto"/>
        </w:rPr>
      </w:pPr>
    </w:p>
    <w:p>
      <w:pPr>
        <w:ind w:left="1440" w:hanging="548"/>
        <w:spacing w:after="0"/>
        <w:tabs>
          <w:tab w:leader="none" w:pos="1440" w:val="left"/>
        </w:tabs>
        <w:numPr>
          <w:ilvl w:val="0"/>
          <w:numId w:val="890"/>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Market lot.</w:t>
      </w:r>
    </w:p>
    <w:p>
      <w:pPr>
        <w:spacing w:after="0" w:line="136" w:lineRule="exact"/>
        <w:rPr>
          <w:rFonts w:ascii="Times New Roman" w:cs="Times New Roman" w:eastAsia="Times New Roman" w:hAnsi="Times New Roman"/>
          <w:sz w:val="22"/>
          <w:szCs w:val="22"/>
          <w:color w:val="auto"/>
        </w:rPr>
      </w:pPr>
    </w:p>
    <w:p>
      <w:pPr>
        <w:ind w:left="1440" w:hanging="548"/>
        <w:spacing w:after="0"/>
        <w:tabs>
          <w:tab w:leader="none" w:pos="1440" w:val="left"/>
        </w:tabs>
        <w:numPr>
          <w:ilvl w:val="0"/>
          <w:numId w:val="890"/>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Nomination facility to investor.</w:t>
      </w:r>
    </w:p>
    <w:p>
      <w:pPr>
        <w:spacing w:after="0" w:line="139" w:lineRule="exact"/>
        <w:rPr>
          <w:rFonts w:ascii="Times New Roman" w:cs="Times New Roman" w:eastAsia="Times New Roman" w:hAnsi="Times New Roman"/>
          <w:sz w:val="22"/>
          <w:szCs w:val="22"/>
          <w:color w:val="auto"/>
        </w:rPr>
      </w:pPr>
    </w:p>
    <w:p>
      <w:pPr>
        <w:ind w:left="1440" w:hanging="548"/>
        <w:spacing w:after="0"/>
        <w:tabs>
          <w:tab w:leader="none" w:pos="1440" w:val="left"/>
        </w:tabs>
        <w:numPr>
          <w:ilvl w:val="0"/>
          <w:numId w:val="890"/>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Period of subscription list of the public issue.</w:t>
      </w:r>
    </w:p>
    <w:p>
      <w:pPr>
        <w:spacing w:after="0" w:line="149" w:lineRule="exact"/>
        <w:rPr>
          <w:rFonts w:ascii="Times New Roman" w:cs="Times New Roman" w:eastAsia="Times New Roman" w:hAnsi="Times New Roman"/>
          <w:sz w:val="22"/>
          <w:szCs w:val="22"/>
          <w:color w:val="auto"/>
        </w:rPr>
      </w:pPr>
    </w:p>
    <w:p>
      <w:pPr>
        <w:jc w:val="both"/>
        <w:ind w:left="1440" w:hanging="548"/>
        <w:spacing w:after="0" w:line="359" w:lineRule="auto"/>
        <w:tabs>
          <w:tab w:leader="none" w:pos="1440" w:val="left"/>
        </w:tabs>
        <w:numPr>
          <w:ilvl w:val="0"/>
          <w:numId w:val="890"/>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Statement that “if, as prescribed, minimum subscription in the issue shall be 90% of the fresh issue portion” the issuer does not receive the minimum subscription of ninety per cent. of the offer through offer document (except in case of an offer for sale of specified securities) on the date of closure of the issue, or if the subscription level falls below ninety per cent. after the closure of issue on account of cheques having being returned unpaid (in case of rights issues) or withdrawal of applications, or after technical rejections, or if the listing or trading permission is not obtained from the stock exchanges for the securities so offered under the offer document, the issuer shall forthwith refund the entire subscription amount received. If there is a delay beyond fifteen days after the issuer becomes liable to pay the amount, the issuer and every director of the issuer who are officers in default, shall pay interest at the rate of fifteen per cent. per annum."</w:t>
      </w:r>
    </w:p>
    <w:p>
      <w:pPr>
        <w:spacing w:after="0" w:line="15" w:lineRule="exact"/>
        <w:rPr>
          <w:rFonts w:ascii="Times New Roman" w:cs="Times New Roman" w:eastAsia="Times New Roman" w:hAnsi="Times New Roman"/>
          <w:sz w:val="22"/>
          <w:szCs w:val="22"/>
          <w:color w:val="auto"/>
        </w:rPr>
      </w:pPr>
    </w:p>
    <w:p>
      <w:pPr>
        <w:jc w:val="both"/>
        <w:ind w:left="1440" w:hanging="548"/>
        <w:spacing w:after="0" w:line="356" w:lineRule="auto"/>
        <w:tabs>
          <w:tab w:leader="none" w:pos="1440" w:val="left"/>
        </w:tabs>
        <w:numPr>
          <w:ilvl w:val="0"/>
          <w:numId w:val="890"/>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b w:val="1"/>
          <w:bCs w:val="1"/>
          <w:color w:val="auto"/>
        </w:rPr>
        <w:t xml:space="preserve">For Composite Issues: </w:t>
      </w:r>
      <w:r>
        <w:rPr>
          <w:rFonts w:ascii="Times New Roman" w:cs="Times New Roman" w:eastAsia="Times New Roman" w:hAnsi="Times New Roman"/>
          <w:sz w:val="24"/>
          <w:szCs w:val="24"/>
          <w:color w:val="auto"/>
        </w:rPr>
        <w:t>Statement that the requirement of ’minimum subscription’</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is satisfied both jointly and severally, i.e., independently for both rights and public issues, and that if the issuer does not receive the minimum subscription in either of the issues, the issuer shall refund the entire subscription received.</w:t>
      </w: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spacing w:after="0" w:line="211" w:lineRule="auto"/>
        <w:rPr>
          <w:sz w:val="20"/>
          <w:szCs w:val="20"/>
          <w:color w:val="auto"/>
        </w:rPr>
      </w:pPr>
      <w:r>
        <w:rPr>
          <w:rFonts w:ascii="Times New Roman" w:cs="Times New Roman" w:eastAsia="Times New Roman" w:hAnsi="Times New Roman"/>
          <w:sz w:val="25"/>
          <w:szCs w:val="25"/>
          <w:color w:val="auto"/>
          <w:vertAlign w:val="superscript"/>
        </w:rPr>
        <w:t>115</w:t>
      </w:r>
      <w:r>
        <w:rPr>
          <w:rFonts w:ascii="Times New Roman" w:cs="Times New Roman" w:eastAsia="Times New Roman" w:hAnsi="Times New Roman"/>
          <w:sz w:val="20"/>
          <w:szCs w:val="20"/>
          <w:color w:val="auto"/>
        </w:rPr>
        <w:t xml:space="preserve"> Inserted by the SEBI (Issue of Capital and Disclosure Requirements) (Third Amendment) Regulations, 2019 w.e.f.29.07.2019.</w:t>
      </w:r>
    </w:p>
    <w:p>
      <w:pPr>
        <w:spacing w:after="0" w:line="6" w:lineRule="exact"/>
        <w:rPr>
          <w:sz w:val="20"/>
          <w:szCs w:val="20"/>
          <w:color w:val="auto"/>
        </w:rPr>
      </w:pPr>
    </w:p>
    <w:p>
      <w:pPr>
        <w:spacing w:after="0" w:line="211" w:lineRule="auto"/>
        <w:rPr>
          <w:sz w:val="20"/>
          <w:szCs w:val="20"/>
          <w:color w:val="auto"/>
        </w:rPr>
      </w:pPr>
      <w:r>
        <w:rPr>
          <w:rFonts w:ascii="Times New Roman" w:cs="Times New Roman" w:eastAsia="Times New Roman" w:hAnsi="Times New Roman"/>
          <w:sz w:val="25"/>
          <w:szCs w:val="25"/>
          <w:color w:val="auto"/>
          <w:vertAlign w:val="superscript"/>
        </w:rPr>
        <w:t>116</w:t>
      </w:r>
      <w:r>
        <w:rPr>
          <w:rFonts w:ascii="Times New Roman" w:cs="Times New Roman" w:eastAsia="Times New Roman" w:hAnsi="Times New Roman"/>
          <w:sz w:val="20"/>
          <w:szCs w:val="20"/>
          <w:color w:val="auto"/>
        </w:rPr>
        <w:t xml:space="preserve"> Inserted by the SEBI (Issue of Capital and Disclosure Requirements) (Third Amendment) Regulations, 2019 w.e.f.29.07.2019.</w:t>
      </w:r>
    </w:p>
    <w:p>
      <w:pPr>
        <w:spacing w:after="0" w:line="30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252</w:t>
      </w:r>
    </w:p>
    <w:p>
      <w:pPr>
        <w:sectPr>
          <w:pgSz w:w="11900" w:h="16836" w:orient="portrait"/>
          <w:cols w:equalWidth="0" w:num="1">
            <w:col w:w="9460"/>
          </w:cols>
          <w:pgMar w:left="1160" w:top="1144" w:right="1284" w:bottom="103" w:gutter="0" w:footer="0" w:header="0"/>
        </w:sectPr>
      </w:pPr>
    </w:p>
    <w:bookmarkStart w:id="252" w:name="page253"/>
    <w:bookmarkEnd w:id="252"/>
    <w:p>
      <w:pPr>
        <w:ind w:left="1160" w:hanging="548"/>
        <w:spacing w:after="0"/>
        <w:tabs>
          <w:tab w:leader="none" w:pos="1160" w:val="left"/>
        </w:tabs>
        <w:numPr>
          <w:ilvl w:val="0"/>
          <w:numId w:val="891"/>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b w:val="1"/>
          <w:bCs w:val="1"/>
          <w:color w:val="auto"/>
        </w:rPr>
        <w:t>Arrangements for Disposal of Odd Lots</w:t>
      </w:r>
      <w:r>
        <w:rPr>
          <w:rFonts w:ascii="Times New Roman" w:cs="Times New Roman" w:eastAsia="Times New Roman" w:hAnsi="Times New Roman"/>
          <w:sz w:val="24"/>
          <w:szCs w:val="24"/>
          <w:color w:val="auto"/>
        </w:rPr>
        <w:t>:</w:t>
      </w:r>
    </w:p>
    <w:p>
      <w:pPr>
        <w:spacing w:after="0" w:line="149" w:lineRule="exact"/>
        <w:rPr>
          <w:rFonts w:ascii="Times New Roman" w:cs="Times New Roman" w:eastAsia="Times New Roman" w:hAnsi="Times New Roman"/>
          <w:sz w:val="22"/>
          <w:szCs w:val="22"/>
          <w:color w:val="auto"/>
        </w:rPr>
      </w:pPr>
    </w:p>
    <w:p>
      <w:pPr>
        <w:jc w:val="both"/>
        <w:ind w:left="1520" w:hanging="368"/>
        <w:spacing w:after="0" w:line="356" w:lineRule="auto"/>
        <w:tabs>
          <w:tab w:leader="none" w:pos="1587" w:val="left"/>
        </w:tabs>
        <w:numPr>
          <w:ilvl w:val="1"/>
          <w:numId w:val="89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arrangements made by the issuer for providing liquidity for and consolidation of the shares held in odd lots, particularly when such odd lots arise on account of issues by way of rights, bonus, conversion of debentures or warrants, etc., shall be intimated to the shareholders or investors.</w:t>
      </w:r>
    </w:p>
    <w:p>
      <w:pPr>
        <w:spacing w:after="0" w:line="18" w:lineRule="exact"/>
        <w:rPr>
          <w:rFonts w:ascii="Times New Roman" w:cs="Times New Roman" w:eastAsia="Times New Roman" w:hAnsi="Times New Roman"/>
          <w:sz w:val="24"/>
          <w:szCs w:val="24"/>
          <w:color w:val="auto"/>
        </w:rPr>
      </w:pPr>
    </w:p>
    <w:p>
      <w:pPr>
        <w:jc w:val="both"/>
        <w:ind w:left="1520" w:hanging="368"/>
        <w:spacing w:after="0" w:line="357" w:lineRule="auto"/>
        <w:tabs>
          <w:tab w:leader="none" w:pos="1529" w:val="left"/>
        </w:tabs>
        <w:numPr>
          <w:ilvl w:val="1"/>
          <w:numId w:val="89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is free to make arrangements for providing liquidity in respect of odd lot shares through any investment or finance company, broking firms or through any other agency and the particulars of such arrangement, if any, may be disclosed in the offer document related to the concerned issue of capital.</w:t>
      </w:r>
    </w:p>
    <w:p>
      <w:pPr>
        <w:spacing w:after="0" w:line="14" w:lineRule="exact"/>
        <w:rPr>
          <w:rFonts w:ascii="Times New Roman" w:cs="Times New Roman" w:eastAsia="Times New Roman" w:hAnsi="Times New Roman"/>
          <w:sz w:val="24"/>
          <w:szCs w:val="24"/>
          <w:color w:val="auto"/>
        </w:rPr>
      </w:pPr>
    </w:p>
    <w:p>
      <w:pPr>
        <w:jc w:val="both"/>
        <w:ind w:left="1520" w:hanging="368"/>
        <w:spacing w:after="0" w:line="354" w:lineRule="auto"/>
        <w:tabs>
          <w:tab w:leader="none" w:pos="1510" w:val="left"/>
        </w:tabs>
        <w:numPr>
          <w:ilvl w:val="1"/>
          <w:numId w:val="89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merchant banker shall ascertain whether the issuer coming for fresh issue of capital proposes to set up trusts in order to provide service to the investors in the matter of disposal of odd lot shares of the issuer held by them</w:t>
      </w:r>
    </w:p>
    <w:p>
      <w:pPr>
        <w:spacing w:after="0" w:line="22" w:lineRule="exact"/>
        <w:rPr>
          <w:sz w:val="20"/>
          <w:szCs w:val="20"/>
          <w:color w:val="auto"/>
        </w:rPr>
      </w:pPr>
    </w:p>
    <w:p>
      <w:pPr>
        <w:ind w:left="1520"/>
        <w:spacing w:after="0" w:line="348" w:lineRule="auto"/>
        <w:rPr>
          <w:sz w:val="20"/>
          <w:szCs w:val="20"/>
          <w:color w:val="auto"/>
        </w:rPr>
      </w:pPr>
      <w:r>
        <w:rPr>
          <w:rFonts w:ascii="Times New Roman" w:cs="Times New Roman" w:eastAsia="Times New Roman" w:hAnsi="Times New Roman"/>
          <w:sz w:val="24"/>
          <w:szCs w:val="24"/>
          <w:color w:val="auto"/>
        </w:rPr>
        <w:t>and if so, disclosures relating to setting up and operation of the trust shall be contained in the offer document.</w:t>
      </w:r>
    </w:p>
    <w:p>
      <w:pPr>
        <w:spacing w:after="0" w:line="28" w:lineRule="exact"/>
        <w:rPr>
          <w:sz w:val="20"/>
          <w:szCs w:val="20"/>
          <w:color w:val="auto"/>
        </w:rPr>
      </w:pPr>
    </w:p>
    <w:p>
      <w:pPr>
        <w:ind w:left="980" w:hanging="368"/>
        <w:spacing w:after="0" w:line="348" w:lineRule="auto"/>
        <w:tabs>
          <w:tab w:leader="none" w:pos="980" w:val="left"/>
        </w:tabs>
        <w:numPr>
          <w:ilvl w:val="0"/>
          <w:numId w:val="89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Whenever any issue results in issue of shares in odd lots, the issuer, shall as far as possible issue certificates in the denomination of 1-2-5-10-20-50 shares.</w:t>
      </w:r>
    </w:p>
    <w:p>
      <w:pPr>
        <w:spacing w:after="0" w:line="28" w:lineRule="exact"/>
        <w:rPr>
          <w:sz w:val="20"/>
          <w:szCs w:val="20"/>
          <w:color w:val="auto"/>
        </w:rPr>
      </w:pPr>
    </w:p>
    <w:p>
      <w:pPr>
        <w:ind w:left="1160" w:hanging="548"/>
        <w:spacing w:after="0" w:line="348" w:lineRule="auto"/>
        <w:tabs>
          <w:tab w:leader="none" w:pos="1160" w:val="left"/>
        </w:tabs>
        <w:numPr>
          <w:ilvl w:val="1"/>
          <w:numId w:val="893"/>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Restrictions, if any, on transfer and transmission of shares or debentures and on their consolidation or splitting.</w:t>
      </w:r>
    </w:p>
    <w:p>
      <w:pPr>
        <w:spacing w:after="0" w:line="27" w:lineRule="exact"/>
        <w:rPr>
          <w:rFonts w:ascii="Times New Roman" w:cs="Times New Roman" w:eastAsia="Times New Roman" w:hAnsi="Times New Roman"/>
          <w:sz w:val="22"/>
          <w:szCs w:val="22"/>
          <w:color w:val="auto"/>
        </w:rPr>
      </w:pPr>
    </w:p>
    <w:p>
      <w:pPr>
        <w:jc w:val="both"/>
        <w:ind w:left="1160" w:hanging="548"/>
        <w:spacing w:after="0" w:line="375" w:lineRule="auto"/>
        <w:tabs>
          <w:tab w:leader="none" w:pos="1160" w:val="left"/>
        </w:tabs>
        <w:numPr>
          <w:ilvl w:val="1"/>
          <w:numId w:val="893"/>
        </w:numPr>
        <w:rPr>
          <w:rFonts w:ascii="Times New Roman" w:cs="Times New Roman" w:eastAsia="Times New Roman" w:hAnsi="Times New Roman"/>
          <w:sz w:val="21"/>
          <w:szCs w:val="21"/>
          <w:color w:val="auto"/>
        </w:rPr>
      </w:pPr>
      <w:r>
        <w:rPr>
          <w:rFonts w:ascii="Times New Roman" w:cs="Times New Roman" w:eastAsia="Times New Roman" w:hAnsi="Times New Roman"/>
          <w:sz w:val="23"/>
          <w:szCs w:val="23"/>
          <w:b w:val="1"/>
          <w:bCs w:val="1"/>
          <w:color w:val="auto"/>
        </w:rPr>
        <w:t xml:space="preserve">New Financial Instruments: </w:t>
      </w:r>
      <w:r>
        <w:rPr>
          <w:rFonts w:ascii="Times New Roman" w:cs="Times New Roman" w:eastAsia="Times New Roman" w:hAnsi="Times New Roman"/>
          <w:sz w:val="23"/>
          <w:szCs w:val="23"/>
          <w:color w:val="auto"/>
        </w:rPr>
        <w:t>Terms and conditions including redemption, security,</w:t>
      </w:r>
      <w:r>
        <w:rPr>
          <w:rFonts w:ascii="Times New Roman" w:cs="Times New Roman" w:eastAsia="Times New Roman" w:hAnsi="Times New Roman"/>
          <w:sz w:val="23"/>
          <w:szCs w:val="23"/>
          <w:b w:val="1"/>
          <w:bCs w:val="1"/>
          <w:color w:val="auto"/>
        </w:rPr>
        <w:t xml:space="preserve"> </w:t>
      </w:r>
      <w:r>
        <w:rPr>
          <w:rFonts w:ascii="Times New Roman" w:cs="Times New Roman" w:eastAsia="Times New Roman" w:hAnsi="Times New Roman"/>
          <w:sz w:val="23"/>
          <w:szCs w:val="23"/>
          <w:color w:val="auto"/>
        </w:rPr>
        <w:t>conversion and any other relevant features of any new financial instruments such as deep discount bonds, debentures with warrants, secured premium notes etc.</w:t>
      </w:r>
    </w:p>
    <w:p>
      <w:pPr>
        <w:spacing w:after="0" w:line="1" w:lineRule="exact"/>
        <w:rPr>
          <w:rFonts w:ascii="Times New Roman" w:cs="Times New Roman" w:eastAsia="Times New Roman" w:hAnsi="Times New Roman"/>
          <w:sz w:val="21"/>
          <w:szCs w:val="21"/>
          <w:color w:val="auto"/>
        </w:rPr>
      </w:pPr>
    </w:p>
    <w:p>
      <w:pPr>
        <w:jc w:val="both"/>
        <w:ind w:left="1160" w:hanging="548"/>
        <w:spacing w:after="0" w:line="357" w:lineRule="auto"/>
        <w:tabs>
          <w:tab w:leader="none" w:pos="1160" w:val="left"/>
        </w:tabs>
        <w:numPr>
          <w:ilvl w:val="1"/>
          <w:numId w:val="893"/>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b w:val="1"/>
          <w:bCs w:val="1"/>
          <w:color w:val="auto"/>
        </w:rPr>
        <w:t xml:space="preserve">Allotment only in Dematerialised Form: </w:t>
      </w:r>
      <w:r>
        <w:rPr>
          <w:rFonts w:ascii="Times New Roman" w:cs="Times New Roman" w:eastAsia="Times New Roman" w:hAnsi="Times New Roman"/>
          <w:sz w:val="24"/>
          <w:szCs w:val="24"/>
          <w:color w:val="auto"/>
        </w:rPr>
        <w:t>A statement to the effect that specified</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securities shall be allotted only in dematerialised form, subject to the availability of the option to receive physical certificates of specified securities in a rights issue for a period of six months from the date of coming into force of these regulations.</w:t>
      </w:r>
    </w:p>
    <w:p>
      <w:pPr>
        <w:spacing w:after="0" w:line="200" w:lineRule="exact"/>
        <w:rPr>
          <w:rFonts w:ascii="Times New Roman" w:cs="Times New Roman" w:eastAsia="Times New Roman" w:hAnsi="Times New Roman"/>
          <w:sz w:val="22"/>
          <w:szCs w:val="22"/>
          <w:color w:val="auto"/>
        </w:rPr>
      </w:pPr>
    </w:p>
    <w:p>
      <w:pPr>
        <w:spacing w:after="0" w:line="215" w:lineRule="exact"/>
        <w:rPr>
          <w:rFonts w:ascii="Times New Roman" w:cs="Times New Roman" w:eastAsia="Times New Roman" w:hAnsi="Times New Roman"/>
          <w:sz w:val="22"/>
          <w:szCs w:val="22"/>
          <w:color w:val="auto"/>
        </w:rPr>
      </w:pPr>
    </w:p>
    <w:p>
      <w:pPr>
        <w:ind w:left="800" w:hanging="512"/>
        <w:spacing w:after="0"/>
        <w:tabs>
          <w:tab w:leader="none" w:pos="800" w:val="left"/>
        </w:tabs>
        <w:numPr>
          <w:ilvl w:val="0"/>
          <w:numId w:val="894"/>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Issue Procedure:</w:t>
      </w:r>
    </w:p>
    <w:p>
      <w:pPr>
        <w:spacing w:after="0" w:line="144" w:lineRule="exact"/>
        <w:rPr>
          <w:rFonts w:ascii="Calibri" w:cs="Calibri" w:eastAsia="Calibri" w:hAnsi="Calibri"/>
          <w:sz w:val="22"/>
          <w:szCs w:val="22"/>
          <w:color w:val="auto"/>
        </w:rPr>
      </w:pPr>
    </w:p>
    <w:p>
      <w:pPr>
        <w:jc w:val="both"/>
        <w:ind w:left="1360" w:hanging="568"/>
        <w:spacing w:after="0" w:line="353" w:lineRule="auto"/>
        <w:tabs>
          <w:tab w:leader="none" w:pos="1360" w:val="left"/>
        </w:tabs>
        <w:numPr>
          <w:ilvl w:val="2"/>
          <w:numId w:val="894"/>
        </w:numPr>
        <w:rPr>
          <w:rFonts w:ascii="Calibri" w:cs="Calibri" w:eastAsia="Calibri" w:hAnsi="Calibri"/>
          <w:sz w:val="22"/>
          <w:szCs w:val="22"/>
          <w:color w:val="auto"/>
        </w:rPr>
      </w:pPr>
      <w:r>
        <w:rPr>
          <w:rFonts w:ascii="Times New Roman" w:cs="Times New Roman" w:eastAsia="Times New Roman" w:hAnsi="Times New Roman"/>
          <w:sz w:val="24"/>
          <w:szCs w:val="24"/>
          <w:color w:val="auto"/>
        </w:rPr>
        <w:t>Fixed price issue or book building procedure as may be applicable, including details regarding bid form/application form, who can bid/apply, maximum and minimum bid/application size, bidding process, bidding, bids at different price levels, etc.</w:t>
      </w:r>
    </w:p>
    <w:p>
      <w:pPr>
        <w:spacing w:after="0" w:line="2" w:lineRule="exact"/>
        <w:rPr>
          <w:rFonts w:ascii="Calibri" w:cs="Calibri" w:eastAsia="Calibri" w:hAnsi="Calibri"/>
          <w:sz w:val="22"/>
          <w:szCs w:val="22"/>
          <w:color w:val="auto"/>
        </w:rPr>
      </w:pPr>
    </w:p>
    <w:p>
      <w:pPr>
        <w:ind w:left="1360" w:hanging="568"/>
        <w:spacing w:after="0"/>
        <w:tabs>
          <w:tab w:leader="none" w:pos="1360" w:val="left"/>
        </w:tabs>
        <w:numPr>
          <w:ilvl w:val="2"/>
          <w:numId w:val="894"/>
        </w:numPr>
        <w:rPr>
          <w:rFonts w:ascii="Calibri" w:cs="Calibri" w:eastAsia="Calibri" w:hAnsi="Calibri"/>
          <w:sz w:val="22"/>
          <w:szCs w:val="22"/>
          <w:color w:val="auto"/>
        </w:rPr>
      </w:pPr>
      <w:r>
        <w:rPr>
          <w:rFonts w:ascii="Times New Roman" w:cs="Times New Roman" w:eastAsia="Times New Roman" w:hAnsi="Times New Roman"/>
          <w:sz w:val="24"/>
          <w:szCs w:val="24"/>
          <w:color w:val="auto"/>
        </w:rPr>
        <w:t>Issue of securities in dematerialised form:</w:t>
      </w:r>
    </w:p>
    <w:p>
      <w:pPr>
        <w:spacing w:after="0" w:line="151" w:lineRule="exact"/>
        <w:rPr>
          <w:rFonts w:ascii="Calibri" w:cs="Calibri" w:eastAsia="Calibri" w:hAnsi="Calibri"/>
          <w:sz w:val="22"/>
          <w:szCs w:val="22"/>
          <w:color w:val="auto"/>
        </w:rPr>
      </w:pPr>
    </w:p>
    <w:p>
      <w:pPr>
        <w:jc w:val="both"/>
        <w:ind w:left="1940" w:hanging="572"/>
        <w:spacing w:after="0" w:line="350" w:lineRule="auto"/>
        <w:tabs>
          <w:tab w:leader="none" w:pos="1940" w:val="left"/>
        </w:tabs>
        <w:numPr>
          <w:ilvl w:val="3"/>
          <w:numId w:val="894"/>
        </w:numPr>
        <w:rPr>
          <w:rFonts w:ascii="Calibri" w:cs="Calibri" w:eastAsia="Calibri" w:hAnsi="Calibri"/>
          <w:sz w:val="22"/>
          <w:szCs w:val="22"/>
          <w:color w:val="auto"/>
        </w:rPr>
      </w:pPr>
      <w:r>
        <w:rPr>
          <w:rFonts w:ascii="Times New Roman" w:cs="Times New Roman" w:eastAsia="Times New Roman" w:hAnsi="Times New Roman"/>
          <w:sz w:val="24"/>
          <w:szCs w:val="24"/>
          <w:color w:val="auto"/>
        </w:rPr>
        <w:t>In case of a public issue or rights issue (subject to sub-regulation (1) of regulation 91, the specified securities issued shall be issued only in dematerialized form in compliance with the Companies Act, 2013. A</w:t>
      </w:r>
    </w:p>
    <w:p>
      <w:pPr>
        <w:spacing w:after="0" w:line="268"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4"/>
          <w:szCs w:val="24"/>
          <w:color w:val="auto"/>
        </w:rPr>
        <w:t>253</w:t>
      </w:r>
    </w:p>
    <w:p>
      <w:pPr>
        <w:sectPr>
          <w:pgSz w:w="11900" w:h="16836" w:orient="portrait"/>
          <w:cols w:equalWidth="0" w:num="1">
            <w:col w:w="9180"/>
          </w:cols>
          <w:pgMar w:left="1440" w:top="1144" w:right="1284" w:bottom="103" w:gutter="0" w:footer="0" w:header="0"/>
        </w:sectPr>
      </w:pPr>
    </w:p>
    <w:bookmarkStart w:id="253" w:name="page254"/>
    <w:bookmarkEnd w:id="253"/>
    <w:p>
      <w:pPr>
        <w:jc w:val="both"/>
        <w:ind w:left="1940"/>
        <w:spacing w:after="0" w:line="357" w:lineRule="auto"/>
        <w:rPr>
          <w:sz w:val="20"/>
          <w:szCs w:val="20"/>
          <w:color w:val="auto"/>
        </w:rPr>
      </w:pPr>
      <w:r>
        <w:rPr>
          <w:rFonts w:ascii="Times New Roman" w:cs="Times New Roman" w:eastAsia="Times New Roman" w:hAnsi="Times New Roman"/>
          <w:sz w:val="24"/>
          <w:szCs w:val="24"/>
          <w:color w:val="auto"/>
        </w:rPr>
        <w:t>statement that furnishing the details of depository account is mandatory and applications without depository account shall be treated as incomplete and rejected. Investors will not have the option of getting the allotment of specified securities in physical form. However, they may get the specified securities rematerialised subsequent to allotment.</w:t>
      </w:r>
    </w:p>
    <w:p>
      <w:pPr>
        <w:spacing w:after="0" w:line="17" w:lineRule="exact"/>
        <w:rPr>
          <w:sz w:val="20"/>
          <w:szCs w:val="20"/>
          <w:color w:val="auto"/>
        </w:rPr>
      </w:pPr>
    </w:p>
    <w:p>
      <w:pPr>
        <w:ind w:left="1940" w:hanging="572"/>
        <w:spacing w:after="0" w:line="344" w:lineRule="auto"/>
        <w:tabs>
          <w:tab w:leader="none" w:pos="1940" w:val="left"/>
        </w:tabs>
        <w:numPr>
          <w:ilvl w:val="0"/>
          <w:numId w:val="895"/>
        </w:numPr>
        <w:rPr>
          <w:rFonts w:ascii="Calibri" w:cs="Calibri" w:eastAsia="Calibri" w:hAnsi="Calibri"/>
          <w:sz w:val="22"/>
          <w:szCs w:val="22"/>
          <w:color w:val="auto"/>
        </w:rPr>
      </w:pPr>
      <w:r>
        <w:rPr>
          <w:rFonts w:ascii="Times New Roman" w:cs="Times New Roman" w:eastAsia="Times New Roman" w:hAnsi="Times New Roman"/>
          <w:sz w:val="24"/>
          <w:szCs w:val="24"/>
          <w:color w:val="auto"/>
        </w:rPr>
        <w:t>Statement that the specified securities, on allotment, shall be traded on stock exchanges in demat mode only.</w:t>
      </w:r>
    </w:p>
    <w:p>
      <w:pPr>
        <w:spacing w:after="0" w:line="26" w:lineRule="exact"/>
        <w:rPr>
          <w:rFonts w:ascii="Calibri" w:cs="Calibri" w:eastAsia="Calibri" w:hAnsi="Calibri"/>
          <w:sz w:val="22"/>
          <w:szCs w:val="22"/>
          <w:color w:val="auto"/>
        </w:rPr>
      </w:pPr>
    </w:p>
    <w:p>
      <w:pPr>
        <w:jc w:val="both"/>
        <w:ind w:left="1940" w:hanging="572"/>
        <w:spacing w:after="0" w:line="350" w:lineRule="auto"/>
        <w:tabs>
          <w:tab w:leader="none" w:pos="1940" w:val="left"/>
        </w:tabs>
        <w:numPr>
          <w:ilvl w:val="0"/>
          <w:numId w:val="895"/>
        </w:numPr>
        <w:rPr>
          <w:rFonts w:ascii="Calibri" w:cs="Calibri" w:eastAsia="Calibri" w:hAnsi="Calibri"/>
          <w:sz w:val="22"/>
          <w:szCs w:val="22"/>
          <w:color w:val="auto"/>
        </w:rPr>
      </w:pPr>
      <w:r>
        <w:rPr>
          <w:rFonts w:ascii="Times New Roman" w:cs="Times New Roman" w:eastAsia="Times New Roman" w:hAnsi="Times New Roman"/>
          <w:sz w:val="24"/>
          <w:szCs w:val="24"/>
          <w:color w:val="auto"/>
        </w:rPr>
        <w:t>Statement that single bid from any investor shall not exceed the investment limit/maximum number of specified securities that can be held by such investor under the relevant regulations/statutory guidelines.</w:t>
      </w:r>
    </w:p>
    <w:p>
      <w:pPr>
        <w:spacing w:after="0" w:line="25" w:lineRule="exact"/>
        <w:rPr>
          <w:rFonts w:ascii="Calibri" w:cs="Calibri" w:eastAsia="Calibri" w:hAnsi="Calibri"/>
          <w:sz w:val="22"/>
          <w:szCs w:val="22"/>
          <w:color w:val="auto"/>
        </w:rPr>
      </w:pPr>
    </w:p>
    <w:p>
      <w:pPr>
        <w:jc w:val="both"/>
        <w:ind w:left="1940" w:hanging="572"/>
        <w:spacing w:after="0" w:line="350" w:lineRule="auto"/>
        <w:tabs>
          <w:tab w:leader="none" w:pos="2000" w:val="left"/>
        </w:tabs>
        <w:numPr>
          <w:ilvl w:val="0"/>
          <w:numId w:val="895"/>
        </w:numPr>
        <w:rPr>
          <w:rFonts w:ascii="Calibri" w:cs="Calibri" w:eastAsia="Calibri" w:hAnsi="Calibri"/>
          <w:sz w:val="22"/>
          <w:szCs w:val="22"/>
          <w:color w:val="auto"/>
        </w:rPr>
      </w:pPr>
      <w:r>
        <w:rPr>
          <w:rFonts w:ascii="Times New Roman" w:cs="Times New Roman" w:eastAsia="Times New Roman" w:hAnsi="Times New Roman"/>
          <w:sz w:val="24"/>
          <w:szCs w:val="24"/>
          <w:color w:val="auto"/>
        </w:rPr>
        <w:t>Statement that the correct procedure for applications by Hindu Undivided Families and the fact that applications by Hindu Undivided Families would be treated as on par with applications by individuals;</w:t>
      </w:r>
    </w:p>
    <w:p>
      <w:pPr>
        <w:spacing w:after="0" w:line="3" w:lineRule="exact"/>
        <w:rPr>
          <w:rFonts w:ascii="Calibri" w:cs="Calibri" w:eastAsia="Calibri" w:hAnsi="Calibri"/>
          <w:sz w:val="22"/>
          <w:szCs w:val="22"/>
          <w:color w:val="auto"/>
        </w:rPr>
      </w:pPr>
    </w:p>
    <w:p>
      <w:pPr>
        <w:ind w:left="1940" w:hanging="572"/>
        <w:spacing w:after="0"/>
        <w:tabs>
          <w:tab w:leader="none" w:pos="1940" w:val="left"/>
        </w:tabs>
        <w:numPr>
          <w:ilvl w:val="0"/>
          <w:numId w:val="895"/>
        </w:numPr>
        <w:rPr>
          <w:rFonts w:ascii="Calibri" w:cs="Calibri" w:eastAsia="Calibri" w:hAnsi="Calibri"/>
          <w:sz w:val="22"/>
          <w:szCs w:val="22"/>
          <w:color w:val="auto"/>
        </w:rPr>
      </w:pPr>
      <w:r>
        <w:rPr>
          <w:rFonts w:ascii="Times New Roman" w:cs="Times New Roman" w:eastAsia="Times New Roman" w:hAnsi="Times New Roman"/>
          <w:sz w:val="24"/>
          <w:szCs w:val="24"/>
          <w:color w:val="auto"/>
        </w:rPr>
        <w:t>Applications by mutual funds:</w:t>
      </w:r>
    </w:p>
    <w:p>
      <w:pPr>
        <w:spacing w:after="0" w:line="151" w:lineRule="exact"/>
        <w:rPr>
          <w:rFonts w:ascii="Calibri" w:cs="Calibri" w:eastAsia="Calibri" w:hAnsi="Calibri"/>
          <w:sz w:val="22"/>
          <w:szCs w:val="22"/>
          <w:color w:val="auto"/>
        </w:rPr>
      </w:pPr>
    </w:p>
    <w:p>
      <w:pPr>
        <w:jc w:val="both"/>
        <w:ind w:left="2600" w:hanging="547"/>
        <w:spacing w:after="0" w:line="357" w:lineRule="auto"/>
        <w:tabs>
          <w:tab w:leader="none" w:pos="2600" w:val="left"/>
        </w:tabs>
        <w:numPr>
          <w:ilvl w:val="1"/>
          <w:numId w:val="8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Statement under the heads "Procedure for applications by mutual funds" and "Multiple Applications" to indicate that a separate application can be made in respect of each scheme of an Indian mutual fund registered with the Board and that such applications shall not be treated as multiple applications.</w:t>
      </w:r>
    </w:p>
    <w:p>
      <w:pPr>
        <w:spacing w:after="0" w:line="16" w:lineRule="exact"/>
        <w:rPr>
          <w:rFonts w:ascii="Times New Roman" w:cs="Times New Roman" w:eastAsia="Times New Roman" w:hAnsi="Times New Roman"/>
          <w:sz w:val="24"/>
          <w:szCs w:val="24"/>
          <w:color w:val="auto"/>
        </w:rPr>
      </w:pPr>
    </w:p>
    <w:p>
      <w:pPr>
        <w:jc w:val="both"/>
        <w:ind w:left="2600" w:hanging="547"/>
        <w:spacing w:after="0" w:line="354" w:lineRule="auto"/>
        <w:tabs>
          <w:tab w:leader="none" w:pos="2600" w:val="left"/>
        </w:tabs>
        <w:numPr>
          <w:ilvl w:val="1"/>
          <w:numId w:val="8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Statement that applications made by an asset management company or a custodian of a mutual fund shall clearly indicate the name of the concerned scheme for which the application is being made.</w:t>
      </w:r>
    </w:p>
    <w:p>
      <w:pPr>
        <w:spacing w:after="0" w:line="2" w:lineRule="exact"/>
        <w:rPr>
          <w:rFonts w:ascii="Times New Roman" w:cs="Times New Roman" w:eastAsia="Times New Roman" w:hAnsi="Times New Roman"/>
          <w:sz w:val="24"/>
          <w:szCs w:val="24"/>
          <w:color w:val="auto"/>
        </w:rPr>
      </w:pPr>
    </w:p>
    <w:p>
      <w:pPr>
        <w:ind w:left="1940" w:hanging="572"/>
        <w:spacing w:after="0"/>
        <w:tabs>
          <w:tab w:leader="none" w:pos="1940" w:val="left"/>
        </w:tabs>
        <w:numPr>
          <w:ilvl w:val="0"/>
          <w:numId w:val="895"/>
        </w:numPr>
        <w:rPr>
          <w:rFonts w:ascii="Calibri" w:cs="Calibri" w:eastAsia="Calibri" w:hAnsi="Calibri"/>
          <w:sz w:val="22"/>
          <w:szCs w:val="22"/>
          <w:color w:val="auto"/>
        </w:rPr>
      </w:pPr>
      <w:r>
        <w:rPr>
          <w:rFonts w:ascii="Times New Roman" w:cs="Times New Roman" w:eastAsia="Times New Roman" w:hAnsi="Times New Roman"/>
          <w:sz w:val="24"/>
          <w:szCs w:val="24"/>
          <w:color w:val="auto"/>
        </w:rPr>
        <w:t>Applications by non-resident Indians:</w:t>
      </w:r>
    </w:p>
    <w:p>
      <w:pPr>
        <w:spacing w:after="0" w:line="149" w:lineRule="exact"/>
        <w:rPr>
          <w:rFonts w:ascii="Calibri" w:cs="Calibri" w:eastAsia="Calibri" w:hAnsi="Calibri"/>
          <w:sz w:val="22"/>
          <w:szCs w:val="22"/>
          <w:color w:val="auto"/>
        </w:rPr>
      </w:pPr>
    </w:p>
    <w:p>
      <w:pPr>
        <w:jc w:val="both"/>
        <w:ind w:left="2600" w:hanging="547"/>
        <w:spacing w:after="0" w:line="358" w:lineRule="auto"/>
        <w:tabs>
          <w:tab w:leader="none" w:pos="2600" w:val="left"/>
        </w:tabs>
        <w:numPr>
          <w:ilvl w:val="1"/>
          <w:numId w:val="8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Statement that "Non-resident Indian applicants may please note that only such applications as are accompanied by payment in free foreign exchange shall be considered for allotment under the reserved category. The non-resident Indians who intend to make payment through Non-Resident Ordinary (NRO) accounts shall use the form meant for Resident Indians and shall not use the forms meant for reserved category."</w:t>
      </w:r>
    </w:p>
    <w:p>
      <w:pPr>
        <w:ind w:left="1940" w:hanging="572"/>
        <w:spacing w:after="0"/>
        <w:tabs>
          <w:tab w:leader="none" w:pos="1940" w:val="left"/>
        </w:tabs>
        <w:numPr>
          <w:ilvl w:val="0"/>
          <w:numId w:val="895"/>
        </w:numPr>
        <w:rPr>
          <w:rFonts w:ascii="Calibri" w:cs="Calibri" w:eastAsia="Calibri" w:hAnsi="Calibri"/>
          <w:sz w:val="22"/>
          <w:szCs w:val="22"/>
          <w:color w:val="auto"/>
        </w:rPr>
      </w:pPr>
      <w:r>
        <w:rPr>
          <w:rFonts w:ascii="Times New Roman" w:cs="Times New Roman" w:eastAsia="Times New Roman" w:hAnsi="Times New Roman"/>
          <w:sz w:val="24"/>
          <w:szCs w:val="24"/>
          <w:color w:val="auto"/>
        </w:rPr>
        <w:t>Application by ASBA investors:</w:t>
      </w:r>
    </w:p>
    <w:p>
      <w:pPr>
        <w:spacing w:after="0" w:line="149" w:lineRule="exact"/>
        <w:rPr>
          <w:rFonts w:ascii="Calibri" w:cs="Calibri" w:eastAsia="Calibri" w:hAnsi="Calibri"/>
          <w:sz w:val="22"/>
          <w:szCs w:val="22"/>
          <w:color w:val="auto"/>
        </w:rPr>
      </w:pPr>
    </w:p>
    <w:p>
      <w:pPr>
        <w:jc w:val="both"/>
        <w:ind w:left="2600" w:hanging="456"/>
        <w:spacing w:after="0" w:line="354" w:lineRule="auto"/>
        <w:tabs>
          <w:tab w:leader="none" w:pos="2600" w:val="left"/>
        </w:tabs>
        <w:numPr>
          <w:ilvl w:val="2"/>
          <w:numId w:val="8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Application Supported by Blocked Amount process including specific instructions for submitting Application Supported by Blocked Amount.</w:t>
      </w: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4"/>
          <w:szCs w:val="24"/>
          <w:color w:val="auto"/>
        </w:rPr>
        <w:t>254</w:t>
      </w:r>
    </w:p>
    <w:p>
      <w:pPr>
        <w:sectPr>
          <w:pgSz w:w="11900" w:h="16836" w:orient="portrait"/>
          <w:cols w:equalWidth="0" w:num="1">
            <w:col w:w="9180"/>
          </w:cols>
          <w:pgMar w:left="1440" w:top="1156" w:right="1284" w:bottom="103" w:gutter="0" w:footer="0" w:header="0"/>
        </w:sectPr>
      </w:pPr>
    </w:p>
    <w:bookmarkStart w:id="254" w:name="page255"/>
    <w:bookmarkEnd w:id="254"/>
    <w:p>
      <w:pPr>
        <w:ind w:left="2600" w:hanging="456"/>
        <w:spacing w:after="0"/>
        <w:tabs>
          <w:tab w:leader="none" w:pos="2600" w:val="left"/>
        </w:tabs>
        <w:numPr>
          <w:ilvl w:val="3"/>
          <w:numId w:val="89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statement that each application form shall bear the stamp of the</w:t>
      </w:r>
    </w:p>
    <w:p>
      <w:pPr>
        <w:spacing w:after="0" w:line="149" w:lineRule="exact"/>
        <w:rPr>
          <w:rFonts w:ascii="Times New Roman" w:cs="Times New Roman" w:eastAsia="Times New Roman" w:hAnsi="Times New Roman"/>
          <w:sz w:val="24"/>
          <w:szCs w:val="24"/>
          <w:color w:val="auto"/>
        </w:rPr>
      </w:pPr>
    </w:p>
    <w:p>
      <w:pPr>
        <w:jc w:val="both"/>
        <w:ind w:left="2600"/>
        <w:spacing w:after="0" w:line="35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syndicate member/SCSBs/registrar and share transfer agents/depository participants/stock brokers and if not, the same shall be rejected.</w:t>
      </w:r>
    </w:p>
    <w:p>
      <w:pPr>
        <w:spacing w:after="0" w:line="2" w:lineRule="exact"/>
        <w:rPr>
          <w:rFonts w:ascii="Times New Roman" w:cs="Times New Roman" w:eastAsia="Times New Roman" w:hAnsi="Times New Roman"/>
          <w:sz w:val="24"/>
          <w:szCs w:val="24"/>
          <w:color w:val="auto"/>
        </w:rPr>
      </w:pPr>
    </w:p>
    <w:p>
      <w:pPr>
        <w:ind w:left="1360" w:hanging="568"/>
        <w:spacing w:after="0"/>
        <w:tabs>
          <w:tab w:leader="none" w:pos="1360" w:val="left"/>
        </w:tabs>
        <w:numPr>
          <w:ilvl w:val="0"/>
          <w:numId w:val="897"/>
        </w:numPr>
        <w:rPr>
          <w:rFonts w:ascii="Calibri" w:cs="Calibri" w:eastAsia="Calibri" w:hAnsi="Calibri"/>
          <w:sz w:val="22"/>
          <w:szCs w:val="22"/>
          <w:color w:val="auto"/>
        </w:rPr>
      </w:pPr>
      <w:r>
        <w:rPr>
          <w:rFonts w:ascii="Times New Roman" w:cs="Times New Roman" w:eastAsia="Times New Roman" w:hAnsi="Times New Roman"/>
          <w:sz w:val="24"/>
          <w:szCs w:val="24"/>
          <w:color w:val="auto"/>
        </w:rPr>
        <w:t>Escrow mechanism for anchor investors: Escrow account of the issuer.</w:t>
      </w:r>
    </w:p>
    <w:p>
      <w:pPr>
        <w:spacing w:after="0" w:line="149" w:lineRule="exact"/>
        <w:rPr>
          <w:rFonts w:ascii="Calibri" w:cs="Calibri" w:eastAsia="Calibri" w:hAnsi="Calibri"/>
          <w:sz w:val="22"/>
          <w:szCs w:val="22"/>
          <w:color w:val="auto"/>
        </w:rPr>
      </w:pPr>
    </w:p>
    <w:p>
      <w:pPr>
        <w:ind w:left="1360" w:hanging="568"/>
        <w:spacing w:after="0" w:line="344" w:lineRule="auto"/>
        <w:tabs>
          <w:tab w:leader="none" w:pos="1360" w:val="left"/>
        </w:tabs>
        <w:numPr>
          <w:ilvl w:val="0"/>
          <w:numId w:val="897"/>
        </w:numPr>
        <w:rPr>
          <w:rFonts w:ascii="Calibri" w:cs="Calibri" w:eastAsia="Calibri" w:hAnsi="Calibri"/>
          <w:sz w:val="22"/>
          <w:szCs w:val="22"/>
          <w:color w:val="auto"/>
        </w:rPr>
      </w:pPr>
      <w:r>
        <w:rPr>
          <w:rFonts w:ascii="Times New Roman" w:cs="Times New Roman" w:eastAsia="Times New Roman" w:hAnsi="Times New Roman"/>
          <w:sz w:val="24"/>
          <w:szCs w:val="24"/>
          <w:color w:val="auto"/>
        </w:rPr>
        <w:t>Terms of payment and payment into the escrow collection account by anchor investors.</w:t>
      </w:r>
    </w:p>
    <w:p>
      <w:pPr>
        <w:spacing w:after="0" w:line="7" w:lineRule="exact"/>
        <w:rPr>
          <w:rFonts w:ascii="Calibri" w:cs="Calibri" w:eastAsia="Calibri" w:hAnsi="Calibri"/>
          <w:sz w:val="22"/>
          <w:szCs w:val="22"/>
          <w:color w:val="auto"/>
        </w:rPr>
      </w:pPr>
    </w:p>
    <w:p>
      <w:pPr>
        <w:ind w:left="1360" w:hanging="568"/>
        <w:spacing w:after="0"/>
        <w:tabs>
          <w:tab w:leader="none" w:pos="1360" w:val="left"/>
        </w:tabs>
        <w:numPr>
          <w:ilvl w:val="0"/>
          <w:numId w:val="897"/>
        </w:numPr>
        <w:rPr>
          <w:rFonts w:ascii="Calibri" w:cs="Calibri" w:eastAsia="Calibri" w:hAnsi="Calibri"/>
          <w:sz w:val="22"/>
          <w:szCs w:val="22"/>
          <w:color w:val="auto"/>
        </w:rPr>
      </w:pPr>
      <w:r>
        <w:rPr>
          <w:rFonts w:ascii="Times New Roman" w:cs="Times New Roman" w:eastAsia="Times New Roman" w:hAnsi="Times New Roman"/>
          <w:sz w:val="24"/>
          <w:szCs w:val="24"/>
          <w:color w:val="auto"/>
        </w:rPr>
        <w:t>Electronic registration of bids.</w:t>
      </w:r>
    </w:p>
    <w:p>
      <w:pPr>
        <w:spacing w:after="0" w:line="152" w:lineRule="exact"/>
        <w:rPr>
          <w:rFonts w:ascii="Calibri" w:cs="Calibri" w:eastAsia="Calibri" w:hAnsi="Calibri"/>
          <w:sz w:val="22"/>
          <w:szCs w:val="22"/>
          <w:color w:val="auto"/>
        </w:rPr>
      </w:pPr>
    </w:p>
    <w:p>
      <w:pPr>
        <w:jc w:val="both"/>
        <w:ind w:left="1360" w:hanging="568"/>
        <w:spacing w:after="0" w:line="353" w:lineRule="auto"/>
        <w:tabs>
          <w:tab w:leader="none" w:pos="1360" w:val="left"/>
        </w:tabs>
        <w:numPr>
          <w:ilvl w:val="0"/>
          <w:numId w:val="897"/>
        </w:numPr>
        <w:rPr>
          <w:rFonts w:ascii="Calibri" w:cs="Calibri" w:eastAsia="Calibri" w:hAnsi="Calibri"/>
          <w:sz w:val="22"/>
          <w:szCs w:val="22"/>
          <w:color w:val="auto"/>
        </w:rPr>
      </w:pPr>
      <w:r>
        <w:rPr>
          <w:rFonts w:ascii="Times New Roman" w:cs="Times New Roman" w:eastAsia="Times New Roman" w:hAnsi="Times New Roman"/>
          <w:sz w:val="24"/>
          <w:szCs w:val="24"/>
          <w:color w:val="auto"/>
        </w:rPr>
        <w:t>Build-up of the book and revision of bids. In this regard, it may be specifically disclosed that qualified institutional buyers and non-institutional investors can neither lower or withdraw their bids at any stage and retail individual investors can withdraw or revise their bids till issue closure date</w:t>
      </w:r>
    </w:p>
    <w:p>
      <w:pPr>
        <w:spacing w:after="0" w:line="2" w:lineRule="exact"/>
        <w:rPr>
          <w:rFonts w:ascii="Calibri" w:cs="Calibri" w:eastAsia="Calibri" w:hAnsi="Calibri"/>
          <w:sz w:val="22"/>
          <w:szCs w:val="22"/>
          <w:color w:val="auto"/>
        </w:rPr>
      </w:pPr>
    </w:p>
    <w:p>
      <w:pPr>
        <w:ind w:left="1360" w:hanging="568"/>
        <w:spacing w:after="0"/>
        <w:tabs>
          <w:tab w:leader="none" w:pos="1360" w:val="left"/>
        </w:tabs>
        <w:numPr>
          <w:ilvl w:val="0"/>
          <w:numId w:val="897"/>
        </w:numPr>
        <w:rPr>
          <w:rFonts w:ascii="Calibri" w:cs="Calibri" w:eastAsia="Calibri" w:hAnsi="Calibri"/>
          <w:sz w:val="22"/>
          <w:szCs w:val="22"/>
          <w:color w:val="auto"/>
        </w:rPr>
      </w:pPr>
      <w:r>
        <w:rPr>
          <w:rFonts w:ascii="Times New Roman" w:cs="Times New Roman" w:eastAsia="Times New Roman" w:hAnsi="Times New Roman"/>
          <w:sz w:val="24"/>
          <w:szCs w:val="24"/>
          <w:color w:val="auto"/>
        </w:rPr>
        <w:t>Price discovery and allocation.</w:t>
      </w:r>
    </w:p>
    <w:p>
      <w:pPr>
        <w:spacing w:after="0" w:line="129" w:lineRule="exact"/>
        <w:rPr>
          <w:rFonts w:ascii="Calibri" w:cs="Calibri" w:eastAsia="Calibri" w:hAnsi="Calibri"/>
          <w:sz w:val="22"/>
          <w:szCs w:val="22"/>
          <w:color w:val="auto"/>
        </w:rPr>
      </w:pPr>
    </w:p>
    <w:p>
      <w:pPr>
        <w:ind w:left="1360" w:hanging="568"/>
        <w:spacing w:after="0"/>
        <w:tabs>
          <w:tab w:leader="none" w:pos="1360" w:val="left"/>
        </w:tabs>
        <w:numPr>
          <w:ilvl w:val="0"/>
          <w:numId w:val="897"/>
        </w:numPr>
        <w:rPr>
          <w:rFonts w:ascii="Calibri" w:cs="Calibri" w:eastAsia="Calibri" w:hAnsi="Calibri"/>
          <w:sz w:val="22"/>
          <w:szCs w:val="22"/>
          <w:color w:val="auto"/>
        </w:rPr>
      </w:pPr>
      <w:r>
        <w:rPr>
          <w:rFonts w:ascii="Times New Roman" w:cs="Times New Roman" w:eastAsia="Times New Roman" w:hAnsi="Times New Roman"/>
          <w:sz w:val="24"/>
          <w:szCs w:val="24"/>
          <w:color w:val="auto"/>
        </w:rPr>
        <w:t>Signing of underwriting agreement.</w:t>
      </w:r>
    </w:p>
    <w:p>
      <w:pPr>
        <w:spacing w:after="0" w:line="132" w:lineRule="exact"/>
        <w:rPr>
          <w:rFonts w:ascii="Calibri" w:cs="Calibri" w:eastAsia="Calibri" w:hAnsi="Calibri"/>
          <w:sz w:val="22"/>
          <w:szCs w:val="22"/>
          <w:color w:val="auto"/>
        </w:rPr>
      </w:pPr>
    </w:p>
    <w:p>
      <w:pPr>
        <w:ind w:left="1360" w:hanging="568"/>
        <w:spacing w:after="0"/>
        <w:tabs>
          <w:tab w:leader="none" w:pos="1360" w:val="left"/>
        </w:tabs>
        <w:numPr>
          <w:ilvl w:val="0"/>
          <w:numId w:val="897"/>
        </w:numPr>
        <w:rPr>
          <w:rFonts w:ascii="Calibri" w:cs="Calibri" w:eastAsia="Calibri" w:hAnsi="Calibri"/>
          <w:sz w:val="22"/>
          <w:szCs w:val="22"/>
          <w:color w:val="auto"/>
        </w:rPr>
      </w:pPr>
      <w:r>
        <w:rPr>
          <w:rFonts w:ascii="Times New Roman" w:cs="Times New Roman" w:eastAsia="Times New Roman" w:hAnsi="Times New Roman"/>
          <w:sz w:val="24"/>
          <w:szCs w:val="24"/>
          <w:color w:val="auto"/>
        </w:rPr>
        <w:t>Filing of the offer document.</w:t>
      </w:r>
    </w:p>
    <w:p>
      <w:pPr>
        <w:spacing w:after="0" w:line="129" w:lineRule="exact"/>
        <w:rPr>
          <w:rFonts w:ascii="Calibri" w:cs="Calibri" w:eastAsia="Calibri" w:hAnsi="Calibri"/>
          <w:sz w:val="22"/>
          <w:szCs w:val="22"/>
          <w:color w:val="auto"/>
        </w:rPr>
      </w:pPr>
    </w:p>
    <w:p>
      <w:pPr>
        <w:ind w:left="1360" w:hanging="568"/>
        <w:spacing w:after="0"/>
        <w:tabs>
          <w:tab w:leader="none" w:pos="1360" w:val="left"/>
        </w:tabs>
        <w:numPr>
          <w:ilvl w:val="0"/>
          <w:numId w:val="897"/>
        </w:numPr>
        <w:rPr>
          <w:rFonts w:ascii="Calibri" w:cs="Calibri" w:eastAsia="Calibri" w:hAnsi="Calibri"/>
          <w:sz w:val="22"/>
          <w:szCs w:val="22"/>
          <w:color w:val="auto"/>
        </w:rPr>
      </w:pPr>
      <w:r>
        <w:rPr>
          <w:rFonts w:ascii="Times New Roman" w:cs="Times New Roman" w:eastAsia="Times New Roman" w:hAnsi="Times New Roman"/>
          <w:sz w:val="24"/>
          <w:szCs w:val="24"/>
          <w:color w:val="auto"/>
        </w:rPr>
        <w:t>Announcement of pre-issue advertisement.</w:t>
      </w:r>
    </w:p>
    <w:p>
      <w:pPr>
        <w:spacing w:after="0" w:line="132" w:lineRule="exact"/>
        <w:rPr>
          <w:rFonts w:ascii="Calibri" w:cs="Calibri" w:eastAsia="Calibri" w:hAnsi="Calibri"/>
          <w:sz w:val="22"/>
          <w:szCs w:val="22"/>
          <w:color w:val="auto"/>
        </w:rPr>
      </w:pPr>
    </w:p>
    <w:p>
      <w:pPr>
        <w:ind w:left="1360" w:hanging="568"/>
        <w:spacing w:after="0"/>
        <w:tabs>
          <w:tab w:leader="none" w:pos="1360" w:val="left"/>
        </w:tabs>
        <w:numPr>
          <w:ilvl w:val="0"/>
          <w:numId w:val="897"/>
        </w:numPr>
        <w:rPr>
          <w:rFonts w:ascii="Calibri" w:cs="Calibri" w:eastAsia="Calibri" w:hAnsi="Calibri"/>
          <w:sz w:val="22"/>
          <w:szCs w:val="22"/>
          <w:color w:val="auto"/>
        </w:rPr>
      </w:pPr>
      <w:r>
        <w:rPr>
          <w:rFonts w:ascii="Times New Roman" w:cs="Times New Roman" w:eastAsia="Times New Roman" w:hAnsi="Times New Roman"/>
          <w:sz w:val="24"/>
          <w:szCs w:val="24"/>
          <w:color w:val="auto"/>
        </w:rPr>
        <w:t>Issuance of Confirmation of Allocation Note (“CAN”)  and allotment in the</w:t>
      </w:r>
    </w:p>
    <w:p>
      <w:pPr>
        <w:spacing w:after="0" w:line="136" w:lineRule="exact"/>
        <w:rPr>
          <w:rFonts w:ascii="Calibri" w:cs="Calibri" w:eastAsia="Calibri" w:hAnsi="Calibri"/>
          <w:sz w:val="22"/>
          <w:szCs w:val="22"/>
          <w:color w:val="auto"/>
        </w:rPr>
      </w:pPr>
    </w:p>
    <w:p>
      <w:pPr>
        <w:ind w:left="1360"/>
        <w:spacing w:after="0"/>
        <w:rPr>
          <w:rFonts w:ascii="Calibri" w:cs="Calibri" w:eastAsia="Calibri" w:hAnsi="Calibri"/>
          <w:sz w:val="22"/>
          <w:szCs w:val="22"/>
          <w:color w:val="auto"/>
        </w:rPr>
      </w:pPr>
      <w:r>
        <w:rPr>
          <w:rFonts w:ascii="Times New Roman" w:cs="Times New Roman" w:eastAsia="Times New Roman" w:hAnsi="Times New Roman"/>
          <w:sz w:val="24"/>
          <w:szCs w:val="24"/>
          <w:color w:val="auto"/>
        </w:rPr>
        <w:t>Issue.</w:t>
      </w:r>
    </w:p>
    <w:p>
      <w:pPr>
        <w:spacing w:after="0" w:line="132" w:lineRule="exact"/>
        <w:rPr>
          <w:rFonts w:ascii="Calibri" w:cs="Calibri" w:eastAsia="Calibri" w:hAnsi="Calibri"/>
          <w:sz w:val="22"/>
          <w:szCs w:val="22"/>
          <w:color w:val="auto"/>
        </w:rPr>
      </w:pPr>
    </w:p>
    <w:p>
      <w:pPr>
        <w:ind w:left="1360" w:hanging="568"/>
        <w:spacing w:after="0"/>
        <w:tabs>
          <w:tab w:leader="none" w:pos="1360" w:val="left"/>
        </w:tabs>
        <w:numPr>
          <w:ilvl w:val="0"/>
          <w:numId w:val="897"/>
        </w:numPr>
        <w:rPr>
          <w:rFonts w:ascii="Calibri" w:cs="Calibri" w:eastAsia="Calibri" w:hAnsi="Calibri"/>
          <w:sz w:val="22"/>
          <w:szCs w:val="22"/>
          <w:color w:val="auto"/>
        </w:rPr>
      </w:pPr>
      <w:r>
        <w:rPr>
          <w:rFonts w:ascii="Times New Roman" w:cs="Times New Roman" w:eastAsia="Times New Roman" w:hAnsi="Times New Roman"/>
          <w:sz w:val="24"/>
          <w:szCs w:val="24"/>
          <w:color w:val="auto"/>
        </w:rPr>
        <w:t>Designated date.</w:t>
      </w:r>
    </w:p>
    <w:p>
      <w:pPr>
        <w:spacing w:after="0" w:line="129" w:lineRule="exact"/>
        <w:rPr>
          <w:rFonts w:ascii="Calibri" w:cs="Calibri" w:eastAsia="Calibri" w:hAnsi="Calibri"/>
          <w:sz w:val="22"/>
          <w:szCs w:val="22"/>
          <w:color w:val="auto"/>
        </w:rPr>
      </w:pPr>
    </w:p>
    <w:p>
      <w:pPr>
        <w:ind w:left="1360" w:hanging="568"/>
        <w:spacing w:after="0"/>
        <w:tabs>
          <w:tab w:leader="none" w:pos="1360" w:val="left"/>
        </w:tabs>
        <w:numPr>
          <w:ilvl w:val="0"/>
          <w:numId w:val="897"/>
        </w:numPr>
        <w:rPr>
          <w:rFonts w:ascii="Calibri" w:cs="Calibri" w:eastAsia="Calibri" w:hAnsi="Calibri"/>
          <w:sz w:val="22"/>
          <w:szCs w:val="22"/>
          <w:color w:val="auto"/>
        </w:rPr>
      </w:pPr>
      <w:r>
        <w:rPr>
          <w:rFonts w:ascii="Times New Roman" w:cs="Times New Roman" w:eastAsia="Times New Roman" w:hAnsi="Times New Roman"/>
          <w:sz w:val="24"/>
          <w:szCs w:val="24"/>
          <w:color w:val="auto"/>
        </w:rPr>
        <w:t>General instructions:</w:t>
      </w:r>
    </w:p>
    <w:p>
      <w:pPr>
        <w:spacing w:after="0" w:line="127" w:lineRule="exact"/>
        <w:rPr>
          <w:rFonts w:ascii="Calibri" w:cs="Calibri" w:eastAsia="Calibri" w:hAnsi="Calibri"/>
          <w:sz w:val="22"/>
          <w:szCs w:val="22"/>
          <w:color w:val="auto"/>
        </w:rPr>
      </w:pPr>
    </w:p>
    <w:p>
      <w:pPr>
        <w:ind w:left="2240" w:hanging="512"/>
        <w:spacing w:after="0"/>
        <w:tabs>
          <w:tab w:leader="none" w:pos="2240" w:val="left"/>
        </w:tabs>
        <w:numPr>
          <w:ilvl w:val="2"/>
          <w:numId w:val="897"/>
        </w:numPr>
        <w:rPr>
          <w:rFonts w:ascii="Calibri" w:cs="Calibri" w:eastAsia="Calibri" w:hAnsi="Calibri"/>
          <w:sz w:val="24"/>
          <w:szCs w:val="24"/>
          <w:color w:val="auto"/>
        </w:rPr>
      </w:pPr>
      <w:r>
        <w:rPr>
          <w:rFonts w:ascii="Times New Roman" w:cs="Times New Roman" w:eastAsia="Times New Roman" w:hAnsi="Times New Roman"/>
          <w:sz w:val="24"/>
          <w:szCs w:val="24"/>
          <w:color w:val="auto"/>
        </w:rPr>
        <w:t>Do’s and don’ts.</w:t>
      </w:r>
    </w:p>
    <w:p>
      <w:pPr>
        <w:spacing w:after="0" w:line="124" w:lineRule="exact"/>
        <w:rPr>
          <w:rFonts w:ascii="Calibri" w:cs="Calibri" w:eastAsia="Calibri" w:hAnsi="Calibri"/>
          <w:sz w:val="24"/>
          <w:szCs w:val="24"/>
          <w:color w:val="auto"/>
        </w:rPr>
      </w:pPr>
    </w:p>
    <w:p>
      <w:pPr>
        <w:ind w:left="2240" w:hanging="512"/>
        <w:spacing w:after="0"/>
        <w:tabs>
          <w:tab w:leader="none" w:pos="2240" w:val="left"/>
        </w:tabs>
        <w:numPr>
          <w:ilvl w:val="2"/>
          <w:numId w:val="897"/>
        </w:numPr>
        <w:rPr>
          <w:rFonts w:ascii="Calibri" w:cs="Calibri" w:eastAsia="Calibri" w:hAnsi="Calibri"/>
          <w:sz w:val="24"/>
          <w:szCs w:val="24"/>
          <w:color w:val="auto"/>
        </w:rPr>
      </w:pPr>
      <w:r>
        <w:rPr>
          <w:rFonts w:ascii="Times New Roman" w:cs="Times New Roman" w:eastAsia="Times New Roman" w:hAnsi="Times New Roman"/>
          <w:sz w:val="24"/>
          <w:szCs w:val="24"/>
          <w:color w:val="auto"/>
        </w:rPr>
        <w:t>Instructions for completing the bid form.</w:t>
      </w:r>
    </w:p>
    <w:p>
      <w:pPr>
        <w:spacing w:after="0" w:line="124" w:lineRule="exact"/>
        <w:rPr>
          <w:rFonts w:ascii="Calibri" w:cs="Calibri" w:eastAsia="Calibri" w:hAnsi="Calibri"/>
          <w:sz w:val="24"/>
          <w:szCs w:val="24"/>
          <w:color w:val="auto"/>
        </w:rPr>
      </w:pPr>
    </w:p>
    <w:p>
      <w:pPr>
        <w:ind w:left="2240" w:hanging="512"/>
        <w:spacing w:after="0"/>
        <w:tabs>
          <w:tab w:leader="none" w:pos="2240" w:val="left"/>
        </w:tabs>
        <w:numPr>
          <w:ilvl w:val="2"/>
          <w:numId w:val="897"/>
        </w:numPr>
        <w:rPr>
          <w:rFonts w:ascii="Calibri" w:cs="Calibri" w:eastAsia="Calibri" w:hAnsi="Calibri"/>
          <w:sz w:val="24"/>
          <w:szCs w:val="24"/>
          <w:color w:val="auto"/>
        </w:rPr>
      </w:pPr>
      <w:r>
        <w:rPr>
          <w:rFonts w:ascii="Times New Roman" w:cs="Times New Roman" w:eastAsia="Times New Roman" w:hAnsi="Times New Roman"/>
          <w:sz w:val="24"/>
          <w:szCs w:val="24"/>
          <w:color w:val="auto"/>
        </w:rPr>
        <w:t>Bidders’ bank account details.</w:t>
      </w:r>
    </w:p>
    <w:p>
      <w:pPr>
        <w:spacing w:after="0" w:line="156" w:lineRule="exact"/>
        <w:rPr>
          <w:rFonts w:ascii="Calibri" w:cs="Calibri" w:eastAsia="Calibri" w:hAnsi="Calibri"/>
          <w:sz w:val="24"/>
          <w:szCs w:val="24"/>
          <w:color w:val="auto"/>
        </w:rPr>
      </w:pPr>
    </w:p>
    <w:p>
      <w:pPr>
        <w:ind w:left="2240" w:hanging="512"/>
        <w:spacing w:after="0" w:line="333" w:lineRule="auto"/>
        <w:tabs>
          <w:tab w:leader="none" w:pos="2240" w:val="left"/>
        </w:tabs>
        <w:numPr>
          <w:ilvl w:val="2"/>
          <w:numId w:val="897"/>
        </w:numPr>
        <w:rPr>
          <w:rFonts w:ascii="Calibri" w:cs="Calibri" w:eastAsia="Calibri" w:hAnsi="Calibri"/>
          <w:sz w:val="24"/>
          <w:szCs w:val="24"/>
          <w:color w:val="auto"/>
        </w:rPr>
      </w:pPr>
      <w:r>
        <w:rPr>
          <w:rFonts w:ascii="Times New Roman" w:cs="Times New Roman" w:eastAsia="Times New Roman" w:hAnsi="Times New Roman"/>
          <w:sz w:val="24"/>
          <w:szCs w:val="24"/>
          <w:color w:val="auto"/>
        </w:rPr>
        <w:t>Bids by non-resident Indians or foreign portfolio investors, foreign venture capital investors on repatriation basis</w:t>
      </w:r>
    </w:p>
    <w:p>
      <w:pPr>
        <w:spacing w:after="0" w:line="19" w:lineRule="exact"/>
        <w:rPr>
          <w:rFonts w:ascii="Calibri" w:cs="Calibri" w:eastAsia="Calibri" w:hAnsi="Calibri"/>
          <w:sz w:val="24"/>
          <w:szCs w:val="24"/>
          <w:color w:val="auto"/>
        </w:rPr>
      </w:pPr>
    </w:p>
    <w:p>
      <w:pPr>
        <w:ind w:left="1360" w:hanging="568"/>
        <w:spacing w:after="0"/>
        <w:tabs>
          <w:tab w:leader="none" w:pos="1360" w:val="left"/>
        </w:tabs>
        <w:numPr>
          <w:ilvl w:val="0"/>
          <w:numId w:val="897"/>
        </w:numPr>
        <w:rPr>
          <w:rFonts w:ascii="Calibri" w:cs="Calibri" w:eastAsia="Calibri" w:hAnsi="Calibri"/>
          <w:sz w:val="22"/>
          <w:szCs w:val="22"/>
          <w:color w:val="auto"/>
        </w:rPr>
      </w:pPr>
      <w:r>
        <w:rPr>
          <w:rFonts w:ascii="Times New Roman" w:cs="Times New Roman" w:eastAsia="Times New Roman" w:hAnsi="Times New Roman"/>
          <w:sz w:val="24"/>
          <w:szCs w:val="24"/>
          <w:color w:val="auto"/>
        </w:rPr>
        <w:t>Payment instructions:</w:t>
      </w:r>
    </w:p>
    <w:p>
      <w:pPr>
        <w:spacing w:after="0" w:line="129" w:lineRule="exact"/>
        <w:rPr>
          <w:rFonts w:ascii="Calibri" w:cs="Calibri" w:eastAsia="Calibri" w:hAnsi="Calibri"/>
          <w:sz w:val="22"/>
          <w:szCs w:val="22"/>
          <w:color w:val="auto"/>
        </w:rPr>
      </w:pPr>
    </w:p>
    <w:p>
      <w:pPr>
        <w:ind w:left="2240" w:hanging="548"/>
        <w:spacing w:after="0"/>
        <w:tabs>
          <w:tab w:leader="none" w:pos="2240" w:val="left"/>
        </w:tabs>
        <w:numPr>
          <w:ilvl w:val="1"/>
          <w:numId w:val="897"/>
        </w:numPr>
        <w:rPr>
          <w:rFonts w:ascii="Calibri" w:cs="Calibri" w:eastAsia="Calibri" w:hAnsi="Calibri"/>
          <w:sz w:val="22"/>
          <w:szCs w:val="22"/>
          <w:color w:val="auto"/>
        </w:rPr>
      </w:pPr>
      <w:r>
        <w:rPr>
          <w:rFonts w:ascii="Times New Roman" w:cs="Times New Roman" w:eastAsia="Times New Roman" w:hAnsi="Times New Roman"/>
          <w:sz w:val="24"/>
          <w:szCs w:val="24"/>
          <w:color w:val="auto"/>
        </w:rPr>
        <w:t>Payment into escrow account of the issuer.</w:t>
      </w:r>
    </w:p>
    <w:p>
      <w:pPr>
        <w:spacing w:after="0" w:line="132" w:lineRule="exact"/>
        <w:rPr>
          <w:rFonts w:ascii="Calibri" w:cs="Calibri" w:eastAsia="Calibri" w:hAnsi="Calibri"/>
          <w:sz w:val="22"/>
          <w:szCs w:val="22"/>
          <w:color w:val="auto"/>
        </w:rPr>
      </w:pPr>
    </w:p>
    <w:p>
      <w:pPr>
        <w:ind w:left="2240" w:hanging="548"/>
        <w:spacing w:after="0"/>
        <w:tabs>
          <w:tab w:leader="none" w:pos="2240" w:val="left"/>
        </w:tabs>
        <w:numPr>
          <w:ilvl w:val="1"/>
          <w:numId w:val="897"/>
        </w:numPr>
        <w:rPr>
          <w:rFonts w:ascii="Calibri" w:cs="Calibri" w:eastAsia="Calibri" w:hAnsi="Calibri"/>
          <w:sz w:val="22"/>
          <w:szCs w:val="22"/>
          <w:color w:val="auto"/>
        </w:rPr>
      </w:pPr>
      <w:r>
        <w:rPr>
          <w:rFonts w:ascii="Times New Roman" w:cs="Times New Roman" w:eastAsia="Times New Roman" w:hAnsi="Times New Roman"/>
          <w:sz w:val="24"/>
          <w:szCs w:val="24"/>
          <w:color w:val="auto"/>
        </w:rPr>
        <w:t>Payment instructions for Application Supported by Blocked Amount.</w:t>
      </w:r>
    </w:p>
    <w:p>
      <w:pPr>
        <w:spacing w:after="0" w:line="129" w:lineRule="exact"/>
        <w:rPr>
          <w:rFonts w:ascii="Calibri" w:cs="Calibri" w:eastAsia="Calibri" w:hAnsi="Calibri"/>
          <w:sz w:val="22"/>
          <w:szCs w:val="22"/>
          <w:color w:val="auto"/>
        </w:rPr>
      </w:pPr>
    </w:p>
    <w:p>
      <w:pPr>
        <w:ind w:left="1360" w:hanging="568"/>
        <w:spacing w:after="0"/>
        <w:tabs>
          <w:tab w:leader="none" w:pos="1360" w:val="left"/>
        </w:tabs>
        <w:numPr>
          <w:ilvl w:val="0"/>
          <w:numId w:val="897"/>
        </w:numPr>
        <w:rPr>
          <w:rFonts w:ascii="Calibri" w:cs="Calibri" w:eastAsia="Calibri" w:hAnsi="Calibri"/>
          <w:sz w:val="22"/>
          <w:szCs w:val="22"/>
          <w:color w:val="auto"/>
        </w:rPr>
      </w:pPr>
      <w:r>
        <w:rPr>
          <w:rFonts w:ascii="Times New Roman" w:cs="Times New Roman" w:eastAsia="Times New Roman" w:hAnsi="Times New Roman"/>
          <w:sz w:val="24"/>
          <w:szCs w:val="24"/>
          <w:color w:val="auto"/>
        </w:rPr>
        <w:t>Submission of bid form.</w:t>
      </w:r>
    </w:p>
    <w:p>
      <w:pPr>
        <w:spacing w:after="0" w:line="129" w:lineRule="exact"/>
        <w:rPr>
          <w:rFonts w:ascii="Calibri" w:cs="Calibri" w:eastAsia="Calibri" w:hAnsi="Calibri"/>
          <w:sz w:val="22"/>
          <w:szCs w:val="22"/>
          <w:color w:val="auto"/>
        </w:rPr>
      </w:pPr>
    </w:p>
    <w:p>
      <w:pPr>
        <w:ind w:left="1360" w:hanging="568"/>
        <w:spacing w:after="0"/>
        <w:tabs>
          <w:tab w:leader="none" w:pos="1360" w:val="left"/>
        </w:tabs>
        <w:numPr>
          <w:ilvl w:val="0"/>
          <w:numId w:val="897"/>
        </w:numPr>
        <w:rPr>
          <w:rFonts w:ascii="Calibri" w:cs="Calibri" w:eastAsia="Calibri" w:hAnsi="Calibri"/>
          <w:sz w:val="22"/>
          <w:szCs w:val="22"/>
          <w:color w:val="auto"/>
        </w:rPr>
      </w:pPr>
      <w:r>
        <w:rPr>
          <w:rFonts w:ascii="Times New Roman" w:cs="Times New Roman" w:eastAsia="Times New Roman" w:hAnsi="Times New Roman"/>
          <w:sz w:val="24"/>
          <w:szCs w:val="24"/>
          <w:color w:val="auto"/>
        </w:rPr>
        <w:t>Other instructions:</w:t>
      </w:r>
    </w:p>
    <w:p>
      <w:pPr>
        <w:spacing w:after="0" w:line="127" w:lineRule="exact"/>
        <w:rPr>
          <w:rFonts w:ascii="Calibri" w:cs="Calibri" w:eastAsia="Calibri" w:hAnsi="Calibri"/>
          <w:sz w:val="22"/>
          <w:szCs w:val="22"/>
          <w:color w:val="auto"/>
        </w:rPr>
      </w:pPr>
    </w:p>
    <w:p>
      <w:pPr>
        <w:ind w:left="2240" w:hanging="548"/>
        <w:spacing w:after="0"/>
        <w:tabs>
          <w:tab w:leader="none" w:pos="2240" w:val="left"/>
        </w:tabs>
        <w:numPr>
          <w:ilvl w:val="1"/>
          <w:numId w:val="897"/>
        </w:numPr>
        <w:rPr>
          <w:rFonts w:ascii="Calibri" w:cs="Calibri" w:eastAsia="Calibri" w:hAnsi="Calibri"/>
          <w:sz w:val="24"/>
          <w:szCs w:val="24"/>
          <w:color w:val="auto"/>
        </w:rPr>
      </w:pPr>
      <w:r>
        <w:rPr>
          <w:rFonts w:ascii="Times New Roman" w:cs="Times New Roman" w:eastAsia="Times New Roman" w:hAnsi="Times New Roman"/>
          <w:sz w:val="24"/>
          <w:szCs w:val="24"/>
          <w:color w:val="auto"/>
        </w:rPr>
        <w:t>Joint bids in the case of individuals.</w:t>
      </w:r>
    </w:p>
    <w:p>
      <w:pPr>
        <w:spacing w:after="0" w:line="125" w:lineRule="exact"/>
        <w:rPr>
          <w:rFonts w:ascii="Calibri" w:cs="Calibri" w:eastAsia="Calibri" w:hAnsi="Calibri"/>
          <w:sz w:val="24"/>
          <w:szCs w:val="24"/>
          <w:color w:val="auto"/>
        </w:rPr>
      </w:pPr>
    </w:p>
    <w:p>
      <w:pPr>
        <w:ind w:left="2240" w:hanging="548"/>
        <w:spacing w:after="0"/>
        <w:tabs>
          <w:tab w:leader="none" w:pos="2240" w:val="left"/>
        </w:tabs>
        <w:numPr>
          <w:ilvl w:val="1"/>
          <w:numId w:val="897"/>
        </w:numPr>
        <w:rPr>
          <w:rFonts w:ascii="Calibri" w:cs="Calibri" w:eastAsia="Calibri" w:hAnsi="Calibri"/>
          <w:sz w:val="24"/>
          <w:szCs w:val="24"/>
          <w:color w:val="auto"/>
        </w:rPr>
      </w:pPr>
      <w:r>
        <w:rPr>
          <w:rFonts w:ascii="Times New Roman" w:cs="Times New Roman" w:eastAsia="Times New Roman" w:hAnsi="Times New Roman"/>
          <w:sz w:val="24"/>
          <w:szCs w:val="24"/>
          <w:color w:val="auto"/>
        </w:rPr>
        <w:t>Multiple bids.</w:t>
      </w:r>
    </w:p>
    <w:p>
      <w:pPr>
        <w:spacing w:after="0" w:line="156" w:lineRule="exact"/>
        <w:rPr>
          <w:rFonts w:ascii="Calibri" w:cs="Calibri" w:eastAsia="Calibri" w:hAnsi="Calibri"/>
          <w:sz w:val="24"/>
          <w:szCs w:val="24"/>
          <w:color w:val="auto"/>
        </w:rPr>
      </w:pPr>
    </w:p>
    <w:p>
      <w:pPr>
        <w:jc w:val="both"/>
        <w:ind w:left="2240" w:hanging="548"/>
        <w:spacing w:after="0" w:line="343" w:lineRule="auto"/>
        <w:tabs>
          <w:tab w:leader="none" w:pos="2240" w:val="left"/>
        </w:tabs>
        <w:numPr>
          <w:ilvl w:val="1"/>
          <w:numId w:val="897"/>
        </w:numPr>
        <w:rPr>
          <w:rFonts w:ascii="Calibri" w:cs="Calibri" w:eastAsia="Calibri" w:hAnsi="Calibri"/>
          <w:sz w:val="24"/>
          <w:szCs w:val="24"/>
          <w:color w:val="auto"/>
        </w:rPr>
      </w:pPr>
      <w:r>
        <w:rPr>
          <w:rFonts w:ascii="Times New Roman" w:cs="Times New Roman" w:eastAsia="Times New Roman" w:hAnsi="Times New Roman"/>
          <w:sz w:val="24"/>
          <w:szCs w:val="24"/>
          <w:color w:val="auto"/>
        </w:rPr>
        <w:t>Instructions to the applicants to mention the Permanent Account Number of the sole / first holder in the application form, irrespective of the amount for which application or bid is made, along with the</w:t>
      </w:r>
    </w:p>
    <w:p>
      <w:pPr>
        <w:spacing w:after="0" w:line="247"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255</w:t>
      </w:r>
    </w:p>
    <w:p>
      <w:pPr>
        <w:sectPr>
          <w:pgSz w:w="11900" w:h="16836" w:orient="portrait"/>
          <w:cols w:equalWidth="0" w:num="1">
            <w:col w:w="9180"/>
          </w:cols>
          <w:pgMar w:left="1440" w:top="1144" w:right="1284" w:bottom="103" w:gutter="0" w:footer="0" w:header="0"/>
        </w:sectPr>
      </w:pPr>
    </w:p>
    <w:bookmarkStart w:id="255" w:name="page256"/>
    <w:bookmarkEnd w:id="255"/>
    <w:p>
      <w:pPr>
        <w:jc w:val="both"/>
        <w:ind w:left="2240"/>
        <w:spacing w:after="0" w:line="354" w:lineRule="auto"/>
        <w:rPr>
          <w:sz w:val="20"/>
          <w:szCs w:val="20"/>
          <w:color w:val="auto"/>
        </w:rPr>
      </w:pPr>
      <w:r>
        <w:rPr>
          <w:rFonts w:ascii="Times New Roman" w:cs="Times New Roman" w:eastAsia="Times New Roman" w:hAnsi="Times New Roman"/>
          <w:sz w:val="24"/>
          <w:szCs w:val="24"/>
          <w:color w:val="auto"/>
        </w:rPr>
        <w:t>instruction that applications without Permanent Account Number would be rejected except where the requirement to hold a permanent account number has been specifically exempt under applicable law.</w:t>
      </w:r>
    </w:p>
    <w:p>
      <w:pPr>
        <w:ind w:left="2240" w:hanging="548"/>
        <w:spacing w:after="0" w:line="236" w:lineRule="auto"/>
        <w:tabs>
          <w:tab w:leader="none" w:pos="2240" w:val="left"/>
        </w:tabs>
        <w:numPr>
          <w:ilvl w:val="2"/>
          <w:numId w:val="898"/>
        </w:numPr>
        <w:rPr>
          <w:rFonts w:ascii="Calibri" w:cs="Calibri" w:eastAsia="Calibri" w:hAnsi="Calibri"/>
          <w:sz w:val="24"/>
          <w:szCs w:val="24"/>
          <w:color w:val="auto"/>
        </w:rPr>
      </w:pPr>
      <w:r>
        <w:rPr>
          <w:rFonts w:ascii="Times New Roman" w:cs="Times New Roman" w:eastAsia="Times New Roman" w:hAnsi="Times New Roman"/>
          <w:sz w:val="24"/>
          <w:szCs w:val="24"/>
          <w:color w:val="auto"/>
        </w:rPr>
        <w:t>Instances when an application would be rejected on technical grounds</w:t>
      </w:r>
    </w:p>
    <w:p>
      <w:pPr>
        <w:spacing w:after="0" w:line="127" w:lineRule="exact"/>
        <w:rPr>
          <w:rFonts w:ascii="Calibri" w:cs="Calibri" w:eastAsia="Calibri" w:hAnsi="Calibri"/>
          <w:sz w:val="24"/>
          <w:szCs w:val="24"/>
          <w:color w:val="auto"/>
        </w:rPr>
      </w:pPr>
    </w:p>
    <w:p>
      <w:pPr>
        <w:ind w:left="2240" w:hanging="548"/>
        <w:spacing w:after="0"/>
        <w:tabs>
          <w:tab w:leader="none" w:pos="2240" w:val="left"/>
        </w:tabs>
        <w:numPr>
          <w:ilvl w:val="2"/>
          <w:numId w:val="898"/>
        </w:numPr>
        <w:rPr>
          <w:rFonts w:ascii="Calibri" w:cs="Calibri" w:eastAsia="Calibri" w:hAnsi="Calibri"/>
          <w:sz w:val="24"/>
          <w:szCs w:val="24"/>
          <w:color w:val="auto"/>
        </w:rPr>
      </w:pPr>
      <w:r>
        <w:rPr>
          <w:rFonts w:ascii="Times New Roman" w:cs="Times New Roman" w:eastAsia="Times New Roman" w:hAnsi="Times New Roman"/>
          <w:sz w:val="24"/>
          <w:szCs w:val="24"/>
          <w:color w:val="auto"/>
        </w:rPr>
        <w:t>Equity shares in demat form with the depositories.</w:t>
      </w:r>
    </w:p>
    <w:p>
      <w:pPr>
        <w:spacing w:after="0" w:line="153" w:lineRule="exact"/>
        <w:rPr>
          <w:rFonts w:ascii="Calibri" w:cs="Calibri" w:eastAsia="Calibri" w:hAnsi="Calibri"/>
          <w:sz w:val="24"/>
          <w:szCs w:val="24"/>
          <w:color w:val="auto"/>
        </w:rPr>
      </w:pPr>
    </w:p>
    <w:p>
      <w:pPr>
        <w:jc w:val="both"/>
        <w:ind w:left="2240" w:hanging="548"/>
        <w:spacing w:after="0" w:line="344" w:lineRule="auto"/>
        <w:tabs>
          <w:tab w:leader="none" w:pos="2240" w:val="left"/>
        </w:tabs>
        <w:numPr>
          <w:ilvl w:val="2"/>
          <w:numId w:val="898"/>
        </w:numPr>
        <w:rPr>
          <w:rFonts w:ascii="Calibri" w:cs="Calibri" w:eastAsia="Calibri" w:hAnsi="Calibri"/>
          <w:sz w:val="24"/>
          <w:szCs w:val="24"/>
          <w:color w:val="auto"/>
        </w:rPr>
      </w:pPr>
      <w:r>
        <w:rPr>
          <w:rFonts w:ascii="Times New Roman" w:cs="Times New Roman" w:eastAsia="Times New Roman" w:hAnsi="Times New Roman"/>
          <w:sz w:val="24"/>
          <w:szCs w:val="24"/>
          <w:color w:val="auto"/>
        </w:rPr>
        <w:t>Investor’s attention shall also be invited to contact the compliance officer in case of any pre-issue or post-issue related problems regarding share certificates/demat credit/refund orders/ unblocking etc.</w:t>
      </w:r>
    </w:p>
    <w:p>
      <w:pPr>
        <w:spacing w:after="0" w:line="10" w:lineRule="exact"/>
        <w:rPr>
          <w:rFonts w:ascii="Calibri" w:cs="Calibri" w:eastAsia="Calibri" w:hAnsi="Calibri"/>
          <w:sz w:val="24"/>
          <w:szCs w:val="24"/>
          <w:color w:val="auto"/>
        </w:rPr>
      </w:pPr>
    </w:p>
    <w:p>
      <w:pPr>
        <w:ind w:left="1360" w:hanging="568"/>
        <w:spacing w:after="0"/>
        <w:tabs>
          <w:tab w:leader="none" w:pos="1360" w:val="left"/>
        </w:tabs>
        <w:numPr>
          <w:ilvl w:val="0"/>
          <w:numId w:val="899"/>
        </w:numPr>
        <w:rPr>
          <w:rFonts w:ascii="Calibri" w:cs="Calibri" w:eastAsia="Calibri" w:hAnsi="Calibri"/>
          <w:sz w:val="22"/>
          <w:szCs w:val="22"/>
          <w:color w:val="auto"/>
        </w:rPr>
      </w:pPr>
      <w:r>
        <w:rPr>
          <w:rFonts w:ascii="Times New Roman" w:cs="Times New Roman" w:eastAsia="Times New Roman" w:hAnsi="Times New Roman"/>
          <w:sz w:val="24"/>
          <w:szCs w:val="24"/>
          <w:color w:val="auto"/>
        </w:rPr>
        <w:t>Disposal of applications.</w:t>
      </w:r>
    </w:p>
    <w:p>
      <w:pPr>
        <w:spacing w:after="0" w:line="151" w:lineRule="exact"/>
        <w:rPr>
          <w:rFonts w:ascii="Calibri" w:cs="Calibri" w:eastAsia="Calibri" w:hAnsi="Calibri"/>
          <w:sz w:val="22"/>
          <w:szCs w:val="22"/>
          <w:color w:val="auto"/>
        </w:rPr>
      </w:pPr>
    </w:p>
    <w:p>
      <w:pPr>
        <w:ind w:left="1360" w:hanging="568"/>
        <w:spacing w:after="0" w:line="342" w:lineRule="auto"/>
        <w:tabs>
          <w:tab w:leader="none" w:pos="1360" w:val="left"/>
        </w:tabs>
        <w:numPr>
          <w:ilvl w:val="0"/>
          <w:numId w:val="899"/>
        </w:numPr>
        <w:rPr>
          <w:rFonts w:ascii="Calibri" w:cs="Calibri" w:eastAsia="Calibri" w:hAnsi="Calibri"/>
          <w:sz w:val="22"/>
          <w:szCs w:val="22"/>
          <w:color w:val="auto"/>
        </w:rPr>
      </w:pPr>
      <w:r>
        <w:rPr>
          <w:rFonts w:ascii="Times New Roman" w:cs="Times New Roman" w:eastAsia="Times New Roman" w:hAnsi="Times New Roman"/>
          <w:sz w:val="24"/>
          <w:szCs w:val="24"/>
          <w:color w:val="auto"/>
        </w:rPr>
        <w:t>Provisions of the Companies Act, 2013, as applicable, relating to punishment for fictitious applications, including to any person who:</w:t>
      </w:r>
    </w:p>
    <w:p>
      <w:pPr>
        <w:spacing w:after="0" w:line="36" w:lineRule="exact"/>
        <w:rPr>
          <w:rFonts w:ascii="Calibri" w:cs="Calibri" w:eastAsia="Calibri" w:hAnsi="Calibri"/>
          <w:sz w:val="22"/>
          <w:szCs w:val="22"/>
          <w:color w:val="auto"/>
        </w:rPr>
      </w:pPr>
    </w:p>
    <w:p>
      <w:pPr>
        <w:ind w:left="2240" w:hanging="548"/>
        <w:spacing w:after="0" w:line="333" w:lineRule="auto"/>
        <w:tabs>
          <w:tab w:leader="none" w:pos="2240" w:val="left"/>
        </w:tabs>
        <w:numPr>
          <w:ilvl w:val="2"/>
          <w:numId w:val="899"/>
        </w:numPr>
        <w:rPr>
          <w:rFonts w:ascii="Calibri" w:cs="Calibri" w:eastAsia="Calibri" w:hAnsi="Calibri"/>
          <w:sz w:val="24"/>
          <w:szCs w:val="24"/>
          <w:color w:val="auto"/>
        </w:rPr>
      </w:pPr>
      <w:r>
        <w:rPr>
          <w:rFonts w:ascii="Times New Roman" w:cs="Times New Roman" w:eastAsia="Times New Roman" w:hAnsi="Times New Roman"/>
          <w:sz w:val="24"/>
          <w:szCs w:val="24"/>
          <w:color w:val="auto"/>
        </w:rPr>
        <w:t>makes or abets making of an application in a fictitious name to a company for acquiring, or subscribing for, its securities, or</w:t>
      </w:r>
    </w:p>
    <w:p>
      <w:pPr>
        <w:spacing w:after="0" w:line="43" w:lineRule="exact"/>
        <w:rPr>
          <w:rFonts w:ascii="Calibri" w:cs="Calibri" w:eastAsia="Calibri" w:hAnsi="Calibri"/>
          <w:sz w:val="24"/>
          <w:szCs w:val="24"/>
          <w:color w:val="auto"/>
        </w:rPr>
      </w:pPr>
    </w:p>
    <w:p>
      <w:pPr>
        <w:jc w:val="both"/>
        <w:ind w:left="2240" w:hanging="548"/>
        <w:spacing w:after="0" w:line="352" w:lineRule="auto"/>
        <w:tabs>
          <w:tab w:leader="none" w:pos="2240" w:val="left"/>
        </w:tabs>
        <w:numPr>
          <w:ilvl w:val="2"/>
          <w:numId w:val="899"/>
        </w:numPr>
        <w:rPr>
          <w:rFonts w:ascii="Calibri" w:cs="Calibri" w:eastAsia="Calibri" w:hAnsi="Calibri"/>
          <w:sz w:val="24"/>
          <w:szCs w:val="24"/>
          <w:color w:val="auto"/>
        </w:rPr>
      </w:pPr>
      <w:r>
        <w:rPr>
          <w:rFonts w:ascii="Times New Roman" w:cs="Times New Roman" w:eastAsia="Times New Roman" w:hAnsi="Times New Roman"/>
          <w:sz w:val="24"/>
          <w:szCs w:val="24"/>
          <w:color w:val="auto"/>
        </w:rPr>
        <w:t>makes or abets making of multiple applications to a company in different names or in different combinations of his/her name or surname for acquiring or subscribing for its securities, shall be punishable with fine and/or imprisonment for such amount and/or term as may be prescribed under section 447 of the Companies Act 2013.</w:t>
      </w:r>
    </w:p>
    <w:p>
      <w:pPr>
        <w:spacing w:after="0" w:line="1" w:lineRule="exact"/>
        <w:rPr>
          <w:rFonts w:ascii="Calibri" w:cs="Calibri" w:eastAsia="Calibri" w:hAnsi="Calibri"/>
          <w:sz w:val="24"/>
          <w:szCs w:val="24"/>
          <w:color w:val="auto"/>
        </w:rPr>
      </w:pPr>
    </w:p>
    <w:p>
      <w:pPr>
        <w:ind w:left="1440" w:hanging="648"/>
        <w:spacing w:after="0"/>
        <w:tabs>
          <w:tab w:leader="none" w:pos="1440" w:val="left"/>
        </w:tabs>
        <w:numPr>
          <w:ilvl w:val="0"/>
          <w:numId w:val="899"/>
        </w:numPr>
        <w:rPr>
          <w:rFonts w:ascii="Calibri" w:cs="Calibri" w:eastAsia="Calibri" w:hAnsi="Calibri"/>
          <w:sz w:val="22"/>
          <w:szCs w:val="22"/>
          <w:color w:val="auto"/>
        </w:rPr>
      </w:pPr>
      <w:r>
        <w:rPr>
          <w:rFonts w:ascii="Times New Roman" w:cs="Times New Roman" w:eastAsia="Times New Roman" w:hAnsi="Times New Roman"/>
          <w:sz w:val="24"/>
          <w:szCs w:val="24"/>
          <w:color w:val="auto"/>
        </w:rPr>
        <w:t>Interest on refund of excess bid amount, in case of anchor investors.</w:t>
      </w:r>
    </w:p>
    <w:p>
      <w:pPr>
        <w:spacing w:after="0" w:line="149" w:lineRule="exact"/>
        <w:rPr>
          <w:rFonts w:ascii="Calibri" w:cs="Calibri" w:eastAsia="Calibri" w:hAnsi="Calibri"/>
          <w:sz w:val="22"/>
          <w:szCs w:val="22"/>
          <w:color w:val="auto"/>
        </w:rPr>
      </w:pPr>
    </w:p>
    <w:p>
      <w:pPr>
        <w:ind w:left="1360" w:hanging="568"/>
        <w:spacing w:after="0" w:line="344" w:lineRule="auto"/>
        <w:tabs>
          <w:tab w:leader="none" w:pos="1360" w:val="left"/>
        </w:tabs>
        <w:numPr>
          <w:ilvl w:val="0"/>
          <w:numId w:val="899"/>
        </w:numPr>
        <w:rPr>
          <w:rFonts w:ascii="Calibri" w:cs="Calibri" w:eastAsia="Calibri" w:hAnsi="Calibri"/>
          <w:sz w:val="22"/>
          <w:szCs w:val="22"/>
          <w:color w:val="auto"/>
        </w:rPr>
      </w:pPr>
      <w:r>
        <w:rPr>
          <w:rFonts w:ascii="Times New Roman" w:cs="Times New Roman" w:eastAsia="Times New Roman" w:hAnsi="Times New Roman"/>
          <w:sz w:val="24"/>
          <w:szCs w:val="24"/>
          <w:color w:val="auto"/>
        </w:rPr>
        <w:t>Names of entities responsible for finalising the basis of allotment in a fair and proper manner.</w:t>
      </w:r>
    </w:p>
    <w:p>
      <w:pPr>
        <w:spacing w:after="0" w:line="26" w:lineRule="exact"/>
        <w:rPr>
          <w:rFonts w:ascii="Calibri" w:cs="Calibri" w:eastAsia="Calibri" w:hAnsi="Calibri"/>
          <w:sz w:val="22"/>
          <w:szCs w:val="22"/>
          <w:color w:val="auto"/>
        </w:rPr>
      </w:pPr>
    </w:p>
    <w:p>
      <w:pPr>
        <w:ind w:left="1360" w:hanging="568"/>
        <w:spacing w:after="0" w:line="344" w:lineRule="auto"/>
        <w:tabs>
          <w:tab w:leader="none" w:pos="1360" w:val="left"/>
        </w:tabs>
        <w:numPr>
          <w:ilvl w:val="0"/>
          <w:numId w:val="899"/>
        </w:numPr>
        <w:rPr>
          <w:rFonts w:ascii="Calibri" w:cs="Calibri" w:eastAsia="Calibri" w:hAnsi="Calibri"/>
          <w:sz w:val="22"/>
          <w:szCs w:val="22"/>
          <w:color w:val="auto"/>
        </w:rPr>
      </w:pPr>
      <w:r>
        <w:rPr>
          <w:rFonts w:ascii="Times New Roman" w:cs="Times New Roman" w:eastAsia="Times New Roman" w:hAnsi="Times New Roman"/>
          <w:sz w:val="24"/>
          <w:szCs w:val="24"/>
          <w:color w:val="auto"/>
        </w:rPr>
        <w:t>Procedure and time of schedule for allotment and issue of certificates (for rights issues)/demat credit.</w:t>
      </w:r>
    </w:p>
    <w:p>
      <w:pPr>
        <w:spacing w:after="0" w:line="7" w:lineRule="exact"/>
        <w:rPr>
          <w:rFonts w:ascii="Calibri" w:cs="Calibri" w:eastAsia="Calibri" w:hAnsi="Calibri"/>
          <w:sz w:val="22"/>
          <w:szCs w:val="22"/>
          <w:color w:val="auto"/>
        </w:rPr>
      </w:pPr>
    </w:p>
    <w:p>
      <w:pPr>
        <w:ind w:left="1360" w:hanging="568"/>
        <w:spacing w:after="0"/>
        <w:tabs>
          <w:tab w:leader="none" w:pos="1360" w:val="left"/>
        </w:tabs>
        <w:numPr>
          <w:ilvl w:val="0"/>
          <w:numId w:val="899"/>
        </w:numPr>
        <w:rPr>
          <w:rFonts w:ascii="Calibri" w:cs="Calibri" w:eastAsia="Calibri" w:hAnsi="Calibri"/>
          <w:sz w:val="22"/>
          <w:szCs w:val="22"/>
          <w:color w:val="auto"/>
        </w:rPr>
      </w:pPr>
      <w:r>
        <w:rPr>
          <w:rFonts w:ascii="Times New Roman" w:cs="Times New Roman" w:eastAsia="Times New Roman" w:hAnsi="Times New Roman"/>
          <w:sz w:val="24"/>
          <w:szCs w:val="24"/>
          <w:color w:val="auto"/>
        </w:rPr>
        <w:t>Method of allotment as may be prescribed by the Board from time to time.</w:t>
      </w:r>
    </w:p>
    <w:p>
      <w:pPr>
        <w:spacing w:after="0" w:line="151" w:lineRule="exact"/>
        <w:rPr>
          <w:rFonts w:ascii="Calibri" w:cs="Calibri" w:eastAsia="Calibri" w:hAnsi="Calibri"/>
          <w:sz w:val="22"/>
          <w:szCs w:val="22"/>
          <w:color w:val="auto"/>
        </w:rPr>
      </w:pPr>
    </w:p>
    <w:p>
      <w:pPr>
        <w:jc w:val="both"/>
        <w:ind w:left="1360" w:hanging="568"/>
        <w:spacing w:after="0" w:line="353" w:lineRule="auto"/>
        <w:tabs>
          <w:tab w:leader="none" w:pos="1360" w:val="left"/>
        </w:tabs>
        <w:numPr>
          <w:ilvl w:val="0"/>
          <w:numId w:val="899"/>
        </w:numPr>
        <w:rPr>
          <w:rFonts w:ascii="Calibri" w:cs="Calibri" w:eastAsia="Calibri" w:hAnsi="Calibri"/>
          <w:sz w:val="22"/>
          <w:szCs w:val="22"/>
          <w:color w:val="auto"/>
        </w:rPr>
      </w:pPr>
      <w:r>
        <w:rPr>
          <w:rFonts w:ascii="Times New Roman" w:cs="Times New Roman" w:eastAsia="Times New Roman" w:hAnsi="Times New Roman"/>
          <w:sz w:val="24"/>
          <w:szCs w:val="24"/>
          <w:color w:val="auto"/>
        </w:rPr>
        <w:t>Letters of Allotment or refund orders or instructions to Self Certified Syndicate Banks in Application Supported by Blocked Amount process. The issuer shall ensure that “at par” facility is provided for encashment of refund orders for applications other than Application Supported by Blocked Amount process.</w:t>
      </w:r>
    </w:p>
    <w:p>
      <w:pPr>
        <w:spacing w:after="0" w:line="2" w:lineRule="exact"/>
        <w:rPr>
          <w:rFonts w:ascii="Calibri" w:cs="Calibri" w:eastAsia="Calibri" w:hAnsi="Calibri"/>
          <w:sz w:val="22"/>
          <w:szCs w:val="22"/>
          <w:color w:val="auto"/>
        </w:rPr>
      </w:pPr>
    </w:p>
    <w:p>
      <w:pPr>
        <w:ind w:left="1360" w:hanging="568"/>
        <w:spacing w:after="0"/>
        <w:tabs>
          <w:tab w:leader="none" w:pos="1360" w:val="left"/>
        </w:tabs>
        <w:numPr>
          <w:ilvl w:val="0"/>
          <w:numId w:val="899"/>
        </w:numPr>
        <w:rPr>
          <w:rFonts w:ascii="Calibri" w:cs="Calibri" w:eastAsia="Calibri" w:hAnsi="Calibri"/>
          <w:sz w:val="22"/>
          <w:szCs w:val="22"/>
          <w:color w:val="auto"/>
        </w:rPr>
      </w:pPr>
      <w:r>
        <w:rPr>
          <w:rFonts w:ascii="Times New Roman" w:cs="Times New Roman" w:eastAsia="Times New Roman" w:hAnsi="Times New Roman"/>
          <w:sz w:val="24"/>
          <w:szCs w:val="24"/>
          <w:color w:val="auto"/>
        </w:rPr>
        <w:t>Mode of making refunds:</w:t>
      </w:r>
    </w:p>
    <w:p>
      <w:pPr>
        <w:spacing w:after="0" w:line="149" w:lineRule="exact"/>
        <w:rPr>
          <w:rFonts w:ascii="Calibri" w:cs="Calibri" w:eastAsia="Calibri" w:hAnsi="Calibri"/>
          <w:sz w:val="22"/>
          <w:szCs w:val="22"/>
          <w:color w:val="auto"/>
        </w:rPr>
      </w:pPr>
    </w:p>
    <w:p>
      <w:pPr>
        <w:ind w:left="1940" w:hanging="572"/>
        <w:spacing w:after="0" w:line="344" w:lineRule="auto"/>
        <w:tabs>
          <w:tab w:leader="none" w:pos="1940" w:val="left"/>
        </w:tabs>
        <w:numPr>
          <w:ilvl w:val="1"/>
          <w:numId w:val="899"/>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mode in which the issuer shall refund the application money to applicants in case of an oversubscription or failure to list.</w:t>
      </w:r>
    </w:p>
    <w:p>
      <w:pPr>
        <w:spacing w:after="0" w:line="26" w:lineRule="exact"/>
        <w:rPr>
          <w:rFonts w:ascii="Calibri" w:cs="Calibri" w:eastAsia="Calibri" w:hAnsi="Calibri"/>
          <w:sz w:val="22"/>
          <w:szCs w:val="22"/>
          <w:color w:val="auto"/>
        </w:rPr>
      </w:pPr>
    </w:p>
    <w:p>
      <w:pPr>
        <w:ind w:left="1940" w:hanging="572"/>
        <w:spacing w:after="0" w:line="344" w:lineRule="auto"/>
        <w:tabs>
          <w:tab w:leader="none" w:pos="1940" w:val="left"/>
        </w:tabs>
        <w:numPr>
          <w:ilvl w:val="1"/>
          <w:numId w:val="899"/>
        </w:numPr>
        <w:rPr>
          <w:rFonts w:ascii="Calibri" w:cs="Calibri" w:eastAsia="Calibri" w:hAnsi="Calibri"/>
          <w:sz w:val="22"/>
          <w:szCs w:val="22"/>
          <w:color w:val="auto"/>
        </w:rPr>
      </w:pPr>
      <w:r>
        <w:rPr>
          <w:rFonts w:ascii="Times New Roman" w:cs="Times New Roman" w:eastAsia="Times New Roman" w:hAnsi="Times New Roman"/>
          <w:sz w:val="24"/>
          <w:szCs w:val="24"/>
          <w:color w:val="auto"/>
        </w:rPr>
        <w:t>If the issuer proposes to use more than one mode of making refunds to applicants, the respective cases where each such mode will be adopted.</w:t>
      </w:r>
    </w:p>
    <w:p>
      <w:pPr>
        <w:spacing w:after="0" w:line="26" w:lineRule="exact"/>
        <w:rPr>
          <w:rFonts w:ascii="Calibri" w:cs="Calibri" w:eastAsia="Calibri" w:hAnsi="Calibri"/>
          <w:sz w:val="22"/>
          <w:szCs w:val="22"/>
          <w:color w:val="auto"/>
        </w:rPr>
      </w:pPr>
    </w:p>
    <w:p>
      <w:pPr>
        <w:ind w:left="1940" w:hanging="572"/>
        <w:spacing w:after="0" w:line="344" w:lineRule="auto"/>
        <w:tabs>
          <w:tab w:leader="none" w:pos="1940" w:val="left"/>
        </w:tabs>
        <w:numPr>
          <w:ilvl w:val="1"/>
          <w:numId w:val="899"/>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permissible modes of making refunds and unblocking of funds are as follows:</w:t>
      </w:r>
    </w:p>
    <w:p>
      <w:pPr>
        <w:spacing w:after="0" w:line="250"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256</w:t>
      </w:r>
    </w:p>
    <w:p>
      <w:pPr>
        <w:sectPr>
          <w:pgSz w:w="11900" w:h="16836" w:orient="portrait"/>
          <w:cols w:equalWidth="0" w:num="1">
            <w:col w:w="9180"/>
          </w:cols>
          <w:pgMar w:left="1440" w:top="1156" w:right="1284" w:bottom="103" w:gutter="0" w:footer="0" w:header="0"/>
        </w:sectPr>
      </w:pPr>
    </w:p>
    <w:bookmarkStart w:id="256" w:name="page257"/>
    <w:bookmarkEnd w:id="256"/>
    <w:p>
      <w:pPr>
        <w:jc w:val="both"/>
        <w:ind w:left="2600" w:hanging="727"/>
        <w:spacing w:after="0" w:line="358" w:lineRule="auto"/>
        <w:tabs>
          <w:tab w:leader="none" w:pos="2600" w:val="left"/>
        </w:tabs>
        <w:numPr>
          <w:ilvl w:val="2"/>
          <w:numId w:val="90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applicants residing in any of the centres specified by the Board: by crediting of refunds to the bank accounts of applicants through electronic transfer of funds by or NACH (National Automated Clearing House), as applicable, Direct Credit, RTGS (Real Time Gross Settlement) or NEFT (National Electronic Funds Transfer), as is for the time being permitted by the Reserve Bank of India;</w:t>
      </w:r>
    </w:p>
    <w:p>
      <w:pPr>
        <w:spacing w:after="0" w:line="15" w:lineRule="exact"/>
        <w:rPr>
          <w:rFonts w:ascii="Times New Roman" w:cs="Times New Roman" w:eastAsia="Times New Roman" w:hAnsi="Times New Roman"/>
          <w:sz w:val="24"/>
          <w:szCs w:val="24"/>
          <w:color w:val="auto"/>
        </w:rPr>
      </w:pPr>
    </w:p>
    <w:p>
      <w:pPr>
        <w:ind w:left="2600" w:hanging="727"/>
        <w:spacing w:after="0" w:line="350" w:lineRule="auto"/>
        <w:tabs>
          <w:tab w:leader="none" w:pos="2600" w:val="left"/>
        </w:tabs>
        <w:numPr>
          <w:ilvl w:val="2"/>
          <w:numId w:val="90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other applicants: by dispatch of refund orders by registered post/unblocking in case of ASBA</w:t>
      </w:r>
    </w:p>
    <w:p>
      <w:pPr>
        <w:spacing w:after="0" w:line="23" w:lineRule="exact"/>
        <w:rPr>
          <w:rFonts w:ascii="Times New Roman" w:cs="Times New Roman" w:eastAsia="Times New Roman" w:hAnsi="Times New Roman"/>
          <w:sz w:val="24"/>
          <w:szCs w:val="24"/>
          <w:color w:val="auto"/>
        </w:rPr>
      </w:pPr>
    </w:p>
    <w:p>
      <w:pPr>
        <w:jc w:val="both"/>
        <w:ind w:left="1360" w:hanging="568"/>
        <w:spacing w:after="0" w:line="350" w:lineRule="auto"/>
        <w:tabs>
          <w:tab w:leader="none" w:pos="1360" w:val="left"/>
        </w:tabs>
        <w:numPr>
          <w:ilvl w:val="0"/>
          <w:numId w:val="901"/>
        </w:numPr>
        <w:rPr>
          <w:rFonts w:ascii="Calibri" w:cs="Calibri" w:eastAsia="Calibri" w:hAnsi="Calibri"/>
          <w:sz w:val="22"/>
          <w:szCs w:val="22"/>
          <w:color w:val="auto"/>
        </w:rPr>
      </w:pPr>
      <w:r>
        <w:rPr>
          <w:rFonts w:ascii="Times New Roman" w:cs="Times New Roman" w:eastAsia="Times New Roman" w:hAnsi="Times New Roman"/>
          <w:sz w:val="24"/>
          <w:szCs w:val="24"/>
          <w:color w:val="auto"/>
        </w:rPr>
        <w:t>Payment of Interest in case of delay in despatch of allotment letters or refund orders/instruction to self-certified syndicate banks by the registrar in the case of public issues:</w:t>
      </w:r>
    </w:p>
    <w:p>
      <w:pPr>
        <w:spacing w:after="0" w:line="25" w:lineRule="exact"/>
        <w:rPr>
          <w:rFonts w:ascii="Calibri" w:cs="Calibri" w:eastAsia="Calibri" w:hAnsi="Calibri"/>
          <w:sz w:val="22"/>
          <w:szCs w:val="22"/>
          <w:color w:val="auto"/>
        </w:rPr>
      </w:pPr>
    </w:p>
    <w:p>
      <w:pPr>
        <w:jc w:val="both"/>
        <w:ind w:left="1940" w:hanging="572"/>
        <w:spacing w:after="0" w:line="358" w:lineRule="auto"/>
        <w:tabs>
          <w:tab w:leader="none" w:pos="1940" w:val="left"/>
        </w:tabs>
        <w:numPr>
          <w:ilvl w:val="1"/>
          <w:numId w:val="901"/>
        </w:numPr>
        <w:rPr>
          <w:rFonts w:ascii="Calibri" w:cs="Calibri" w:eastAsia="Calibri" w:hAnsi="Calibri"/>
          <w:sz w:val="22"/>
          <w:szCs w:val="22"/>
          <w:color w:val="auto"/>
        </w:rPr>
      </w:pPr>
      <w:r>
        <w:rPr>
          <w:rFonts w:ascii="Times New Roman" w:cs="Times New Roman" w:eastAsia="Times New Roman" w:hAnsi="Times New Roman"/>
          <w:sz w:val="24"/>
          <w:szCs w:val="24"/>
          <w:color w:val="auto"/>
        </w:rPr>
        <w:t>in case of a fixed price issue, a statement that the issuer shall allot securities offered to the public shall be made within the period prescribed by the Board. The issuer shall also pay interest at the rate of fifteen per cent. per annum if the allotment letters or refund orders have not been despatched to the applicants or if, in a case where the refund or portion thereof is made in electronic manner, the refund instructions have not been given to the clearing system in the disclosed manner within eight days from the date of the closure of the issue. However applications received after the closure of issue in fulfilment of underwriting obligations to meet the minimum subscription requirement, shall not be entitled for the said interest.</w:t>
      </w:r>
    </w:p>
    <w:p>
      <w:pPr>
        <w:spacing w:after="0" w:line="14" w:lineRule="exact"/>
        <w:rPr>
          <w:rFonts w:ascii="Calibri" w:cs="Calibri" w:eastAsia="Calibri" w:hAnsi="Calibri"/>
          <w:sz w:val="22"/>
          <w:szCs w:val="22"/>
          <w:color w:val="auto"/>
        </w:rPr>
      </w:pPr>
    </w:p>
    <w:p>
      <w:pPr>
        <w:jc w:val="both"/>
        <w:ind w:left="1940" w:hanging="572"/>
        <w:spacing w:after="0" w:line="357" w:lineRule="auto"/>
        <w:tabs>
          <w:tab w:leader="none" w:pos="1940" w:val="left"/>
        </w:tabs>
        <w:numPr>
          <w:ilvl w:val="1"/>
          <w:numId w:val="901"/>
        </w:numPr>
        <w:rPr>
          <w:rFonts w:ascii="Calibri" w:cs="Calibri" w:eastAsia="Calibri" w:hAnsi="Calibri"/>
          <w:sz w:val="22"/>
          <w:szCs w:val="22"/>
          <w:color w:val="auto"/>
        </w:rPr>
      </w:pPr>
      <w:r>
        <w:rPr>
          <w:rFonts w:ascii="Times New Roman" w:cs="Times New Roman" w:eastAsia="Times New Roman" w:hAnsi="Times New Roman"/>
          <w:sz w:val="24"/>
          <w:szCs w:val="24"/>
          <w:color w:val="auto"/>
        </w:rPr>
        <w:t>In case of a book-built issue, a statement that the issuer shall allot securities offered to the public within the period prescribed by the Board. The issuer further agrees that it shall pay interest at the rate of fifteen per cent. per annum if the allotment letters or refund orders/ unblocking instructions have not been despatched to the applicants or if, in a case where the refund or portion thereof is made in electronic manner, the refund instructions have not been given to the clearing system in the disclosed manner within six days from the date of the closure of the issue.</w:t>
      </w:r>
    </w:p>
    <w:p>
      <w:pPr>
        <w:spacing w:after="0" w:line="17" w:lineRule="exact"/>
        <w:rPr>
          <w:rFonts w:ascii="Calibri" w:cs="Calibri" w:eastAsia="Calibri" w:hAnsi="Calibri"/>
          <w:sz w:val="22"/>
          <w:szCs w:val="22"/>
          <w:color w:val="auto"/>
        </w:rPr>
      </w:pPr>
    </w:p>
    <w:p>
      <w:pPr>
        <w:jc w:val="both"/>
        <w:ind w:left="1940" w:hanging="572"/>
        <w:spacing w:after="0" w:line="353" w:lineRule="auto"/>
        <w:tabs>
          <w:tab w:leader="none" w:pos="1940" w:val="left"/>
        </w:tabs>
        <w:numPr>
          <w:ilvl w:val="1"/>
          <w:numId w:val="901"/>
        </w:numPr>
        <w:rPr>
          <w:rFonts w:ascii="Calibri" w:cs="Calibri" w:eastAsia="Calibri" w:hAnsi="Calibri"/>
          <w:sz w:val="22"/>
          <w:szCs w:val="22"/>
          <w:color w:val="auto"/>
        </w:rPr>
      </w:pPr>
      <w:r>
        <w:rPr>
          <w:rFonts w:ascii="Times New Roman" w:cs="Times New Roman" w:eastAsia="Times New Roman" w:hAnsi="Times New Roman"/>
          <w:sz w:val="24"/>
          <w:szCs w:val="24"/>
          <w:color w:val="auto"/>
        </w:rPr>
        <w:t>In case of a rights issue, a statement that the issuer shall allot securities offered to the shareholders within fifteen days of the closure of the rights issue. The issuer further agrees that it shall pay interest at the rate of fifteen per cent. per annum if the allotment letters or refund orders/ unblocking</w:t>
      </w:r>
    </w:p>
    <w:p>
      <w:pPr>
        <w:spacing w:after="0" w:line="266"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257</w:t>
      </w:r>
    </w:p>
    <w:p>
      <w:pPr>
        <w:sectPr>
          <w:pgSz w:w="11900" w:h="16836" w:orient="portrait"/>
          <w:cols w:equalWidth="0" w:num="1">
            <w:col w:w="9180"/>
          </w:cols>
          <w:pgMar w:left="1440" w:top="1156" w:right="1284" w:bottom="103" w:gutter="0" w:footer="0" w:header="0"/>
        </w:sectPr>
      </w:pPr>
    </w:p>
    <w:bookmarkStart w:id="257" w:name="page258"/>
    <w:bookmarkEnd w:id="257"/>
    <w:p>
      <w:pPr>
        <w:jc w:val="both"/>
        <w:ind w:left="1940"/>
        <w:spacing w:after="0" w:line="357" w:lineRule="auto"/>
        <w:rPr>
          <w:sz w:val="20"/>
          <w:szCs w:val="20"/>
          <w:color w:val="auto"/>
        </w:rPr>
      </w:pPr>
      <w:r>
        <w:rPr>
          <w:rFonts w:ascii="Times New Roman" w:cs="Times New Roman" w:eastAsia="Times New Roman" w:hAnsi="Times New Roman"/>
          <w:sz w:val="24"/>
          <w:szCs w:val="24"/>
          <w:color w:val="auto"/>
        </w:rPr>
        <w:t>instructions have not been despatched to the applicants or if, in a case where the refund or portion thereof is made in electronic manner, the refund instructions have not been given to the clearing system in the disclosed manner within fifteen days from the date of the closure of the issue.</w:t>
      </w:r>
    </w:p>
    <w:p>
      <w:pPr>
        <w:spacing w:after="0" w:line="2" w:lineRule="exact"/>
        <w:rPr>
          <w:sz w:val="20"/>
          <w:szCs w:val="20"/>
          <w:color w:val="auto"/>
        </w:rPr>
      </w:pPr>
    </w:p>
    <w:p>
      <w:pPr>
        <w:ind w:left="1360" w:hanging="568"/>
        <w:spacing w:after="0"/>
        <w:tabs>
          <w:tab w:leader="none" w:pos="1360" w:val="left"/>
        </w:tabs>
        <w:numPr>
          <w:ilvl w:val="0"/>
          <w:numId w:val="902"/>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Undertaking by the issuer:</w:t>
      </w:r>
    </w:p>
    <w:p>
      <w:pPr>
        <w:spacing w:after="0" w:line="134" w:lineRule="exact"/>
        <w:rPr>
          <w:rFonts w:ascii="Calibri" w:cs="Calibri" w:eastAsia="Calibri" w:hAnsi="Calibri"/>
          <w:sz w:val="22"/>
          <w:szCs w:val="22"/>
          <w:color w:val="auto"/>
        </w:rPr>
      </w:pPr>
    </w:p>
    <w:p>
      <w:pPr>
        <w:ind w:left="1880" w:hanging="548"/>
        <w:spacing w:after="0"/>
        <w:tabs>
          <w:tab w:leader="none" w:pos="1880" w:val="left"/>
        </w:tabs>
        <w:numPr>
          <w:ilvl w:val="1"/>
          <w:numId w:val="90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following undertaking by the issuer shall be disclosed:</w:t>
      </w:r>
    </w:p>
    <w:p>
      <w:pPr>
        <w:spacing w:after="0" w:line="149" w:lineRule="exact"/>
        <w:rPr>
          <w:rFonts w:ascii="Times New Roman" w:cs="Times New Roman" w:eastAsia="Times New Roman" w:hAnsi="Times New Roman"/>
          <w:sz w:val="24"/>
          <w:szCs w:val="24"/>
          <w:color w:val="auto"/>
        </w:rPr>
      </w:pPr>
    </w:p>
    <w:p>
      <w:pPr>
        <w:ind w:left="2660" w:hanging="715"/>
        <w:spacing w:after="0" w:line="344" w:lineRule="auto"/>
        <w:tabs>
          <w:tab w:leader="none" w:pos="2660" w:val="left"/>
        </w:tabs>
        <w:numPr>
          <w:ilvl w:val="2"/>
          <w:numId w:val="902"/>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that the complaints received in respect of the issue shall be attended to by the issuer expeditiously and satisfactorily;</w:t>
      </w:r>
    </w:p>
    <w:p>
      <w:pPr>
        <w:spacing w:after="0" w:line="27" w:lineRule="exact"/>
        <w:rPr>
          <w:rFonts w:ascii="Calibri" w:cs="Calibri" w:eastAsia="Calibri" w:hAnsi="Calibri"/>
          <w:sz w:val="22"/>
          <w:szCs w:val="22"/>
          <w:color w:val="auto"/>
        </w:rPr>
      </w:pPr>
    </w:p>
    <w:p>
      <w:pPr>
        <w:jc w:val="both"/>
        <w:ind w:left="2660" w:hanging="715"/>
        <w:spacing w:after="0" w:line="353" w:lineRule="auto"/>
        <w:tabs>
          <w:tab w:leader="none" w:pos="2660" w:val="left"/>
        </w:tabs>
        <w:numPr>
          <w:ilvl w:val="2"/>
          <w:numId w:val="902"/>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that all steps for completion of the necessary formalities for listing and commencement of trading at all stock exchanges where the securities are to be listed are taken within the period prescribed by the Board;</w:t>
      </w:r>
    </w:p>
    <w:p>
      <w:pPr>
        <w:spacing w:after="0" w:line="21" w:lineRule="exact"/>
        <w:rPr>
          <w:rFonts w:ascii="Calibri" w:cs="Calibri" w:eastAsia="Calibri" w:hAnsi="Calibri"/>
          <w:sz w:val="22"/>
          <w:szCs w:val="22"/>
          <w:color w:val="auto"/>
        </w:rPr>
      </w:pPr>
    </w:p>
    <w:p>
      <w:pPr>
        <w:ind w:left="2660" w:hanging="715"/>
        <w:spacing w:after="0" w:line="344" w:lineRule="auto"/>
        <w:tabs>
          <w:tab w:leader="none" w:pos="2660" w:val="left"/>
        </w:tabs>
        <w:numPr>
          <w:ilvl w:val="2"/>
          <w:numId w:val="902"/>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that the issuer shall apply in advance for the listing of equities on the conversion of debentures/ bonds;</w:t>
      </w:r>
    </w:p>
    <w:p>
      <w:pPr>
        <w:spacing w:after="0" w:line="26" w:lineRule="exact"/>
        <w:rPr>
          <w:rFonts w:ascii="Calibri" w:cs="Calibri" w:eastAsia="Calibri" w:hAnsi="Calibri"/>
          <w:sz w:val="22"/>
          <w:szCs w:val="22"/>
          <w:color w:val="auto"/>
        </w:rPr>
      </w:pPr>
    </w:p>
    <w:p>
      <w:pPr>
        <w:jc w:val="both"/>
        <w:ind w:left="2660" w:hanging="715"/>
        <w:spacing w:after="0" w:line="350" w:lineRule="auto"/>
        <w:tabs>
          <w:tab w:leader="none" w:pos="2660" w:val="left"/>
        </w:tabs>
        <w:numPr>
          <w:ilvl w:val="2"/>
          <w:numId w:val="902"/>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that the funds required for making refunds/unblocking to unsuccessful applicants as per the mode(s) disclosed shall be made available to the registrar to the issue by the issuer;</w:t>
      </w:r>
    </w:p>
    <w:p>
      <w:pPr>
        <w:spacing w:after="0" w:line="25" w:lineRule="exact"/>
        <w:rPr>
          <w:rFonts w:ascii="Calibri" w:cs="Calibri" w:eastAsia="Calibri" w:hAnsi="Calibri"/>
          <w:sz w:val="22"/>
          <w:szCs w:val="22"/>
          <w:color w:val="auto"/>
        </w:rPr>
      </w:pPr>
    </w:p>
    <w:p>
      <w:pPr>
        <w:jc w:val="both"/>
        <w:ind w:left="2660" w:hanging="715"/>
        <w:spacing w:after="0" w:line="355" w:lineRule="auto"/>
        <w:tabs>
          <w:tab w:leader="none" w:pos="2660" w:val="left"/>
        </w:tabs>
        <w:numPr>
          <w:ilvl w:val="2"/>
          <w:numId w:val="902"/>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that where refunds are made through electronic transfer of funds, a suitable communication shall be sent to the applicant within the specified period of closure of the issue giving details of the bank where refunds shall be credited along with amount and expected date of electronic credit of refund;</w:t>
      </w:r>
    </w:p>
    <w:p>
      <w:pPr>
        <w:spacing w:after="0" w:line="17" w:lineRule="exact"/>
        <w:rPr>
          <w:rFonts w:ascii="Calibri" w:cs="Calibri" w:eastAsia="Calibri" w:hAnsi="Calibri"/>
          <w:sz w:val="22"/>
          <w:szCs w:val="22"/>
          <w:color w:val="auto"/>
        </w:rPr>
      </w:pPr>
    </w:p>
    <w:p>
      <w:pPr>
        <w:jc w:val="both"/>
        <w:ind w:left="2660" w:hanging="715"/>
        <w:spacing w:after="0" w:line="355" w:lineRule="auto"/>
        <w:tabs>
          <w:tab w:leader="none" w:pos="2660" w:val="left"/>
        </w:tabs>
        <w:numPr>
          <w:ilvl w:val="2"/>
          <w:numId w:val="902"/>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that the promoters’ contribution in full, wherever required, shall be brought in advance before the Issue opens for public subscription and the balance, if any, shall be brought on a pro rata basis before the calls are made on public in accordance with applicable provisions in these regulations;</w:t>
      </w:r>
    </w:p>
    <w:p>
      <w:pPr>
        <w:spacing w:after="0" w:line="19" w:lineRule="exact"/>
        <w:rPr>
          <w:rFonts w:ascii="Calibri" w:cs="Calibri" w:eastAsia="Calibri" w:hAnsi="Calibri"/>
          <w:sz w:val="22"/>
          <w:szCs w:val="22"/>
          <w:color w:val="auto"/>
        </w:rPr>
      </w:pPr>
    </w:p>
    <w:p>
      <w:pPr>
        <w:jc w:val="both"/>
        <w:ind w:left="2660" w:hanging="715"/>
        <w:spacing w:after="0" w:line="353" w:lineRule="auto"/>
        <w:tabs>
          <w:tab w:leader="none" w:pos="2660" w:val="left"/>
        </w:tabs>
        <w:numPr>
          <w:ilvl w:val="2"/>
          <w:numId w:val="902"/>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that no further issue of securities shall be made till the securities offered through the offer document are listed or till the application monies are refunded on account of non-listing, under subscription, etc., other than as disclosed in accordance with Regulation 19;</w:t>
      </w:r>
    </w:p>
    <w:p>
      <w:pPr>
        <w:spacing w:after="0" w:line="22" w:lineRule="exact"/>
        <w:rPr>
          <w:rFonts w:ascii="Calibri" w:cs="Calibri" w:eastAsia="Calibri" w:hAnsi="Calibri"/>
          <w:sz w:val="22"/>
          <w:szCs w:val="22"/>
          <w:color w:val="auto"/>
        </w:rPr>
      </w:pPr>
    </w:p>
    <w:p>
      <w:pPr>
        <w:jc w:val="both"/>
        <w:ind w:left="2660" w:hanging="715"/>
        <w:spacing w:after="0" w:line="342" w:lineRule="auto"/>
        <w:tabs>
          <w:tab w:leader="none" w:pos="2660" w:val="left"/>
        </w:tabs>
        <w:numPr>
          <w:ilvl w:val="2"/>
          <w:numId w:val="902"/>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that adequate arrangements shall be made to collect all Applications Supported by Blocked Amount and to consider them</w:t>
      </w: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258</w:t>
      </w:r>
    </w:p>
    <w:p>
      <w:pPr>
        <w:sectPr>
          <w:pgSz w:w="11900" w:h="16836" w:orient="portrait"/>
          <w:cols w:equalWidth="0" w:num="1">
            <w:col w:w="9180"/>
          </w:cols>
          <w:pgMar w:left="1440" w:top="1156" w:right="1284" w:bottom="103" w:gutter="0" w:footer="0" w:header="0"/>
        </w:sectPr>
      </w:pPr>
    </w:p>
    <w:bookmarkStart w:id="258" w:name="page259"/>
    <w:bookmarkEnd w:id="258"/>
    <w:p>
      <w:pPr>
        <w:ind w:left="2660"/>
        <w:spacing w:after="0" w:line="348" w:lineRule="auto"/>
        <w:rPr>
          <w:sz w:val="20"/>
          <w:szCs w:val="20"/>
          <w:color w:val="auto"/>
        </w:rPr>
      </w:pPr>
      <w:r>
        <w:rPr>
          <w:rFonts w:ascii="Times New Roman" w:cs="Times New Roman" w:eastAsia="Times New Roman" w:hAnsi="Times New Roman"/>
          <w:sz w:val="24"/>
          <w:szCs w:val="24"/>
          <w:color w:val="auto"/>
        </w:rPr>
        <w:t>similar to non-ASBA applications while finalizing the basis of allotment;</w:t>
      </w:r>
    </w:p>
    <w:p>
      <w:pPr>
        <w:spacing w:after="0" w:line="28" w:lineRule="exact"/>
        <w:rPr>
          <w:sz w:val="20"/>
          <w:szCs w:val="20"/>
          <w:color w:val="auto"/>
        </w:rPr>
      </w:pPr>
    </w:p>
    <w:p>
      <w:pPr>
        <w:ind w:left="1880" w:hanging="548"/>
        <w:spacing w:after="0" w:line="348" w:lineRule="auto"/>
        <w:tabs>
          <w:tab w:leader="none" w:pos="1880" w:val="left"/>
        </w:tabs>
        <w:numPr>
          <w:ilvl w:val="1"/>
          <w:numId w:val="90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an issue of convertible debt instruments, the issuer shall also give the following additional undertakings:</w:t>
      </w:r>
    </w:p>
    <w:p>
      <w:pPr>
        <w:spacing w:after="0" w:line="27" w:lineRule="exact"/>
        <w:rPr>
          <w:rFonts w:ascii="Times New Roman" w:cs="Times New Roman" w:eastAsia="Times New Roman" w:hAnsi="Times New Roman"/>
          <w:sz w:val="24"/>
          <w:szCs w:val="24"/>
          <w:color w:val="auto"/>
        </w:rPr>
      </w:pPr>
    </w:p>
    <w:p>
      <w:pPr>
        <w:jc w:val="both"/>
        <w:ind w:left="2660" w:hanging="715"/>
        <w:spacing w:after="0" w:line="353" w:lineRule="auto"/>
        <w:tabs>
          <w:tab w:leader="none" w:pos="2660" w:val="left"/>
        </w:tabs>
        <w:numPr>
          <w:ilvl w:val="3"/>
          <w:numId w:val="903"/>
        </w:numPr>
        <w:rPr>
          <w:rFonts w:ascii="Calibri" w:cs="Calibri" w:eastAsia="Calibri" w:hAnsi="Calibri"/>
          <w:sz w:val="22"/>
          <w:szCs w:val="22"/>
          <w:color w:val="auto"/>
        </w:rPr>
      </w:pPr>
      <w:r>
        <w:rPr>
          <w:rFonts w:ascii="Times New Roman" w:cs="Times New Roman" w:eastAsia="Times New Roman" w:hAnsi="Times New Roman"/>
          <w:sz w:val="24"/>
          <w:szCs w:val="24"/>
          <w:color w:val="auto"/>
        </w:rPr>
        <w:t>it shall forward the details of utilisation of the funds raised through the convertible debt instruments duly certified by the statutory auditors of the issuer, to the debenture trustees at the end of each half-year.</w:t>
      </w:r>
    </w:p>
    <w:p>
      <w:pPr>
        <w:spacing w:after="0" w:line="22" w:lineRule="exact"/>
        <w:rPr>
          <w:rFonts w:ascii="Calibri" w:cs="Calibri" w:eastAsia="Calibri" w:hAnsi="Calibri"/>
          <w:sz w:val="22"/>
          <w:szCs w:val="22"/>
          <w:color w:val="auto"/>
        </w:rPr>
      </w:pPr>
    </w:p>
    <w:p>
      <w:pPr>
        <w:ind w:left="2660" w:hanging="715"/>
        <w:spacing w:after="0" w:line="342" w:lineRule="auto"/>
        <w:tabs>
          <w:tab w:leader="none" w:pos="2660" w:val="left"/>
        </w:tabs>
        <w:numPr>
          <w:ilvl w:val="3"/>
          <w:numId w:val="903"/>
        </w:numPr>
        <w:rPr>
          <w:rFonts w:ascii="Calibri" w:cs="Calibri" w:eastAsia="Calibri" w:hAnsi="Calibri"/>
          <w:sz w:val="22"/>
          <w:szCs w:val="22"/>
          <w:color w:val="auto"/>
        </w:rPr>
      </w:pPr>
      <w:r>
        <w:rPr>
          <w:rFonts w:ascii="Times New Roman" w:cs="Times New Roman" w:eastAsia="Times New Roman" w:hAnsi="Times New Roman"/>
          <w:sz w:val="24"/>
          <w:szCs w:val="24"/>
          <w:color w:val="auto"/>
        </w:rPr>
        <w:t>it shall disclose the complete name and address of the debenture trustee in the annual report.</w:t>
      </w:r>
    </w:p>
    <w:p>
      <w:pPr>
        <w:spacing w:after="0" w:line="31" w:lineRule="exact"/>
        <w:rPr>
          <w:rFonts w:ascii="Calibri" w:cs="Calibri" w:eastAsia="Calibri" w:hAnsi="Calibri"/>
          <w:sz w:val="22"/>
          <w:szCs w:val="22"/>
          <w:color w:val="auto"/>
        </w:rPr>
      </w:pPr>
    </w:p>
    <w:p>
      <w:pPr>
        <w:jc w:val="both"/>
        <w:ind w:left="2660" w:hanging="715"/>
        <w:spacing w:after="0" w:line="353" w:lineRule="auto"/>
        <w:tabs>
          <w:tab w:leader="none" w:pos="2660" w:val="left"/>
        </w:tabs>
        <w:numPr>
          <w:ilvl w:val="3"/>
          <w:numId w:val="903"/>
        </w:numPr>
        <w:rPr>
          <w:rFonts w:ascii="Calibri" w:cs="Calibri" w:eastAsia="Calibri" w:hAnsi="Calibri"/>
          <w:sz w:val="22"/>
          <w:szCs w:val="22"/>
          <w:color w:val="auto"/>
        </w:rPr>
      </w:pPr>
      <w:r>
        <w:rPr>
          <w:rFonts w:ascii="Times New Roman" w:cs="Times New Roman" w:eastAsia="Times New Roman" w:hAnsi="Times New Roman"/>
          <w:sz w:val="24"/>
          <w:szCs w:val="24"/>
          <w:color w:val="auto"/>
        </w:rPr>
        <w:t>it shall provide a compliance certificate to the convertible debt instrument holders (on yearly basis) in respect of compliance with the terms and conditions of issue of convertible debt instruments, duly certified by the debenture trustee.</w:t>
      </w:r>
    </w:p>
    <w:p>
      <w:pPr>
        <w:spacing w:after="0" w:line="21" w:lineRule="exact"/>
        <w:rPr>
          <w:rFonts w:ascii="Calibri" w:cs="Calibri" w:eastAsia="Calibri" w:hAnsi="Calibri"/>
          <w:sz w:val="22"/>
          <w:szCs w:val="22"/>
          <w:color w:val="auto"/>
        </w:rPr>
      </w:pPr>
    </w:p>
    <w:p>
      <w:pPr>
        <w:jc w:val="both"/>
        <w:ind w:left="2660" w:hanging="715"/>
        <w:spacing w:after="0" w:line="355" w:lineRule="auto"/>
        <w:tabs>
          <w:tab w:leader="none" w:pos="2660" w:val="left"/>
        </w:tabs>
        <w:numPr>
          <w:ilvl w:val="3"/>
          <w:numId w:val="903"/>
        </w:numPr>
        <w:rPr>
          <w:rFonts w:ascii="Calibri" w:cs="Calibri" w:eastAsia="Calibri" w:hAnsi="Calibri"/>
          <w:sz w:val="22"/>
          <w:szCs w:val="22"/>
          <w:color w:val="auto"/>
        </w:rPr>
      </w:pPr>
      <w:r>
        <w:rPr>
          <w:rFonts w:ascii="Times New Roman" w:cs="Times New Roman" w:eastAsia="Times New Roman" w:hAnsi="Times New Roman"/>
          <w:sz w:val="24"/>
          <w:szCs w:val="24"/>
          <w:color w:val="auto"/>
        </w:rPr>
        <w:t>it shall furnish a confirmation certificate that the security created by the issuer in favour of the convertible debt instrument holders is properly maintained and is adequate to meet the payment obligations towards the convertible debt instrument holders in the event of default.</w:t>
      </w:r>
    </w:p>
    <w:p>
      <w:pPr>
        <w:spacing w:after="0" w:line="17" w:lineRule="exact"/>
        <w:rPr>
          <w:rFonts w:ascii="Calibri" w:cs="Calibri" w:eastAsia="Calibri" w:hAnsi="Calibri"/>
          <w:sz w:val="22"/>
          <w:szCs w:val="22"/>
          <w:color w:val="auto"/>
        </w:rPr>
      </w:pPr>
    </w:p>
    <w:p>
      <w:pPr>
        <w:jc w:val="both"/>
        <w:ind w:left="2660" w:hanging="715"/>
        <w:spacing w:after="0" w:line="350" w:lineRule="auto"/>
        <w:tabs>
          <w:tab w:leader="none" w:pos="2660" w:val="left"/>
        </w:tabs>
        <w:numPr>
          <w:ilvl w:val="3"/>
          <w:numId w:val="903"/>
        </w:numPr>
        <w:rPr>
          <w:rFonts w:ascii="Calibri" w:cs="Calibri" w:eastAsia="Calibri" w:hAnsi="Calibri"/>
          <w:sz w:val="22"/>
          <w:szCs w:val="22"/>
          <w:color w:val="auto"/>
        </w:rPr>
      </w:pPr>
      <w:r>
        <w:rPr>
          <w:rFonts w:ascii="Times New Roman" w:cs="Times New Roman" w:eastAsia="Times New Roman" w:hAnsi="Times New Roman"/>
          <w:sz w:val="24"/>
          <w:szCs w:val="24"/>
          <w:color w:val="auto"/>
        </w:rPr>
        <w:t>it shall extend necessary cooperation to the credit rating agency/agencies for providing true and adequate information till the debt obligations in respect of the instrument are outstanding.</w:t>
      </w:r>
    </w:p>
    <w:p>
      <w:pPr>
        <w:spacing w:after="0" w:line="25" w:lineRule="exact"/>
        <w:rPr>
          <w:rFonts w:ascii="Calibri" w:cs="Calibri" w:eastAsia="Calibri" w:hAnsi="Calibri"/>
          <w:sz w:val="22"/>
          <w:szCs w:val="22"/>
          <w:color w:val="auto"/>
        </w:rPr>
      </w:pPr>
    </w:p>
    <w:p>
      <w:pPr>
        <w:jc w:val="both"/>
        <w:ind w:left="1880" w:hanging="548"/>
        <w:spacing w:after="0" w:line="357" w:lineRule="auto"/>
        <w:tabs>
          <w:tab w:leader="none" w:pos="1880" w:val="left"/>
        </w:tabs>
        <w:numPr>
          <w:ilvl w:val="1"/>
          <w:numId w:val="90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statement that the issuer reserves the right not to proceed with the issue after the bidding and if so, the reason thereof as a public notice within two days of the closure of the issue. The public notice shall be issued in the same newspapers where the pre-issue advertisement had appeared. The stock exchanges where the specified securities were proposed to be listed shall also be informed promptly.</w:t>
      </w:r>
    </w:p>
    <w:p>
      <w:pPr>
        <w:spacing w:after="0" w:line="21" w:lineRule="exact"/>
        <w:rPr>
          <w:rFonts w:ascii="Times New Roman" w:cs="Times New Roman" w:eastAsia="Times New Roman" w:hAnsi="Times New Roman"/>
          <w:sz w:val="24"/>
          <w:szCs w:val="24"/>
          <w:color w:val="auto"/>
        </w:rPr>
      </w:pPr>
    </w:p>
    <w:p>
      <w:pPr>
        <w:jc w:val="both"/>
        <w:ind w:left="1880" w:hanging="548"/>
        <w:spacing w:after="0" w:line="354" w:lineRule="auto"/>
        <w:tabs>
          <w:tab w:leader="none" w:pos="1880" w:val="left"/>
        </w:tabs>
        <w:numPr>
          <w:ilvl w:val="1"/>
          <w:numId w:val="90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statement that if the issuer withdraws the issue at any stage including after closure of bidding, the issuer shall be required to file a fresh draft offer document with the Board.</w:t>
      </w:r>
    </w:p>
    <w:p>
      <w:pPr>
        <w:spacing w:after="0" w:line="5" w:lineRule="exact"/>
        <w:rPr>
          <w:rFonts w:ascii="Times New Roman" w:cs="Times New Roman" w:eastAsia="Times New Roman" w:hAnsi="Times New Roman"/>
          <w:sz w:val="24"/>
          <w:szCs w:val="24"/>
          <w:color w:val="auto"/>
        </w:rPr>
      </w:pPr>
    </w:p>
    <w:p>
      <w:pPr>
        <w:ind w:left="1360" w:hanging="568"/>
        <w:spacing w:after="0"/>
        <w:tabs>
          <w:tab w:leader="none" w:pos="1360" w:val="left"/>
        </w:tabs>
        <w:numPr>
          <w:ilvl w:val="0"/>
          <w:numId w:val="904"/>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Utilisation of Issue Proceeds:</w:t>
      </w:r>
    </w:p>
    <w:p>
      <w:pPr>
        <w:spacing w:after="0" w:line="122" w:lineRule="exact"/>
        <w:rPr>
          <w:rFonts w:ascii="Calibri" w:cs="Calibri" w:eastAsia="Calibri" w:hAnsi="Calibri"/>
          <w:sz w:val="22"/>
          <w:szCs w:val="22"/>
          <w:color w:val="auto"/>
        </w:rPr>
      </w:pPr>
    </w:p>
    <w:p>
      <w:pPr>
        <w:ind w:left="1940" w:hanging="572"/>
        <w:spacing w:after="0"/>
        <w:tabs>
          <w:tab w:leader="none" w:pos="1940" w:val="left"/>
        </w:tabs>
        <w:numPr>
          <w:ilvl w:val="2"/>
          <w:numId w:val="904"/>
        </w:numPr>
        <w:rPr>
          <w:rFonts w:ascii="Calibri" w:cs="Calibri" w:eastAsia="Calibri" w:hAnsi="Calibri"/>
          <w:sz w:val="24"/>
          <w:szCs w:val="24"/>
          <w:color w:val="auto"/>
        </w:rPr>
      </w:pPr>
      <w:r>
        <w:rPr>
          <w:rFonts w:ascii="Times New Roman" w:cs="Times New Roman" w:eastAsia="Times New Roman" w:hAnsi="Times New Roman"/>
          <w:sz w:val="24"/>
          <w:szCs w:val="24"/>
          <w:color w:val="auto"/>
        </w:rPr>
        <w:t>A statement by the board of directors of the issuer to the effect that: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259</w:t>
      </w:r>
    </w:p>
    <w:p>
      <w:pPr>
        <w:sectPr>
          <w:pgSz w:w="11900" w:h="16836" w:orient="portrait"/>
          <w:cols w:equalWidth="0" w:num="1">
            <w:col w:w="9180"/>
          </w:cols>
          <w:pgMar w:left="1440" w:top="1156" w:right="1284" w:bottom="103" w:gutter="0" w:footer="0" w:header="0"/>
        </w:sectPr>
      </w:pPr>
    </w:p>
    <w:bookmarkStart w:id="259" w:name="page260"/>
    <w:bookmarkEnd w:id="259"/>
    <w:p>
      <w:pPr>
        <w:jc w:val="both"/>
        <w:ind w:left="2660" w:hanging="715"/>
        <w:spacing w:after="0" w:line="350" w:lineRule="auto"/>
        <w:tabs>
          <w:tab w:leader="none" w:pos="2660" w:val="left"/>
        </w:tabs>
        <w:numPr>
          <w:ilvl w:val="2"/>
          <w:numId w:val="905"/>
        </w:numPr>
        <w:rPr>
          <w:rFonts w:ascii="Calibri" w:cs="Calibri" w:eastAsia="Calibri" w:hAnsi="Calibri"/>
          <w:sz w:val="22"/>
          <w:szCs w:val="22"/>
          <w:color w:val="auto"/>
        </w:rPr>
      </w:pPr>
      <w:r>
        <w:rPr>
          <w:rFonts w:ascii="Times New Roman" w:cs="Times New Roman" w:eastAsia="Times New Roman" w:hAnsi="Times New Roman"/>
          <w:sz w:val="24"/>
          <w:szCs w:val="24"/>
          <w:color w:val="auto"/>
        </w:rPr>
        <w:t>all monies received out of issue of specified securities to the public shall be transferred to a separate bank account other than the bank account referred to in the Companies Act,2013;</w:t>
      </w:r>
    </w:p>
    <w:p>
      <w:pPr>
        <w:spacing w:after="0" w:line="23" w:lineRule="exact"/>
        <w:rPr>
          <w:rFonts w:ascii="Calibri" w:cs="Calibri" w:eastAsia="Calibri" w:hAnsi="Calibri"/>
          <w:sz w:val="22"/>
          <w:szCs w:val="22"/>
          <w:color w:val="auto"/>
        </w:rPr>
      </w:pPr>
    </w:p>
    <w:p>
      <w:pPr>
        <w:jc w:val="both"/>
        <w:ind w:left="2660" w:hanging="715"/>
        <w:spacing w:after="0" w:line="356" w:lineRule="auto"/>
        <w:tabs>
          <w:tab w:leader="none" w:pos="2660" w:val="left"/>
        </w:tabs>
        <w:numPr>
          <w:ilvl w:val="2"/>
          <w:numId w:val="905"/>
        </w:numPr>
        <w:rPr>
          <w:rFonts w:ascii="Calibri" w:cs="Calibri" w:eastAsia="Calibri" w:hAnsi="Calibri"/>
          <w:sz w:val="22"/>
          <w:szCs w:val="22"/>
          <w:color w:val="auto"/>
        </w:rPr>
      </w:pPr>
      <w:r>
        <w:rPr>
          <w:rFonts w:ascii="Times New Roman" w:cs="Times New Roman" w:eastAsia="Times New Roman" w:hAnsi="Times New Roman"/>
          <w:sz w:val="24"/>
          <w:szCs w:val="24"/>
          <w:color w:val="auto"/>
        </w:rPr>
        <w:t>details of all monies utilised out of the issue referred to in sub-item(i) shall be disclosed and continue to be disclosed till the time any part of the issue proceeds remains unutilised under an appropriate separate head in the balance sheet of the issuer indicating the purpose for which such monies had been utilised; and</w:t>
      </w:r>
    </w:p>
    <w:p>
      <w:pPr>
        <w:spacing w:after="0" w:line="17" w:lineRule="exact"/>
        <w:rPr>
          <w:rFonts w:ascii="Calibri" w:cs="Calibri" w:eastAsia="Calibri" w:hAnsi="Calibri"/>
          <w:sz w:val="22"/>
          <w:szCs w:val="22"/>
          <w:color w:val="auto"/>
        </w:rPr>
      </w:pPr>
    </w:p>
    <w:p>
      <w:pPr>
        <w:jc w:val="both"/>
        <w:ind w:left="2660" w:hanging="715"/>
        <w:spacing w:after="0" w:line="355" w:lineRule="auto"/>
        <w:tabs>
          <w:tab w:leader="none" w:pos="2660" w:val="left"/>
        </w:tabs>
        <w:numPr>
          <w:ilvl w:val="2"/>
          <w:numId w:val="905"/>
        </w:numPr>
        <w:rPr>
          <w:rFonts w:ascii="Calibri" w:cs="Calibri" w:eastAsia="Calibri" w:hAnsi="Calibri"/>
          <w:sz w:val="22"/>
          <w:szCs w:val="22"/>
          <w:color w:val="auto"/>
        </w:rPr>
      </w:pPr>
      <w:r>
        <w:rPr>
          <w:rFonts w:ascii="Times New Roman" w:cs="Times New Roman" w:eastAsia="Times New Roman" w:hAnsi="Times New Roman"/>
          <w:sz w:val="24"/>
          <w:szCs w:val="24"/>
          <w:color w:val="auto"/>
        </w:rPr>
        <w:t>details of all unutilised monies out of the issue of specified securities referred to in sub-item (i) shall be disclosed under an appropriate separate head in the balance sheet of the issuer indicating the form in which such unutilised monies have been invested.</w:t>
      </w:r>
    </w:p>
    <w:p>
      <w:pPr>
        <w:spacing w:after="0" w:line="24" w:lineRule="exact"/>
        <w:rPr>
          <w:rFonts w:ascii="Calibri" w:cs="Calibri" w:eastAsia="Calibri" w:hAnsi="Calibri"/>
          <w:sz w:val="22"/>
          <w:szCs w:val="22"/>
          <w:color w:val="auto"/>
        </w:rPr>
      </w:pPr>
    </w:p>
    <w:p>
      <w:pPr>
        <w:jc w:val="both"/>
        <w:ind w:left="1940" w:hanging="572"/>
        <w:spacing w:after="0" w:line="344" w:lineRule="auto"/>
        <w:tabs>
          <w:tab w:leader="none" w:pos="1940" w:val="left"/>
        </w:tabs>
        <w:numPr>
          <w:ilvl w:val="1"/>
          <w:numId w:val="906"/>
        </w:numPr>
        <w:rPr>
          <w:rFonts w:ascii="Calibri" w:cs="Calibri" w:eastAsia="Calibri" w:hAnsi="Calibri"/>
          <w:sz w:val="24"/>
          <w:szCs w:val="24"/>
          <w:color w:val="auto"/>
        </w:rPr>
      </w:pPr>
      <w:r>
        <w:rPr>
          <w:rFonts w:ascii="Times New Roman" w:cs="Times New Roman" w:eastAsia="Times New Roman" w:hAnsi="Times New Roman"/>
          <w:sz w:val="24"/>
          <w:szCs w:val="24"/>
          <w:color w:val="auto"/>
        </w:rPr>
        <w:t>For an issue other than an offer for sale or a public issue made by any scheduled commercial bank or a public financial institution, a statement of the board of directors of the issuer to the effect that:</w:t>
      </w:r>
    </w:p>
    <w:p>
      <w:pPr>
        <w:spacing w:after="0" w:line="34" w:lineRule="exact"/>
        <w:rPr>
          <w:rFonts w:ascii="Calibri" w:cs="Calibri" w:eastAsia="Calibri" w:hAnsi="Calibri"/>
          <w:sz w:val="24"/>
          <w:szCs w:val="24"/>
          <w:color w:val="auto"/>
        </w:rPr>
      </w:pPr>
    </w:p>
    <w:p>
      <w:pPr>
        <w:jc w:val="both"/>
        <w:ind w:left="2660" w:hanging="715"/>
        <w:spacing w:after="0" w:line="353" w:lineRule="auto"/>
        <w:tabs>
          <w:tab w:leader="none" w:pos="2660" w:val="left"/>
        </w:tabs>
        <w:numPr>
          <w:ilvl w:val="2"/>
          <w:numId w:val="906"/>
        </w:numPr>
        <w:rPr>
          <w:rFonts w:ascii="Calibri" w:cs="Calibri" w:eastAsia="Calibri" w:hAnsi="Calibri"/>
          <w:sz w:val="24"/>
          <w:szCs w:val="24"/>
          <w:color w:val="auto"/>
        </w:rPr>
      </w:pPr>
      <w:r>
        <w:rPr>
          <w:rFonts w:ascii="Times New Roman" w:cs="Times New Roman" w:eastAsia="Times New Roman" w:hAnsi="Times New Roman"/>
          <w:sz w:val="24"/>
          <w:szCs w:val="24"/>
          <w:color w:val="auto"/>
        </w:rPr>
        <w:t>the utilisation of monies received under promoters’ contribution and from reservations shall be disclosed and continue to be disclosed under an appropriate head in the balance sheet of the issuer, till the time any part of the issue proceeds remains unutilised, indicating the purpose for which such monies have been utilised;</w:t>
      </w:r>
    </w:p>
    <w:p>
      <w:pPr>
        <w:spacing w:after="0" w:line="28" w:lineRule="exact"/>
        <w:rPr>
          <w:rFonts w:ascii="Calibri" w:cs="Calibri" w:eastAsia="Calibri" w:hAnsi="Calibri"/>
          <w:sz w:val="24"/>
          <w:szCs w:val="24"/>
          <w:color w:val="auto"/>
        </w:rPr>
      </w:pPr>
    </w:p>
    <w:p>
      <w:pPr>
        <w:jc w:val="both"/>
        <w:ind w:left="2660" w:hanging="715"/>
        <w:spacing w:after="0" w:line="348" w:lineRule="auto"/>
        <w:tabs>
          <w:tab w:leader="none" w:pos="2660" w:val="left"/>
        </w:tabs>
        <w:numPr>
          <w:ilvl w:val="2"/>
          <w:numId w:val="906"/>
        </w:numPr>
        <w:rPr>
          <w:rFonts w:ascii="Calibri" w:cs="Calibri" w:eastAsia="Calibri" w:hAnsi="Calibri"/>
          <w:sz w:val="24"/>
          <w:szCs w:val="24"/>
          <w:color w:val="auto"/>
        </w:rPr>
      </w:pPr>
      <w:r>
        <w:rPr>
          <w:rFonts w:ascii="Times New Roman" w:cs="Times New Roman" w:eastAsia="Times New Roman" w:hAnsi="Times New Roman"/>
          <w:sz w:val="24"/>
          <w:szCs w:val="24"/>
          <w:color w:val="auto"/>
        </w:rPr>
        <w:t>the details of all unutilised monies out of the funds received under promoters’ contribution and from reservations shall be disclosed under a separate head in the balance sheet of the issuer, indicating the form in which such unutilised monies have been invested</w:t>
      </w:r>
    </w:p>
    <w:p>
      <w:pPr>
        <w:spacing w:after="0" w:line="16" w:lineRule="exact"/>
        <w:rPr>
          <w:rFonts w:ascii="Calibri" w:cs="Calibri" w:eastAsia="Calibri" w:hAnsi="Calibri"/>
          <w:sz w:val="24"/>
          <w:szCs w:val="24"/>
          <w:color w:val="auto"/>
        </w:rPr>
      </w:pPr>
    </w:p>
    <w:p>
      <w:pPr>
        <w:ind w:left="1360" w:hanging="568"/>
        <w:spacing w:after="0"/>
        <w:tabs>
          <w:tab w:leader="none" w:pos="1360" w:val="left"/>
        </w:tabs>
        <w:numPr>
          <w:ilvl w:val="0"/>
          <w:numId w:val="907"/>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Restrictions on foreign ownership of Indian securities, if any:</w:t>
      </w:r>
    </w:p>
    <w:p>
      <w:pPr>
        <w:spacing w:after="0" w:line="124" w:lineRule="exact"/>
        <w:rPr>
          <w:rFonts w:ascii="Calibri" w:cs="Calibri" w:eastAsia="Calibri" w:hAnsi="Calibri"/>
          <w:sz w:val="22"/>
          <w:szCs w:val="22"/>
          <w:color w:val="auto"/>
        </w:rPr>
      </w:pPr>
    </w:p>
    <w:p>
      <w:pPr>
        <w:ind w:left="1940" w:hanging="572"/>
        <w:spacing w:after="0"/>
        <w:tabs>
          <w:tab w:leader="none" w:pos="1940" w:val="left"/>
        </w:tabs>
        <w:numPr>
          <w:ilvl w:val="1"/>
          <w:numId w:val="907"/>
        </w:numPr>
        <w:rPr>
          <w:rFonts w:ascii="Calibri" w:cs="Calibri" w:eastAsia="Calibri" w:hAnsi="Calibri"/>
          <w:sz w:val="22"/>
          <w:szCs w:val="22"/>
          <w:color w:val="auto"/>
        </w:rPr>
      </w:pPr>
      <w:r>
        <w:rPr>
          <w:rFonts w:ascii="Times New Roman" w:cs="Times New Roman" w:eastAsia="Times New Roman" w:hAnsi="Times New Roman"/>
          <w:sz w:val="24"/>
          <w:szCs w:val="24"/>
          <w:color w:val="auto"/>
        </w:rPr>
        <w:t>Investment by non-resident Indians.</w:t>
      </w:r>
    </w:p>
    <w:p>
      <w:pPr>
        <w:spacing w:after="0" w:line="132" w:lineRule="exact"/>
        <w:rPr>
          <w:rFonts w:ascii="Calibri" w:cs="Calibri" w:eastAsia="Calibri" w:hAnsi="Calibri"/>
          <w:sz w:val="22"/>
          <w:szCs w:val="22"/>
          <w:color w:val="auto"/>
        </w:rPr>
      </w:pPr>
    </w:p>
    <w:p>
      <w:pPr>
        <w:ind w:left="1940" w:hanging="572"/>
        <w:spacing w:after="0"/>
        <w:tabs>
          <w:tab w:leader="none" w:pos="1940" w:val="left"/>
        </w:tabs>
        <w:numPr>
          <w:ilvl w:val="1"/>
          <w:numId w:val="907"/>
        </w:numPr>
        <w:rPr>
          <w:rFonts w:ascii="Calibri" w:cs="Calibri" w:eastAsia="Calibri" w:hAnsi="Calibri"/>
          <w:sz w:val="22"/>
          <w:szCs w:val="22"/>
          <w:color w:val="auto"/>
        </w:rPr>
      </w:pPr>
      <w:r>
        <w:rPr>
          <w:rFonts w:ascii="Times New Roman" w:cs="Times New Roman" w:eastAsia="Times New Roman" w:hAnsi="Times New Roman"/>
          <w:sz w:val="24"/>
          <w:szCs w:val="24"/>
          <w:color w:val="auto"/>
        </w:rPr>
        <w:t>Investment by foreign portfolio investors.</w:t>
      </w:r>
    </w:p>
    <w:p>
      <w:pPr>
        <w:spacing w:after="0" w:line="129" w:lineRule="exact"/>
        <w:rPr>
          <w:rFonts w:ascii="Calibri" w:cs="Calibri" w:eastAsia="Calibri" w:hAnsi="Calibri"/>
          <w:sz w:val="22"/>
          <w:szCs w:val="22"/>
          <w:color w:val="auto"/>
        </w:rPr>
      </w:pPr>
    </w:p>
    <w:p>
      <w:pPr>
        <w:ind w:left="1940" w:hanging="572"/>
        <w:spacing w:after="0"/>
        <w:tabs>
          <w:tab w:leader="none" w:pos="1940" w:val="left"/>
        </w:tabs>
        <w:numPr>
          <w:ilvl w:val="1"/>
          <w:numId w:val="907"/>
        </w:numPr>
        <w:rPr>
          <w:rFonts w:ascii="Calibri" w:cs="Calibri" w:eastAsia="Calibri" w:hAnsi="Calibri"/>
          <w:sz w:val="22"/>
          <w:szCs w:val="22"/>
          <w:color w:val="auto"/>
        </w:rPr>
      </w:pPr>
      <w:r>
        <w:rPr>
          <w:rFonts w:ascii="Times New Roman" w:cs="Times New Roman" w:eastAsia="Times New Roman" w:hAnsi="Times New Roman"/>
          <w:sz w:val="24"/>
          <w:szCs w:val="24"/>
          <w:color w:val="auto"/>
        </w:rPr>
        <w:t>Investment by other non-residents.</w:t>
      </w:r>
    </w:p>
    <w:p>
      <w:pPr>
        <w:spacing w:after="0" w:line="200" w:lineRule="exact"/>
        <w:rPr>
          <w:sz w:val="20"/>
          <w:szCs w:val="20"/>
          <w:color w:val="auto"/>
        </w:rPr>
      </w:pPr>
    </w:p>
    <w:p>
      <w:pPr>
        <w:spacing w:after="0" w:line="350" w:lineRule="exact"/>
        <w:rPr>
          <w:sz w:val="20"/>
          <w:szCs w:val="20"/>
          <w:color w:val="auto"/>
        </w:rPr>
      </w:pPr>
    </w:p>
    <w:p>
      <w:pPr>
        <w:ind w:left="800" w:hanging="512"/>
        <w:spacing w:after="0"/>
        <w:tabs>
          <w:tab w:leader="none" w:pos="800" w:val="left"/>
        </w:tabs>
        <w:numPr>
          <w:ilvl w:val="0"/>
          <w:numId w:val="908"/>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Description of Equity Shares and Terms of the Articles of Association:</w:t>
      </w:r>
    </w:p>
    <w:p>
      <w:pPr>
        <w:spacing w:after="0" w:line="146" w:lineRule="exact"/>
        <w:rPr>
          <w:rFonts w:ascii="Calibri" w:cs="Calibri" w:eastAsia="Calibri" w:hAnsi="Calibri"/>
          <w:sz w:val="22"/>
          <w:szCs w:val="22"/>
          <w:color w:val="auto"/>
        </w:rPr>
      </w:pPr>
    </w:p>
    <w:p>
      <w:pPr>
        <w:jc w:val="both"/>
        <w:ind w:left="800"/>
        <w:spacing w:after="0" w:line="348" w:lineRule="auto"/>
        <w:rPr>
          <w:rFonts w:ascii="Calibri" w:cs="Calibri" w:eastAsia="Calibri" w:hAnsi="Calibri"/>
          <w:sz w:val="22"/>
          <w:szCs w:val="22"/>
          <w:color w:val="auto"/>
        </w:rPr>
      </w:pPr>
      <w:r>
        <w:rPr>
          <w:rFonts w:ascii="Times New Roman" w:cs="Times New Roman" w:eastAsia="Times New Roman" w:hAnsi="Times New Roman"/>
          <w:sz w:val="24"/>
          <w:szCs w:val="24"/>
          <w:color w:val="auto"/>
        </w:rPr>
        <w:t>Main provisions of the Articles of Association including rights of the members regarding voting, dividend, lien on shares and the process for modification of such</w:t>
      </w:r>
    </w:p>
    <w:p>
      <w:pPr>
        <w:spacing w:after="0" w:line="258"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4"/>
          <w:szCs w:val="24"/>
          <w:color w:val="auto"/>
        </w:rPr>
        <w:t>260</w:t>
      </w:r>
    </w:p>
    <w:p>
      <w:pPr>
        <w:sectPr>
          <w:pgSz w:w="11900" w:h="16836" w:orient="portrait"/>
          <w:cols w:equalWidth="0" w:num="1">
            <w:col w:w="9180"/>
          </w:cols>
          <w:pgMar w:left="1440" w:top="1156" w:right="1284" w:bottom="103" w:gutter="0" w:footer="0" w:header="0"/>
        </w:sectPr>
      </w:pPr>
    </w:p>
    <w:bookmarkStart w:id="260" w:name="page261"/>
    <w:bookmarkEnd w:id="260"/>
    <w:p>
      <w:pPr>
        <w:ind w:left="1088"/>
        <w:spacing w:after="0" w:line="348" w:lineRule="auto"/>
        <w:rPr>
          <w:sz w:val="20"/>
          <w:szCs w:val="20"/>
          <w:color w:val="auto"/>
        </w:rPr>
      </w:pPr>
      <w:r>
        <w:rPr>
          <w:rFonts w:ascii="Times New Roman" w:cs="Times New Roman" w:eastAsia="Times New Roman" w:hAnsi="Times New Roman"/>
          <w:sz w:val="24"/>
          <w:szCs w:val="24"/>
          <w:color w:val="auto"/>
        </w:rPr>
        <w:t>rights, forfeiture of shares and restrictions, if any, on transfer and transmission of securities and their consolidation or splitting.</w:t>
      </w:r>
    </w:p>
    <w:p>
      <w:pPr>
        <w:spacing w:after="0" w:line="200" w:lineRule="exact"/>
        <w:rPr>
          <w:sz w:val="20"/>
          <w:szCs w:val="20"/>
          <w:color w:val="auto"/>
        </w:rPr>
      </w:pPr>
    </w:p>
    <w:p>
      <w:pPr>
        <w:spacing w:after="0" w:line="233" w:lineRule="exact"/>
        <w:rPr>
          <w:sz w:val="20"/>
          <w:szCs w:val="20"/>
          <w:color w:val="auto"/>
        </w:rPr>
      </w:pPr>
    </w:p>
    <w:p>
      <w:pPr>
        <w:ind w:left="568" w:hanging="568"/>
        <w:spacing w:after="0"/>
        <w:tabs>
          <w:tab w:leader="none" w:pos="568" w:val="left"/>
        </w:tabs>
        <w:numPr>
          <w:ilvl w:val="0"/>
          <w:numId w:val="909"/>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b w:val="1"/>
          <w:bCs w:val="1"/>
          <w:color w:val="auto"/>
        </w:rPr>
        <w:t>Any other material disclosures, as deemed necessary.</w:t>
      </w:r>
    </w:p>
    <w:p>
      <w:pPr>
        <w:spacing w:after="0" w:line="200" w:lineRule="exact"/>
        <w:rPr>
          <w:rFonts w:ascii="Times New Roman" w:cs="Times New Roman" w:eastAsia="Times New Roman" w:hAnsi="Times New Roman"/>
          <w:sz w:val="22"/>
          <w:szCs w:val="22"/>
          <w:color w:val="auto"/>
        </w:rPr>
      </w:pPr>
    </w:p>
    <w:p>
      <w:pPr>
        <w:spacing w:after="0" w:line="364" w:lineRule="exact"/>
        <w:rPr>
          <w:rFonts w:ascii="Times New Roman" w:cs="Times New Roman" w:eastAsia="Times New Roman" w:hAnsi="Times New Roman"/>
          <w:sz w:val="22"/>
          <w:szCs w:val="22"/>
          <w:color w:val="auto"/>
        </w:rPr>
      </w:pPr>
    </w:p>
    <w:p>
      <w:pPr>
        <w:ind w:left="568" w:hanging="568"/>
        <w:spacing w:after="0" w:line="350" w:lineRule="auto"/>
        <w:tabs>
          <w:tab w:leader="none" w:pos="568" w:val="left"/>
        </w:tabs>
        <w:numPr>
          <w:ilvl w:val="0"/>
          <w:numId w:val="909"/>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b w:val="1"/>
          <w:bCs w:val="1"/>
          <w:color w:val="auto"/>
        </w:rPr>
        <w:t>In case of a fast track issue, the disclosures specified in this Part, which have been indicated in Part B, need not be made.</w:t>
      </w:r>
    </w:p>
    <w:p>
      <w:pPr>
        <w:spacing w:after="0" w:line="200" w:lineRule="exact"/>
        <w:rPr>
          <w:rFonts w:ascii="Times New Roman" w:cs="Times New Roman" w:eastAsia="Times New Roman" w:hAnsi="Times New Roman"/>
          <w:sz w:val="22"/>
          <w:szCs w:val="22"/>
          <w:color w:val="auto"/>
        </w:rPr>
      </w:pPr>
    </w:p>
    <w:p>
      <w:pPr>
        <w:spacing w:after="0" w:line="226" w:lineRule="exact"/>
        <w:rPr>
          <w:rFonts w:ascii="Times New Roman" w:cs="Times New Roman" w:eastAsia="Times New Roman" w:hAnsi="Times New Roman"/>
          <w:sz w:val="22"/>
          <w:szCs w:val="22"/>
          <w:color w:val="auto"/>
        </w:rPr>
      </w:pPr>
    </w:p>
    <w:p>
      <w:pPr>
        <w:ind w:left="568" w:hanging="568"/>
        <w:spacing w:after="0"/>
        <w:tabs>
          <w:tab w:leader="none" w:pos="568" w:val="left"/>
        </w:tabs>
        <w:numPr>
          <w:ilvl w:val="0"/>
          <w:numId w:val="909"/>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b w:val="1"/>
          <w:bCs w:val="1"/>
          <w:color w:val="auto"/>
        </w:rPr>
        <w:t>Other Information:</w:t>
      </w:r>
    </w:p>
    <w:p>
      <w:pPr>
        <w:spacing w:after="0" w:line="132" w:lineRule="exact"/>
        <w:rPr>
          <w:sz w:val="20"/>
          <w:szCs w:val="20"/>
          <w:color w:val="auto"/>
        </w:rPr>
      </w:pPr>
    </w:p>
    <w:p>
      <w:pPr>
        <w:ind w:left="1088"/>
        <w:spacing w:after="0"/>
        <w:rPr>
          <w:sz w:val="20"/>
          <w:szCs w:val="20"/>
          <w:color w:val="auto"/>
        </w:rPr>
      </w:pPr>
      <w:r>
        <w:rPr>
          <w:rFonts w:ascii="Times New Roman" w:cs="Times New Roman" w:eastAsia="Times New Roman" w:hAnsi="Times New Roman"/>
          <w:sz w:val="24"/>
          <w:szCs w:val="24"/>
          <w:color w:val="auto"/>
        </w:rPr>
        <w:t>List of material contracts and inspection of documents for inspection:</w:t>
      </w:r>
    </w:p>
    <w:p>
      <w:pPr>
        <w:spacing w:after="0" w:line="139" w:lineRule="exact"/>
        <w:rPr>
          <w:sz w:val="20"/>
          <w:szCs w:val="20"/>
          <w:color w:val="auto"/>
        </w:rPr>
      </w:pPr>
    </w:p>
    <w:p>
      <w:pPr>
        <w:ind w:left="1648" w:hanging="568"/>
        <w:spacing w:after="0"/>
        <w:tabs>
          <w:tab w:leader="none" w:pos="1648" w:val="left"/>
        </w:tabs>
        <w:numPr>
          <w:ilvl w:val="0"/>
          <w:numId w:val="9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Material contracts.</w:t>
      </w:r>
    </w:p>
    <w:p>
      <w:pPr>
        <w:spacing w:after="0" w:line="136" w:lineRule="exact"/>
        <w:rPr>
          <w:rFonts w:ascii="Times New Roman" w:cs="Times New Roman" w:eastAsia="Times New Roman" w:hAnsi="Times New Roman"/>
          <w:sz w:val="24"/>
          <w:szCs w:val="24"/>
          <w:color w:val="auto"/>
        </w:rPr>
      </w:pPr>
    </w:p>
    <w:p>
      <w:pPr>
        <w:ind w:left="1648" w:hanging="568"/>
        <w:spacing w:after="0"/>
        <w:tabs>
          <w:tab w:leader="none" w:pos="1648" w:val="left"/>
        </w:tabs>
        <w:numPr>
          <w:ilvl w:val="0"/>
          <w:numId w:val="9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Material Documents</w:t>
      </w:r>
    </w:p>
    <w:p>
      <w:pPr>
        <w:spacing w:after="0" w:line="151" w:lineRule="exact"/>
        <w:rPr>
          <w:rFonts w:ascii="Times New Roman" w:cs="Times New Roman" w:eastAsia="Times New Roman" w:hAnsi="Times New Roman"/>
          <w:sz w:val="24"/>
          <w:szCs w:val="24"/>
          <w:color w:val="auto"/>
        </w:rPr>
      </w:pPr>
    </w:p>
    <w:p>
      <w:pPr>
        <w:jc w:val="both"/>
        <w:ind w:left="1648" w:hanging="568"/>
        <w:spacing w:after="0" w:line="354" w:lineRule="auto"/>
        <w:tabs>
          <w:tab w:leader="none" w:pos="1648" w:val="left"/>
        </w:tabs>
        <w:numPr>
          <w:ilvl w:val="0"/>
          <w:numId w:val="9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Time and place at which the contracts, together with documents, will be available for inspection from the date of the offer document until the date of closing of the subscription list.</w:t>
      </w:r>
    </w:p>
    <w:p>
      <w:pPr>
        <w:spacing w:after="0" w:line="7" w:lineRule="exact"/>
        <w:rPr>
          <w:rFonts w:ascii="Times New Roman" w:cs="Times New Roman" w:eastAsia="Times New Roman" w:hAnsi="Times New Roman"/>
          <w:sz w:val="24"/>
          <w:szCs w:val="24"/>
          <w:color w:val="auto"/>
        </w:rPr>
      </w:pPr>
    </w:p>
    <w:p>
      <w:pPr>
        <w:ind w:left="1648" w:hanging="568"/>
        <w:spacing w:after="0"/>
        <w:tabs>
          <w:tab w:leader="none" w:pos="1648" w:val="left"/>
        </w:tabs>
        <w:numPr>
          <w:ilvl w:val="0"/>
          <w:numId w:val="9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IPO grading reports for each of the grades obtained</w:t>
      </w:r>
    </w:p>
    <w:p>
      <w:pPr>
        <w:spacing w:after="0" w:line="151" w:lineRule="exact"/>
        <w:rPr>
          <w:rFonts w:ascii="Times New Roman" w:cs="Times New Roman" w:eastAsia="Times New Roman" w:hAnsi="Times New Roman"/>
          <w:sz w:val="24"/>
          <w:szCs w:val="24"/>
          <w:color w:val="auto"/>
        </w:rPr>
      </w:pPr>
    </w:p>
    <w:p>
      <w:pPr>
        <w:jc w:val="both"/>
        <w:ind w:left="1648" w:hanging="568"/>
        <w:spacing w:after="0" w:line="358" w:lineRule="auto"/>
        <w:tabs>
          <w:tab w:leader="none" w:pos="1648" w:val="left"/>
        </w:tabs>
        <w:numPr>
          <w:ilvl w:val="0"/>
          <w:numId w:val="9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draft offer document/ draft letter of offer and offer document shall be approved by the Board of Directors of the issuer and shall be signed by all directors including the Managing Director within the meaning of the Companies Act, 2013 or Manager, within the meaning of the Companies Act, 2013 and the Chief Financial Officer or any other person heading the finance function and discharging that function. The signatories shall further certify that all disclosures are true and correct.</w:t>
      </w:r>
    </w:p>
    <w:p>
      <w:pPr>
        <w:spacing w:after="0" w:line="15" w:lineRule="exact"/>
        <w:rPr>
          <w:rFonts w:ascii="Times New Roman" w:cs="Times New Roman" w:eastAsia="Times New Roman" w:hAnsi="Times New Roman"/>
          <w:sz w:val="24"/>
          <w:szCs w:val="24"/>
          <w:color w:val="auto"/>
        </w:rPr>
      </w:pPr>
    </w:p>
    <w:p>
      <w:pPr>
        <w:jc w:val="both"/>
        <w:ind w:left="1648"/>
        <w:spacing w:after="0" w:line="358"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DECLARATION BY THE ISSUER: </w:t>
      </w:r>
      <w:r>
        <w:rPr>
          <w:rFonts w:ascii="Times New Roman" w:cs="Times New Roman" w:eastAsia="Times New Roman" w:hAnsi="Times New Roman"/>
          <w:sz w:val="24"/>
          <w:szCs w:val="24"/>
          <w:color w:val="auto"/>
        </w:rPr>
        <w:t>We hereby declare that all relevant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provisions of the the Companies Act, 2013 and the guidelines/regulations issued by the Government of India or the guidelines/regulations issued by the Securities and Exchange Board of India, established under section 3 of the Securities and Exchange Board of India Act, 1992, as the case may be, have been complied with and no statement made in the Red Herring Prospectus is contrary to the provisions of the the Companies Act, 2013, the Securities and Exchange Board of India Act, 1992 or rules made or guidelines or regulations issued there under, as the case may be. We further certify that all statements are true and correct.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261</w:t>
      </w:r>
    </w:p>
    <w:p>
      <w:pPr>
        <w:sectPr>
          <w:pgSz w:w="11900" w:h="16836" w:orient="portrait"/>
          <w:cols w:equalWidth="0" w:num="1">
            <w:col w:w="9468"/>
          </w:cols>
          <w:pgMar w:left="1152" w:top="1156" w:right="1284" w:bottom="103" w:gutter="0" w:footer="0" w:header="0"/>
        </w:sectPr>
      </w:pPr>
    </w:p>
    <w:bookmarkStart w:id="261" w:name="page262"/>
    <w:bookmarkEnd w:id="261"/>
    <w:p>
      <w:pPr>
        <w:jc w:val="center"/>
        <w:ind w:right="372"/>
        <w:spacing w:after="0"/>
        <w:rPr>
          <w:sz w:val="20"/>
          <w:szCs w:val="20"/>
          <w:color w:val="auto"/>
        </w:rPr>
      </w:pPr>
      <w:r>
        <w:rPr>
          <w:rFonts w:ascii="Times New Roman" w:cs="Times New Roman" w:eastAsia="Times New Roman" w:hAnsi="Times New Roman"/>
          <w:sz w:val="32"/>
          <w:szCs w:val="32"/>
          <w:b w:val="1"/>
          <w:bCs w:val="1"/>
          <w:color w:val="auto"/>
          <w:vertAlign w:val="superscript"/>
        </w:rPr>
        <w:t>117</w:t>
      </w:r>
      <w:r>
        <w:rPr>
          <w:rFonts w:ascii="Times New Roman" w:cs="Times New Roman" w:eastAsia="Times New Roman" w:hAnsi="Times New Roman"/>
          <w:sz w:val="24"/>
          <w:szCs w:val="24"/>
          <w:b w:val="1"/>
          <w:bCs w:val="1"/>
          <w:color w:val="auto"/>
        </w:rPr>
        <w:t>[Part B - Disclosures in a</w:t>
      </w:r>
    </w:p>
    <w:p>
      <w:pPr>
        <w:spacing w:after="0" w:line="41" w:lineRule="exact"/>
        <w:rPr>
          <w:sz w:val="20"/>
          <w:szCs w:val="20"/>
          <w:color w:val="auto"/>
        </w:rPr>
      </w:pPr>
    </w:p>
    <w:p>
      <w:pPr>
        <w:jc w:val="center"/>
        <w:ind w:right="372"/>
        <w:spacing w:after="0"/>
        <w:rPr>
          <w:sz w:val="20"/>
          <w:szCs w:val="20"/>
          <w:color w:val="auto"/>
        </w:rPr>
      </w:pPr>
      <w:r>
        <w:rPr>
          <w:rFonts w:ascii="Times New Roman" w:cs="Times New Roman" w:eastAsia="Times New Roman" w:hAnsi="Times New Roman"/>
          <w:sz w:val="24"/>
          <w:szCs w:val="24"/>
          <w:b w:val="1"/>
          <w:bCs w:val="1"/>
          <w:color w:val="auto"/>
        </w:rPr>
        <w:t>letter of offer</w:t>
      </w:r>
    </w:p>
    <w:p>
      <w:pPr>
        <w:spacing w:after="0" w:line="139" w:lineRule="exact"/>
        <w:rPr>
          <w:sz w:val="20"/>
          <w:szCs w:val="20"/>
          <w:color w:val="auto"/>
        </w:rPr>
      </w:pPr>
    </w:p>
    <w:p>
      <w:pPr>
        <w:jc w:val="center"/>
        <w:ind w:right="392"/>
        <w:spacing w:after="0"/>
        <w:rPr>
          <w:sz w:val="20"/>
          <w:szCs w:val="20"/>
          <w:color w:val="auto"/>
        </w:rPr>
      </w:pPr>
      <w:r>
        <w:rPr>
          <w:rFonts w:ascii="Times New Roman" w:cs="Times New Roman" w:eastAsia="Times New Roman" w:hAnsi="Times New Roman"/>
          <w:sz w:val="24"/>
          <w:szCs w:val="24"/>
          <w:b w:val="1"/>
          <w:bCs w:val="1"/>
          <w:color w:val="auto"/>
        </w:rPr>
        <w:t>[See regulation 70(2)]</w:t>
      </w: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ind w:left="768" w:hanging="436"/>
        <w:spacing w:after="0" w:line="348" w:lineRule="auto"/>
        <w:tabs>
          <w:tab w:leader="none" w:pos="770" w:val="left"/>
        </w:tabs>
        <w:numPr>
          <w:ilvl w:val="0"/>
          <w:numId w:val="9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 issuer, satisfying the following conditions, shall make the disclosures as specified in clause (4) of this Part, in the draft letter of offer/letter of offer:</w:t>
      </w:r>
    </w:p>
    <w:p>
      <w:pPr>
        <w:spacing w:after="0" w:line="226" w:lineRule="exact"/>
        <w:rPr>
          <w:rFonts w:ascii="Times New Roman" w:cs="Times New Roman" w:eastAsia="Times New Roman" w:hAnsi="Times New Roman"/>
          <w:sz w:val="24"/>
          <w:szCs w:val="24"/>
          <w:color w:val="auto"/>
        </w:rPr>
      </w:pPr>
    </w:p>
    <w:p>
      <w:pPr>
        <w:jc w:val="both"/>
        <w:ind w:left="1188" w:right="720" w:hanging="424"/>
        <w:spacing w:after="0" w:line="358" w:lineRule="auto"/>
        <w:tabs>
          <w:tab w:leader="none" w:pos="1190" w:val="left"/>
        </w:tabs>
        <w:numPr>
          <w:ilvl w:val="1"/>
          <w:numId w:val="9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periodic reports, statements and information are being filed in compliance with the listing agreement or the Securities and Exchange Board of India (Listing Obligations and Disclosure Requirements) Regulations, 2015, as applicable for the last one year immediately preceding the date of filing the letter of offer with the designated stock exchange in case of a fast track issue and in any other case, the date of filing the draft letter of offer with the Board;</w:t>
      </w:r>
    </w:p>
    <w:p>
      <w:pPr>
        <w:spacing w:after="0" w:line="213" w:lineRule="exact"/>
        <w:rPr>
          <w:rFonts w:ascii="Times New Roman" w:cs="Times New Roman" w:eastAsia="Times New Roman" w:hAnsi="Times New Roman"/>
          <w:sz w:val="24"/>
          <w:szCs w:val="24"/>
          <w:color w:val="auto"/>
        </w:rPr>
      </w:pPr>
    </w:p>
    <w:p>
      <w:pPr>
        <w:ind w:left="1188" w:right="720" w:hanging="424"/>
        <w:spacing w:after="0" w:line="350" w:lineRule="auto"/>
        <w:tabs>
          <w:tab w:leader="none" w:pos="1190" w:val="left"/>
        </w:tabs>
        <w:numPr>
          <w:ilvl w:val="1"/>
          <w:numId w:val="9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reports, statements and information referred to in sub-clause (a) above are available on the website of any stock exchange;</w:t>
      </w:r>
    </w:p>
    <w:p>
      <w:pPr>
        <w:spacing w:after="0" w:line="225" w:lineRule="exact"/>
        <w:rPr>
          <w:rFonts w:ascii="Times New Roman" w:cs="Times New Roman" w:eastAsia="Times New Roman" w:hAnsi="Times New Roman"/>
          <w:sz w:val="24"/>
          <w:szCs w:val="24"/>
          <w:color w:val="auto"/>
        </w:rPr>
      </w:pPr>
    </w:p>
    <w:p>
      <w:pPr>
        <w:jc w:val="both"/>
        <w:ind w:left="1188" w:right="720" w:hanging="424"/>
        <w:spacing w:after="0" w:line="357" w:lineRule="auto"/>
        <w:tabs>
          <w:tab w:leader="none" w:pos="1190" w:val="left"/>
        </w:tabs>
        <w:numPr>
          <w:ilvl w:val="1"/>
          <w:numId w:val="9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has investor grievance-handling mechanism which includes meeting of the Stakeholders’ Relationship Committee at frequent intervals, appropriate delegation of power by the board of directors of the issuer as regards share transfer and clearly laid down systems and procedures for timely and satisfactory redressal of investor grievances.</w:t>
      </w: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30" w:lineRule="exact"/>
        <w:rPr>
          <w:rFonts w:ascii="Times New Roman" w:cs="Times New Roman" w:eastAsia="Times New Roman" w:hAnsi="Times New Roman"/>
          <w:sz w:val="24"/>
          <w:szCs w:val="24"/>
          <w:color w:val="auto"/>
        </w:rPr>
      </w:pPr>
    </w:p>
    <w:p>
      <w:pPr>
        <w:ind w:left="768" w:right="720" w:hanging="436"/>
        <w:spacing w:after="0" w:line="350" w:lineRule="auto"/>
        <w:tabs>
          <w:tab w:leader="none" w:pos="770" w:val="left"/>
        </w:tabs>
        <w:numPr>
          <w:ilvl w:val="0"/>
          <w:numId w:val="9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issuer does not satisfy the conditions specified in clause (1), it shall make disclosures in the letter of offer as specified in Part B-1 of this Schedule.</w:t>
      </w: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38" w:lineRule="exact"/>
        <w:rPr>
          <w:rFonts w:ascii="Times New Roman" w:cs="Times New Roman" w:eastAsia="Times New Roman" w:hAnsi="Times New Roman"/>
          <w:sz w:val="24"/>
          <w:szCs w:val="24"/>
          <w:color w:val="auto"/>
        </w:rPr>
      </w:pPr>
    </w:p>
    <w:p>
      <w:pPr>
        <w:ind w:left="768" w:right="720" w:hanging="436"/>
        <w:spacing w:after="0" w:line="348" w:lineRule="auto"/>
        <w:tabs>
          <w:tab w:leader="none" w:pos="770" w:val="left"/>
        </w:tabs>
        <w:numPr>
          <w:ilvl w:val="0"/>
          <w:numId w:val="9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Following issuers shall mandatorily make disclosures in the draft letter of offer/letter of offer as specified in Part B-1 of this Schedule:</w:t>
      </w:r>
    </w:p>
    <w:p>
      <w:pPr>
        <w:spacing w:after="0" w:line="226" w:lineRule="exact"/>
        <w:rPr>
          <w:rFonts w:ascii="Times New Roman" w:cs="Times New Roman" w:eastAsia="Times New Roman" w:hAnsi="Times New Roman"/>
          <w:sz w:val="24"/>
          <w:szCs w:val="24"/>
          <w:color w:val="auto"/>
        </w:rPr>
      </w:pPr>
    </w:p>
    <w:p>
      <w:pPr>
        <w:jc w:val="both"/>
        <w:ind w:left="1188" w:right="720" w:hanging="424"/>
        <w:spacing w:after="0" w:line="356" w:lineRule="auto"/>
        <w:tabs>
          <w:tab w:leader="none" w:pos="1190" w:val="left"/>
        </w:tabs>
        <w:numPr>
          <w:ilvl w:val="1"/>
          <w:numId w:val="9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 issuer whose management has undergone any change pursuant to acquisition of control in accordance with the provisions of Securities and Exchange Board of India (Substantial Acquisition of Shares and Takeovers) Regulations, 1997 or the Securities and Exchange Board of India (Substantial</w:t>
      </w:r>
    </w:p>
    <w:p>
      <w:pPr>
        <w:spacing w:after="0" w:line="200" w:lineRule="exact"/>
        <w:rPr>
          <w:sz w:val="20"/>
          <w:szCs w:val="20"/>
          <w:color w:val="auto"/>
        </w:rPr>
      </w:pPr>
    </w:p>
    <w:p>
      <w:pPr>
        <w:spacing w:after="0" w:line="360" w:lineRule="exact"/>
        <w:rPr>
          <w:sz w:val="20"/>
          <w:szCs w:val="20"/>
          <w:color w:val="auto"/>
        </w:rPr>
      </w:pPr>
    </w:p>
    <w:p>
      <w:pPr>
        <w:ind w:left="8" w:right="200" w:hanging="8"/>
        <w:spacing w:after="0" w:line="213" w:lineRule="auto"/>
        <w:tabs>
          <w:tab w:leader="none" w:pos="252" w:val="left"/>
        </w:tabs>
        <w:numPr>
          <w:ilvl w:val="0"/>
          <w:numId w:val="912"/>
        </w:numPr>
        <w:rPr>
          <w:rFonts w:ascii="Times New Roman" w:cs="Times New Roman" w:eastAsia="Times New Roman" w:hAnsi="Times New Roman"/>
          <w:sz w:val="25"/>
          <w:szCs w:val="25"/>
          <w:color w:val="auto"/>
          <w:vertAlign w:val="superscript"/>
        </w:rPr>
      </w:pPr>
      <w:r>
        <w:rPr>
          <w:rFonts w:ascii="Times New Roman" w:cs="Times New Roman" w:eastAsia="Times New Roman" w:hAnsi="Times New Roman"/>
          <w:sz w:val="19"/>
          <w:szCs w:val="19"/>
          <w:color w:val="auto"/>
        </w:rPr>
        <w:t>Substituted by the SEBI (Issue of Capital and Disclosure Requirements) (Fourth Amendment) Regulations, 2020 w.e.f. 28.09.2020.</w:t>
      </w:r>
    </w:p>
    <w:p>
      <w:pPr>
        <w:spacing w:after="0" w:line="29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262</w:t>
      </w:r>
    </w:p>
    <w:p>
      <w:pPr>
        <w:sectPr>
          <w:pgSz w:w="11900" w:h="16836" w:orient="portrait"/>
          <w:cols w:equalWidth="0" w:num="1">
            <w:col w:w="9468"/>
          </w:cols>
          <w:pgMar w:left="1152" w:top="1153" w:right="1284" w:bottom="103" w:gutter="0" w:footer="0" w:header="0"/>
        </w:sectPr>
      </w:pPr>
    </w:p>
    <w:bookmarkStart w:id="262" w:name="page263"/>
    <w:bookmarkEnd w:id="262"/>
    <w:p>
      <w:pPr>
        <w:jc w:val="both"/>
        <w:ind w:left="900" w:right="720"/>
        <w:spacing w:after="0" w:line="356" w:lineRule="auto"/>
        <w:rPr>
          <w:sz w:val="20"/>
          <w:szCs w:val="20"/>
          <w:color w:val="auto"/>
        </w:rPr>
      </w:pPr>
      <w:r>
        <w:rPr>
          <w:rFonts w:ascii="Times New Roman" w:cs="Times New Roman" w:eastAsia="Times New Roman" w:hAnsi="Times New Roman"/>
          <w:sz w:val="24"/>
          <w:szCs w:val="24"/>
          <w:color w:val="auto"/>
        </w:rPr>
        <w:t>Acquisition of Shares and Takeovers) Regulations, 2011, as applicable and is making a rights issue of specified securities for the first time subsequent to such change and a period of three full years has not elapsed since such a change;</w:t>
      </w:r>
    </w:p>
    <w:p>
      <w:pPr>
        <w:spacing w:after="0" w:line="218" w:lineRule="exact"/>
        <w:rPr>
          <w:sz w:val="20"/>
          <w:szCs w:val="20"/>
          <w:color w:val="auto"/>
        </w:rPr>
      </w:pPr>
    </w:p>
    <w:p>
      <w:pPr>
        <w:jc w:val="both"/>
        <w:ind w:left="880" w:right="620" w:hanging="356"/>
        <w:spacing w:after="0" w:line="358" w:lineRule="auto"/>
        <w:tabs>
          <w:tab w:leader="none" w:pos="880" w:val="left"/>
        </w:tabs>
        <w:numPr>
          <w:ilvl w:val="2"/>
          <w:numId w:val="9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 issuer whose specified securities have been listed consequent to the relaxation granted by the Board under sub-rule (7) of rule 19 of the Securities Contracts (Regulation) Rules, 1957 for listing of its specified securities pursuant to a scheme sanctioned by a High Court under sections 391 to 394 of the Companies Act, 1956 or approved by a tribunal under sections 230-234 of the Companies Act, 2013, as applicable, and is making a rights issue of specified securities for the first time subsequent to such listing and a period of three full years has not elapsed since such listing.</w:t>
      </w:r>
    </w:p>
    <w:p>
      <w:pPr>
        <w:spacing w:after="0" w:line="200" w:lineRule="exact"/>
        <w:rPr>
          <w:rFonts w:ascii="Times New Roman" w:cs="Times New Roman" w:eastAsia="Times New Roman" w:hAnsi="Times New Roman"/>
          <w:sz w:val="24"/>
          <w:szCs w:val="24"/>
          <w:color w:val="auto"/>
        </w:rPr>
      </w:pPr>
    </w:p>
    <w:p>
      <w:pPr>
        <w:spacing w:after="0" w:line="234" w:lineRule="exact"/>
        <w:rPr>
          <w:rFonts w:ascii="Times New Roman" w:cs="Times New Roman" w:eastAsia="Times New Roman" w:hAnsi="Times New Roman"/>
          <w:sz w:val="24"/>
          <w:szCs w:val="24"/>
          <w:color w:val="auto"/>
        </w:rPr>
      </w:pPr>
    </w:p>
    <w:p>
      <w:pPr>
        <w:jc w:val="both"/>
        <w:ind w:left="480" w:right="720" w:hanging="436"/>
        <w:spacing w:after="0" w:line="354" w:lineRule="auto"/>
        <w:tabs>
          <w:tab w:leader="none" w:pos="482" w:val="left"/>
        </w:tabs>
        <w:numPr>
          <w:ilvl w:val="0"/>
          <w:numId w:val="9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 issuer proposing a rights issue shall make the following disclosures, as far as possible, in the letter of offer in the order in which the disclosures are specified in this clause:</w:t>
      </w:r>
    </w:p>
    <w:p>
      <w:pPr>
        <w:spacing w:after="0" w:line="219" w:lineRule="exact"/>
        <w:rPr>
          <w:rFonts w:ascii="Times New Roman" w:cs="Times New Roman" w:eastAsia="Times New Roman" w:hAnsi="Times New Roman"/>
          <w:sz w:val="24"/>
          <w:szCs w:val="24"/>
          <w:color w:val="auto"/>
        </w:rPr>
      </w:pPr>
    </w:p>
    <w:p>
      <w:pPr>
        <w:ind w:left="1220" w:right="740" w:hanging="788"/>
        <w:spacing w:after="0" w:line="350" w:lineRule="auto"/>
        <w:tabs>
          <w:tab w:leader="none" w:pos="1263" w:val="left"/>
        </w:tabs>
        <w:numPr>
          <w:ilvl w:val="1"/>
          <w:numId w:val="91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Cover Pages: </w:t>
      </w:r>
      <w:r>
        <w:rPr>
          <w:rFonts w:ascii="Times New Roman" w:cs="Times New Roman" w:eastAsia="Times New Roman" w:hAnsi="Times New Roman"/>
          <w:sz w:val="24"/>
          <w:szCs w:val="24"/>
          <w:color w:val="auto"/>
        </w:rPr>
        <w:t>The cover page paper shall be of adequate thickness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(minimum hundred GSM quality).</w:t>
      </w:r>
    </w:p>
    <w:p>
      <w:pPr>
        <w:spacing w:after="0" w:line="217" w:lineRule="exact"/>
        <w:rPr>
          <w:rFonts w:ascii="Times New Roman" w:cs="Times New Roman" w:eastAsia="Times New Roman" w:hAnsi="Times New Roman"/>
          <w:sz w:val="24"/>
          <w:szCs w:val="24"/>
          <w:b w:val="1"/>
          <w:bCs w:val="1"/>
          <w:color w:val="auto"/>
        </w:rPr>
      </w:pPr>
    </w:p>
    <w:p>
      <w:pPr>
        <w:ind w:left="1780" w:hanging="512"/>
        <w:spacing w:after="0"/>
        <w:tabs>
          <w:tab w:leader="none" w:pos="1780" w:val="left"/>
        </w:tabs>
        <w:numPr>
          <w:ilvl w:val="3"/>
          <w:numId w:val="91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Front Cover Pages:</w:t>
      </w:r>
    </w:p>
    <w:p>
      <w:pPr>
        <w:spacing w:after="0" w:line="333" w:lineRule="exact"/>
        <w:rPr>
          <w:rFonts w:ascii="Times New Roman" w:cs="Times New Roman" w:eastAsia="Times New Roman" w:hAnsi="Times New Roman"/>
          <w:sz w:val="24"/>
          <w:szCs w:val="24"/>
          <w:b w:val="1"/>
          <w:bCs w:val="1"/>
          <w:color w:val="auto"/>
        </w:rPr>
      </w:pPr>
    </w:p>
    <w:p>
      <w:pPr>
        <w:ind w:left="1880" w:hanging="380"/>
        <w:spacing w:after="0"/>
        <w:tabs>
          <w:tab w:leader="none" w:pos="1880" w:val="left"/>
        </w:tabs>
        <w:numPr>
          <w:ilvl w:val="4"/>
          <w:numId w:val="9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Front inside cover page shall be kept blank.</w:t>
      </w:r>
    </w:p>
    <w:p>
      <w:pPr>
        <w:spacing w:after="0" w:line="136" w:lineRule="exact"/>
        <w:rPr>
          <w:rFonts w:ascii="Times New Roman" w:cs="Times New Roman" w:eastAsia="Times New Roman" w:hAnsi="Times New Roman"/>
          <w:sz w:val="24"/>
          <w:szCs w:val="24"/>
          <w:color w:val="auto"/>
        </w:rPr>
      </w:pPr>
    </w:p>
    <w:p>
      <w:pPr>
        <w:ind w:left="1880" w:hanging="447"/>
        <w:spacing w:after="0"/>
        <w:tabs>
          <w:tab w:leader="none" w:pos="1880" w:val="left"/>
        </w:tabs>
        <w:numPr>
          <w:ilvl w:val="4"/>
          <w:numId w:val="9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Front outside cover page shall contain only the following details:</w:t>
      </w:r>
    </w:p>
    <w:p>
      <w:pPr>
        <w:spacing w:after="0" w:line="152" w:lineRule="exact"/>
        <w:rPr>
          <w:rFonts w:ascii="Times New Roman" w:cs="Times New Roman" w:eastAsia="Times New Roman" w:hAnsi="Times New Roman"/>
          <w:sz w:val="24"/>
          <w:szCs w:val="24"/>
          <w:color w:val="auto"/>
        </w:rPr>
      </w:pPr>
    </w:p>
    <w:p>
      <w:pPr>
        <w:ind w:left="2520" w:hanging="585"/>
        <w:spacing w:after="0" w:line="348" w:lineRule="auto"/>
        <w:tabs>
          <w:tab w:leader="none" w:pos="2791" w:val="left"/>
        </w:tabs>
        <w:numPr>
          <w:ilvl w:val="5"/>
          <w:numId w:val="9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Type of letter of offer (“Draft Letter of Offer” or “Letter of Offer”).</w:t>
      </w:r>
    </w:p>
    <w:p>
      <w:pPr>
        <w:spacing w:after="0" w:line="214" w:lineRule="exact"/>
        <w:rPr>
          <w:rFonts w:ascii="Times New Roman" w:cs="Times New Roman" w:eastAsia="Times New Roman" w:hAnsi="Times New Roman"/>
          <w:sz w:val="24"/>
          <w:szCs w:val="24"/>
          <w:color w:val="auto"/>
        </w:rPr>
      </w:pPr>
    </w:p>
    <w:p>
      <w:pPr>
        <w:ind w:left="2780" w:hanging="845"/>
        <w:spacing w:after="0"/>
        <w:tabs>
          <w:tab w:leader="none" w:pos="2780" w:val="left"/>
        </w:tabs>
        <w:numPr>
          <w:ilvl w:val="5"/>
          <w:numId w:val="9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Date of the draft letter of offer / letter of offer.</w:t>
      </w:r>
    </w:p>
    <w:p>
      <w:pPr>
        <w:spacing w:after="0" w:line="350" w:lineRule="exact"/>
        <w:rPr>
          <w:rFonts w:ascii="Times New Roman" w:cs="Times New Roman" w:eastAsia="Times New Roman" w:hAnsi="Times New Roman"/>
          <w:sz w:val="24"/>
          <w:szCs w:val="24"/>
          <w:color w:val="auto"/>
        </w:rPr>
      </w:pPr>
    </w:p>
    <w:p>
      <w:pPr>
        <w:jc w:val="both"/>
        <w:ind w:left="2520" w:hanging="585"/>
        <w:spacing w:after="0" w:line="357" w:lineRule="auto"/>
        <w:tabs>
          <w:tab w:leader="none" w:pos="2791" w:val="left"/>
        </w:tabs>
        <w:numPr>
          <w:ilvl w:val="5"/>
          <w:numId w:val="9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 of the issuer, its logo, date and place of its incorporation, corporate identity number, telephone number, address of its registered and corporate offices, website address and e-mail address (mention if where there has been any change in the address of the registered office or the name of the issuer, reference to the page of the offer document where details thereof are given).</w:t>
      </w:r>
    </w:p>
    <w:p>
      <w:pPr>
        <w:spacing w:after="0" w:line="208" w:lineRule="exact"/>
        <w:rPr>
          <w:rFonts w:ascii="Times New Roman" w:cs="Times New Roman" w:eastAsia="Times New Roman" w:hAnsi="Times New Roman"/>
          <w:sz w:val="24"/>
          <w:szCs w:val="24"/>
          <w:color w:val="auto"/>
        </w:rPr>
      </w:pPr>
    </w:p>
    <w:p>
      <w:pPr>
        <w:ind w:left="2780" w:hanging="845"/>
        <w:spacing w:after="0"/>
        <w:tabs>
          <w:tab w:leader="none" w:pos="2780" w:val="left"/>
        </w:tabs>
        <w:numPr>
          <w:ilvl w:val="5"/>
          <w:numId w:val="9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Nature, number and price of specified securities offered and issue</w:t>
      </w: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4"/>
          <w:szCs w:val="24"/>
          <w:color w:val="auto"/>
        </w:rPr>
        <w:t>263</w:t>
      </w:r>
    </w:p>
    <w:p>
      <w:pPr>
        <w:sectPr>
          <w:pgSz w:w="11900" w:h="16836" w:orient="portrait"/>
          <w:cols w:equalWidth="0" w:num="1">
            <w:col w:w="9180"/>
          </w:cols>
          <w:pgMar w:left="1440" w:top="1156" w:right="1284" w:bottom="103" w:gutter="0" w:footer="0" w:header="0"/>
        </w:sectPr>
      </w:pPr>
    </w:p>
    <w:bookmarkStart w:id="263" w:name="page264"/>
    <w:bookmarkEnd w:id="263"/>
    <w:p>
      <w:pPr>
        <w:ind w:left="2520"/>
        <w:spacing w:after="0"/>
        <w:rPr>
          <w:sz w:val="20"/>
          <w:szCs w:val="20"/>
          <w:color w:val="auto"/>
        </w:rPr>
      </w:pPr>
      <w:r>
        <w:rPr>
          <w:rFonts w:ascii="Times New Roman" w:cs="Times New Roman" w:eastAsia="Times New Roman" w:hAnsi="Times New Roman"/>
          <w:sz w:val="24"/>
          <w:szCs w:val="24"/>
          <w:color w:val="auto"/>
        </w:rPr>
        <w:t>size, as may be applicable.</w:t>
      </w:r>
    </w:p>
    <w:p>
      <w:pPr>
        <w:spacing w:after="0" w:line="339" w:lineRule="exact"/>
        <w:rPr>
          <w:sz w:val="20"/>
          <w:szCs w:val="20"/>
          <w:color w:val="auto"/>
        </w:rPr>
      </w:pPr>
    </w:p>
    <w:p>
      <w:pPr>
        <w:ind w:left="2780" w:hanging="845"/>
        <w:spacing w:after="0"/>
        <w:tabs>
          <w:tab w:leader="none" w:pos="2780" w:val="left"/>
        </w:tabs>
        <w:numPr>
          <w:ilvl w:val="0"/>
          <w:numId w:val="9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 of the promoter.</w:t>
      </w:r>
    </w:p>
    <w:p>
      <w:pPr>
        <w:spacing w:after="0" w:line="350" w:lineRule="exact"/>
        <w:rPr>
          <w:rFonts w:ascii="Times New Roman" w:cs="Times New Roman" w:eastAsia="Times New Roman" w:hAnsi="Times New Roman"/>
          <w:sz w:val="24"/>
          <w:szCs w:val="24"/>
          <w:color w:val="auto"/>
        </w:rPr>
      </w:pPr>
    </w:p>
    <w:p>
      <w:pPr>
        <w:ind w:left="2520" w:hanging="585"/>
        <w:spacing w:after="0" w:line="348" w:lineRule="auto"/>
        <w:tabs>
          <w:tab w:leader="none" w:pos="2791" w:val="left"/>
        </w:tabs>
        <w:numPr>
          <w:ilvl w:val="0"/>
          <w:numId w:val="9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the issuer or any of its promoters or directors being a wilful defaulter.</w:t>
      </w:r>
    </w:p>
    <w:p>
      <w:pPr>
        <w:spacing w:after="0" w:line="214" w:lineRule="exact"/>
        <w:rPr>
          <w:rFonts w:ascii="Times New Roman" w:cs="Times New Roman" w:eastAsia="Times New Roman" w:hAnsi="Times New Roman"/>
          <w:sz w:val="24"/>
          <w:szCs w:val="24"/>
          <w:color w:val="auto"/>
        </w:rPr>
      </w:pPr>
    </w:p>
    <w:p>
      <w:pPr>
        <w:ind w:left="2780" w:hanging="845"/>
        <w:spacing w:after="0"/>
        <w:tabs>
          <w:tab w:leader="none" w:pos="2780" w:val="left"/>
        </w:tabs>
        <w:numPr>
          <w:ilvl w:val="0"/>
          <w:numId w:val="9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following clause on “General Risk” shall be incorporated in a</w:t>
      </w:r>
    </w:p>
    <w:p>
      <w:pPr>
        <w:spacing w:after="0" w:line="137" w:lineRule="exact"/>
        <w:rPr>
          <w:sz w:val="20"/>
          <w:szCs w:val="20"/>
          <w:color w:val="auto"/>
        </w:rPr>
      </w:pPr>
    </w:p>
    <w:p>
      <w:pPr>
        <w:ind w:left="2520"/>
        <w:spacing w:after="0"/>
        <w:rPr>
          <w:sz w:val="20"/>
          <w:szCs w:val="20"/>
          <w:color w:val="auto"/>
        </w:rPr>
      </w:pPr>
      <w:r>
        <w:rPr>
          <w:rFonts w:ascii="Times New Roman" w:cs="Times New Roman" w:eastAsia="Times New Roman" w:hAnsi="Times New Roman"/>
          <w:sz w:val="24"/>
          <w:szCs w:val="24"/>
          <w:color w:val="auto"/>
        </w:rPr>
        <w:t>box format:</w:t>
      </w:r>
    </w:p>
    <w:p>
      <w:pPr>
        <w:spacing w:after="0" w:line="351" w:lineRule="exact"/>
        <w:rPr>
          <w:sz w:val="20"/>
          <w:szCs w:val="20"/>
          <w:color w:val="auto"/>
        </w:rPr>
      </w:pPr>
    </w:p>
    <w:p>
      <w:pPr>
        <w:jc w:val="both"/>
        <w:ind w:left="2780" w:right="720"/>
        <w:spacing w:after="0" w:line="359" w:lineRule="auto"/>
        <w:rPr>
          <w:sz w:val="20"/>
          <w:szCs w:val="20"/>
          <w:color w:val="auto"/>
        </w:rPr>
      </w:pPr>
      <w:r>
        <w:rPr>
          <w:rFonts w:ascii="Times New Roman" w:cs="Times New Roman" w:eastAsia="Times New Roman" w:hAnsi="Times New Roman"/>
          <w:sz w:val="24"/>
          <w:szCs w:val="24"/>
          <w:color w:val="auto"/>
        </w:rPr>
        <w:t>"Investment in equity and equity related securities involve a degree of risk and investors should not invest any funds in this offer unless they can afford to take the risk with such investment. Investors are advised to read the risk factors carefully before taking an investment decision in this offering. For taking an investment decision, investors shall rely on their own examination of the issuer and the offer including the risks involved. The securities have not been recommended or approved by the Securities and Exchange Board of India (SEBI) nor does SEBI guarantee the accuracy or adequacy of this document. Specific attention of investors is invited to the statement of ‘Risk factors’ given on page number ….. under the section ‘General Risks’.”</w:t>
      </w:r>
    </w:p>
    <w:p>
      <w:pPr>
        <w:spacing w:after="0" w:line="5" w:lineRule="exact"/>
        <w:rPr>
          <w:sz w:val="20"/>
          <w:szCs w:val="20"/>
          <w:color w:val="auto"/>
        </w:rPr>
      </w:pPr>
    </w:p>
    <w:p>
      <w:pPr>
        <w:ind w:left="2780" w:hanging="845"/>
        <w:spacing w:after="0"/>
        <w:tabs>
          <w:tab w:leader="none" w:pos="2780" w:val="left"/>
        </w:tabs>
        <w:numPr>
          <w:ilvl w:val="0"/>
          <w:numId w:val="91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following clause on ‘Issuer’s Absolute Responsibility’ shall</w:t>
      </w:r>
    </w:p>
    <w:p>
      <w:pPr>
        <w:spacing w:after="0" w:line="140" w:lineRule="exact"/>
        <w:rPr>
          <w:sz w:val="20"/>
          <w:szCs w:val="20"/>
          <w:color w:val="auto"/>
        </w:rPr>
      </w:pPr>
    </w:p>
    <w:p>
      <w:pPr>
        <w:ind w:left="2520"/>
        <w:spacing w:after="0"/>
        <w:rPr>
          <w:sz w:val="20"/>
          <w:szCs w:val="20"/>
          <w:color w:val="auto"/>
        </w:rPr>
      </w:pPr>
      <w:r>
        <w:rPr>
          <w:rFonts w:ascii="Times New Roman" w:cs="Times New Roman" w:eastAsia="Times New Roman" w:hAnsi="Times New Roman"/>
          <w:sz w:val="24"/>
          <w:szCs w:val="24"/>
          <w:color w:val="auto"/>
        </w:rPr>
        <w:t>be incorporated in a box format:</w:t>
      </w:r>
    </w:p>
    <w:p>
      <w:pPr>
        <w:spacing w:after="0" w:line="348" w:lineRule="exact"/>
        <w:rPr>
          <w:sz w:val="20"/>
          <w:szCs w:val="20"/>
          <w:color w:val="auto"/>
        </w:rPr>
      </w:pPr>
    </w:p>
    <w:p>
      <w:pPr>
        <w:jc w:val="both"/>
        <w:ind w:left="2780" w:right="720"/>
        <w:spacing w:after="0" w:line="359" w:lineRule="auto"/>
        <w:rPr>
          <w:sz w:val="20"/>
          <w:szCs w:val="20"/>
          <w:color w:val="auto"/>
        </w:rPr>
      </w:pPr>
      <w:r>
        <w:rPr>
          <w:rFonts w:ascii="Times New Roman" w:cs="Times New Roman" w:eastAsia="Times New Roman" w:hAnsi="Times New Roman"/>
          <w:sz w:val="24"/>
          <w:szCs w:val="24"/>
          <w:color w:val="auto"/>
        </w:rPr>
        <w:t>"The issuer, having made all reasonable inquiries, accepts responsibility for and confirms that this letter of offer contains all information with regard to the issuer and the issue, which is material in the context of the issue, and that the information contained in the letter of offer is true and correct in all material aspects and is not misleading in any material respect, that the opinions and intentions expressed herein are honestly held and that there are no other facts, the omission of which make this document as a whole or any of such information or the expression of any such</w:t>
      </w:r>
    </w:p>
    <w:p>
      <w:pPr>
        <w:spacing w:after="0" w:line="200" w:lineRule="exact"/>
        <w:rPr>
          <w:sz w:val="20"/>
          <w:szCs w:val="20"/>
          <w:color w:val="auto"/>
        </w:rPr>
      </w:pPr>
    </w:p>
    <w:p>
      <w:pPr>
        <w:spacing w:after="0" w:line="299"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264</w:t>
      </w:r>
    </w:p>
    <w:p>
      <w:pPr>
        <w:sectPr>
          <w:pgSz w:w="11900" w:h="16836" w:orient="portrait"/>
          <w:cols w:equalWidth="0" w:num="1">
            <w:col w:w="9180"/>
          </w:cols>
          <w:pgMar w:left="1440" w:top="1144" w:right="1284" w:bottom="103" w:gutter="0" w:footer="0" w:header="0"/>
        </w:sectPr>
      </w:pPr>
    </w:p>
    <w:bookmarkStart w:id="264" w:name="page265"/>
    <w:bookmarkEnd w:id="264"/>
    <w:p>
      <w:pPr>
        <w:ind w:left="2780"/>
        <w:spacing w:after="0"/>
        <w:rPr>
          <w:sz w:val="20"/>
          <w:szCs w:val="20"/>
          <w:color w:val="auto"/>
        </w:rPr>
      </w:pPr>
      <w:r>
        <w:rPr>
          <w:rFonts w:ascii="Times New Roman" w:cs="Times New Roman" w:eastAsia="Times New Roman" w:hAnsi="Times New Roman"/>
          <w:sz w:val="24"/>
          <w:szCs w:val="24"/>
          <w:color w:val="auto"/>
        </w:rPr>
        <w:t>opinions or intentions misleading in any material respect."</w:t>
      </w:r>
    </w:p>
    <w:p>
      <w:pPr>
        <w:spacing w:after="0" w:line="149" w:lineRule="exact"/>
        <w:rPr>
          <w:sz w:val="20"/>
          <w:szCs w:val="20"/>
          <w:color w:val="auto"/>
        </w:rPr>
      </w:pPr>
    </w:p>
    <w:p>
      <w:pPr>
        <w:jc w:val="both"/>
        <w:ind w:left="2520" w:hanging="585"/>
        <w:spacing w:after="0" w:line="358" w:lineRule="auto"/>
        <w:tabs>
          <w:tab w:leader="none" w:pos="2791" w:val="left"/>
        </w:tabs>
        <w:numPr>
          <w:ilvl w:val="1"/>
          <w:numId w:val="9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Names, logos and addresses of all the lead manager(s) with their titles who have signed the due diligence certificate and filed the letter of offer with the Board, along with their telephone numbers, website addresses and e-mail addresses. (Where any of the lead manager(s) is an associate of the issuer, it shall disclose itself as an associate of the issuer and that its role is limited to marketing of the issue.)</w:t>
      </w:r>
    </w:p>
    <w:p>
      <w:pPr>
        <w:spacing w:after="0" w:line="217" w:lineRule="exact"/>
        <w:rPr>
          <w:rFonts w:ascii="Times New Roman" w:cs="Times New Roman" w:eastAsia="Times New Roman" w:hAnsi="Times New Roman"/>
          <w:sz w:val="24"/>
          <w:szCs w:val="24"/>
          <w:color w:val="auto"/>
        </w:rPr>
      </w:pPr>
    </w:p>
    <w:p>
      <w:pPr>
        <w:ind w:left="2520" w:hanging="585"/>
        <w:spacing w:after="0" w:line="350" w:lineRule="auto"/>
        <w:tabs>
          <w:tab w:leader="none" w:pos="2791" w:val="left"/>
        </w:tabs>
        <w:numPr>
          <w:ilvl w:val="1"/>
          <w:numId w:val="9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 logo and address of the registrar to the issue, along with its telephone number, website address and e-mail address.</w:t>
      </w:r>
    </w:p>
    <w:p>
      <w:pPr>
        <w:spacing w:after="0" w:line="212" w:lineRule="exact"/>
        <w:rPr>
          <w:rFonts w:ascii="Times New Roman" w:cs="Times New Roman" w:eastAsia="Times New Roman" w:hAnsi="Times New Roman"/>
          <w:sz w:val="24"/>
          <w:szCs w:val="24"/>
          <w:color w:val="auto"/>
        </w:rPr>
      </w:pPr>
    </w:p>
    <w:p>
      <w:pPr>
        <w:ind w:left="2780" w:hanging="845"/>
        <w:spacing w:after="0"/>
        <w:tabs>
          <w:tab w:leader="none" w:pos="2780" w:val="left"/>
        </w:tabs>
        <w:numPr>
          <w:ilvl w:val="1"/>
          <w:numId w:val="9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Issue schedule:</w:t>
      </w:r>
    </w:p>
    <w:p>
      <w:pPr>
        <w:spacing w:after="0" w:line="334" w:lineRule="exact"/>
        <w:rPr>
          <w:rFonts w:ascii="Times New Roman" w:cs="Times New Roman" w:eastAsia="Times New Roman" w:hAnsi="Times New Roman"/>
          <w:sz w:val="24"/>
          <w:szCs w:val="24"/>
          <w:color w:val="auto"/>
        </w:rPr>
      </w:pPr>
    </w:p>
    <w:p>
      <w:pPr>
        <w:ind w:left="3640" w:hanging="589"/>
        <w:spacing w:after="0"/>
        <w:tabs>
          <w:tab w:leader="none" w:pos="3640" w:val="left"/>
        </w:tabs>
        <w:numPr>
          <w:ilvl w:val="2"/>
          <w:numId w:val="917"/>
        </w:numPr>
        <w:rPr>
          <w:rFonts w:ascii="Symbol" w:cs="Symbol" w:eastAsia="Symbol" w:hAnsi="Symbol"/>
          <w:sz w:val="24"/>
          <w:szCs w:val="24"/>
          <w:color w:val="auto"/>
        </w:rPr>
      </w:pPr>
      <w:r>
        <w:rPr>
          <w:rFonts w:ascii="Times New Roman" w:cs="Times New Roman" w:eastAsia="Times New Roman" w:hAnsi="Times New Roman"/>
          <w:sz w:val="24"/>
          <w:szCs w:val="24"/>
          <w:color w:val="auto"/>
        </w:rPr>
        <w:t>Date of opening of the issue</w:t>
      </w:r>
    </w:p>
    <w:p>
      <w:pPr>
        <w:spacing w:after="0" w:line="337" w:lineRule="exact"/>
        <w:rPr>
          <w:rFonts w:ascii="Symbol" w:cs="Symbol" w:eastAsia="Symbol" w:hAnsi="Symbol"/>
          <w:sz w:val="24"/>
          <w:szCs w:val="24"/>
          <w:color w:val="auto"/>
        </w:rPr>
      </w:pPr>
    </w:p>
    <w:p>
      <w:pPr>
        <w:ind w:left="3640" w:hanging="589"/>
        <w:spacing w:after="0"/>
        <w:tabs>
          <w:tab w:leader="none" w:pos="3640" w:val="left"/>
        </w:tabs>
        <w:numPr>
          <w:ilvl w:val="2"/>
          <w:numId w:val="917"/>
        </w:numPr>
        <w:rPr>
          <w:rFonts w:ascii="Symbol" w:cs="Symbol" w:eastAsia="Symbol" w:hAnsi="Symbol"/>
          <w:sz w:val="24"/>
          <w:szCs w:val="24"/>
          <w:color w:val="auto"/>
        </w:rPr>
      </w:pPr>
      <w:r>
        <w:rPr>
          <w:rFonts w:ascii="Times New Roman" w:cs="Times New Roman" w:eastAsia="Times New Roman" w:hAnsi="Times New Roman"/>
          <w:sz w:val="24"/>
          <w:szCs w:val="24"/>
          <w:color w:val="auto"/>
        </w:rPr>
        <w:t>Date of closing of the issue</w:t>
      </w:r>
    </w:p>
    <w:p>
      <w:pPr>
        <w:spacing w:after="0" w:line="351" w:lineRule="exact"/>
        <w:rPr>
          <w:rFonts w:ascii="Symbol" w:cs="Symbol" w:eastAsia="Symbol" w:hAnsi="Symbol"/>
          <w:sz w:val="24"/>
          <w:szCs w:val="24"/>
          <w:color w:val="auto"/>
        </w:rPr>
      </w:pPr>
    </w:p>
    <w:p>
      <w:pPr>
        <w:jc w:val="both"/>
        <w:ind w:left="2780" w:right="720" w:hanging="845"/>
        <w:spacing w:after="0" w:line="354" w:lineRule="auto"/>
        <w:tabs>
          <w:tab w:leader="none" w:pos="2790" w:val="left"/>
        </w:tabs>
        <w:numPr>
          <w:ilvl w:val="1"/>
          <w:numId w:val="9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Name(s) of the stock exchanges where the specified securities are listed and the details of their in-principle approval for listing obtained from these stock exchange(s).</w:t>
      </w:r>
    </w:p>
    <w:p>
      <w:pPr>
        <w:spacing w:after="0" w:line="208" w:lineRule="exact"/>
        <w:rPr>
          <w:rFonts w:ascii="Times New Roman" w:cs="Times New Roman" w:eastAsia="Times New Roman" w:hAnsi="Times New Roman"/>
          <w:sz w:val="24"/>
          <w:szCs w:val="24"/>
          <w:color w:val="auto"/>
        </w:rPr>
      </w:pPr>
    </w:p>
    <w:p>
      <w:pPr>
        <w:ind w:left="1260" w:hanging="828"/>
        <w:spacing w:after="0"/>
        <w:tabs>
          <w:tab w:leader="none" w:pos="1260" w:val="left"/>
        </w:tabs>
        <w:numPr>
          <w:ilvl w:val="0"/>
          <w:numId w:val="91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Back cover pages</w:t>
      </w:r>
      <w:r>
        <w:rPr>
          <w:rFonts w:ascii="Times New Roman" w:cs="Times New Roman" w:eastAsia="Times New Roman" w:hAnsi="Times New Roman"/>
          <w:sz w:val="24"/>
          <w:szCs w:val="24"/>
          <w:color w:val="auto"/>
        </w:rPr>
        <w:t>:</w:t>
      </w:r>
    </w:p>
    <w:p>
      <w:pPr>
        <w:spacing w:after="0" w:line="338"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24"/>
          <w:szCs w:val="24"/>
          <w:color w:val="auto"/>
        </w:rPr>
        <w:t>The back inside cover page and back outside cover page shall be kept blank.</w:t>
      </w:r>
    </w:p>
    <w:p>
      <w:pPr>
        <w:spacing w:after="0" w:line="149" w:lineRule="exact"/>
        <w:rPr>
          <w:sz w:val="20"/>
          <w:szCs w:val="20"/>
          <w:color w:val="auto"/>
        </w:rPr>
      </w:pPr>
    </w:p>
    <w:p>
      <w:pPr>
        <w:ind w:left="1220" w:right="720" w:hanging="788"/>
        <w:spacing w:after="0" w:line="350" w:lineRule="auto"/>
        <w:tabs>
          <w:tab w:leader="none" w:pos="1263" w:val="left"/>
        </w:tabs>
        <w:numPr>
          <w:ilvl w:val="0"/>
          <w:numId w:val="91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Table of contents: </w:t>
      </w:r>
      <w:r>
        <w:rPr>
          <w:rFonts w:ascii="Times New Roman" w:cs="Times New Roman" w:eastAsia="Times New Roman" w:hAnsi="Times New Roman"/>
          <w:sz w:val="24"/>
          <w:szCs w:val="24"/>
          <w:color w:val="auto"/>
        </w:rPr>
        <w:t>The table of contents shall appear immediately after</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the front inside cover page.</w:t>
      </w:r>
    </w:p>
    <w:p>
      <w:pPr>
        <w:spacing w:after="0" w:line="213" w:lineRule="exact"/>
        <w:rPr>
          <w:sz w:val="20"/>
          <w:szCs w:val="20"/>
          <w:color w:val="auto"/>
        </w:rPr>
      </w:pPr>
    </w:p>
    <w:p>
      <w:pPr>
        <w:ind w:left="440"/>
        <w:spacing w:after="0"/>
        <w:tabs>
          <w:tab w:leader="none" w:pos="1240" w:val="left"/>
        </w:tabs>
        <w:rPr>
          <w:sz w:val="20"/>
          <w:szCs w:val="20"/>
          <w:color w:val="auto"/>
        </w:rPr>
      </w:pPr>
      <w:r>
        <w:rPr>
          <w:rFonts w:ascii="Times New Roman" w:cs="Times New Roman" w:eastAsia="Times New Roman" w:hAnsi="Times New Roman"/>
          <w:sz w:val="24"/>
          <w:szCs w:val="24"/>
          <w:b w:val="1"/>
          <w:bCs w:val="1"/>
          <w:color w:val="auto"/>
        </w:rPr>
        <w:t>(IV)</w:t>
      </w:r>
      <w:r>
        <w:rPr>
          <w:sz w:val="20"/>
          <w:szCs w:val="20"/>
          <w:color w:val="auto"/>
        </w:rPr>
        <w:tab/>
      </w:r>
      <w:r>
        <w:rPr>
          <w:rFonts w:ascii="Times New Roman" w:cs="Times New Roman" w:eastAsia="Times New Roman" w:hAnsi="Times New Roman"/>
          <w:sz w:val="24"/>
          <w:szCs w:val="24"/>
          <w:b w:val="1"/>
          <w:bCs w:val="1"/>
          <w:color w:val="auto"/>
        </w:rPr>
        <w:t>Definitions and abbreviations</w:t>
      </w:r>
      <w:r>
        <w:rPr>
          <w:rFonts w:ascii="Times New Roman" w:cs="Times New Roman" w:eastAsia="Times New Roman" w:hAnsi="Times New Roman"/>
          <w:sz w:val="24"/>
          <w:szCs w:val="24"/>
          <w:color w:val="auto"/>
        </w:rPr>
        <w:t>:</w:t>
      </w:r>
    </w:p>
    <w:p>
      <w:pPr>
        <w:spacing w:after="0" w:line="338" w:lineRule="exact"/>
        <w:rPr>
          <w:sz w:val="20"/>
          <w:szCs w:val="20"/>
          <w:color w:val="auto"/>
        </w:rPr>
      </w:pPr>
    </w:p>
    <w:p>
      <w:pPr>
        <w:ind w:left="1780" w:hanging="512"/>
        <w:spacing w:after="0"/>
        <w:tabs>
          <w:tab w:leader="none" w:pos="1780" w:val="left"/>
        </w:tabs>
        <w:numPr>
          <w:ilvl w:val="2"/>
          <w:numId w:val="92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Conventional or general terms</w:t>
      </w:r>
    </w:p>
    <w:p>
      <w:pPr>
        <w:spacing w:after="0" w:line="336" w:lineRule="exact"/>
        <w:rPr>
          <w:rFonts w:ascii="Times New Roman" w:cs="Times New Roman" w:eastAsia="Times New Roman" w:hAnsi="Times New Roman"/>
          <w:sz w:val="24"/>
          <w:szCs w:val="24"/>
          <w:b w:val="1"/>
          <w:bCs w:val="1"/>
          <w:color w:val="auto"/>
        </w:rPr>
      </w:pPr>
    </w:p>
    <w:p>
      <w:pPr>
        <w:ind w:left="1780" w:hanging="512"/>
        <w:spacing w:after="0"/>
        <w:tabs>
          <w:tab w:leader="none" w:pos="1780" w:val="left"/>
        </w:tabs>
        <w:numPr>
          <w:ilvl w:val="2"/>
          <w:numId w:val="92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Issue related terms</w:t>
      </w:r>
    </w:p>
    <w:p>
      <w:pPr>
        <w:spacing w:after="0" w:line="338" w:lineRule="exact"/>
        <w:rPr>
          <w:rFonts w:ascii="Times New Roman" w:cs="Times New Roman" w:eastAsia="Times New Roman" w:hAnsi="Times New Roman"/>
          <w:sz w:val="24"/>
          <w:szCs w:val="24"/>
          <w:b w:val="1"/>
          <w:bCs w:val="1"/>
          <w:color w:val="auto"/>
        </w:rPr>
      </w:pPr>
    </w:p>
    <w:p>
      <w:pPr>
        <w:ind w:left="1780" w:hanging="512"/>
        <w:spacing w:after="0"/>
        <w:tabs>
          <w:tab w:leader="none" w:pos="1780" w:val="left"/>
        </w:tabs>
        <w:numPr>
          <w:ilvl w:val="2"/>
          <w:numId w:val="92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Issuer and industry related terms</w:t>
      </w:r>
    </w:p>
    <w:p>
      <w:pPr>
        <w:spacing w:after="0" w:line="338" w:lineRule="exact"/>
        <w:rPr>
          <w:rFonts w:ascii="Times New Roman" w:cs="Times New Roman" w:eastAsia="Times New Roman" w:hAnsi="Times New Roman"/>
          <w:sz w:val="24"/>
          <w:szCs w:val="24"/>
          <w:b w:val="1"/>
          <w:bCs w:val="1"/>
          <w:color w:val="auto"/>
        </w:rPr>
      </w:pPr>
    </w:p>
    <w:p>
      <w:pPr>
        <w:ind w:left="1780" w:hanging="512"/>
        <w:spacing w:after="0"/>
        <w:tabs>
          <w:tab w:leader="none" w:pos="1780" w:val="left"/>
        </w:tabs>
        <w:numPr>
          <w:ilvl w:val="2"/>
          <w:numId w:val="92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Abbreviations</w:t>
      </w:r>
    </w:p>
    <w:p>
      <w:pPr>
        <w:spacing w:after="0" w:line="351" w:lineRule="exact"/>
        <w:rPr>
          <w:rFonts w:ascii="Times New Roman" w:cs="Times New Roman" w:eastAsia="Times New Roman" w:hAnsi="Times New Roman"/>
          <w:sz w:val="24"/>
          <w:szCs w:val="24"/>
          <w:b w:val="1"/>
          <w:bCs w:val="1"/>
          <w:color w:val="auto"/>
        </w:rPr>
      </w:pPr>
    </w:p>
    <w:p>
      <w:pPr>
        <w:ind w:left="1220" w:right="720" w:hanging="788"/>
        <w:spacing w:after="0" w:line="348" w:lineRule="auto"/>
        <w:tabs>
          <w:tab w:leader="none" w:pos="1263" w:val="left"/>
        </w:tabs>
        <w:numPr>
          <w:ilvl w:val="0"/>
          <w:numId w:val="92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Letter of offer summary: </w:t>
      </w:r>
      <w:r>
        <w:rPr>
          <w:rFonts w:ascii="Times New Roman" w:cs="Times New Roman" w:eastAsia="Times New Roman" w:hAnsi="Times New Roman"/>
          <w:sz w:val="24"/>
          <w:szCs w:val="24"/>
          <w:color w:val="auto"/>
        </w:rPr>
        <w:t>This section shall contain summary of the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following information, as applicable:</w:t>
      </w:r>
    </w:p>
    <w:p>
      <w:pPr>
        <w:spacing w:after="0" w:line="214" w:lineRule="exact"/>
        <w:rPr>
          <w:rFonts w:ascii="Times New Roman" w:cs="Times New Roman" w:eastAsia="Times New Roman" w:hAnsi="Times New Roman"/>
          <w:sz w:val="24"/>
          <w:szCs w:val="24"/>
          <w:b w:val="1"/>
          <w:bCs w:val="1"/>
          <w:color w:val="auto"/>
        </w:rPr>
      </w:pPr>
    </w:p>
    <w:p>
      <w:pPr>
        <w:ind w:left="1780" w:hanging="536"/>
        <w:spacing w:after="0"/>
        <w:tabs>
          <w:tab w:leader="none" w:pos="1780" w:val="left"/>
        </w:tabs>
        <w:numPr>
          <w:ilvl w:val="1"/>
          <w:numId w:val="92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Primary business of the Issuer in not more than 50 words;</w:t>
      </w:r>
    </w:p>
    <w:p>
      <w:pPr>
        <w:spacing w:after="0" w:line="200" w:lineRule="exact"/>
        <w:rPr>
          <w:sz w:val="20"/>
          <w:szCs w:val="20"/>
          <w:color w:val="auto"/>
        </w:rPr>
      </w:pPr>
    </w:p>
    <w:p>
      <w:pPr>
        <w:spacing w:after="0" w:line="258"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265</w:t>
      </w:r>
    </w:p>
    <w:p>
      <w:pPr>
        <w:sectPr>
          <w:pgSz w:w="11900" w:h="16836" w:orient="portrait"/>
          <w:cols w:equalWidth="0" w:num="1">
            <w:col w:w="9180"/>
          </w:cols>
          <w:pgMar w:left="1440" w:top="1144" w:right="1284" w:bottom="103" w:gutter="0" w:footer="0" w:header="0"/>
        </w:sectPr>
      </w:pPr>
    </w:p>
    <w:bookmarkStart w:id="265" w:name="page266"/>
    <w:bookmarkEnd w:id="265"/>
    <w:p>
      <w:pPr>
        <w:ind w:left="1780" w:hanging="512"/>
        <w:spacing w:after="0"/>
        <w:tabs>
          <w:tab w:leader="none" w:pos="1780" w:val="left"/>
        </w:tabs>
        <w:numPr>
          <w:ilvl w:val="0"/>
          <w:numId w:val="92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Objects of the issue in a tabular format;</w:t>
      </w:r>
    </w:p>
    <w:p>
      <w:pPr>
        <w:spacing w:after="0" w:line="149" w:lineRule="exact"/>
        <w:rPr>
          <w:rFonts w:ascii="Times New Roman" w:cs="Times New Roman" w:eastAsia="Times New Roman" w:hAnsi="Times New Roman"/>
          <w:sz w:val="24"/>
          <w:szCs w:val="24"/>
          <w:b w:val="1"/>
          <w:bCs w:val="1"/>
          <w:color w:val="auto"/>
        </w:rPr>
      </w:pPr>
    </w:p>
    <w:p>
      <w:pPr>
        <w:ind w:left="1780" w:hanging="512"/>
        <w:spacing w:after="0" w:line="350" w:lineRule="auto"/>
        <w:tabs>
          <w:tab w:leader="none" w:pos="1780" w:val="left"/>
        </w:tabs>
        <w:numPr>
          <w:ilvl w:val="0"/>
          <w:numId w:val="92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Intention and extent of participation by promoter/promoter group with respect to:</w:t>
      </w:r>
    </w:p>
    <w:p>
      <w:pPr>
        <w:spacing w:after="0" w:line="10" w:lineRule="exact"/>
        <w:rPr>
          <w:rFonts w:ascii="Times New Roman" w:cs="Times New Roman" w:eastAsia="Times New Roman" w:hAnsi="Times New Roman"/>
          <w:sz w:val="24"/>
          <w:szCs w:val="24"/>
          <w:b w:val="1"/>
          <w:bCs w:val="1"/>
          <w:color w:val="auto"/>
        </w:rPr>
      </w:pPr>
    </w:p>
    <w:p>
      <w:pPr>
        <w:ind w:left="1780" w:hanging="277"/>
        <w:spacing w:after="0"/>
        <w:tabs>
          <w:tab w:leader="none" w:pos="1780" w:val="left"/>
        </w:tabs>
        <w:numPr>
          <w:ilvl w:val="1"/>
          <w:numId w:val="9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their rights entitlement</w:t>
      </w:r>
    </w:p>
    <w:p>
      <w:pPr>
        <w:spacing w:after="0" w:line="139" w:lineRule="exact"/>
        <w:rPr>
          <w:rFonts w:ascii="Times New Roman" w:cs="Times New Roman" w:eastAsia="Times New Roman" w:hAnsi="Times New Roman"/>
          <w:sz w:val="24"/>
          <w:szCs w:val="24"/>
          <w:color w:val="auto"/>
        </w:rPr>
      </w:pPr>
    </w:p>
    <w:p>
      <w:pPr>
        <w:ind w:left="1780" w:hanging="277"/>
        <w:spacing w:after="0"/>
        <w:tabs>
          <w:tab w:leader="none" w:pos="1780" w:val="left"/>
        </w:tabs>
        <w:numPr>
          <w:ilvl w:val="1"/>
          <w:numId w:val="9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their intention to subscribe over and above their right entitlement</w:t>
      </w:r>
    </w:p>
    <w:p>
      <w:pPr>
        <w:spacing w:after="0" w:line="149" w:lineRule="exact"/>
        <w:rPr>
          <w:rFonts w:ascii="Times New Roman" w:cs="Times New Roman" w:eastAsia="Times New Roman" w:hAnsi="Times New Roman"/>
          <w:sz w:val="24"/>
          <w:szCs w:val="24"/>
          <w:color w:val="auto"/>
        </w:rPr>
      </w:pPr>
    </w:p>
    <w:p>
      <w:pPr>
        <w:ind w:left="1780" w:hanging="512"/>
        <w:spacing w:after="0" w:line="350" w:lineRule="auto"/>
        <w:tabs>
          <w:tab w:leader="none" w:pos="1780" w:val="left"/>
        </w:tabs>
        <w:numPr>
          <w:ilvl w:val="0"/>
          <w:numId w:val="92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Summary table of outstanding litigations and a cross-reference to the section titled ‘</w:t>
      </w:r>
      <w:r>
        <w:rPr>
          <w:rFonts w:ascii="Times New Roman" w:cs="Times New Roman" w:eastAsia="Times New Roman" w:hAnsi="Times New Roman"/>
          <w:sz w:val="24"/>
          <w:szCs w:val="24"/>
          <w:i w:val="1"/>
          <w:iCs w:val="1"/>
          <w:color w:val="auto"/>
        </w:rPr>
        <w:t>Outstanding Litigations and Defaults</w:t>
      </w:r>
      <w:r>
        <w:rPr>
          <w:rFonts w:ascii="Times New Roman" w:cs="Times New Roman" w:eastAsia="Times New Roman" w:hAnsi="Times New Roman"/>
          <w:sz w:val="24"/>
          <w:szCs w:val="24"/>
          <w:color w:val="auto"/>
        </w:rPr>
        <w:t>’;</w:t>
      </w:r>
    </w:p>
    <w:p>
      <w:pPr>
        <w:spacing w:after="0" w:line="212" w:lineRule="exact"/>
        <w:rPr>
          <w:rFonts w:ascii="Times New Roman" w:cs="Times New Roman" w:eastAsia="Times New Roman" w:hAnsi="Times New Roman"/>
          <w:sz w:val="24"/>
          <w:szCs w:val="24"/>
          <w:b w:val="1"/>
          <w:bCs w:val="1"/>
          <w:color w:val="auto"/>
        </w:rPr>
      </w:pPr>
    </w:p>
    <w:p>
      <w:pPr>
        <w:ind w:left="1780" w:hanging="512"/>
        <w:spacing w:after="0"/>
        <w:tabs>
          <w:tab w:leader="none" w:pos="1780" w:val="left"/>
        </w:tabs>
        <w:numPr>
          <w:ilvl w:val="0"/>
          <w:numId w:val="92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Cross-reference to the section titled ‘</w:t>
      </w:r>
      <w:r>
        <w:rPr>
          <w:rFonts w:ascii="Times New Roman" w:cs="Times New Roman" w:eastAsia="Times New Roman" w:hAnsi="Times New Roman"/>
          <w:sz w:val="24"/>
          <w:szCs w:val="24"/>
          <w:i w:val="1"/>
          <w:iCs w:val="1"/>
          <w:color w:val="auto"/>
        </w:rPr>
        <w:t>Risk Factors</w:t>
      </w:r>
      <w:r>
        <w:rPr>
          <w:rFonts w:ascii="Times New Roman" w:cs="Times New Roman" w:eastAsia="Times New Roman" w:hAnsi="Times New Roman"/>
          <w:sz w:val="24"/>
          <w:szCs w:val="24"/>
          <w:color w:val="auto"/>
        </w:rPr>
        <w:t>’.</w:t>
      </w:r>
    </w:p>
    <w:p>
      <w:pPr>
        <w:spacing w:after="0" w:line="351" w:lineRule="exact"/>
        <w:rPr>
          <w:rFonts w:ascii="Times New Roman" w:cs="Times New Roman" w:eastAsia="Times New Roman" w:hAnsi="Times New Roman"/>
          <w:sz w:val="24"/>
          <w:szCs w:val="24"/>
          <w:b w:val="1"/>
          <w:bCs w:val="1"/>
          <w:color w:val="auto"/>
        </w:rPr>
      </w:pPr>
    </w:p>
    <w:p>
      <w:pPr>
        <w:ind w:left="1880" w:hanging="612"/>
        <w:spacing w:after="0" w:line="348" w:lineRule="auto"/>
        <w:tabs>
          <w:tab w:leader="none" w:pos="1791" w:val="left"/>
        </w:tabs>
        <w:numPr>
          <w:ilvl w:val="0"/>
          <w:numId w:val="92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Cross-reference to contingent liabilities of the issuer as disclosed in audited financial statements.</w:t>
      </w:r>
    </w:p>
    <w:p>
      <w:pPr>
        <w:spacing w:after="0" w:line="226" w:lineRule="exact"/>
        <w:rPr>
          <w:rFonts w:ascii="Times New Roman" w:cs="Times New Roman" w:eastAsia="Times New Roman" w:hAnsi="Times New Roman"/>
          <w:sz w:val="24"/>
          <w:szCs w:val="24"/>
          <w:b w:val="1"/>
          <w:bCs w:val="1"/>
          <w:color w:val="auto"/>
        </w:rPr>
      </w:pPr>
    </w:p>
    <w:p>
      <w:pPr>
        <w:ind w:left="1880" w:hanging="612"/>
        <w:spacing w:after="0" w:line="348" w:lineRule="auto"/>
        <w:tabs>
          <w:tab w:leader="none" w:pos="1791" w:val="left"/>
        </w:tabs>
        <w:numPr>
          <w:ilvl w:val="0"/>
          <w:numId w:val="92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Cross-reference to related part transactions (RPT) as disclosed in audited financial statements.</w:t>
      </w:r>
    </w:p>
    <w:p>
      <w:pPr>
        <w:spacing w:after="0" w:line="226" w:lineRule="exact"/>
        <w:rPr>
          <w:rFonts w:ascii="Times New Roman" w:cs="Times New Roman" w:eastAsia="Times New Roman" w:hAnsi="Times New Roman"/>
          <w:sz w:val="24"/>
          <w:szCs w:val="24"/>
          <w:b w:val="1"/>
          <w:bCs w:val="1"/>
          <w:color w:val="auto"/>
        </w:rPr>
      </w:pPr>
    </w:p>
    <w:p>
      <w:pPr>
        <w:ind w:left="1880" w:hanging="612"/>
        <w:spacing w:after="0" w:line="350" w:lineRule="auto"/>
        <w:tabs>
          <w:tab w:leader="none" w:pos="1791" w:val="left"/>
        </w:tabs>
        <w:numPr>
          <w:ilvl w:val="0"/>
          <w:numId w:val="92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Any issuances of equity shares made in the last one year for consideration other than cash.</w:t>
      </w:r>
    </w:p>
    <w:p>
      <w:pPr>
        <w:spacing w:after="0" w:line="215" w:lineRule="exact"/>
        <w:rPr>
          <w:sz w:val="20"/>
          <w:szCs w:val="20"/>
          <w:color w:val="auto"/>
        </w:rPr>
      </w:pPr>
    </w:p>
    <w:p>
      <w:pPr>
        <w:ind w:left="440"/>
        <w:spacing w:after="0"/>
        <w:tabs>
          <w:tab w:leader="none" w:pos="1260" w:val="left"/>
        </w:tabs>
        <w:rPr>
          <w:sz w:val="20"/>
          <w:szCs w:val="20"/>
          <w:color w:val="auto"/>
        </w:rPr>
      </w:pPr>
      <w:r>
        <w:rPr>
          <w:rFonts w:ascii="Times New Roman" w:cs="Times New Roman" w:eastAsia="Times New Roman" w:hAnsi="Times New Roman"/>
          <w:sz w:val="24"/>
          <w:szCs w:val="24"/>
          <w:b w:val="1"/>
          <w:bCs w:val="1"/>
          <w:color w:val="auto"/>
        </w:rPr>
        <w:t>(VI)</w:t>
      </w:r>
      <w:r>
        <w:rPr>
          <w:sz w:val="20"/>
          <w:szCs w:val="20"/>
          <w:color w:val="auto"/>
        </w:rPr>
        <w:tab/>
      </w:r>
      <w:r>
        <w:rPr>
          <w:rFonts w:ascii="Times New Roman" w:cs="Times New Roman" w:eastAsia="Times New Roman" w:hAnsi="Times New Roman"/>
          <w:sz w:val="24"/>
          <w:szCs w:val="24"/>
          <w:b w:val="1"/>
          <w:bCs w:val="1"/>
          <w:color w:val="auto"/>
        </w:rPr>
        <w:t>Risk factors:</w:t>
      </w:r>
    </w:p>
    <w:p>
      <w:pPr>
        <w:spacing w:after="0" w:line="346" w:lineRule="exact"/>
        <w:rPr>
          <w:sz w:val="20"/>
          <w:szCs w:val="20"/>
          <w:color w:val="auto"/>
        </w:rPr>
      </w:pPr>
    </w:p>
    <w:p>
      <w:pPr>
        <w:ind w:left="1780" w:right="740" w:hanging="512"/>
        <w:spacing w:after="0" w:line="350" w:lineRule="auto"/>
        <w:tabs>
          <w:tab w:leader="none" w:pos="1782" w:val="left"/>
        </w:tabs>
        <w:numPr>
          <w:ilvl w:val="0"/>
          <w:numId w:val="92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Risk factors shall be printed in clear readable font (preferably of minimum point ten size).</w:t>
      </w:r>
    </w:p>
    <w:p>
      <w:pPr>
        <w:spacing w:after="0" w:line="212" w:lineRule="exact"/>
        <w:rPr>
          <w:rFonts w:ascii="Times New Roman" w:cs="Times New Roman" w:eastAsia="Times New Roman" w:hAnsi="Times New Roman"/>
          <w:sz w:val="24"/>
          <w:szCs w:val="24"/>
          <w:b w:val="1"/>
          <w:bCs w:val="1"/>
          <w:color w:val="auto"/>
        </w:rPr>
      </w:pPr>
    </w:p>
    <w:p>
      <w:pPr>
        <w:ind w:left="1780" w:hanging="512"/>
        <w:spacing w:after="0"/>
        <w:tabs>
          <w:tab w:leader="none" w:pos="1780" w:val="left"/>
        </w:tabs>
        <w:numPr>
          <w:ilvl w:val="0"/>
          <w:numId w:val="92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Risk factors shall be in relation to the following:</w:t>
      </w:r>
    </w:p>
    <w:p>
      <w:pPr>
        <w:spacing w:after="0" w:line="336" w:lineRule="exact"/>
        <w:rPr>
          <w:rFonts w:ascii="Times New Roman" w:cs="Times New Roman" w:eastAsia="Times New Roman" w:hAnsi="Times New Roman"/>
          <w:sz w:val="24"/>
          <w:szCs w:val="24"/>
          <w:b w:val="1"/>
          <w:bCs w:val="1"/>
          <w:color w:val="auto"/>
        </w:rPr>
      </w:pPr>
    </w:p>
    <w:p>
      <w:pPr>
        <w:ind w:left="2280" w:hanging="508"/>
        <w:spacing w:after="0"/>
        <w:tabs>
          <w:tab w:leader="none" w:pos="2280" w:val="left"/>
        </w:tabs>
        <w:numPr>
          <w:ilvl w:val="1"/>
          <w:numId w:val="923"/>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issue and objects of the issue;</w:t>
      </w:r>
    </w:p>
    <w:p>
      <w:pPr>
        <w:spacing w:after="0" w:line="339" w:lineRule="exact"/>
        <w:rPr>
          <w:rFonts w:ascii="Times New Roman" w:cs="Times New Roman" w:eastAsia="Times New Roman" w:hAnsi="Times New Roman"/>
          <w:sz w:val="22"/>
          <w:szCs w:val="22"/>
          <w:color w:val="auto"/>
        </w:rPr>
      </w:pPr>
    </w:p>
    <w:p>
      <w:pPr>
        <w:ind w:left="2280" w:hanging="508"/>
        <w:spacing w:after="0"/>
        <w:tabs>
          <w:tab w:leader="none" w:pos="2280" w:val="left"/>
        </w:tabs>
        <w:numPr>
          <w:ilvl w:val="1"/>
          <w:numId w:val="923"/>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issuer and its ongoing business activities;</w:t>
      </w:r>
    </w:p>
    <w:p>
      <w:pPr>
        <w:spacing w:after="0" w:line="350" w:lineRule="exact"/>
        <w:rPr>
          <w:rFonts w:ascii="Times New Roman" w:cs="Times New Roman" w:eastAsia="Times New Roman" w:hAnsi="Times New Roman"/>
          <w:sz w:val="22"/>
          <w:szCs w:val="22"/>
          <w:color w:val="auto"/>
        </w:rPr>
      </w:pPr>
    </w:p>
    <w:p>
      <w:pPr>
        <w:jc w:val="both"/>
        <w:ind w:left="2280" w:hanging="508"/>
        <w:spacing w:after="0" w:line="357" w:lineRule="auto"/>
        <w:tabs>
          <w:tab w:leader="none" w:pos="2278" w:val="left"/>
        </w:tabs>
        <w:numPr>
          <w:ilvl w:val="1"/>
          <w:numId w:val="923"/>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summary of outstanding litigations as disclosed in the section on litigation in a tabular format along with amount involved, wherever quantifiable. Issuer shall also separately highlight any criminal and regulatory matters which may have any material adverse effect on the issuer.</w:t>
      </w:r>
    </w:p>
    <w:p>
      <w:pPr>
        <w:spacing w:after="0" w:line="217" w:lineRule="exact"/>
        <w:rPr>
          <w:rFonts w:ascii="Times New Roman" w:cs="Times New Roman" w:eastAsia="Times New Roman" w:hAnsi="Times New Roman"/>
          <w:sz w:val="22"/>
          <w:szCs w:val="22"/>
          <w:color w:val="auto"/>
        </w:rPr>
      </w:pPr>
    </w:p>
    <w:p>
      <w:pPr>
        <w:ind w:left="1780" w:right="720" w:hanging="512"/>
        <w:spacing w:after="0" w:line="348" w:lineRule="auto"/>
        <w:tabs>
          <w:tab w:leader="none" w:pos="1780" w:val="left"/>
        </w:tabs>
        <w:numPr>
          <w:ilvl w:val="0"/>
          <w:numId w:val="92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Risk factors shall be determined on the basis of their materiality. In doing so, the following shall be considered:</w:t>
      </w:r>
    </w:p>
    <w:p>
      <w:pPr>
        <w:spacing w:after="0" w:line="227" w:lineRule="exact"/>
        <w:rPr>
          <w:rFonts w:ascii="Times New Roman" w:cs="Times New Roman" w:eastAsia="Times New Roman" w:hAnsi="Times New Roman"/>
          <w:sz w:val="24"/>
          <w:szCs w:val="24"/>
          <w:b w:val="1"/>
          <w:bCs w:val="1"/>
          <w:color w:val="auto"/>
        </w:rPr>
      </w:pPr>
    </w:p>
    <w:p>
      <w:pPr>
        <w:ind w:left="2280" w:right="740" w:hanging="508"/>
        <w:spacing w:after="0" w:line="350" w:lineRule="auto"/>
        <w:tabs>
          <w:tab w:leader="none" w:pos="2278" w:val="left"/>
        </w:tabs>
        <w:numPr>
          <w:ilvl w:val="1"/>
          <w:numId w:val="9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Some risks may not be material individually but may be found material collectively.</w:t>
      </w:r>
    </w:p>
    <w:p>
      <w:pPr>
        <w:spacing w:after="0" w:line="352"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266</w:t>
      </w:r>
    </w:p>
    <w:p>
      <w:pPr>
        <w:sectPr>
          <w:pgSz w:w="11900" w:h="16836" w:orient="portrait"/>
          <w:cols w:equalWidth="0" w:num="1">
            <w:col w:w="9180"/>
          </w:cols>
          <w:pgMar w:left="1440" w:top="1144" w:right="1284" w:bottom="103" w:gutter="0" w:footer="0" w:header="0"/>
        </w:sectPr>
      </w:pPr>
    </w:p>
    <w:bookmarkStart w:id="266" w:name="page267"/>
    <w:bookmarkEnd w:id="266"/>
    <w:p>
      <w:pPr>
        <w:ind w:left="2280" w:right="564" w:hanging="508"/>
        <w:spacing w:after="0" w:line="348" w:lineRule="auto"/>
        <w:tabs>
          <w:tab w:leader="none" w:pos="2278" w:val="left"/>
        </w:tabs>
        <w:numPr>
          <w:ilvl w:val="1"/>
          <w:numId w:val="92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Some risks may have an impact which is qualitative though not quantitative.</w:t>
      </w:r>
    </w:p>
    <w:p>
      <w:pPr>
        <w:spacing w:after="0" w:line="227" w:lineRule="exact"/>
        <w:rPr>
          <w:rFonts w:ascii="Times New Roman" w:cs="Times New Roman" w:eastAsia="Times New Roman" w:hAnsi="Times New Roman"/>
          <w:sz w:val="24"/>
          <w:szCs w:val="24"/>
          <w:color w:val="auto"/>
        </w:rPr>
      </w:pPr>
    </w:p>
    <w:p>
      <w:pPr>
        <w:ind w:left="2280" w:right="564" w:hanging="508"/>
        <w:spacing w:after="0" w:line="350" w:lineRule="auto"/>
        <w:tabs>
          <w:tab w:leader="none" w:pos="2278" w:val="left"/>
        </w:tabs>
        <w:numPr>
          <w:ilvl w:val="1"/>
          <w:numId w:val="92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Some risks may not be material at present but may have a material impact in the future.</w:t>
      </w:r>
    </w:p>
    <w:p>
      <w:pPr>
        <w:spacing w:after="0" w:line="212" w:lineRule="exact"/>
        <w:rPr>
          <w:rFonts w:ascii="Times New Roman" w:cs="Times New Roman" w:eastAsia="Times New Roman" w:hAnsi="Times New Roman"/>
          <w:sz w:val="24"/>
          <w:szCs w:val="24"/>
          <w:color w:val="auto"/>
        </w:rPr>
      </w:pPr>
    </w:p>
    <w:p>
      <w:pPr>
        <w:ind w:left="1780" w:hanging="512"/>
        <w:spacing w:after="0"/>
        <w:tabs>
          <w:tab w:leader="none" w:pos="1780" w:val="left"/>
        </w:tabs>
        <w:numPr>
          <w:ilvl w:val="0"/>
          <w:numId w:val="92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Each risk factor shall appear in the following manner:</w:t>
      </w:r>
    </w:p>
    <w:p>
      <w:pPr>
        <w:spacing w:after="0" w:line="336" w:lineRule="exact"/>
        <w:rPr>
          <w:rFonts w:ascii="Times New Roman" w:cs="Times New Roman" w:eastAsia="Times New Roman" w:hAnsi="Times New Roman"/>
          <w:sz w:val="24"/>
          <w:szCs w:val="24"/>
          <w:b w:val="1"/>
          <w:bCs w:val="1"/>
          <w:color w:val="auto"/>
        </w:rPr>
      </w:pPr>
    </w:p>
    <w:p>
      <w:pPr>
        <w:ind w:left="2280" w:hanging="508"/>
        <w:spacing w:after="0"/>
        <w:tabs>
          <w:tab w:leader="none" w:pos="2280" w:val="left"/>
        </w:tabs>
        <w:numPr>
          <w:ilvl w:val="1"/>
          <w:numId w:val="92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Risk as envisaged by the issuer.</w:t>
      </w:r>
    </w:p>
    <w:p>
      <w:pPr>
        <w:spacing w:after="0" w:line="339" w:lineRule="exact"/>
        <w:rPr>
          <w:rFonts w:ascii="Times New Roman" w:cs="Times New Roman" w:eastAsia="Times New Roman" w:hAnsi="Times New Roman"/>
          <w:sz w:val="24"/>
          <w:szCs w:val="24"/>
          <w:color w:val="auto"/>
        </w:rPr>
      </w:pPr>
    </w:p>
    <w:p>
      <w:pPr>
        <w:ind w:left="2280" w:hanging="508"/>
        <w:spacing w:after="0"/>
        <w:tabs>
          <w:tab w:leader="none" w:pos="2280" w:val="left"/>
        </w:tabs>
        <w:numPr>
          <w:ilvl w:val="1"/>
          <w:numId w:val="92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Proposals, if any, to address the risk.</w:t>
      </w:r>
    </w:p>
    <w:p>
      <w:pPr>
        <w:spacing w:after="0" w:line="350" w:lineRule="exact"/>
        <w:rPr>
          <w:rFonts w:ascii="Times New Roman" w:cs="Times New Roman" w:eastAsia="Times New Roman" w:hAnsi="Times New Roman"/>
          <w:sz w:val="24"/>
          <w:szCs w:val="24"/>
          <w:color w:val="auto"/>
        </w:rPr>
      </w:pPr>
    </w:p>
    <w:p>
      <w:pPr>
        <w:ind w:left="1780" w:right="564" w:hanging="512"/>
        <w:spacing w:after="0" w:line="350" w:lineRule="auto"/>
        <w:tabs>
          <w:tab w:leader="none" w:pos="1780" w:val="left"/>
        </w:tabs>
        <w:numPr>
          <w:ilvl w:val="0"/>
          <w:numId w:val="92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Proposals to address the risks shall not contain any speculative statement on the positive outcome to any matter or litigation, etc.</w:t>
      </w:r>
    </w:p>
    <w:p>
      <w:pPr>
        <w:spacing w:after="0" w:line="222" w:lineRule="exact"/>
        <w:rPr>
          <w:rFonts w:ascii="Times New Roman" w:cs="Times New Roman" w:eastAsia="Times New Roman" w:hAnsi="Times New Roman"/>
          <w:sz w:val="24"/>
          <w:szCs w:val="24"/>
          <w:b w:val="1"/>
          <w:bCs w:val="1"/>
          <w:color w:val="auto"/>
        </w:rPr>
      </w:pPr>
    </w:p>
    <w:p>
      <w:pPr>
        <w:ind w:left="1780" w:right="564" w:hanging="512"/>
        <w:spacing w:after="0" w:line="350" w:lineRule="auto"/>
        <w:tabs>
          <w:tab w:leader="none" w:pos="1782" w:val="left"/>
        </w:tabs>
        <w:numPr>
          <w:ilvl w:val="0"/>
          <w:numId w:val="92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Proposals to address the risks shall not be given for any matter that is sub-judice before any court or tribunal.</w:t>
      </w:r>
    </w:p>
    <w:p>
      <w:pPr>
        <w:spacing w:after="0" w:line="224" w:lineRule="exact"/>
        <w:rPr>
          <w:rFonts w:ascii="Times New Roman" w:cs="Times New Roman" w:eastAsia="Times New Roman" w:hAnsi="Times New Roman"/>
          <w:sz w:val="24"/>
          <w:szCs w:val="24"/>
          <w:b w:val="1"/>
          <w:bCs w:val="1"/>
          <w:color w:val="auto"/>
        </w:rPr>
      </w:pPr>
    </w:p>
    <w:p>
      <w:pPr>
        <w:jc w:val="both"/>
        <w:ind w:left="1780" w:right="564" w:hanging="512"/>
        <w:spacing w:after="0" w:line="356" w:lineRule="auto"/>
        <w:tabs>
          <w:tab w:leader="none" w:pos="1782" w:val="left"/>
        </w:tabs>
        <w:numPr>
          <w:ilvl w:val="0"/>
          <w:numId w:val="92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Risk factors shall be disclosed in the descending order of materiality. Wherever risks about material impact are stated, likely or potential implications, including any financial implication, on the Company for the same shall be disclosed.</w:t>
      </w:r>
    </w:p>
    <w:p>
      <w:pPr>
        <w:spacing w:after="0" w:line="211" w:lineRule="exact"/>
        <w:rPr>
          <w:sz w:val="20"/>
          <w:szCs w:val="20"/>
          <w:color w:val="auto"/>
        </w:rPr>
      </w:pPr>
    </w:p>
    <w:p>
      <w:pPr>
        <w:ind w:left="440"/>
        <w:spacing w:after="0"/>
        <w:tabs>
          <w:tab w:leader="none" w:pos="1260" w:val="left"/>
        </w:tabs>
        <w:rPr>
          <w:sz w:val="20"/>
          <w:szCs w:val="20"/>
          <w:color w:val="auto"/>
        </w:rPr>
      </w:pPr>
      <w:r>
        <w:rPr>
          <w:rFonts w:ascii="Times New Roman" w:cs="Times New Roman" w:eastAsia="Times New Roman" w:hAnsi="Times New Roman"/>
          <w:sz w:val="24"/>
          <w:szCs w:val="24"/>
          <w:b w:val="1"/>
          <w:bCs w:val="1"/>
          <w:color w:val="auto"/>
        </w:rPr>
        <w:t>(VII)</w:t>
      </w:r>
      <w:r>
        <w:rPr>
          <w:sz w:val="20"/>
          <w:szCs w:val="20"/>
          <w:color w:val="auto"/>
        </w:rPr>
        <w:tab/>
      </w:r>
      <w:r>
        <w:rPr>
          <w:rFonts w:ascii="Times New Roman" w:cs="Times New Roman" w:eastAsia="Times New Roman" w:hAnsi="Times New Roman"/>
          <w:sz w:val="24"/>
          <w:szCs w:val="24"/>
          <w:b w:val="1"/>
          <w:bCs w:val="1"/>
          <w:color w:val="auto"/>
        </w:rPr>
        <w:t>Introduction:</w:t>
      </w:r>
    </w:p>
    <w:p>
      <w:pPr>
        <w:spacing w:after="0" w:line="338" w:lineRule="exact"/>
        <w:rPr>
          <w:sz w:val="20"/>
          <w:szCs w:val="20"/>
          <w:color w:val="auto"/>
        </w:rPr>
      </w:pPr>
    </w:p>
    <w:p>
      <w:pPr>
        <w:ind w:left="1780" w:hanging="512"/>
        <w:spacing w:after="0"/>
        <w:tabs>
          <w:tab w:leader="none" w:pos="1780" w:val="left"/>
        </w:tabs>
        <w:numPr>
          <w:ilvl w:val="0"/>
          <w:numId w:val="92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Summary:</w:t>
      </w:r>
    </w:p>
    <w:p>
      <w:pPr>
        <w:spacing w:after="0" w:line="333" w:lineRule="exact"/>
        <w:rPr>
          <w:rFonts w:ascii="Times New Roman" w:cs="Times New Roman" w:eastAsia="Times New Roman" w:hAnsi="Times New Roman"/>
          <w:sz w:val="24"/>
          <w:szCs w:val="24"/>
          <w:b w:val="1"/>
          <w:bCs w:val="1"/>
          <w:color w:val="auto"/>
        </w:rPr>
      </w:pPr>
    </w:p>
    <w:p>
      <w:pPr>
        <w:ind w:left="2280" w:hanging="508"/>
        <w:spacing w:after="0"/>
        <w:tabs>
          <w:tab w:leader="none" w:pos="2280" w:val="left"/>
        </w:tabs>
        <w:numPr>
          <w:ilvl w:val="1"/>
          <w:numId w:val="9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Issue details in brief.</w:t>
      </w:r>
    </w:p>
    <w:p>
      <w:pPr>
        <w:spacing w:after="0" w:line="341" w:lineRule="exact"/>
        <w:rPr>
          <w:rFonts w:ascii="Times New Roman" w:cs="Times New Roman" w:eastAsia="Times New Roman" w:hAnsi="Times New Roman"/>
          <w:sz w:val="24"/>
          <w:szCs w:val="24"/>
          <w:color w:val="auto"/>
        </w:rPr>
      </w:pPr>
    </w:p>
    <w:p>
      <w:pPr>
        <w:ind w:left="1840" w:hanging="572"/>
        <w:spacing w:after="0"/>
        <w:tabs>
          <w:tab w:leader="none" w:pos="1840" w:val="left"/>
        </w:tabs>
        <w:numPr>
          <w:ilvl w:val="0"/>
          <w:numId w:val="92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General Information:</w:t>
      </w:r>
    </w:p>
    <w:p>
      <w:pPr>
        <w:spacing w:after="0" w:line="345" w:lineRule="exact"/>
        <w:rPr>
          <w:rFonts w:ascii="Times New Roman" w:cs="Times New Roman" w:eastAsia="Times New Roman" w:hAnsi="Times New Roman"/>
          <w:sz w:val="24"/>
          <w:szCs w:val="24"/>
          <w:b w:val="1"/>
          <w:bCs w:val="1"/>
          <w:color w:val="auto"/>
        </w:rPr>
      </w:pPr>
    </w:p>
    <w:p>
      <w:pPr>
        <w:jc w:val="both"/>
        <w:ind w:left="2280" w:right="564" w:hanging="496"/>
        <w:spacing w:after="0" w:line="356" w:lineRule="auto"/>
        <w:tabs>
          <w:tab w:leader="none" w:pos="2270" w:val="left"/>
        </w:tabs>
        <w:numPr>
          <w:ilvl w:val="2"/>
          <w:numId w:val="9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 addresses of the registered and corporate offices, corporate identity number and the registration number of the issuer, along with the address of the Registrar of Companies where the issuer is registered.</w:t>
      </w:r>
    </w:p>
    <w:p>
      <w:pPr>
        <w:spacing w:after="0" w:line="217" w:lineRule="exact"/>
        <w:rPr>
          <w:rFonts w:ascii="Times New Roman" w:cs="Times New Roman" w:eastAsia="Times New Roman" w:hAnsi="Times New Roman"/>
          <w:sz w:val="24"/>
          <w:szCs w:val="24"/>
          <w:color w:val="auto"/>
        </w:rPr>
      </w:pPr>
    </w:p>
    <w:p>
      <w:pPr>
        <w:ind w:left="2280" w:right="564" w:hanging="496"/>
        <w:spacing w:after="0" w:line="350" w:lineRule="auto"/>
        <w:tabs>
          <w:tab w:leader="none" w:pos="2270" w:val="left"/>
        </w:tabs>
        <w:numPr>
          <w:ilvl w:val="2"/>
          <w:numId w:val="9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Names, addresses, telephone numbers and e-mail addresses of the Company Secretary and compliance officer of the issuer.</w:t>
      </w:r>
    </w:p>
    <w:p>
      <w:pPr>
        <w:spacing w:after="0" w:line="225" w:lineRule="exact"/>
        <w:rPr>
          <w:rFonts w:ascii="Times New Roman" w:cs="Times New Roman" w:eastAsia="Times New Roman" w:hAnsi="Times New Roman"/>
          <w:sz w:val="24"/>
          <w:szCs w:val="24"/>
          <w:color w:val="auto"/>
        </w:rPr>
      </w:pPr>
    </w:p>
    <w:p>
      <w:pPr>
        <w:ind w:left="2280" w:right="564" w:hanging="496"/>
        <w:spacing w:after="0" w:line="348" w:lineRule="auto"/>
        <w:tabs>
          <w:tab w:leader="none" w:pos="2270" w:val="left"/>
        </w:tabs>
        <w:numPr>
          <w:ilvl w:val="2"/>
          <w:numId w:val="9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 address, telephone number and e-mail address of the Statutory Auditor(s) of the issuer.</w:t>
      </w: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p>
      <w:pPr>
        <w:jc w:val="center"/>
        <w:ind w:right="124"/>
        <w:spacing w:after="0"/>
        <w:rPr>
          <w:sz w:val="20"/>
          <w:szCs w:val="20"/>
          <w:color w:val="auto"/>
        </w:rPr>
      </w:pPr>
      <w:r>
        <w:rPr>
          <w:rFonts w:ascii="Times New Roman" w:cs="Times New Roman" w:eastAsia="Times New Roman" w:hAnsi="Times New Roman"/>
          <w:sz w:val="24"/>
          <w:szCs w:val="24"/>
          <w:color w:val="auto"/>
        </w:rPr>
        <w:t>267</w:t>
      </w:r>
    </w:p>
    <w:p>
      <w:pPr>
        <w:sectPr>
          <w:pgSz w:w="11900" w:h="16836" w:orient="portrait"/>
          <w:cols w:equalWidth="0" w:num="1">
            <w:col w:w="9024"/>
          </w:cols>
          <w:pgMar w:left="1440" w:top="1156" w:right="1440" w:bottom="103" w:gutter="0" w:footer="0" w:header="0"/>
        </w:sectPr>
      </w:pPr>
    </w:p>
    <w:bookmarkStart w:id="267" w:name="page268"/>
    <w:bookmarkEnd w:id="267"/>
    <w:p>
      <w:pPr>
        <w:jc w:val="both"/>
        <w:ind w:left="2280" w:right="720" w:hanging="496"/>
        <w:spacing w:after="0" w:line="357" w:lineRule="auto"/>
        <w:tabs>
          <w:tab w:leader="none" w:pos="2270" w:val="left"/>
        </w:tabs>
        <w:numPr>
          <w:ilvl w:val="0"/>
          <w:numId w:val="92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Names, addresses, telephone numbers, contact person, website addresses and e-mail addresses of the bankers to the issue, self-certified syndicate bankers and legal advisors to the issue; URL of SEBI website listing out the details of self- certified syndicate banks, registrar to issue and share transfer agents, depository participants, etc.</w:t>
      </w:r>
    </w:p>
    <w:p>
      <w:pPr>
        <w:spacing w:after="0" w:line="220" w:lineRule="exact"/>
        <w:rPr>
          <w:rFonts w:ascii="Times New Roman" w:cs="Times New Roman" w:eastAsia="Times New Roman" w:hAnsi="Times New Roman"/>
          <w:sz w:val="24"/>
          <w:szCs w:val="24"/>
          <w:color w:val="auto"/>
        </w:rPr>
      </w:pPr>
    </w:p>
    <w:p>
      <w:pPr>
        <w:ind w:left="2280" w:hanging="496"/>
        <w:spacing w:after="0" w:line="350" w:lineRule="auto"/>
        <w:tabs>
          <w:tab w:leader="none" w:pos="2270" w:val="left"/>
        </w:tabs>
        <w:numPr>
          <w:ilvl w:val="0"/>
          <w:numId w:val="92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Statement of inter-se allocation of responsibilities among lead manager(s),</w:t>
      </w:r>
    </w:p>
    <w:p>
      <w:pPr>
        <w:spacing w:after="0" w:line="225" w:lineRule="exact"/>
        <w:rPr>
          <w:rFonts w:ascii="Times New Roman" w:cs="Times New Roman" w:eastAsia="Times New Roman" w:hAnsi="Times New Roman"/>
          <w:sz w:val="24"/>
          <w:szCs w:val="24"/>
          <w:color w:val="auto"/>
        </w:rPr>
      </w:pPr>
    </w:p>
    <w:p>
      <w:pPr>
        <w:ind w:left="2280" w:right="720" w:hanging="496"/>
        <w:spacing w:after="0" w:line="348" w:lineRule="auto"/>
        <w:tabs>
          <w:tab w:leader="none" w:pos="2270" w:val="left"/>
        </w:tabs>
        <w:numPr>
          <w:ilvl w:val="0"/>
          <w:numId w:val="92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Following details of credit rating in case of an issue of convertible debt instrument:</w:t>
      </w:r>
    </w:p>
    <w:p>
      <w:pPr>
        <w:spacing w:after="0" w:line="226" w:lineRule="exact"/>
        <w:rPr>
          <w:rFonts w:ascii="Times New Roman" w:cs="Times New Roman" w:eastAsia="Times New Roman" w:hAnsi="Times New Roman"/>
          <w:sz w:val="24"/>
          <w:szCs w:val="24"/>
          <w:color w:val="auto"/>
        </w:rPr>
      </w:pPr>
    </w:p>
    <w:p>
      <w:pPr>
        <w:jc w:val="both"/>
        <w:ind w:left="2720" w:right="720" w:hanging="441"/>
        <w:spacing w:after="0" w:line="354" w:lineRule="auto"/>
        <w:tabs>
          <w:tab w:leader="none" w:pos="2720" w:val="left"/>
        </w:tabs>
        <w:numPr>
          <w:ilvl w:val="1"/>
          <w:numId w:val="92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names of all the credit rating agencies from which credit rating including unaccepted rating has been obtained for the issue of convertible debt instruments.</w:t>
      </w:r>
    </w:p>
    <w:p>
      <w:pPr>
        <w:spacing w:after="0" w:line="221" w:lineRule="exact"/>
        <w:rPr>
          <w:rFonts w:ascii="Times New Roman" w:cs="Times New Roman" w:eastAsia="Times New Roman" w:hAnsi="Times New Roman"/>
          <w:sz w:val="24"/>
          <w:szCs w:val="24"/>
          <w:color w:val="auto"/>
        </w:rPr>
      </w:pPr>
    </w:p>
    <w:p>
      <w:pPr>
        <w:ind w:left="2720" w:right="720" w:hanging="441"/>
        <w:spacing w:after="0" w:line="348" w:lineRule="auto"/>
        <w:tabs>
          <w:tab w:leader="none" w:pos="2720" w:val="left"/>
        </w:tabs>
        <w:numPr>
          <w:ilvl w:val="1"/>
          <w:numId w:val="92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all credit ratings, including unaccepted ratings, obtained for the issue of convertible debt instruments.</w:t>
      </w:r>
    </w:p>
    <w:p>
      <w:pPr>
        <w:spacing w:after="0" w:line="227" w:lineRule="exact"/>
        <w:rPr>
          <w:rFonts w:ascii="Times New Roman" w:cs="Times New Roman" w:eastAsia="Times New Roman" w:hAnsi="Times New Roman"/>
          <w:sz w:val="24"/>
          <w:szCs w:val="24"/>
          <w:color w:val="auto"/>
        </w:rPr>
      </w:pPr>
    </w:p>
    <w:p>
      <w:pPr>
        <w:jc w:val="both"/>
        <w:ind w:left="2720" w:right="720" w:hanging="441"/>
        <w:spacing w:after="0" w:line="356" w:lineRule="auto"/>
        <w:tabs>
          <w:tab w:leader="none" w:pos="2720" w:val="left"/>
        </w:tabs>
        <w:numPr>
          <w:ilvl w:val="1"/>
          <w:numId w:val="92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All credit ratings obtained during the preceding three years for any of the issuer’s listed convertible debt instruments at the time of accessing the market through a convertible debt instrument.</w:t>
      </w:r>
    </w:p>
    <w:p>
      <w:pPr>
        <w:spacing w:after="0" w:line="217" w:lineRule="exact"/>
        <w:rPr>
          <w:rFonts w:ascii="Times New Roman" w:cs="Times New Roman" w:eastAsia="Times New Roman" w:hAnsi="Times New Roman"/>
          <w:sz w:val="24"/>
          <w:szCs w:val="24"/>
          <w:color w:val="auto"/>
        </w:rPr>
      </w:pPr>
    </w:p>
    <w:p>
      <w:pPr>
        <w:jc w:val="both"/>
        <w:ind w:left="2280" w:right="720" w:hanging="496"/>
        <w:spacing w:after="0" w:line="354" w:lineRule="auto"/>
        <w:tabs>
          <w:tab w:leader="none" w:pos="2270" w:val="left"/>
        </w:tabs>
        <w:numPr>
          <w:ilvl w:val="0"/>
          <w:numId w:val="92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 address, telephone number, website address and e-mail address of the debenture trustee in case of an issue of convertible debt instruments.</w:t>
      </w:r>
    </w:p>
    <w:p>
      <w:pPr>
        <w:spacing w:after="0" w:line="221" w:lineRule="exact"/>
        <w:rPr>
          <w:rFonts w:ascii="Times New Roman" w:cs="Times New Roman" w:eastAsia="Times New Roman" w:hAnsi="Times New Roman"/>
          <w:sz w:val="24"/>
          <w:szCs w:val="24"/>
          <w:color w:val="auto"/>
        </w:rPr>
      </w:pPr>
    </w:p>
    <w:p>
      <w:pPr>
        <w:jc w:val="both"/>
        <w:ind w:left="2280" w:right="720" w:hanging="496"/>
        <w:spacing w:after="0" w:line="354" w:lineRule="auto"/>
        <w:tabs>
          <w:tab w:leader="none" w:pos="2270" w:val="left"/>
        </w:tabs>
        <w:numPr>
          <w:ilvl w:val="0"/>
          <w:numId w:val="92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 address, telephone number and e-mail address of the monitoring agency, if appointed, and disclosure as to whether such appointment is pursuant to these regulations.</w:t>
      </w:r>
    </w:p>
    <w:p>
      <w:pPr>
        <w:spacing w:after="0" w:line="208" w:lineRule="exact"/>
        <w:rPr>
          <w:rFonts w:ascii="Times New Roman" w:cs="Times New Roman" w:eastAsia="Times New Roman" w:hAnsi="Times New Roman"/>
          <w:sz w:val="24"/>
          <w:szCs w:val="24"/>
          <w:color w:val="auto"/>
        </w:rPr>
      </w:pPr>
    </w:p>
    <w:p>
      <w:pPr>
        <w:ind w:left="2280" w:hanging="496"/>
        <w:spacing w:after="0"/>
        <w:tabs>
          <w:tab w:leader="none" w:pos="2280" w:val="left"/>
        </w:tabs>
        <w:numPr>
          <w:ilvl w:val="0"/>
          <w:numId w:val="92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underwriting:</w:t>
      </w:r>
    </w:p>
    <w:p>
      <w:pPr>
        <w:spacing w:after="0" w:line="350" w:lineRule="exact"/>
        <w:rPr>
          <w:rFonts w:ascii="Times New Roman" w:cs="Times New Roman" w:eastAsia="Times New Roman" w:hAnsi="Times New Roman"/>
          <w:sz w:val="24"/>
          <w:szCs w:val="24"/>
          <w:color w:val="auto"/>
        </w:rPr>
      </w:pPr>
    </w:p>
    <w:p>
      <w:pPr>
        <w:jc w:val="both"/>
        <w:ind w:left="2720" w:right="720" w:hanging="441"/>
        <w:spacing w:after="0" w:line="354" w:lineRule="auto"/>
        <w:tabs>
          <w:tab w:leader="none" w:pos="2720" w:val="left"/>
        </w:tabs>
        <w:numPr>
          <w:ilvl w:val="1"/>
          <w:numId w:val="92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Names, address, telephone numbers, and e-mail address of the underwriters and the amount underwritten by each of them.</w:t>
      </w:r>
    </w:p>
    <w:p>
      <w:pPr>
        <w:spacing w:after="0" w:line="206" w:lineRule="exact"/>
        <w:rPr>
          <w:rFonts w:ascii="Times New Roman" w:cs="Times New Roman" w:eastAsia="Times New Roman" w:hAnsi="Times New Roman"/>
          <w:sz w:val="24"/>
          <w:szCs w:val="24"/>
          <w:color w:val="auto"/>
        </w:rPr>
      </w:pPr>
    </w:p>
    <w:p>
      <w:pPr>
        <w:ind w:left="2720" w:hanging="441"/>
        <w:spacing w:after="0"/>
        <w:tabs>
          <w:tab w:leader="none" w:pos="2720" w:val="left"/>
        </w:tabs>
        <w:numPr>
          <w:ilvl w:val="1"/>
          <w:numId w:val="92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Declaration by the board of directors of the issuer that the</w:t>
      </w:r>
    </w:p>
    <w:p>
      <w:pPr>
        <w:spacing w:after="0" w:line="200" w:lineRule="exact"/>
        <w:rPr>
          <w:sz w:val="20"/>
          <w:szCs w:val="20"/>
          <w:color w:val="auto"/>
        </w:rPr>
      </w:pPr>
    </w:p>
    <w:p>
      <w:pPr>
        <w:spacing w:after="0" w:line="266"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4"/>
          <w:szCs w:val="24"/>
          <w:color w:val="auto"/>
        </w:rPr>
        <w:t>268</w:t>
      </w:r>
    </w:p>
    <w:p>
      <w:pPr>
        <w:sectPr>
          <w:pgSz w:w="11900" w:h="16836" w:orient="portrait"/>
          <w:cols w:equalWidth="0" w:num="1">
            <w:col w:w="9180"/>
          </w:cols>
          <w:pgMar w:left="1440" w:top="1156" w:right="1284" w:bottom="103" w:gutter="0" w:footer="0" w:header="0"/>
        </w:sectPr>
      </w:pPr>
    </w:p>
    <w:bookmarkStart w:id="268" w:name="page269"/>
    <w:bookmarkEnd w:id="268"/>
    <w:p>
      <w:pPr>
        <w:ind w:left="2720" w:right="564"/>
        <w:spacing w:after="0" w:line="348" w:lineRule="auto"/>
        <w:rPr>
          <w:sz w:val="20"/>
          <w:szCs w:val="20"/>
          <w:color w:val="auto"/>
        </w:rPr>
      </w:pPr>
      <w:r>
        <w:rPr>
          <w:rFonts w:ascii="Times New Roman" w:cs="Times New Roman" w:eastAsia="Times New Roman" w:hAnsi="Times New Roman"/>
          <w:sz w:val="24"/>
          <w:szCs w:val="24"/>
          <w:color w:val="auto"/>
        </w:rPr>
        <w:t>underwriters have sufficient resources to discharge their respective obligations.</w:t>
      </w:r>
    </w:p>
    <w:p>
      <w:pPr>
        <w:spacing w:after="0" w:line="227" w:lineRule="exact"/>
        <w:rPr>
          <w:sz w:val="20"/>
          <w:szCs w:val="20"/>
          <w:color w:val="auto"/>
        </w:rPr>
      </w:pPr>
    </w:p>
    <w:p>
      <w:pPr>
        <w:ind w:left="2720" w:right="564" w:hanging="441"/>
        <w:spacing w:after="0" w:line="350" w:lineRule="auto"/>
        <w:tabs>
          <w:tab w:leader="none" w:pos="2720" w:val="left"/>
        </w:tabs>
        <w:numPr>
          <w:ilvl w:val="3"/>
          <w:numId w:val="92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partial underwriting of the issue, the extent of such underwriting.</w:t>
      </w:r>
    </w:p>
    <w:p>
      <w:pPr>
        <w:spacing w:after="0" w:line="224" w:lineRule="exact"/>
        <w:rPr>
          <w:rFonts w:ascii="Times New Roman" w:cs="Times New Roman" w:eastAsia="Times New Roman" w:hAnsi="Times New Roman"/>
          <w:sz w:val="24"/>
          <w:szCs w:val="24"/>
          <w:color w:val="auto"/>
        </w:rPr>
      </w:pPr>
    </w:p>
    <w:p>
      <w:pPr>
        <w:jc w:val="both"/>
        <w:ind w:left="2720" w:right="544" w:hanging="441"/>
        <w:spacing w:after="0" w:line="354" w:lineRule="auto"/>
        <w:tabs>
          <w:tab w:leader="none" w:pos="2720" w:val="left"/>
        </w:tabs>
        <w:numPr>
          <w:ilvl w:val="3"/>
          <w:numId w:val="92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the final underwriting arrangement, indicating actual number of specified securities underwritten, in the letter of offer filed with the designated stock exchange.</w:t>
      </w:r>
    </w:p>
    <w:p>
      <w:pPr>
        <w:spacing w:after="0" w:line="219" w:lineRule="exact"/>
        <w:rPr>
          <w:rFonts w:ascii="Times New Roman" w:cs="Times New Roman" w:eastAsia="Times New Roman" w:hAnsi="Times New Roman"/>
          <w:sz w:val="24"/>
          <w:szCs w:val="24"/>
          <w:color w:val="auto"/>
        </w:rPr>
      </w:pPr>
    </w:p>
    <w:p>
      <w:pPr>
        <w:jc w:val="both"/>
        <w:ind w:left="2280" w:right="564" w:hanging="496"/>
        <w:spacing w:after="0" w:line="354" w:lineRule="auto"/>
        <w:tabs>
          <w:tab w:leader="none" w:pos="2270" w:val="left"/>
        </w:tabs>
        <w:numPr>
          <w:ilvl w:val="2"/>
          <w:numId w:val="92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fact of filing the letter of offer with the Board and the stock exchange(s) and the office of the Board where the letter of offer has been filed.</w:t>
      </w:r>
    </w:p>
    <w:p>
      <w:pPr>
        <w:spacing w:after="0" w:line="221" w:lineRule="exact"/>
        <w:rPr>
          <w:rFonts w:ascii="Times New Roman" w:cs="Times New Roman" w:eastAsia="Times New Roman" w:hAnsi="Times New Roman"/>
          <w:sz w:val="24"/>
          <w:szCs w:val="24"/>
          <w:color w:val="auto"/>
        </w:rPr>
      </w:pPr>
    </w:p>
    <w:p>
      <w:pPr>
        <w:ind w:left="1780" w:right="564" w:hanging="512"/>
        <w:spacing w:after="0" w:line="350" w:lineRule="auto"/>
        <w:tabs>
          <w:tab w:leader="none" w:pos="1838" w:val="left"/>
        </w:tabs>
        <w:numPr>
          <w:ilvl w:val="0"/>
          <w:numId w:val="93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Capital Structure: </w:t>
      </w:r>
      <w:r>
        <w:rPr>
          <w:rFonts w:ascii="Times New Roman" w:cs="Times New Roman" w:eastAsia="Times New Roman" w:hAnsi="Times New Roman"/>
          <w:sz w:val="24"/>
          <w:szCs w:val="24"/>
          <w:color w:val="auto"/>
        </w:rPr>
        <w:t>The capital structure in the following manner in</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 tabular form:</w:t>
      </w:r>
    </w:p>
    <w:p>
      <w:pPr>
        <w:spacing w:after="0" w:line="222" w:lineRule="exact"/>
        <w:rPr>
          <w:rFonts w:ascii="Times New Roman" w:cs="Times New Roman" w:eastAsia="Times New Roman" w:hAnsi="Times New Roman"/>
          <w:sz w:val="24"/>
          <w:szCs w:val="24"/>
          <w:b w:val="1"/>
          <w:bCs w:val="1"/>
          <w:color w:val="auto"/>
        </w:rPr>
      </w:pPr>
    </w:p>
    <w:p>
      <w:pPr>
        <w:jc w:val="both"/>
        <w:ind w:left="2280" w:right="564" w:hanging="508"/>
        <w:spacing w:after="0" w:line="354" w:lineRule="auto"/>
        <w:tabs>
          <w:tab w:leader="none" w:pos="2280" w:val="left"/>
        </w:tabs>
        <w:numPr>
          <w:ilvl w:val="1"/>
          <w:numId w:val="93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Authorised, issued and subscribed capital, after suitable incorporation of the outstanding convertible securities (number of securities, description and aggregate nominal value).</w:t>
      </w:r>
    </w:p>
    <w:p>
      <w:pPr>
        <w:spacing w:after="0" w:line="209" w:lineRule="exact"/>
        <w:rPr>
          <w:rFonts w:ascii="Times New Roman" w:cs="Times New Roman" w:eastAsia="Times New Roman" w:hAnsi="Times New Roman"/>
          <w:sz w:val="24"/>
          <w:szCs w:val="24"/>
          <w:color w:val="auto"/>
        </w:rPr>
      </w:pPr>
    </w:p>
    <w:p>
      <w:pPr>
        <w:ind w:left="2280" w:hanging="508"/>
        <w:spacing w:after="0"/>
        <w:tabs>
          <w:tab w:leader="none" w:pos="2280" w:val="left"/>
        </w:tabs>
        <w:numPr>
          <w:ilvl w:val="1"/>
          <w:numId w:val="93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Paid-up capital.</w:t>
      </w:r>
    </w:p>
    <w:p>
      <w:pPr>
        <w:spacing w:after="0" w:line="338" w:lineRule="exact"/>
        <w:rPr>
          <w:rFonts w:ascii="Times New Roman" w:cs="Times New Roman" w:eastAsia="Times New Roman" w:hAnsi="Times New Roman"/>
          <w:sz w:val="24"/>
          <w:szCs w:val="24"/>
          <w:color w:val="auto"/>
        </w:rPr>
      </w:pPr>
    </w:p>
    <w:p>
      <w:pPr>
        <w:ind w:left="2720" w:hanging="441"/>
        <w:spacing w:after="0"/>
        <w:tabs>
          <w:tab w:leader="none" w:pos="2720" w:val="left"/>
        </w:tabs>
        <w:numPr>
          <w:ilvl w:val="3"/>
          <w:numId w:val="93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After the issue.</w:t>
      </w:r>
    </w:p>
    <w:p>
      <w:pPr>
        <w:spacing w:after="0" w:line="338" w:lineRule="exact"/>
        <w:rPr>
          <w:rFonts w:ascii="Times New Roman" w:cs="Times New Roman" w:eastAsia="Times New Roman" w:hAnsi="Times New Roman"/>
          <w:sz w:val="24"/>
          <w:szCs w:val="24"/>
          <w:color w:val="auto"/>
        </w:rPr>
      </w:pPr>
    </w:p>
    <w:p>
      <w:pPr>
        <w:ind w:left="2720" w:hanging="441"/>
        <w:spacing w:after="0"/>
        <w:tabs>
          <w:tab w:leader="none" w:pos="2720" w:val="left"/>
        </w:tabs>
        <w:numPr>
          <w:ilvl w:val="3"/>
          <w:numId w:val="93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After conversion of convertible instruments (if applicable).</w:t>
      </w:r>
    </w:p>
    <w:p>
      <w:pPr>
        <w:spacing w:after="0" w:line="338" w:lineRule="exact"/>
        <w:rPr>
          <w:rFonts w:ascii="Times New Roman" w:cs="Times New Roman" w:eastAsia="Times New Roman" w:hAnsi="Times New Roman"/>
          <w:sz w:val="24"/>
          <w:szCs w:val="24"/>
          <w:color w:val="auto"/>
        </w:rPr>
      </w:pPr>
    </w:p>
    <w:p>
      <w:pPr>
        <w:ind w:left="2280" w:hanging="508"/>
        <w:spacing w:after="0"/>
        <w:tabs>
          <w:tab w:leader="none" w:pos="2280" w:val="left"/>
        </w:tabs>
        <w:numPr>
          <w:ilvl w:val="1"/>
          <w:numId w:val="93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following details of outstanding instruments:</w:t>
      </w:r>
    </w:p>
    <w:p>
      <w:pPr>
        <w:spacing w:after="0" w:line="339" w:lineRule="exact"/>
        <w:rPr>
          <w:rFonts w:ascii="Times New Roman" w:cs="Times New Roman" w:eastAsia="Times New Roman" w:hAnsi="Times New Roman"/>
          <w:sz w:val="24"/>
          <w:szCs w:val="24"/>
          <w:color w:val="auto"/>
        </w:rPr>
      </w:pPr>
    </w:p>
    <w:p>
      <w:pPr>
        <w:ind w:left="2720" w:hanging="441"/>
        <w:spacing w:after="0"/>
        <w:tabs>
          <w:tab w:leader="none" w:pos="2720" w:val="left"/>
        </w:tabs>
        <w:numPr>
          <w:ilvl w:val="3"/>
          <w:numId w:val="93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options, if any.</w:t>
      </w:r>
    </w:p>
    <w:p>
      <w:pPr>
        <w:spacing w:after="0" w:line="336" w:lineRule="exact"/>
        <w:rPr>
          <w:rFonts w:ascii="Times New Roman" w:cs="Times New Roman" w:eastAsia="Times New Roman" w:hAnsi="Times New Roman"/>
          <w:sz w:val="24"/>
          <w:szCs w:val="24"/>
          <w:color w:val="auto"/>
        </w:rPr>
      </w:pPr>
    </w:p>
    <w:p>
      <w:pPr>
        <w:ind w:left="2720" w:hanging="441"/>
        <w:spacing w:after="0"/>
        <w:tabs>
          <w:tab w:leader="none" w:pos="2720" w:val="left"/>
        </w:tabs>
        <w:numPr>
          <w:ilvl w:val="3"/>
          <w:numId w:val="93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convertible securities, if any</w:t>
      </w:r>
    </w:p>
    <w:p>
      <w:pPr>
        <w:spacing w:after="0" w:line="350" w:lineRule="exact"/>
        <w:rPr>
          <w:rFonts w:ascii="Times New Roman" w:cs="Times New Roman" w:eastAsia="Times New Roman" w:hAnsi="Times New Roman"/>
          <w:sz w:val="24"/>
          <w:szCs w:val="24"/>
          <w:color w:val="auto"/>
        </w:rPr>
      </w:pPr>
    </w:p>
    <w:p>
      <w:pPr>
        <w:jc w:val="both"/>
        <w:ind w:left="2280" w:right="564" w:hanging="508"/>
        <w:spacing w:after="0" w:line="358" w:lineRule="auto"/>
        <w:tabs>
          <w:tab w:leader="none" w:pos="2280" w:val="left"/>
        </w:tabs>
        <w:numPr>
          <w:ilvl w:val="1"/>
          <w:numId w:val="93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specified securities held by the promoter and promoter group including the details of lock-in, pledge of and encumbrance on such specified securities. This information can be either incorporated by reference with specific website details of stock exchange(s) or by providing required details in the letter of offer.</w:t>
      </w:r>
    </w:p>
    <w:p>
      <w:pPr>
        <w:spacing w:after="0" w:line="201" w:lineRule="exact"/>
        <w:rPr>
          <w:rFonts w:ascii="Times New Roman" w:cs="Times New Roman" w:eastAsia="Times New Roman" w:hAnsi="Times New Roman"/>
          <w:sz w:val="24"/>
          <w:szCs w:val="24"/>
          <w:color w:val="auto"/>
        </w:rPr>
      </w:pPr>
    </w:p>
    <w:p>
      <w:pPr>
        <w:ind w:left="2280" w:hanging="508"/>
        <w:spacing w:after="0"/>
        <w:tabs>
          <w:tab w:leader="none" w:pos="2280" w:val="left"/>
        </w:tabs>
        <w:numPr>
          <w:ilvl w:val="1"/>
          <w:numId w:val="93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specified securities acquired by the promoter and</w:t>
      </w: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jc w:val="center"/>
        <w:ind w:right="144"/>
        <w:spacing w:after="0"/>
        <w:rPr>
          <w:sz w:val="20"/>
          <w:szCs w:val="20"/>
          <w:color w:val="auto"/>
        </w:rPr>
      </w:pPr>
      <w:r>
        <w:rPr>
          <w:rFonts w:ascii="Times New Roman" w:cs="Times New Roman" w:eastAsia="Times New Roman" w:hAnsi="Times New Roman"/>
          <w:sz w:val="24"/>
          <w:szCs w:val="24"/>
          <w:color w:val="auto"/>
        </w:rPr>
        <w:t>269</w:t>
      </w:r>
    </w:p>
    <w:p>
      <w:pPr>
        <w:sectPr>
          <w:pgSz w:w="11900" w:h="16836" w:orient="portrait"/>
          <w:cols w:equalWidth="0" w:num="1">
            <w:col w:w="9024"/>
          </w:cols>
          <w:pgMar w:left="1440" w:top="1156" w:right="1440" w:bottom="103" w:gutter="0" w:footer="0" w:header="0"/>
        </w:sectPr>
      </w:pPr>
    </w:p>
    <w:bookmarkStart w:id="269" w:name="page270"/>
    <w:bookmarkEnd w:id="269"/>
    <w:p>
      <w:pPr>
        <w:jc w:val="both"/>
        <w:ind w:left="2280" w:right="620"/>
        <w:spacing w:after="0" w:line="356" w:lineRule="auto"/>
        <w:rPr>
          <w:sz w:val="20"/>
          <w:szCs w:val="20"/>
          <w:color w:val="auto"/>
        </w:rPr>
      </w:pPr>
      <w:r>
        <w:rPr>
          <w:rFonts w:ascii="Times New Roman" w:cs="Times New Roman" w:eastAsia="Times New Roman" w:hAnsi="Times New Roman"/>
          <w:sz w:val="24"/>
          <w:szCs w:val="24"/>
          <w:color w:val="auto"/>
        </w:rPr>
        <w:t>promoter group in the last one year immediately preceding the date of filing of the letter of offer with the designated stock exchange in case of a fast track issue and in any other case, the date of filing of the draft letter of offer with the Board.</w:t>
      </w:r>
    </w:p>
    <w:p>
      <w:pPr>
        <w:spacing w:after="0" w:line="218" w:lineRule="exact"/>
        <w:rPr>
          <w:sz w:val="20"/>
          <w:szCs w:val="20"/>
          <w:color w:val="auto"/>
        </w:rPr>
      </w:pPr>
    </w:p>
    <w:p>
      <w:pPr>
        <w:ind w:left="2280" w:right="620" w:hanging="508"/>
        <w:spacing w:after="0" w:line="350" w:lineRule="auto"/>
        <w:tabs>
          <w:tab w:leader="none" w:pos="2280" w:val="left"/>
        </w:tabs>
        <w:numPr>
          <w:ilvl w:val="0"/>
          <w:numId w:val="93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Intention and extent of participation by the promoter and promoter group in the issue with respect to:</w:t>
      </w:r>
    </w:p>
    <w:p>
      <w:pPr>
        <w:spacing w:after="0" w:line="212" w:lineRule="exact"/>
        <w:rPr>
          <w:rFonts w:ascii="Times New Roman" w:cs="Times New Roman" w:eastAsia="Times New Roman" w:hAnsi="Times New Roman"/>
          <w:sz w:val="24"/>
          <w:szCs w:val="24"/>
          <w:color w:val="auto"/>
        </w:rPr>
      </w:pPr>
    </w:p>
    <w:p>
      <w:pPr>
        <w:ind w:left="2720" w:hanging="441"/>
        <w:spacing w:after="0"/>
        <w:tabs>
          <w:tab w:leader="none" w:pos="2720" w:val="left"/>
        </w:tabs>
        <w:numPr>
          <w:ilvl w:val="1"/>
          <w:numId w:val="931"/>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their rights entitlement.</w:t>
      </w:r>
    </w:p>
    <w:p>
      <w:pPr>
        <w:spacing w:after="0" w:line="336" w:lineRule="exact"/>
        <w:rPr>
          <w:rFonts w:ascii="Times New Roman" w:cs="Times New Roman" w:eastAsia="Times New Roman" w:hAnsi="Times New Roman"/>
          <w:sz w:val="22"/>
          <w:szCs w:val="22"/>
          <w:color w:val="auto"/>
        </w:rPr>
      </w:pPr>
    </w:p>
    <w:p>
      <w:pPr>
        <w:ind w:left="2680" w:hanging="401"/>
        <w:spacing w:after="0"/>
        <w:tabs>
          <w:tab w:leader="none" w:pos="2680" w:val="left"/>
        </w:tabs>
        <w:numPr>
          <w:ilvl w:val="1"/>
          <w:numId w:val="931"/>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their intention to subscribe over and above their rights entitlement.</w:t>
      </w:r>
    </w:p>
    <w:p>
      <w:pPr>
        <w:spacing w:after="0" w:line="351" w:lineRule="exact"/>
        <w:rPr>
          <w:sz w:val="20"/>
          <w:szCs w:val="20"/>
          <w:color w:val="auto"/>
        </w:rPr>
      </w:pPr>
    </w:p>
    <w:p>
      <w:pPr>
        <w:jc w:val="both"/>
        <w:ind w:left="2280" w:right="620"/>
        <w:spacing w:after="0" w:line="354" w:lineRule="auto"/>
        <w:rPr>
          <w:sz w:val="20"/>
          <w:szCs w:val="20"/>
          <w:color w:val="auto"/>
        </w:rPr>
      </w:pPr>
      <w:r>
        <w:rPr>
          <w:rFonts w:ascii="Times New Roman" w:cs="Times New Roman" w:eastAsia="Times New Roman" w:hAnsi="Times New Roman"/>
          <w:sz w:val="24"/>
          <w:szCs w:val="24"/>
          <w:b w:val="1"/>
          <w:bCs w:val="1"/>
          <w:color w:val="auto"/>
        </w:rPr>
        <w:t xml:space="preserve">Provided that </w:t>
      </w:r>
      <w:r>
        <w:rPr>
          <w:rFonts w:ascii="Times New Roman" w:cs="Times New Roman" w:eastAsia="Times New Roman" w:hAnsi="Times New Roman"/>
          <w:sz w:val="24"/>
          <w:szCs w:val="24"/>
          <w:color w:val="auto"/>
        </w:rPr>
        <w:t>such participation shall not result in a breach of</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the minimum public shareholding requirement stipulated in the Securities and Exchange Board of India (Listing Obligations</w:t>
      </w:r>
    </w:p>
    <w:p>
      <w:pPr>
        <w:spacing w:after="0" w:line="10" w:lineRule="exact"/>
        <w:rPr>
          <w:sz w:val="20"/>
          <w:szCs w:val="20"/>
          <w:color w:val="auto"/>
        </w:rPr>
      </w:pPr>
    </w:p>
    <w:p>
      <w:pPr>
        <w:ind w:left="2600"/>
        <w:spacing w:after="0"/>
        <w:tabs>
          <w:tab w:leader="none" w:pos="3300" w:val="left"/>
        </w:tabs>
        <w:rPr>
          <w:sz w:val="20"/>
          <w:szCs w:val="20"/>
          <w:color w:val="auto"/>
        </w:rPr>
      </w:pPr>
      <w:r>
        <w:rPr>
          <w:rFonts w:ascii="Times New Roman" w:cs="Times New Roman" w:eastAsia="Times New Roman" w:hAnsi="Times New Roman"/>
          <w:sz w:val="24"/>
          <w:szCs w:val="24"/>
          <w:color w:val="auto"/>
        </w:rPr>
        <w:t>and</w:t>
      </w:r>
      <w:r>
        <w:rPr>
          <w:sz w:val="20"/>
          <w:szCs w:val="20"/>
          <w:color w:val="auto"/>
        </w:rPr>
        <w:tab/>
      </w:r>
      <w:r>
        <w:rPr>
          <w:rFonts w:ascii="Times New Roman" w:cs="Times New Roman" w:eastAsia="Times New Roman" w:hAnsi="Times New Roman"/>
          <w:sz w:val="24"/>
          <w:szCs w:val="24"/>
          <w:color w:val="auto"/>
        </w:rPr>
        <w:t>Disclosure Requirements) Regulations, 2015.</w:t>
      </w:r>
    </w:p>
    <w:p>
      <w:pPr>
        <w:spacing w:after="0" w:line="149" w:lineRule="exact"/>
        <w:rPr>
          <w:sz w:val="20"/>
          <w:szCs w:val="20"/>
          <w:color w:val="auto"/>
        </w:rPr>
      </w:pPr>
    </w:p>
    <w:p>
      <w:pPr>
        <w:jc w:val="both"/>
        <w:ind w:left="2280" w:right="620" w:hanging="508"/>
        <w:spacing w:after="0" w:line="356" w:lineRule="auto"/>
        <w:tabs>
          <w:tab w:leader="none" w:pos="2280" w:val="left"/>
        </w:tabs>
        <w:numPr>
          <w:ilvl w:val="0"/>
          <w:numId w:val="93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Ex-rights price as referred under clause of (b) of sub-regulation 4 of regulation 10 of Securities and Exchange Board of India (Substantial Acquisition of Shares and Takeovers) Regulation, 2011.</w:t>
      </w:r>
    </w:p>
    <w:p>
      <w:pPr>
        <w:spacing w:after="0" w:line="218" w:lineRule="exact"/>
        <w:rPr>
          <w:rFonts w:ascii="Times New Roman" w:cs="Times New Roman" w:eastAsia="Times New Roman" w:hAnsi="Times New Roman"/>
          <w:sz w:val="24"/>
          <w:szCs w:val="24"/>
          <w:color w:val="auto"/>
        </w:rPr>
      </w:pPr>
    </w:p>
    <w:p>
      <w:pPr>
        <w:jc w:val="both"/>
        <w:ind w:left="2280" w:right="620" w:hanging="508"/>
        <w:spacing w:after="0" w:line="358" w:lineRule="auto"/>
        <w:tabs>
          <w:tab w:leader="none" w:pos="2280" w:val="left"/>
        </w:tabs>
        <w:numPr>
          <w:ilvl w:val="0"/>
          <w:numId w:val="93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Shareholding pattern as in the format prescribed in the Securities and Exchange Board of India (Listing Obligations and Disclosure Requirements) Regulations, 2015 and as submitted to the stock exchanges. This information can be either incorporated by reference with specific website details of stock exchange(s) or by providing required details in the letter of offer.</w:t>
      </w:r>
    </w:p>
    <w:p>
      <w:pPr>
        <w:spacing w:after="0" w:line="217" w:lineRule="exact"/>
        <w:rPr>
          <w:rFonts w:ascii="Times New Roman" w:cs="Times New Roman" w:eastAsia="Times New Roman" w:hAnsi="Times New Roman"/>
          <w:sz w:val="24"/>
          <w:szCs w:val="24"/>
          <w:color w:val="auto"/>
        </w:rPr>
      </w:pPr>
    </w:p>
    <w:p>
      <w:pPr>
        <w:jc w:val="both"/>
        <w:ind w:left="2280" w:right="620" w:hanging="508"/>
        <w:spacing w:after="0" w:line="357" w:lineRule="auto"/>
        <w:tabs>
          <w:tab w:leader="none" w:pos="2280" w:val="left"/>
        </w:tabs>
        <w:numPr>
          <w:ilvl w:val="0"/>
          <w:numId w:val="93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the shareholders holding more than one per cent. of the share capital of the issuer. This information can be either incorporated by reference with specific website details of stock exchange(s) or by providing required details in the letter of offer.</w:t>
      </w:r>
    </w:p>
    <w:p>
      <w:pPr>
        <w:spacing w:after="0" w:line="211" w:lineRule="exact"/>
        <w:rPr>
          <w:sz w:val="20"/>
          <w:szCs w:val="20"/>
          <w:color w:val="auto"/>
        </w:rPr>
      </w:pPr>
    </w:p>
    <w:p>
      <w:pPr>
        <w:ind w:left="480"/>
        <w:spacing w:after="0"/>
        <w:tabs>
          <w:tab w:leader="none" w:pos="1320" w:val="left"/>
        </w:tabs>
        <w:rPr>
          <w:sz w:val="20"/>
          <w:szCs w:val="20"/>
          <w:color w:val="auto"/>
        </w:rPr>
      </w:pPr>
      <w:r>
        <w:rPr>
          <w:rFonts w:ascii="Times New Roman" w:cs="Times New Roman" w:eastAsia="Times New Roman" w:hAnsi="Times New Roman"/>
          <w:sz w:val="24"/>
          <w:szCs w:val="24"/>
          <w:b w:val="1"/>
          <w:bCs w:val="1"/>
          <w:color w:val="auto"/>
        </w:rPr>
        <w:t>(VIII)</w:t>
        <w:tab/>
        <w:t>Particulars of the Issue</w:t>
      </w:r>
    </w:p>
    <w:p>
      <w:pPr>
        <w:spacing w:after="0" w:line="338" w:lineRule="exact"/>
        <w:rPr>
          <w:sz w:val="20"/>
          <w:szCs w:val="20"/>
          <w:color w:val="auto"/>
        </w:rPr>
      </w:pPr>
    </w:p>
    <w:p>
      <w:pPr>
        <w:ind w:left="1260"/>
        <w:spacing w:after="0"/>
        <w:tabs>
          <w:tab w:leader="none" w:pos="1760" w:val="left"/>
        </w:tabs>
        <w:rPr>
          <w:sz w:val="20"/>
          <w:szCs w:val="20"/>
          <w:color w:val="auto"/>
        </w:rPr>
      </w:pPr>
      <w:r>
        <w:rPr>
          <w:rFonts w:ascii="Times New Roman" w:cs="Times New Roman" w:eastAsia="Times New Roman" w:hAnsi="Times New Roman"/>
          <w:sz w:val="24"/>
          <w:szCs w:val="24"/>
          <w:b w:val="1"/>
          <w:bCs w:val="1"/>
          <w:color w:val="auto"/>
        </w:rPr>
        <w:t>(A)</w:t>
      </w:r>
      <w:r>
        <w:rPr>
          <w:sz w:val="20"/>
          <w:szCs w:val="20"/>
          <w:color w:val="auto"/>
        </w:rPr>
        <w:tab/>
      </w:r>
      <w:r>
        <w:rPr>
          <w:rFonts w:ascii="Times New Roman" w:cs="Times New Roman" w:eastAsia="Times New Roman" w:hAnsi="Times New Roman"/>
          <w:sz w:val="23"/>
          <w:szCs w:val="23"/>
          <w:b w:val="1"/>
          <w:bCs w:val="1"/>
          <w:color w:val="auto"/>
        </w:rPr>
        <w:t>Objects of the Issue: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24"/>
          <w:szCs w:val="24"/>
          <w:color w:val="auto"/>
        </w:rPr>
        <w:t>270</w:t>
      </w:r>
    </w:p>
    <w:p>
      <w:pPr>
        <w:sectPr>
          <w:pgSz w:w="11900" w:h="16836" w:orient="portrait"/>
          <w:cols w:equalWidth="0" w:num="1">
            <w:col w:w="9080"/>
          </w:cols>
          <w:pgMar w:left="1440" w:top="1156" w:right="1384" w:bottom="103" w:gutter="0" w:footer="0" w:header="0"/>
        </w:sectPr>
      </w:pPr>
    </w:p>
    <w:bookmarkStart w:id="270" w:name="page271"/>
    <w:bookmarkEnd w:id="270"/>
    <w:p>
      <w:pPr>
        <w:ind w:left="2280" w:hanging="652"/>
        <w:spacing w:after="0"/>
        <w:tabs>
          <w:tab w:leader="none" w:pos="2280" w:val="left"/>
        </w:tabs>
        <w:numPr>
          <w:ilvl w:val="0"/>
          <w:numId w:val="93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Objects of the issue for which funds are being raised</w:t>
      </w:r>
    </w:p>
    <w:p>
      <w:pPr>
        <w:spacing w:after="0" w:line="351" w:lineRule="exact"/>
        <w:rPr>
          <w:rFonts w:ascii="Times New Roman" w:cs="Times New Roman" w:eastAsia="Times New Roman" w:hAnsi="Times New Roman"/>
          <w:sz w:val="24"/>
          <w:szCs w:val="24"/>
          <w:color w:val="auto"/>
        </w:rPr>
      </w:pPr>
    </w:p>
    <w:p>
      <w:pPr>
        <w:ind w:left="1980" w:hanging="352"/>
        <w:spacing w:after="0" w:line="348" w:lineRule="auto"/>
        <w:tabs>
          <w:tab w:leader="none" w:pos="2270" w:val="left"/>
        </w:tabs>
        <w:numPr>
          <w:ilvl w:val="0"/>
          <w:numId w:val="93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objects of the issue is repayment of loan or any other debt, then the following disclosures shall be made:</w:t>
      </w:r>
    </w:p>
    <w:p>
      <w:pPr>
        <w:spacing w:after="0" w:line="226" w:lineRule="exact"/>
        <w:rPr>
          <w:rFonts w:ascii="Times New Roman" w:cs="Times New Roman" w:eastAsia="Times New Roman" w:hAnsi="Times New Roman"/>
          <w:sz w:val="24"/>
          <w:szCs w:val="24"/>
          <w:color w:val="auto"/>
        </w:rPr>
      </w:pPr>
    </w:p>
    <w:p>
      <w:pPr>
        <w:ind w:left="2720" w:right="720" w:hanging="441"/>
        <w:spacing w:after="0" w:line="354" w:lineRule="auto"/>
        <w:tabs>
          <w:tab w:leader="none" w:pos="2602" w:val="left"/>
        </w:tabs>
        <w:numPr>
          <w:ilvl w:val="1"/>
          <w:numId w:val="93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loan proposed to be repaid such as name of the lender, tenure, brief terms and conditions and amount outstanding;</w:t>
      </w:r>
    </w:p>
    <w:p>
      <w:pPr>
        <w:spacing w:after="0" w:line="221" w:lineRule="exact"/>
        <w:rPr>
          <w:rFonts w:ascii="Times New Roman" w:cs="Times New Roman" w:eastAsia="Times New Roman" w:hAnsi="Times New Roman"/>
          <w:sz w:val="24"/>
          <w:szCs w:val="24"/>
          <w:color w:val="auto"/>
        </w:rPr>
      </w:pPr>
    </w:p>
    <w:p>
      <w:pPr>
        <w:ind w:left="1980" w:hanging="352"/>
        <w:spacing w:after="0" w:line="348" w:lineRule="auto"/>
        <w:tabs>
          <w:tab w:leader="none" w:pos="2270" w:val="left"/>
        </w:tabs>
        <w:numPr>
          <w:ilvl w:val="0"/>
          <w:numId w:val="93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one of the objects is investment in a joint venture or subsidiary or an acquisition, the following additional disclosures shall be made:</w:t>
      </w:r>
    </w:p>
    <w:p>
      <w:pPr>
        <w:spacing w:after="0" w:line="227" w:lineRule="exact"/>
        <w:rPr>
          <w:rFonts w:ascii="Times New Roman" w:cs="Times New Roman" w:eastAsia="Times New Roman" w:hAnsi="Times New Roman"/>
          <w:sz w:val="24"/>
          <w:szCs w:val="24"/>
          <w:color w:val="auto"/>
        </w:rPr>
      </w:pPr>
    </w:p>
    <w:p>
      <w:pPr>
        <w:ind w:left="2720" w:right="720" w:hanging="441"/>
        <w:spacing w:after="0" w:line="350" w:lineRule="auto"/>
        <w:tabs>
          <w:tab w:leader="none" w:pos="2720" w:val="left"/>
        </w:tabs>
        <w:numPr>
          <w:ilvl w:val="1"/>
          <w:numId w:val="93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the form of investment, i.e., equity, debt or any other instrument;</w:t>
      </w:r>
    </w:p>
    <w:p>
      <w:pPr>
        <w:spacing w:after="0" w:line="224" w:lineRule="exact"/>
        <w:rPr>
          <w:rFonts w:ascii="Times New Roman" w:cs="Times New Roman" w:eastAsia="Times New Roman" w:hAnsi="Times New Roman"/>
          <w:sz w:val="24"/>
          <w:szCs w:val="24"/>
          <w:color w:val="auto"/>
        </w:rPr>
      </w:pPr>
    </w:p>
    <w:p>
      <w:pPr>
        <w:ind w:left="2720" w:right="720" w:hanging="441"/>
        <w:spacing w:after="0" w:line="348" w:lineRule="auto"/>
        <w:tabs>
          <w:tab w:leader="none" w:pos="2720" w:val="left"/>
        </w:tabs>
        <w:numPr>
          <w:ilvl w:val="1"/>
          <w:numId w:val="93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form of investment has not been decided, a statement to that effect;</w:t>
      </w:r>
    </w:p>
    <w:p>
      <w:pPr>
        <w:spacing w:after="0" w:line="226" w:lineRule="exact"/>
        <w:rPr>
          <w:rFonts w:ascii="Times New Roman" w:cs="Times New Roman" w:eastAsia="Times New Roman" w:hAnsi="Times New Roman"/>
          <w:sz w:val="24"/>
          <w:szCs w:val="24"/>
          <w:color w:val="auto"/>
        </w:rPr>
      </w:pPr>
    </w:p>
    <w:p>
      <w:pPr>
        <w:jc w:val="both"/>
        <w:ind w:left="2720" w:right="720" w:hanging="441"/>
        <w:spacing w:after="0" w:line="354" w:lineRule="auto"/>
        <w:tabs>
          <w:tab w:leader="none" w:pos="2720" w:val="left"/>
        </w:tabs>
        <w:numPr>
          <w:ilvl w:val="1"/>
          <w:numId w:val="93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investment is in debt instruments, complete details regarding the rate of interest, nature of security, terms of repayment, subordination, etc.;</w:t>
      </w:r>
    </w:p>
    <w:p>
      <w:pPr>
        <w:spacing w:after="0" w:line="221" w:lineRule="exact"/>
        <w:rPr>
          <w:rFonts w:ascii="Times New Roman" w:cs="Times New Roman" w:eastAsia="Times New Roman" w:hAnsi="Times New Roman"/>
          <w:sz w:val="24"/>
          <w:szCs w:val="24"/>
          <w:color w:val="auto"/>
        </w:rPr>
      </w:pPr>
    </w:p>
    <w:p>
      <w:pPr>
        <w:ind w:left="2720" w:right="720" w:hanging="441"/>
        <w:spacing w:after="0" w:line="348" w:lineRule="auto"/>
        <w:tabs>
          <w:tab w:leader="none" w:pos="2720" w:val="left"/>
        </w:tabs>
        <w:numPr>
          <w:ilvl w:val="1"/>
          <w:numId w:val="93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nature of benefit expected to accrue to the issuer as a result of the investment</w:t>
      </w:r>
    </w:p>
    <w:p>
      <w:pPr>
        <w:spacing w:after="0" w:line="226" w:lineRule="exact"/>
        <w:rPr>
          <w:rFonts w:ascii="Times New Roman" w:cs="Times New Roman" w:eastAsia="Times New Roman" w:hAnsi="Times New Roman"/>
          <w:sz w:val="24"/>
          <w:szCs w:val="24"/>
          <w:color w:val="auto"/>
        </w:rPr>
      </w:pPr>
    </w:p>
    <w:p>
      <w:pPr>
        <w:jc w:val="both"/>
        <w:ind w:left="1980" w:hanging="352"/>
        <w:spacing w:after="0" w:line="357" w:lineRule="auto"/>
        <w:tabs>
          <w:tab w:leader="none" w:pos="2270" w:val="left"/>
        </w:tabs>
        <w:numPr>
          <w:ilvl w:val="0"/>
          <w:numId w:val="93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one of the objects of the issue is to grant a loan to an entity other than a subsidiary, details of the loan agreements including the rate of interest, whether secured or unsecured, duration, nature of security, terms of repayment, subordination, etc. and the nature of benefit expected to accrue to the issuer as a result of the investment. If such a loan is to be granted to any of the group companies, details of the same.</w:t>
      </w:r>
    </w:p>
    <w:p>
      <w:pPr>
        <w:spacing w:after="0" w:line="220" w:lineRule="exact"/>
        <w:rPr>
          <w:rFonts w:ascii="Times New Roman" w:cs="Times New Roman" w:eastAsia="Times New Roman" w:hAnsi="Times New Roman"/>
          <w:sz w:val="24"/>
          <w:szCs w:val="24"/>
          <w:color w:val="auto"/>
        </w:rPr>
      </w:pPr>
    </w:p>
    <w:p>
      <w:pPr>
        <w:jc w:val="both"/>
        <w:ind w:left="1980" w:hanging="352"/>
        <w:spacing w:after="0" w:line="354" w:lineRule="auto"/>
        <w:tabs>
          <w:tab w:leader="none" w:pos="2270" w:val="left"/>
        </w:tabs>
        <w:numPr>
          <w:ilvl w:val="0"/>
          <w:numId w:val="93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one of the objects of the issue is utilisation of the issue proceeds for long term working capital, the following additional disclosures on a standalone basis:</w:t>
      </w:r>
    </w:p>
    <w:p>
      <w:pPr>
        <w:spacing w:after="0" w:line="221" w:lineRule="exact"/>
        <w:rPr>
          <w:rFonts w:ascii="Times New Roman" w:cs="Times New Roman" w:eastAsia="Times New Roman" w:hAnsi="Times New Roman"/>
          <w:sz w:val="24"/>
          <w:szCs w:val="24"/>
          <w:color w:val="auto"/>
        </w:rPr>
      </w:pPr>
    </w:p>
    <w:p>
      <w:pPr>
        <w:ind w:left="2720" w:right="720" w:hanging="441"/>
        <w:spacing w:after="0" w:line="348" w:lineRule="auto"/>
        <w:tabs>
          <w:tab w:leader="none" w:pos="2720" w:val="left"/>
        </w:tabs>
        <w:numPr>
          <w:ilvl w:val="1"/>
          <w:numId w:val="93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Basis of estimation of working capital requirement, along with relevant assumptions.</w:t>
      </w:r>
    </w:p>
    <w:p>
      <w:pPr>
        <w:spacing w:after="0" w:line="214" w:lineRule="exact"/>
        <w:rPr>
          <w:rFonts w:ascii="Times New Roman" w:cs="Times New Roman" w:eastAsia="Times New Roman" w:hAnsi="Times New Roman"/>
          <w:sz w:val="24"/>
          <w:szCs w:val="24"/>
          <w:color w:val="auto"/>
        </w:rPr>
      </w:pPr>
    </w:p>
    <w:p>
      <w:pPr>
        <w:ind w:left="2720" w:hanging="441"/>
        <w:spacing w:after="0"/>
        <w:tabs>
          <w:tab w:leader="none" w:pos="2720" w:val="left"/>
        </w:tabs>
        <w:numPr>
          <w:ilvl w:val="1"/>
          <w:numId w:val="93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Reasons   for   raising   additional   working   capital,</w:t>
      </w: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4"/>
          <w:szCs w:val="24"/>
          <w:color w:val="auto"/>
        </w:rPr>
        <w:t>271</w:t>
      </w:r>
    </w:p>
    <w:p>
      <w:pPr>
        <w:sectPr>
          <w:pgSz w:w="11900" w:h="16836" w:orient="portrait"/>
          <w:cols w:equalWidth="0" w:num="1">
            <w:col w:w="9180"/>
          </w:cols>
          <w:pgMar w:left="1440" w:top="1144" w:right="1284" w:bottom="103" w:gutter="0" w:footer="0" w:header="0"/>
        </w:sectPr>
      </w:pPr>
    </w:p>
    <w:bookmarkStart w:id="271" w:name="page272"/>
    <w:bookmarkEnd w:id="271"/>
    <w:p>
      <w:pPr>
        <w:ind w:left="2720"/>
        <w:spacing w:after="0"/>
        <w:rPr>
          <w:sz w:val="20"/>
          <w:szCs w:val="20"/>
          <w:color w:val="auto"/>
        </w:rPr>
      </w:pPr>
      <w:r>
        <w:rPr>
          <w:rFonts w:ascii="Times New Roman" w:cs="Times New Roman" w:eastAsia="Times New Roman" w:hAnsi="Times New Roman"/>
          <w:sz w:val="24"/>
          <w:szCs w:val="24"/>
          <w:color w:val="auto"/>
        </w:rPr>
        <w:t>substantiating the same with relevant facts and figures.</w:t>
      </w:r>
    </w:p>
    <w:p>
      <w:pPr>
        <w:spacing w:after="0" w:line="351" w:lineRule="exact"/>
        <w:rPr>
          <w:sz w:val="20"/>
          <w:szCs w:val="20"/>
          <w:color w:val="auto"/>
        </w:rPr>
      </w:pPr>
    </w:p>
    <w:p>
      <w:pPr>
        <w:jc w:val="both"/>
        <w:ind w:left="2720" w:right="720" w:hanging="441"/>
        <w:spacing w:after="0" w:line="359" w:lineRule="auto"/>
        <w:tabs>
          <w:tab w:leader="none" w:pos="2720" w:val="left"/>
        </w:tabs>
        <w:numPr>
          <w:ilvl w:val="1"/>
          <w:numId w:val="93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the projected working capital requirement including detailed assessment of working capital after implementation of the project or achievement of objects of the issue, as the case may be, capacity utilisation assumptions, break-up of expected current assets into raw materials, finished goods, work in progress, sundry debtors etc., along with the assumption about the holding norms for each type of current asset, total current liabilities, net current assets and envisaged sources of finance for net current assets, i.e., bank finance, institutional finance, own funds, etc.</w:t>
      </w:r>
    </w:p>
    <w:p>
      <w:pPr>
        <w:spacing w:after="0" w:line="211" w:lineRule="exact"/>
        <w:rPr>
          <w:rFonts w:ascii="Times New Roman" w:cs="Times New Roman" w:eastAsia="Times New Roman" w:hAnsi="Times New Roman"/>
          <w:sz w:val="24"/>
          <w:szCs w:val="24"/>
          <w:color w:val="auto"/>
        </w:rPr>
      </w:pPr>
    </w:p>
    <w:p>
      <w:pPr>
        <w:jc w:val="both"/>
        <w:ind w:left="2720" w:right="720" w:hanging="441"/>
        <w:spacing w:after="0" w:line="354" w:lineRule="auto"/>
        <w:tabs>
          <w:tab w:leader="none" w:pos="2720" w:val="left"/>
        </w:tabs>
        <w:numPr>
          <w:ilvl w:val="1"/>
          <w:numId w:val="93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Total envisaged working capital requirement in a tabular form, the margin money thereof and the portion to be financed by any bank(s) or otherwise.</w:t>
      </w:r>
    </w:p>
    <w:p>
      <w:pPr>
        <w:spacing w:after="0" w:line="221" w:lineRule="exact"/>
        <w:rPr>
          <w:rFonts w:ascii="Times New Roman" w:cs="Times New Roman" w:eastAsia="Times New Roman" w:hAnsi="Times New Roman"/>
          <w:sz w:val="24"/>
          <w:szCs w:val="24"/>
          <w:color w:val="auto"/>
        </w:rPr>
      </w:pPr>
    </w:p>
    <w:p>
      <w:pPr>
        <w:jc w:val="both"/>
        <w:ind w:left="2720" w:right="720" w:hanging="441"/>
        <w:spacing w:after="0" w:line="358" w:lineRule="auto"/>
        <w:tabs>
          <w:tab w:leader="none" w:pos="2720" w:val="left"/>
        </w:tabs>
        <w:numPr>
          <w:ilvl w:val="1"/>
          <w:numId w:val="93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the existing working capital available with the issuer, along with a break-up of total current assets into raw materials, finished goods, work in progress, sundry debtors, etc., total current liabilities, net current assets and sources of finance for net current assets, i.e., bank finance, institutional finance, own funds, etc.</w:t>
      </w:r>
    </w:p>
    <w:p>
      <w:pPr>
        <w:spacing w:after="0" w:line="216" w:lineRule="exact"/>
        <w:rPr>
          <w:rFonts w:ascii="Times New Roman" w:cs="Times New Roman" w:eastAsia="Times New Roman" w:hAnsi="Times New Roman"/>
          <w:sz w:val="24"/>
          <w:szCs w:val="24"/>
          <w:color w:val="auto"/>
        </w:rPr>
      </w:pPr>
    </w:p>
    <w:p>
      <w:pPr>
        <w:ind w:left="2720" w:right="720" w:hanging="441"/>
        <w:spacing w:after="0" w:line="348" w:lineRule="auto"/>
        <w:tabs>
          <w:tab w:leader="none" w:pos="2720" w:val="left"/>
        </w:tabs>
        <w:numPr>
          <w:ilvl w:val="1"/>
          <w:numId w:val="93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no working capital is shown as a part of the project for which the issue is being made, the reasons for the same.</w:t>
      </w:r>
    </w:p>
    <w:p>
      <w:pPr>
        <w:spacing w:after="0" w:line="226" w:lineRule="exact"/>
        <w:rPr>
          <w:rFonts w:ascii="Times New Roman" w:cs="Times New Roman" w:eastAsia="Times New Roman" w:hAnsi="Times New Roman"/>
          <w:sz w:val="24"/>
          <w:szCs w:val="24"/>
          <w:color w:val="auto"/>
        </w:rPr>
      </w:pPr>
    </w:p>
    <w:p>
      <w:pPr>
        <w:ind w:left="1980" w:hanging="352"/>
        <w:spacing w:after="0" w:line="348" w:lineRule="auto"/>
        <w:tabs>
          <w:tab w:leader="none" w:pos="2270" w:val="left"/>
        </w:tabs>
        <w:numPr>
          <w:ilvl w:val="0"/>
          <w:numId w:val="93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an object of the issue is to fund a project, the following details shall be given:</w:t>
      </w:r>
    </w:p>
    <w:p>
      <w:pPr>
        <w:spacing w:after="0" w:line="227" w:lineRule="exact"/>
        <w:rPr>
          <w:sz w:val="20"/>
          <w:szCs w:val="20"/>
          <w:color w:val="auto"/>
        </w:rPr>
      </w:pPr>
    </w:p>
    <w:p>
      <w:pPr>
        <w:ind w:left="2420" w:right="740" w:hanging="432"/>
        <w:spacing w:after="0" w:line="350" w:lineRule="auto"/>
        <w:tabs>
          <w:tab w:leader="none" w:pos="2710" w:val="left"/>
        </w:tabs>
        <w:numPr>
          <w:ilvl w:val="0"/>
          <w:numId w:val="9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break-up of the cost of the project for which the money is being raised;</w:t>
      </w:r>
    </w:p>
    <w:p>
      <w:pPr>
        <w:spacing w:after="0" w:line="210" w:lineRule="exact"/>
        <w:rPr>
          <w:rFonts w:ascii="Times New Roman" w:cs="Times New Roman" w:eastAsia="Times New Roman" w:hAnsi="Times New Roman"/>
          <w:sz w:val="24"/>
          <w:szCs w:val="24"/>
          <w:color w:val="auto"/>
        </w:rPr>
      </w:pPr>
    </w:p>
    <w:p>
      <w:pPr>
        <w:ind w:left="2720" w:hanging="732"/>
        <w:spacing w:after="0"/>
        <w:tabs>
          <w:tab w:leader="none" w:pos="2720" w:val="left"/>
        </w:tabs>
        <w:numPr>
          <w:ilvl w:val="0"/>
          <w:numId w:val="9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means of financing for the project.</w:t>
      </w:r>
    </w:p>
    <w:p>
      <w:pPr>
        <w:spacing w:after="0" w:line="338" w:lineRule="exact"/>
        <w:rPr>
          <w:rFonts w:ascii="Times New Roman" w:cs="Times New Roman" w:eastAsia="Times New Roman" w:hAnsi="Times New Roman"/>
          <w:sz w:val="24"/>
          <w:szCs w:val="24"/>
          <w:color w:val="auto"/>
        </w:rPr>
      </w:pPr>
    </w:p>
    <w:p>
      <w:pPr>
        <w:ind w:left="2720" w:hanging="732"/>
        <w:spacing w:after="0"/>
        <w:tabs>
          <w:tab w:leader="none" w:pos="2720" w:val="left"/>
        </w:tabs>
        <w:numPr>
          <w:ilvl w:val="0"/>
          <w:numId w:val="9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location of the project</w:t>
      </w:r>
    </w:p>
    <w:p>
      <w:pPr>
        <w:spacing w:after="0" w:line="338" w:lineRule="exact"/>
        <w:rPr>
          <w:rFonts w:ascii="Times New Roman" w:cs="Times New Roman" w:eastAsia="Times New Roman" w:hAnsi="Times New Roman"/>
          <w:sz w:val="24"/>
          <w:szCs w:val="24"/>
          <w:color w:val="auto"/>
        </w:rPr>
      </w:pPr>
    </w:p>
    <w:p>
      <w:pPr>
        <w:ind w:left="2720" w:hanging="732"/>
        <w:spacing w:after="0"/>
        <w:tabs>
          <w:tab w:leader="none" w:pos="2720" w:val="left"/>
        </w:tabs>
        <w:numPr>
          <w:ilvl w:val="0"/>
          <w:numId w:val="9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plant and machinery, technology, process, etc.</w:t>
      </w: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4"/>
          <w:szCs w:val="24"/>
          <w:color w:val="auto"/>
        </w:rPr>
        <w:t>272</w:t>
      </w:r>
    </w:p>
    <w:p>
      <w:pPr>
        <w:sectPr>
          <w:pgSz w:w="11900" w:h="16836" w:orient="portrait"/>
          <w:cols w:equalWidth="0" w:num="1">
            <w:col w:w="9180"/>
          </w:cols>
          <w:pgMar w:left="1440" w:top="1144" w:right="1284" w:bottom="103" w:gutter="0" w:footer="0" w:header="0"/>
        </w:sectPr>
      </w:pPr>
    </w:p>
    <w:bookmarkStart w:id="272" w:name="page273"/>
    <w:bookmarkEnd w:id="272"/>
    <w:p>
      <w:pPr>
        <w:ind w:left="2420" w:right="740" w:hanging="432"/>
        <w:spacing w:after="0" w:line="348" w:lineRule="auto"/>
        <w:tabs>
          <w:tab w:leader="none" w:pos="2710" w:val="left"/>
        </w:tabs>
        <w:numPr>
          <w:ilvl w:val="3"/>
          <w:numId w:val="93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collaboration, performance guarantee if any, or assistance in marketing by the collaborators.</w:t>
      </w:r>
    </w:p>
    <w:p>
      <w:pPr>
        <w:spacing w:after="0" w:line="227" w:lineRule="exact"/>
        <w:rPr>
          <w:rFonts w:ascii="Times New Roman" w:cs="Times New Roman" w:eastAsia="Times New Roman" w:hAnsi="Times New Roman"/>
          <w:sz w:val="24"/>
          <w:szCs w:val="24"/>
          <w:color w:val="auto"/>
        </w:rPr>
      </w:pPr>
    </w:p>
    <w:p>
      <w:pPr>
        <w:ind w:left="2420" w:right="720" w:hanging="432"/>
        <w:spacing w:after="0" w:line="350" w:lineRule="auto"/>
        <w:tabs>
          <w:tab w:leader="none" w:pos="2710" w:val="left"/>
        </w:tabs>
        <w:numPr>
          <w:ilvl w:val="3"/>
          <w:numId w:val="93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infrastructure facilities for raw materials and utilities like water, electricity, etc.</w:t>
      </w:r>
    </w:p>
    <w:p>
      <w:pPr>
        <w:spacing w:after="0" w:line="224" w:lineRule="exact"/>
        <w:rPr>
          <w:rFonts w:ascii="Times New Roman" w:cs="Times New Roman" w:eastAsia="Times New Roman" w:hAnsi="Times New Roman"/>
          <w:sz w:val="24"/>
          <w:szCs w:val="24"/>
          <w:color w:val="auto"/>
        </w:rPr>
      </w:pPr>
    </w:p>
    <w:p>
      <w:pPr>
        <w:ind w:left="1980" w:hanging="352"/>
        <w:spacing w:after="0" w:line="348" w:lineRule="auto"/>
        <w:tabs>
          <w:tab w:leader="none" w:pos="2270" w:val="left"/>
        </w:tabs>
        <w:numPr>
          <w:ilvl w:val="1"/>
          <w:numId w:val="93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one of the objects of the issue is to purchase any plant, machinery, technology, process, etc., the following details shall be given:</w:t>
      </w:r>
    </w:p>
    <w:p>
      <w:pPr>
        <w:spacing w:after="0" w:line="226" w:lineRule="exact"/>
        <w:rPr>
          <w:rFonts w:ascii="Times New Roman" w:cs="Times New Roman" w:eastAsia="Times New Roman" w:hAnsi="Times New Roman"/>
          <w:sz w:val="24"/>
          <w:szCs w:val="24"/>
          <w:color w:val="auto"/>
        </w:rPr>
      </w:pPr>
    </w:p>
    <w:p>
      <w:pPr>
        <w:jc w:val="both"/>
        <w:ind w:left="2420" w:hanging="432"/>
        <w:spacing w:after="0" w:line="356" w:lineRule="auto"/>
        <w:tabs>
          <w:tab w:leader="none" w:pos="2710" w:val="left"/>
        </w:tabs>
        <w:numPr>
          <w:ilvl w:val="3"/>
          <w:numId w:val="93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shall be given in a tabular form, which shall include the details of the equipment required to be bought by the issuer, cost of the equipment, name of the suppliers, date of placement of order and the date or expected date of supply, etc.</w:t>
      </w:r>
    </w:p>
    <w:p>
      <w:pPr>
        <w:spacing w:after="0" w:line="218" w:lineRule="exact"/>
        <w:rPr>
          <w:rFonts w:ascii="Times New Roman" w:cs="Times New Roman" w:eastAsia="Times New Roman" w:hAnsi="Times New Roman"/>
          <w:sz w:val="24"/>
          <w:szCs w:val="24"/>
          <w:color w:val="auto"/>
        </w:rPr>
      </w:pPr>
    </w:p>
    <w:p>
      <w:pPr>
        <w:jc w:val="both"/>
        <w:ind w:left="2420" w:hanging="432"/>
        <w:spacing w:after="0" w:line="354" w:lineRule="auto"/>
        <w:tabs>
          <w:tab w:leader="none" w:pos="2710" w:val="left"/>
        </w:tabs>
        <w:numPr>
          <w:ilvl w:val="3"/>
          <w:numId w:val="93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the order for the equipment is yet to be placed, the date of quotations relied upon for the cost estimates given shall also be mentioned.</w:t>
      </w:r>
    </w:p>
    <w:p>
      <w:pPr>
        <w:spacing w:after="0" w:line="221" w:lineRule="exact"/>
        <w:rPr>
          <w:rFonts w:ascii="Times New Roman" w:cs="Times New Roman" w:eastAsia="Times New Roman" w:hAnsi="Times New Roman"/>
          <w:sz w:val="24"/>
          <w:szCs w:val="24"/>
          <w:color w:val="auto"/>
        </w:rPr>
      </w:pPr>
    </w:p>
    <w:p>
      <w:pPr>
        <w:ind w:left="2420" w:hanging="432"/>
        <w:spacing w:after="0" w:line="348" w:lineRule="auto"/>
        <w:tabs>
          <w:tab w:leader="none" w:pos="2710" w:val="left"/>
        </w:tabs>
        <w:numPr>
          <w:ilvl w:val="3"/>
          <w:numId w:val="93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percentage and value terms of the equipment for which orders are yet to be placed shall be stated.</w:t>
      </w:r>
    </w:p>
    <w:p>
      <w:pPr>
        <w:spacing w:after="0" w:line="226" w:lineRule="exact"/>
        <w:rPr>
          <w:rFonts w:ascii="Times New Roman" w:cs="Times New Roman" w:eastAsia="Times New Roman" w:hAnsi="Times New Roman"/>
          <w:sz w:val="24"/>
          <w:szCs w:val="24"/>
          <w:color w:val="auto"/>
        </w:rPr>
      </w:pPr>
    </w:p>
    <w:p>
      <w:pPr>
        <w:jc w:val="both"/>
        <w:ind w:left="2420" w:hanging="432"/>
        <w:spacing w:after="0" w:line="354" w:lineRule="auto"/>
        <w:tabs>
          <w:tab w:leader="none" w:pos="2710" w:val="left"/>
        </w:tabs>
        <w:numPr>
          <w:ilvl w:val="3"/>
          <w:numId w:val="93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details of the second hand equipment bought or proposed to be bought, if any, including the age of the machines, balance estimated life, etc. shall also be given.</w:t>
      </w:r>
    </w:p>
    <w:p>
      <w:pPr>
        <w:spacing w:after="0" w:line="221" w:lineRule="exact"/>
        <w:rPr>
          <w:rFonts w:ascii="Times New Roman" w:cs="Times New Roman" w:eastAsia="Times New Roman" w:hAnsi="Times New Roman"/>
          <w:sz w:val="24"/>
          <w:szCs w:val="24"/>
          <w:color w:val="auto"/>
        </w:rPr>
      </w:pPr>
    </w:p>
    <w:p>
      <w:pPr>
        <w:jc w:val="both"/>
        <w:ind w:left="2240" w:hanging="612"/>
        <w:spacing w:after="0" w:line="357" w:lineRule="auto"/>
        <w:tabs>
          <w:tab w:leader="none" w:pos="2286" w:val="left"/>
        </w:tabs>
        <w:numPr>
          <w:ilvl w:val="1"/>
          <w:numId w:val="93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warrants or partly paid shares are proposed to be issued in a rights issue, disclosure of the objects towards which the funds from conversions of warrants/call money for partly paid shares is proposed to be used.</w:t>
      </w: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34" w:lineRule="exact"/>
        <w:rPr>
          <w:rFonts w:ascii="Times New Roman" w:cs="Times New Roman" w:eastAsia="Times New Roman" w:hAnsi="Times New Roman"/>
          <w:sz w:val="24"/>
          <w:szCs w:val="24"/>
          <w:color w:val="auto"/>
        </w:rPr>
      </w:pPr>
    </w:p>
    <w:p>
      <w:pPr>
        <w:ind w:left="1780" w:hanging="512"/>
        <w:spacing w:after="0"/>
        <w:tabs>
          <w:tab w:leader="none" w:pos="1780" w:val="left"/>
        </w:tabs>
        <w:numPr>
          <w:ilvl w:val="0"/>
          <w:numId w:val="93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Requirement of Funds:</w:t>
      </w:r>
    </w:p>
    <w:p>
      <w:pPr>
        <w:spacing w:after="0" w:line="345" w:lineRule="exact"/>
        <w:rPr>
          <w:rFonts w:ascii="Times New Roman" w:cs="Times New Roman" w:eastAsia="Times New Roman" w:hAnsi="Times New Roman"/>
          <w:sz w:val="24"/>
          <w:szCs w:val="24"/>
          <w:b w:val="1"/>
          <w:bCs w:val="1"/>
          <w:color w:val="auto"/>
        </w:rPr>
      </w:pPr>
    </w:p>
    <w:p>
      <w:pPr>
        <w:jc w:val="both"/>
        <w:ind w:left="2280" w:right="720" w:hanging="508"/>
        <w:spacing w:after="0" w:line="356" w:lineRule="auto"/>
        <w:tabs>
          <w:tab w:leader="none" w:pos="2280" w:val="left"/>
        </w:tabs>
        <w:numPr>
          <w:ilvl w:val="2"/>
          <w:numId w:val="93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Where the issuer proposes to undertake more than one activity or project, such as diversification, modernisation, expansion, etc., the total project cost activity-wise or project wise, as the case may be.</w:t>
      </w:r>
    </w:p>
    <w:p>
      <w:pPr>
        <w:spacing w:after="0" w:line="205" w:lineRule="exact"/>
        <w:rPr>
          <w:rFonts w:ascii="Times New Roman" w:cs="Times New Roman" w:eastAsia="Times New Roman" w:hAnsi="Times New Roman"/>
          <w:sz w:val="24"/>
          <w:szCs w:val="24"/>
          <w:color w:val="auto"/>
        </w:rPr>
      </w:pPr>
    </w:p>
    <w:p>
      <w:pPr>
        <w:ind w:left="2280" w:hanging="508"/>
        <w:spacing w:after="0"/>
        <w:tabs>
          <w:tab w:leader="none" w:pos="2280" w:val="left"/>
        </w:tabs>
        <w:numPr>
          <w:ilvl w:val="2"/>
          <w:numId w:val="93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Where  the  issuer  is  implementing  the  project  in  a  phased</w:t>
      </w:r>
    </w:p>
    <w:p>
      <w:pPr>
        <w:spacing w:after="0" w:line="200" w:lineRule="exact"/>
        <w:rPr>
          <w:sz w:val="20"/>
          <w:szCs w:val="20"/>
          <w:color w:val="auto"/>
        </w:rPr>
      </w:pPr>
    </w:p>
    <w:p>
      <w:pPr>
        <w:spacing w:after="0" w:line="266"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4"/>
          <w:szCs w:val="24"/>
          <w:color w:val="auto"/>
        </w:rPr>
        <w:t>273</w:t>
      </w:r>
    </w:p>
    <w:p>
      <w:pPr>
        <w:sectPr>
          <w:pgSz w:w="11900" w:h="16836" w:orient="portrait"/>
          <w:cols w:equalWidth="0" w:num="1">
            <w:col w:w="9180"/>
          </w:cols>
          <w:pgMar w:left="1440" w:top="1156" w:right="1284" w:bottom="103" w:gutter="0" w:footer="0" w:header="0"/>
        </w:sectPr>
      </w:pPr>
    </w:p>
    <w:bookmarkStart w:id="273" w:name="page274"/>
    <w:bookmarkEnd w:id="273"/>
    <w:p>
      <w:pPr>
        <w:ind w:left="2280" w:right="564"/>
        <w:spacing w:after="0" w:line="348" w:lineRule="auto"/>
        <w:rPr>
          <w:sz w:val="20"/>
          <w:szCs w:val="20"/>
          <w:color w:val="auto"/>
        </w:rPr>
      </w:pPr>
      <w:r>
        <w:rPr>
          <w:rFonts w:ascii="Times New Roman" w:cs="Times New Roman" w:eastAsia="Times New Roman" w:hAnsi="Times New Roman"/>
          <w:sz w:val="24"/>
          <w:szCs w:val="24"/>
          <w:color w:val="auto"/>
        </w:rPr>
        <w:t>manner, the cost of each phase including the phase, if any, which has already been implemented.</w:t>
      </w:r>
    </w:p>
    <w:p>
      <w:pPr>
        <w:spacing w:after="0" w:line="227" w:lineRule="exact"/>
        <w:rPr>
          <w:sz w:val="20"/>
          <w:szCs w:val="20"/>
          <w:color w:val="auto"/>
        </w:rPr>
      </w:pPr>
    </w:p>
    <w:p>
      <w:pPr>
        <w:jc w:val="both"/>
        <w:ind w:left="2280" w:right="564" w:hanging="508"/>
        <w:spacing w:after="0" w:line="358" w:lineRule="auto"/>
        <w:tabs>
          <w:tab w:leader="none" w:pos="2280" w:val="left"/>
        </w:tabs>
        <w:numPr>
          <w:ilvl w:val="0"/>
          <w:numId w:val="94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all material existing or anticipated transactions in relation to the utlisation of the issue proceeds or project cost with promoters, directors, key managerial personnel, associate companies (as defined under the Companies Act, 2013). The relevant documents shall be included in the list of material documents for inspection.</w:t>
      </w:r>
    </w:p>
    <w:p>
      <w:pPr>
        <w:spacing w:after="0" w:line="216" w:lineRule="exact"/>
        <w:rPr>
          <w:rFonts w:ascii="Times New Roman" w:cs="Times New Roman" w:eastAsia="Times New Roman" w:hAnsi="Times New Roman"/>
          <w:sz w:val="24"/>
          <w:szCs w:val="24"/>
          <w:color w:val="auto"/>
        </w:rPr>
      </w:pPr>
    </w:p>
    <w:p>
      <w:pPr>
        <w:ind w:left="2280" w:right="564" w:hanging="508"/>
        <w:spacing w:after="0" w:line="348" w:lineRule="auto"/>
        <w:tabs>
          <w:tab w:leader="none" w:pos="2280" w:val="left"/>
        </w:tabs>
        <w:numPr>
          <w:ilvl w:val="0"/>
          <w:numId w:val="94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any part of the proceeds of the issue is to be applied directly or indirectly:</w:t>
      </w:r>
    </w:p>
    <w:p>
      <w:pPr>
        <w:spacing w:after="0" w:line="214" w:lineRule="exact"/>
        <w:rPr>
          <w:rFonts w:ascii="Times New Roman" w:cs="Times New Roman" w:eastAsia="Times New Roman" w:hAnsi="Times New Roman"/>
          <w:sz w:val="24"/>
          <w:szCs w:val="24"/>
          <w:color w:val="auto"/>
        </w:rPr>
      </w:pPr>
    </w:p>
    <w:p>
      <w:pPr>
        <w:ind w:left="3140" w:hanging="429"/>
        <w:spacing w:after="0"/>
        <w:tabs>
          <w:tab w:leader="none" w:pos="3140" w:val="left"/>
        </w:tabs>
        <w:numPr>
          <w:ilvl w:val="1"/>
          <w:numId w:val="94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the purchase of any business; or</w:t>
      </w:r>
    </w:p>
    <w:p>
      <w:pPr>
        <w:spacing w:after="0" w:line="350" w:lineRule="exact"/>
        <w:rPr>
          <w:rFonts w:ascii="Times New Roman" w:cs="Times New Roman" w:eastAsia="Times New Roman" w:hAnsi="Times New Roman"/>
          <w:sz w:val="24"/>
          <w:szCs w:val="24"/>
          <w:color w:val="auto"/>
        </w:rPr>
      </w:pPr>
    </w:p>
    <w:p>
      <w:pPr>
        <w:jc w:val="both"/>
        <w:ind w:left="3140" w:right="564" w:hanging="429"/>
        <w:spacing w:after="0" w:line="357" w:lineRule="auto"/>
        <w:tabs>
          <w:tab w:leader="none" w:pos="3140" w:val="left"/>
        </w:tabs>
        <w:numPr>
          <w:ilvl w:val="1"/>
          <w:numId w:val="94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the purchase of an interest in any business and by reason of that purchase, or anything to be done in consequence thereof, or in connection therewith; the issuer will become entitled to an interest in respect to either the capital or profits and losses or both, in such business exceeding fifty per cent. thereof;</w:t>
      </w:r>
    </w:p>
    <w:p>
      <w:pPr>
        <w:spacing w:after="0" w:line="221" w:lineRule="exact"/>
        <w:rPr>
          <w:sz w:val="20"/>
          <w:szCs w:val="20"/>
          <w:color w:val="auto"/>
        </w:rPr>
      </w:pPr>
    </w:p>
    <w:p>
      <w:pPr>
        <w:ind w:left="3560" w:right="564"/>
        <w:spacing w:after="0" w:line="348" w:lineRule="auto"/>
        <w:rPr>
          <w:sz w:val="20"/>
          <w:szCs w:val="20"/>
          <w:color w:val="auto"/>
        </w:rPr>
      </w:pPr>
      <w:r>
        <w:rPr>
          <w:rFonts w:ascii="Times New Roman" w:cs="Times New Roman" w:eastAsia="Times New Roman" w:hAnsi="Times New Roman"/>
          <w:sz w:val="24"/>
          <w:szCs w:val="24"/>
          <w:color w:val="auto"/>
        </w:rPr>
        <w:t>a report made by accountants (who shall be named in the letter of offer) upon:</w:t>
      </w:r>
    </w:p>
    <w:p>
      <w:pPr>
        <w:spacing w:after="0" w:line="28" w:lineRule="exact"/>
        <w:rPr>
          <w:sz w:val="20"/>
          <w:szCs w:val="20"/>
          <w:color w:val="auto"/>
        </w:rPr>
      </w:pPr>
    </w:p>
    <w:p>
      <w:pPr>
        <w:jc w:val="both"/>
        <w:ind w:left="3960" w:right="564" w:hanging="431"/>
        <w:spacing w:after="0" w:line="354" w:lineRule="auto"/>
        <w:tabs>
          <w:tab w:leader="none" w:pos="3962" w:val="left"/>
        </w:tabs>
        <w:numPr>
          <w:ilvl w:val="0"/>
          <w:numId w:val="94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profits or losses of the business of each of the five financial years immediately preceding the issue of the letter of offer; and</w:t>
      </w:r>
    </w:p>
    <w:p>
      <w:pPr>
        <w:spacing w:after="0" w:line="221" w:lineRule="exact"/>
        <w:rPr>
          <w:rFonts w:ascii="Times New Roman" w:cs="Times New Roman" w:eastAsia="Times New Roman" w:hAnsi="Times New Roman"/>
          <w:sz w:val="24"/>
          <w:szCs w:val="24"/>
          <w:color w:val="auto"/>
        </w:rPr>
      </w:pPr>
    </w:p>
    <w:p>
      <w:pPr>
        <w:jc w:val="both"/>
        <w:ind w:left="3960" w:right="564" w:hanging="431"/>
        <w:spacing w:after="0" w:line="357" w:lineRule="auto"/>
        <w:tabs>
          <w:tab w:leader="none" w:pos="3962" w:val="left"/>
        </w:tabs>
        <w:numPr>
          <w:ilvl w:val="0"/>
          <w:numId w:val="94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assets and liabilities of the business at the last date to which the accounts of the business were made, being a date not more than six months before the date of the issue of the letter of offer.</w:t>
      </w:r>
    </w:p>
    <w:p>
      <w:pPr>
        <w:spacing w:after="0" w:line="206" w:lineRule="exact"/>
        <w:rPr>
          <w:sz w:val="20"/>
          <w:szCs w:val="20"/>
          <w:color w:val="auto"/>
        </w:rPr>
      </w:pPr>
    </w:p>
    <w:p>
      <w:pPr>
        <w:ind w:left="2280" w:hanging="508"/>
        <w:spacing w:after="0"/>
        <w:tabs>
          <w:tab w:leader="none" w:pos="2280" w:val="left"/>
        </w:tabs>
        <w:numPr>
          <w:ilvl w:val="0"/>
          <w:numId w:val="94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w:t>
      </w:r>
    </w:p>
    <w:p>
      <w:pPr>
        <w:spacing w:after="0" w:line="351" w:lineRule="exact"/>
        <w:rPr>
          <w:rFonts w:ascii="Times New Roman" w:cs="Times New Roman" w:eastAsia="Times New Roman" w:hAnsi="Times New Roman"/>
          <w:sz w:val="24"/>
          <w:szCs w:val="24"/>
          <w:color w:val="auto"/>
        </w:rPr>
      </w:pPr>
    </w:p>
    <w:p>
      <w:pPr>
        <w:jc w:val="both"/>
        <w:ind w:left="2920" w:right="564" w:hanging="605"/>
        <w:spacing w:after="0" w:line="354" w:lineRule="auto"/>
        <w:tabs>
          <w:tab w:leader="none" w:pos="2920" w:val="left"/>
        </w:tabs>
        <w:numPr>
          <w:ilvl w:val="1"/>
          <w:numId w:val="94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part of the proceeds of the issue is to be applied directly or indirectly in any manner resulting in the acquisition by the issuer of shares in any other body</w:t>
      </w:r>
    </w:p>
    <w:p>
      <w:pPr>
        <w:spacing w:after="0" w:line="319" w:lineRule="exact"/>
        <w:rPr>
          <w:sz w:val="20"/>
          <w:szCs w:val="20"/>
          <w:color w:val="auto"/>
        </w:rPr>
      </w:pPr>
    </w:p>
    <w:p>
      <w:pPr>
        <w:jc w:val="center"/>
        <w:ind w:right="124"/>
        <w:spacing w:after="0"/>
        <w:rPr>
          <w:sz w:val="20"/>
          <w:szCs w:val="20"/>
          <w:color w:val="auto"/>
        </w:rPr>
      </w:pPr>
      <w:r>
        <w:rPr>
          <w:rFonts w:ascii="Times New Roman" w:cs="Times New Roman" w:eastAsia="Times New Roman" w:hAnsi="Times New Roman"/>
          <w:sz w:val="24"/>
          <w:szCs w:val="24"/>
          <w:color w:val="auto"/>
        </w:rPr>
        <w:t>274</w:t>
      </w:r>
    </w:p>
    <w:p>
      <w:pPr>
        <w:sectPr>
          <w:pgSz w:w="11900" w:h="16836" w:orient="portrait"/>
          <w:cols w:equalWidth="0" w:num="1">
            <w:col w:w="9024"/>
          </w:cols>
          <w:pgMar w:left="1440" w:top="1156" w:right="1440" w:bottom="103" w:gutter="0" w:footer="0" w:header="0"/>
        </w:sectPr>
      </w:pPr>
    </w:p>
    <w:bookmarkStart w:id="274" w:name="page275"/>
    <w:bookmarkEnd w:id="274"/>
    <w:p>
      <w:pPr>
        <w:ind w:left="2920"/>
        <w:spacing w:after="0"/>
        <w:rPr>
          <w:sz w:val="20"/>
          <w:szCs w:val="20"/>
          <w:color w:val="auto"/>
        </w:rPr>
      </w:pPr>
      <w:r>
        <w:rPr>
          <w:rFonts w:ascii="Times New Roman" w:cs="Times New Roman" w:eastAsia="Times New Roman" w:hAnsi="Times New Roman"/>
          <w:sz w:val="24"/>
          <w:szCs w:val="24"/>
          <w:color w:val="auto"/>
        </w:rPr>
        <w:t>corporate; and</w:t>
      </w:r>
    </w:p>
    <w:p>
      <w:pPr>
        <w:spacing w:after="0" w:line="351" w:lineRule="exact"/>
        <w:rPr>
          <w:sz w:val="20"/>
          <w:szCs w:val="20"/>
          <w:color w:val="auto"/>
        </w:rPr>
      </w:pPr>
    </w:p>
    <w:p>
      <w:pPr>
        <w:jc w:val="both"/>
        <w:ind w:left="2920" w:right="720" w:hanging="605"/>
        <w:spacing w:after="0" w:line="354" w:lineRule="auto"/>
        <w:tabs>
          <w:tab w:leader="none" w:pos="2920" w:val="left"/>
        </w:tabs>
        <w:numPr>
          <w:ilvl w:val="3"/>
          <w:numId w:val="94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by reason of that acquisition or anything to be done in consequence thereof or in connection therewith, that body corporate will become a subsidiary of the issuer;</w:t>
      </w:r>
    </w:p>
    <w:p>
      <w:pPr>
        <w:spacing w:after="0" w:line="221" w:lineRule="exact"/>
        <w:rPr>
          <w:rFonts w:ascii="Times New Roman" w:cs="Times New Roman" w:eastAsia="Times New Roman" w:hAnsi="Times New Roman"/>
          <w:sz w:val="24"/>
          <w:szCs w:val="24"/>
          <w:color w:val="auto"/>
        </w:rPr>
      </w:pPr>
    </w:p>
    <w:p>
      <w:pPr>
        <w:ind w:left="2920" w:right="720"/>
        <w:spacing w:after="0" w:line="348"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report made by accountants (who shall be named in the letter of offer) upon:</w:t>
      </w:r>
    </w:p>
    <w:p>
      <w:pPr>
        <w:spacing w:after="0" w:line="27" w:lineRule="exact"/>
        <w:rPr>
          <w:rFonts w:ascii="Times New Roman" w:cs="Times New Roman" w:eastAsia="Times New Roman" w:hAnsi="Times New Roman"/>
          <w:sz w:val="24"/>
          <w:szCs w:val="24"/>
          <w:color w:val="auto"/>
        </w:rPr>
      </w:pPr>
    </w:p>
    <w:p>
      <w:pPr>
        <w:jc w:val="both"/>
        <w:ind w:left="3380" w:right="720" w:hanging="439"/>
        <w:spacing w:after="0" w:line="354" w:lineRule="auto"/>
        <w:tabs>
          <w:tab w:leader="none" w:pos="3380" w:val="left"/>
        </w:tabs>
        <w:numPr>
          <w:ilvl w:val="4"/>
          <w:numId w:val="94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profits or losses of the other body corporate for each of the five financial years immediately preceding the issue of the Letter of Offer; and</w:t>
      </w:r>
    </w:p>
    <w:p>
      <w:pPr>
        <w:spacing w:after="0" w:line="219" w:lineRule="exact"/>
        <w:rPr>
          <w:rFonts w:ascii="Times New Roman" w:cs="Times New Roman" w:eastAsia="Times New Roman" w:hAnsi="Times New Roman"/>
          <w:sz w:val="24"/>
          <w:szCs w:val="24"/>
          <w:color w:val="auto"/>
        </w:rPr>
      </w:pPr>
    </w:p>
    <w:p>
      <w:pPr>
        <w:ind w:left="3380" w:right="740" w:hanging="439"/>
        <w:spacing w:after="0" w:line="350" w:lineRule="auto"/>
        <w:tabs>
          <w:tab w:leader="none" w:pos="3380" w:val="left"/>
        </w:tabs>
        <w:numPr>
          <w:ilvl w:val="4"/>
          <w:numId w:val="94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assets and liabilities of the other body corporate at the last date to which its accounts were made.</w:t>
      </w:r>
    </w:p>
    <w:p>
      <w:pPr>
        <w:spacing w:after="0" w:line="212" w:lineRule="exact"/>
        <w:rPr>
          <w:rFonts w:ascii="Times New Roman" w:cs="Times New Roman" w:eastAsia="Times New Roman" w:hAnsi="Times New Roman"/>
          <w:sz w:val="24"/>
          <w:szCs w:val="24"/>
          <w:color w:val="auto"/>
        </w:rPr>
      </w:pPr>
    </w:p>
    <w:p>
      <w:pPr>
        <w:ind w:left="1780" w:hanging="512"/>
        <w:spacing w:after="0"/>
        <w:tabs>
          <w:tab w:leader="none" w:pos="1780" w:val="left"/>
        </w:tabs>
        <w:numPr>
          <w:ilvl w:val="0"/>
          <w:numId w:val="94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Strategic partners to the project or objects of the issue.</w:t>
      </w:r>
    </w:p>
    <w:p>
      <w:pPr>
        <w:spacing w:after="0" w:line="336" w:lineRule="exact"/>
        <w:rPr>
          <w:rFonts w:ascii="Times New Roman" w:cs="Times New Roman" w:eastAsia="Times New Roman" w:hAnsi="Times New Roman"/>
          <w:sz w:val="24"/>
          <w:szCs w:val="24"/>
          <w:b w:val="1"/>
          <w:bCs w:val="1"/>
          <w:color w:val="auto"/>
        </w:rPr>
      </w:pPr>
    </w:p>
    <w:p>
      <w:pPr>
        <w:ind w:left="1780" w:hanging="512"/>
        <w:spacing w:after="0"/>
        <w:tabs>
          <w:tab w:leader="none" w:pos="1780" w:val="left"/>
        </w:tabs>
        <w:numPr>
          <w:ilvl w:val="0"/>
          <w:numId w:val="94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Financial partners to the project or objects of the issue.</w:t>
      </w:r>
    </w:p>
    <w:p>
      <w:pPr>
        <w:spacing w:after="0" w:line="343" w:lineRule="exact"/>
        <w:rPr>
          <w:rFonts w:ascii="Times New Roman" w:cs="Times New Roman" w:eastAsia="Times New Roman" w:hAnsi="Times New Roman"/>
          <w:sz w:val="24"/>
          <w:szCs w:val="24"/>
          <w:b w:val="1"/>
          <w:bCs w:val="1"/>
          <w:color w:val="auto"/>
        </w:rPr>
      </w:pPr>
    </w:p>
    <w:p>
      <w:pPr>
        <w:ind w:left="1780" w:hanging="512"/>
        <w:spacing w:after="0"/>
        <w:tabs>
          <w:tab w:leader="none" w:pos="1780" w:val="left"/>
        </w:tabs>
        <w:numPr>
          <w:ilvl w:val="0"/>
          <w:numId w:val="94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Funding plan (Means of Finance):</w:t>
      </w:r>
    </w:p>
    <w:p>
      <w:pPr>
        <w:spacing w:after="0" w:line="345" w:lineRule="exact"/>
        <w:rPr>
          <w:rFonts w:ascii="Times New Roman" w:cs="Times New Roman" w:eastAsia="Times New Roman" w:hAnsi="Times New Roman"/>
          <w:sz w:val="24"/>
          <w:szCs w:val="24"/>
          <w:b w:val="1"/>
          <w:bCs w:val="1"/>
          <w:color w:val="auto"/>
        </w:rPr>
      </w:pPr>
    </w:p>
    <w:p>
      <w:pPr>
        <w:jc w:val="both"/>
        <w:ind w:left="2280" w:right="720" w:hanging="508"/>
        <w:spacing w:after="0" w:line="357" w:lineRule="auto"/>
        <w:tabs>
          <w:tab w:leader="none" w:pos="2280" w:val="left"/>
        </w:tabs>
        <w:numPr>
          <w:ilvl w:val="2"/>
          <w:numId w:val="94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 undertaking by the issuer confirming that firm arrangements of finance through verifiable means towards seventy-five per cent. of the stated means of finance, excluding the amount to be raised through the proposed issue and existing identifiable internal accruals, have been made.</w:t>
      </w:r>
    </w:p>
    <w:p>
      <w:pPr>
        <w:spacing w:after="0" w:line="217" w:lineRule="exact"/>
        <w:rPr>
          <w:rFonts w:ascii="Times New Roman" w:cs="Times New Roman" w:eastAsia="Times New Roman" w:hAnsi="Times New Roman"/>
          <w:sz w:val="24"/>
          <w:szCs w:val="24"/>
          <w:color w:val="auto"/>
        </w:rPr>
      </w:pPr>
    </w:p>
    <w:p>
      <w:pPr>
        <w:ind w:left="2280" w:right="720" w:hanging="508"/>
        <w:spacing w:after="0" w:line="348" w:lineRule="auto"/>
        <w:tabs>
          <w:tab w:leader="none" w:pos="2280" w:val="left"/>
        </w:tabs>
        <w:numPr>
          <w:ilvl w:val="2"/>
          <w:numId w:val="94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Balance portion of the means of finance for which no firm arrangement has been made without specification.</w:t>
      </w:r>
    </w:p>
    <w:p>
      <w:pPr>
        <w:spacing w:after="0" w:line="227" w:lineRule="exact"/>
        <w:rPr>
          <w:rFonts w:ascii="Times New Roman" w:cs="Times New Roman" w:eastAsia="Times New Roman" w:hAnsi="Times New Roman"/>
          <w:sz w:val="24"/>
          <w:szCs w:val="24"/>
          <w:color w:val="auto"/>
        </w:rPr>
      </w:pPr>
    </w:p>
    <w:p>
      <w:pPr>
        <w:ind w:left="2280" w:right="720" w:hanging="508"/>
        <w:spacing w:after="0" w:line="350" w:lineRule="auto"/>
        <w:tabs>
          <w:tab w:leader="none" w:pos="2280" w:val="left"/>
        </w:tabs>
        <w:numPr>
          <w:ilvl w:val="2"/>
          <w:numId w:val="94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funds tied up and the avenues for deployment of excess proceeds, if any.</w:t>
      </w:r>
    </w:p>
    <w:p>
      <w:pPr>
        <w:spacing w:after="0" w:line="214" w:lineRule="exact"/>
        <w:rPr>
          <w:rFonts w:ascii="Times New Roman" w:cs="Times New Roman" w:eastAsia="Times New Roman" w:hAnsi="Times New Roman"/>
          <w:sz w:val="24"/>
          <w:szCs w:val="24"/>
          <w:color w:val="auto"/>
        </w:rPr>
      </w:pPr>
    </w:p>
    <w:p>
      <w:pPr>
        <w:ind w:left="1780" w:hanging="448"/>
        <w:spacing w:after="0"/>
        <w:tabs>
          <w:tab w:leader="none" w:pos="1780" w:val="left"/>
        </w:tabs>
        <w:numPr>
          <w:ilvl w:val="1"/>
          <w:numId w:val="94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Appraisal (if applicable):</w:t>
      </w:r>
    </w:p>
    <w:p>
      <w:pPr>
        <w:spacing w:after="0" w:line="345" w:lineRule="exact"/>
        <w:rPr>
          <w:rFonts w:ascii="Times New Roman" w:cs="Times New Roman" w:eastAsia="Times New Roman" w:hAnsi="Times New Roman"/>
          <w:sz w:val="24"/>
          <w:szCs w:val="24"/>
          <w:b w:val="1"/>
          <w:bCs w:val="1"/>
          <w:color w:val="auto"/>
        </w:rPr>
      </w:pPr>
    </w:p>
    <w:p>
      <w:pPr>
        <w:ind w:left="2280" w:hanging="508"/>
        <w:spacing w:after="0" w:line="350" w:lineRule="auto"/>
        <w:tabs>
          <w:tab w:leader="none" w:pos="2278" w:val="left"/>
        </w:tabs>
        <w:numPr>
          <w:ilvl w:val="2"/>
          <w:numId w:val="94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Scope and purpose of the appraisal, if any, along with the date of appraisal.</w:t>
      </w:r>
    </w:p>
    <w:p>
      <w:pPr>
        <w:spacing w:after="0" w:line="212" w:lineRule="exact"/>
        <w:rPr>
          <w:rFonts w:ascii="Times New Roman" w:cs="Times New Roman" w:eastAsia="Times New Roman" w:hAnsi="Times New Roman"/>
          <w:sz w:val="24"/>
          <w:szCs w:val="24"/>
          <w:color w:val="auto"/>
        </w:rPr>
      </w:pPr>
    </w:p>
    <w:p>
      <w:pPr>
        <w:ind w:left="2280" w:hanging="508"/>
        <w:spacing w:after="0"/>
        <w:tabs>
          <w:tab w:leader="none" w:pos="2280" w:val="left"/>
        </w:tabs>
        <w:numPr>
          <w:ilvl w:val="2"/>
          <w:numId w:val="94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Cost of the project and means of finance as per the appraisal report.</w:t>
      </w:r>
    </w:p>
    <w:p>
      <w:pPr>
        <w:spacing w:after="0" w:line="336" w:lineRule="exact"/>
        <w:rPr>
          <w:rFonts w:ascii="Times New Roman" w:cs="Times New Roman" w:eastAsia="Times New Roman" w:hAnsi="Times New Roman"/>
          <w:sz w:val="24"/>
          <w:szCs w:val="24"/>
          <w:color w:val="auto"/>
        </w:rPr>
      </w:pPr>
    </w:p>
    <w:p>
      <w:pPr>
        <w:ind w:left="2280" w:hanging="508"/>
        <w:spacing w:after="0"/>
        <w:tabs>
          <w:tab w:leader="none" w:pos="2280" w:val="left"/>
        </w:tabs>
        <w:numPr>
          <w:ilvl w:val="2"/>
          <w:numId w:val="94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Explanation  of  revision,  if  any,  in  the  project  cost  and  the</w:t>
      </w: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4"/>
          <w:szCs w:val="24"/>
          <w:color w:val="auto"/>
        </w:rPr>
        <w:t>275</w:t>
      </w:r>
    </w:p>
    <w:p>
      <w:pPr>
        <w:sectPr>
          <w:pgSz w:w="11900" w:h="16836" w:orient="portrait"/>
          <w:cols w:equalWidth="0" w:num="1">
            <w:col w:w="9180"/>
          </w:cols>
          <w:pgMar w:left="1440" w:top="1144" w:right="1284" w:bottom="103" w:gutter="0" w:footer="0" w:header="0"/>
        </w:sectPr>
      </w:pPr>
    </w:p>
    <w:bookmarkStart w:id="275" w:name="page276"/>
    <w:bookmarkEnd w:id="275"/>
    <w:p>
      <w:pPr>
        <w:ind w:left="2280"/>
        <w:spacing w:after="0"/>
        <w:rPr>
          <w:sz w:val="20"/>
          <w:szCs w:val="20"/>
          <w:color w:val="auto"/>
        </w:rPr>
      </w:pPr>
      <w:r>
        <w:rPr>
          <w:rFonts w:ascii="Times New Roman" w:cs="Times New Roman" w:eastAsia="Times New Roman" w:hAnsi="Times New Roman"/>
          <w:sz w:val="24"/>
          <w:szCs w:val="24"/>
          <w:color w:val="auto"/>
        </w:rPr>
        <w:t>means of finance after the date of issue of the appraisal report.</w:t>
      </w:r>
    </w:p>
    <w:p>
      <w:pPr>
        <w:spacing w:after="0" w:line="351" w:lineRule="exact"/>
        <w:rPr>
          <w:sz w:val="20"/>
          <w:szCs w:val="20"/>
          <w:color w:val="auto"/>
        </w:rPr>
      </w:pPr>
    </w:p>
    <w:p>
      <w:pPr>
        <w:ind w:left="2280" w:right="564" w:hanging="508"/>
        <w:spacing w:after="0" w:line="348" w:lineRule="auto"/>
        <w:tabs>
          <w:tab w:leader="none" w:pos="2278" w:val="left"/>
        </w:tabs>
        <w:numPr>
          <w:ilvl w:val="2"/>
          <w:numId w:val="94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Weaknesses, qualifications and threats given in the appraisal report, by way of risk factors.</w:t>
      </w:r>
    </w:p>
    <w:p>
      <w:pPr>
        <w:spacing w:after="0" w:line="226" w:lineRule="exact"/>
        <w:rPr>
          <w:rFonts w:ascii="Times New Roman" w:cs="Times New Roman" w:eastAsia="Times New Roman" w:hAnsi="Times New Roman"/>
          <w:sz w:val="24"/>
          <w:szCs w:val="24"/>
          <w:color w:val="auto"/>
        </w:rPr>
      </w:pPr>
    </w:p>
    <w:p>
      <w:pPr>
        <w:jc w:val="both"/>
        <w:ind w:left="1760" w:right="564" w:hanging="428"/>
        <w:spacing w:after="0" w:line="357" w:lineRule="auto"/>
        <w:tabs>
          <w:tab w:leader="none" w:pos="1770" w:val="left"/>
        </w:tabs>
        <w:numPr>
          <w:ilvl w:val="1"/>
          <w:numId w:val="94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Schedule of implementation: </w:t>
      </w:r>
      <w:r>
        <w:rPr>
          <w:rFonts w:ascii="Times New Roman" w:cs="Times New Roman" w:eastAsia="Times New Roman" w:hAnsi="Times New Roman"/>
          <w:sz w:val="24"/>
          <w:szCs w:val="24"/>
          <w:color w:val="auto"/>
        </w:rPr>
        <w:t>The schedule of implementation of</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the project and the progress made so far, giving details of land acquisition, civil works, installation of plant and machinery, trial production, date of commercial production and reasons for delay, if any.</w:t>
      </w:r>
    </w:p>
    <w:p>
      <w:pPr>
        <w:spacing w:after="0" w:line="211" w:lineRule="exact"/>
        <w:rPr>
          <w:rFonts w:ascii="Times New Roman" w:cs="Times New Roman" w:eastAsia="Times New Roman" w:hAnsi="Times New Roman"/>
          <w:sz w:val="24"/>
          <w:szCs w:val="24"/>
          <w:b w:val="1"/>
          <w:bCs w:val="1"/>
          <w:color w:val="auto"/>
        </w:rPr>
      </w:pPr>
    </w:p>
    <w:p>
      <w:pPr>
        <w:ind w:left="1780" w:hanging="448"/>
        <w:spacing w:after="0"/>
        <w:tabs>
          <w:tab w:leader="none" w:pos="1780" w:val="left"/>
        </w:tabs>
        <w:numPr>
          <w:ilvl w:val="1"/>
          <w:numId w:val="94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Deployment of funds:</w:t>
      </w:r>
    </w:p>
    <w:p>
      <w:pPr>
        <w:spacing w:after="0" w:line="345" w:lineRule="exact"/>
        <w:rPr>
          <w:rFonts w:ascii="Times New Roman" w:cs="Times New Roman" w:eastAsia="Times New Roman" w:hAnsi="Times New Roman"/>
          <w:sz w:val="24"/>
          <w:szCs w:val="24"/>
          <w:b w:val="1"/>
          <w:bCs w:val="1"/>
          <w:color w:val="auto"/>
        </w:rPr>
      </w:pPr>
    </w:p>
    <w:p>
      <w:pPr>
        <w:jc w:val="both"/>
        <w:ind w:left="2280" w:right="564" w:hanging="508"/>
        <w:spacing w:after="0" w:line="357" w:lineRule="auto"/>
        <w:tabs>
          <w:tab w:leader="none" w:pos="2280" w:val="left"/>
        </w:tabs>
        <w:numPr>
          <w:ilvl w:val="2"/>
          <w:numId w:val="94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the sources of funds and the deployment of these funds on the project (where the issuer is raising capital for a project), up to a date not earlier than two months from the date of filing the letter of offer with the designated stock exchange, as certified by a Chartered Accountant, along with the name of the chartered accountant and the date of the certificate.</w:t>
      </w:r>
    </w:p>
    <w:p>
      <w:pPr>
        <w:spacing w:after="0" w:line="220" w:lineRule="exact"/>
        <w:rPr>
          <w:rFonts w:ascii="Times New Roman" w:cs="Times New Roman" w:eastAsia="Times New Roman" w:hAnsi="Times New Roman"/>
          <w:sz w:val="24"/>
          <w:szCs w:val="24"/>
          <w:color w:val="auto"/>
        </w:rPr>
      </w:pPr>
    </w:p>
    <w:p>
      <w:pPr>
        <w:jc w:val="both"/>
        <w:ind w:left="2280" w:right="564" w:hanging="508"/>
        <w:spacing w:after="0" w:line="357" w:lineRule="auto"/>
        <w:tabs>
          <w:tab w:leader="none" w:pos="2280" w:val="left"/>
        </w:tabs>
        <w:numPr>
          <w:ilvl w:val="2"/>
          <w:numId w:val="94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Where share application money brought in advance by the promoters is deployed in the project and the same is being adjusted towards their rights entitlement in the rights issue, the extent of deployment and utilisation of the funds brought in by the promoters.</w:t>
      </w:r>
    </w:p>
    <w:p>
      <w:pPr>
        <w:spacing w:after="0" w:line="217" w:lineRule="exact"/>
        <w:rPr>
          <w:rFonts w:ascii="Times New Roman" w:cs="Times New Roman" w:eastAsia="Times New Roman" w:hAnsi="Times New Roman"/>
          <w:sz w:val="24"/>
          <w:szCs w:val="24"/>
          <w:color w:val="auto"/>
        </w:rPr>
      </w:pPr>
    </w:p>
    <w:p>
      <w:pPr>
        <w:jc w:val="both"/>
        <w:ind w:left="1780" w:right="564" w:hanging="512"/>
        <w:spacing w:after="0" w:line="354" w:lineRule="auto"/>
        <w:tabs>
          <w:tab w:leader="none" w:pos="1782" w:val="left"/>
        </w:tabs>
        <w:numPr>
          <w:ilvl w:val="0"/>
          <w:numId w:val="947"/>
        </w:numPr>
        <w:rPr>
          <w:rFonts w:ascii="Arial" w:cs="Arial" w:eastAsia="Arial" w:hAnsi="Arial"/>
          <w:sz w:val="22"/>
          <w:szCs w:val="22"/>
          <w:color w:val="auto"/>
        </w:rPr>
      </w:pPr>
      <w:r>
        <w:rPr>
          <w:rFonts w:ascii="Times New Roman" w:cs="Times New Roman" w:eastAsia="Times New Roman" w:hAnsi="Times New Roman"/>
          <w:sz w:val="24"/>
          <w:szCs w:val="24"/>
          <w:b w:val="1"/>
          <w:bCs w:val="1"/>
          <w:color w:val="auto"/>
        </w:rPr>
        <w:t xml:space="preserve">Sources of financing of funds already deployed: </w:t>
      </w:r>
      <w:r>
        <w:rPr>
          <w:rFonts w:ascii="Times New Roman" w:cs="Times New Roman" w:eastAsia="Times New Roman" w:hAnsi="Times New Roman"/>
          <w:sz w:val="24"/>
          <w:szCs w:val="24"/>
          <w:color w:val="auto"/>
        </w:rPr>
        <w:t>Means and source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of financing, including details of "bridge loan" or other financial arrangement, which may be repaid from the proceeds of the issue.</w:t>
      </w:r>
    </w:p>
    <w:p>
      <w:pPr>
        <w:spacing w:after="0" w:line="219" w:lineRule="exact"/>
        <w:rPr>
          <w:rFonts w:ascii="Arial" w:cs="Arial" w:eastAsia="Arial" w:hAnsi="Arial"/>
          <w:sz w:val="22"/>
          <w:szCs w:val="22"/>
          <w:color w:val="auto"/>
        </w:rPr>
      </w:pPr>
    </w:p>
    <w:p>
      <w:pPr>
        <w:ind w:left="1780" w:right="564" w:hanging="512"/>
        <w:spacing w:after="0" w:line="350" w:lineRule="auto"/>
        <w:tabs>
          <w:tab w:leader="none" w:pos="1782" w:val="left"/>
        </w:tabs>
        <w:numPr>
          <w:ilvl w:val="0"/>
          <w:numId w:val="947"/>
        </w:numPr>
        <w:rPr>
          <w:rFonts w:ascii="Arial" w:cs="Arial" w:eastAsia="Arial" w:hAnsi="Arial"/>
          <w:sz w:val="22"/>
          <w:szCs w:val="22"/>
          <w:color w:val="auto"/>
        </w:rPr>
      </w:pPr>
      <w:r>
        <w:rPr>
          <w:rFonts w:ascii="Times New Roman" w:cs="Times New Roman" w:eastAsia="Times New Roman" w:hAnsi="Times New Roman"/>
          <w:sz w:val="24"/>
          <w:szCs w:val="24"/>
          <w:b w:val="1"/>
          <w:bCs w:val="1"/>
          <w:color w:val="auto"/>
        </w:rPr>
        <w:t xml:space="preserve">Details of balance fund deployment: </w:t>
      </w:r>
      <w:r>
        <w:rPr>
          <w:rFonts w:ascii="Times New Roman" w:cs="Times New Roman" w:eastAsia="Times New Roman" w:hAnsi="Times New Roman"/>
          <w:sz w:val="24"/>
          <w:szCs w:val="24"/>
          <w:color w:val="auto"/>
        </w:rPr>
        <w:t>Year wise break-up of the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expenditure proposed to be incurred on the said project.</w:t>
      </w:r>
    </w:p>
    <w:p>
      <w:pPr>
        <w:spacing w:after="0" w:line="224" w:lineRule="exact"/>
        <w:rPr>
          <w:rFonts w:ascii="Arial" w:cs="Arial" w:eastAsia="Arial" w:hAnsi="Arial"/>
          <w:sz w:val="22"/>
          <w:szCs w:val="22"/>
          <w:color w:val="auto"/>
        </w:rPr>
      </w:pPr>
    </w:p>
    <w:p>
      <w:pPr>
        <w:jc w:val="both"/>
        <w:ind w:left="1780" w:right="564" w:hanging="512"/>
        <w:spacing w:after="0" w:line="354" w:lineRule="auto"/>
        <w:tabs>
          <w:tab w:leader="none" w:pos="1782" w:val="left"/>
        </w:tabs>
        <w:numPr>
          <w:ilvl w:val="0"/>
          <w:numId w:val="947"/>
        </w:numPr>
        <w:rPr>
          <w:rFonts w:ascii="Arial" w:cs="Arial" w:eastAsia="Arial" w:hAnsi="Arial"/>
          <w:sz w:val="22"/>
          <w:szCs w:val="22"/>
          <w:color w:val="auto"/>
        </w:rPr>
      </w:pPr>
      <w:r>
        <w:rPr>
          <w:rFonts w:ascii="Times New Roman" w:cs="Times New Roman" w:eastAsia="Times New Roman" w:hAnsi="Times New Roman"/>
          <w:sz w:val="24"/>
          <w:szCs w:val="24"/>
          <w:b w:val="1"/>
          <w:bCs w:val="1"/>
          <w:color w:val="auto"/>
        </w:rPr>
        <w:t xml:space="preserve">Interim use of funds: </w:t>
      </w:r>
      <w:r>
        <w:rPr>
          <w:rFonts w:ascii="Times New Roman" w:cs="Times New Roman" w:eastAsia="Times New Roman" w:hAnsi="Times New Roman"/>
          <w:sz w:val="24"/>
          <w:szCs w:val="24"/>
          <w:color w:val="auto"/>
        </w:rPr>
        <w:t>A statement that net issue proceeds pending</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utilization (for the stated objects) shall be deposited only in the scheduled commercial banks.</w:t>
      </w:r>
    </w:p>
    <w:p>
      <w:pPr>
        <w:spacing w:after="0" w:line="221" w:lineRule="exact"/>
        <w:rPr>
          <w:rFonts w:ascii="Arial" w:cs="Arial" w:eastAsia="Arial" w:hAnsi="Arial"/>
          <w:sz w:val="22"/>
          <w:szCs w:val="22"/>
          <w:color w:val="auto"/>
        </w:rPr>
      </w:pPr>
    </w:p>
    <w:p>
      <w:pPr>
        <w:jc w:val="both"/>
        <w:ind w:left="1780" w:right="564" w:hanging="512"/>
        <w:spacing w:after="0" w:line="348" w:lineRule="auto"/>
        <w:tabs>
          <w:tab w:leader="none" w:pos="1782" w:val="left"/>
        </w:tabs>
        <w:numPr>
          <w:ilvl w:val="0"/>
          <w:numId w:val="947"/>
        </w:numPr>
        <w:rPr>
          <w:rFonts w:ascii="Arial" w:cs="Arial" w:eastAsia="Arial" w:hAnsi="Arial"/>
          <w:sz w:val="22"/>
          <w:szCs w:val="22"/>
          <w:color w:val="auto"/>
        </w:rPr>
      </w:pPr>
      <w:r>
        <w:rPr>
          <w:rFonts w:ascii="Times New Roman" w:cs="Times New Roman" w:eastAsia="Times New Roman" w:hAnsi="Times New Roman"/>
          <w:sz w:val="24"/>
          <w:szCs w:val="24"/>
          <w:b w:val="1"/>
          <w:bCs w:val="1"/>
          <w:color w:val="auto"/>
        </w:rPr>
        <w:t xml:space="preserve">Expenses of the issue: </w:t>
      </w:r>
      <w:r>
        <w:rPr>
          <w:rFonts w:ascii="Times New Roman" w:cs="Times New Roman" w:eastAsia="Times New Roman" w:hAnsi="Times New Roman"/>
          <w:sz w:val="24"/>
          <w:szCs w:val="24"/>
          <w:color w:val="auto"/>
        </w:rPr>
        <w:t>Expenses of the issue (in terms of amount, as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 percentage of total issue expenses and as a percentage of total issue</w:t>
      </w:r>
    </w:p>
    <w:p>
      <w:pPr>
        <w:spacing w:after="0" w:line="200" w:lineRule="exact"/>
        <w:rPr>
          <w:sz w:val="20"/>
          <w:szCs w:val="20"/>
          <w:color w:val="auto"/>
        </w:rPr>
      </w:pPr>
    </w:p>
    <w:p>
      <w:pPr>
        <w:spacing w:after="0" w:line="341" w:lineRule="exact"/>
        <w:rPr>
          <w:sz w:val="20"/>
          <w:szCs w:val="20"/>
          <w:color w:val="auto"/>
        </w:rPr>
      </w:pPr>
    </w:p>
    <w:p>
      <w:pPr>
        <w:jc w:val="center"/>
        <w:ind w:right="144"/>
        <w:spacing w:after="0"/>
        <w:rPr>
          <w:sz w:val="20"/>
          <w:szCs w:val="20"/>
          <w:color w:val="auto"/>
        </w:rPr>
      </w:pPr>
      <w:r>
        <w:rPr>
          <w:rFonts w:ascii="Times New Roman" w:cs="Times New Roman" w:eastAsia="Times New Roman" w:hAnsi="Times New Roman"/>
          <w:sz w:val="24"/>
          <w:szCs w:val="24"/>
          <w:color w:val="auto"/>
        </w:rPr>
        <w:t>276</w:t>
      </w:r>
    </w:p>
    <w:p>
      <w:pPr>
        <w:sectPr>
          <w:pgSz w:w="11900" w:h="16836" w:orient="portrait"/>
          <w:cols w:equalWidth="0" w:num="1">
            <w:col w:w="9024"/>
          </w:cols>
          <w:pgMar w:left="1440" w:top="1144" w:right="1440" w:bottom="103" w:gutter="0" w:footer="0" w:header="0"/>
        </w:sectPr>
      </w:pPr>
    </w:p>
    <w:bookmarkStart w:id="276" w:name="page277"/>
    <w:bookmarkEnd w:id="276"/>
    <w:p>
      <w:pPr>
        <w:ind w:left="1780"/>
        <w:spacing w:after="0"/>
        <w:rPr>
          <w:sz w:val="20"/>
          <w:szCs w:val="20"/>
          <w:color w:val="auto"/>
        </w:rPr>
      </w:pPr>
      <w:r>
        <w:rPr>
          <w:rFonts w:ascii="Times New Roman" w:cs="Times New Roman" w:eastAsia="Times New Roman" w:hAnsi="Times New Roman"/>
          <w:sz w:val="24"/>
          <w:szCs w:val="24"/>
          <w:color w:val="auto"/>
        </w:rPr>
        <w:t>size) under the following heads:</w:t>
      </w:r>
    </w:p>
    <w:p>
      <w:pPr>
        <w:spacing w:after="0" w:line="339" w:lineRule="exact"/>
        <w:rPr>
          <w:sz w:val="20"/>
          <w:szCs w:val="20"/>
          <w:color w:val="auto"/>
        </w:rPr>
      </w:pPr>
    </w:p>
    <w:p>
      <w:pPr>
        <w:ind w:left="2720" w:hanging="441"/>
        <w:spacing w:after="0"/>
        <w:tabs>
          <w:tab w:leader="none" w:pos="2720" w:val="left"/>
        </w:tabs>
        <w:numPr>
          <w:ilvl w:val="1"/>
          <w:numId w:val="94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Lead manager(s) fees including underwriting commission</w:t>
      </w:r>
    </w:p>
    <w:p>
      <w:pPr>
        <w:spacing w:after="0" w:line="338" w:lineRule="exact"/>
        <w:rPr>
          <w:rFonts w:ascii="Times New Roman" w:cs="Times New Roman" w:eastAsia="Times New Roman" w:hAnsi="Times New Roman"/>
          <w:sz w:val="24"/>
          <w:szCs w:val="24"/>
          <w:color w:val="auto"/>
        </w:rPr>
      </w:pPr>
    </w:p>
    <w:p>
      <w:pPr>
        <w:ind w:left="2720" w:hanging="441"/>
        <w:spacing w:after="0"/>
        <w:tabs>
          <w:tab w:leader="none" w:pos="2720" w:val="left"/>
        </w:tabs>
        <w:numPr>
          <w:ilvl w:val="1"/>
          <w:numId w:val="94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Brokerage, selling commission and upload fees</w:t>
      </w:r>
    </w:p>
    <w:p>
      <w:pPr>
        <w:spacing w:after="0" w:line="336" w:lineRule="exact"/>
        <w:rPr>
          <w:rFonts w:ascii="Times New Roman" w:cs="Times New Roman" w:eastAsia="Times New Roman" w:hAnsi="Times New Roman"/>
          <w:sz w:val="24"/>
          <w:szCs w:val="24"/>
          <w:color w:val="auto"/>
        </w:rPr>
      </w:pPr>
    </w:p>
    <w:p>
      <w:pPr>
        <w:ind w:left="2720" w:hanging="441"/>
        <w:spacing w:after="0"/>
        <w:tabs>
          <w:tab w:leader="none" w:pos="2720" w:val="left"/>
        </w:tabs>
        <w:numPr>
          <w:ilvl w:val="1"/>
          <w:numId w:val="94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Registrars to the issue</w:t>
      </w:r>
    </w:p>
    <w:p>
      <w:pPr>
        <w:spacing w:after="0" w:line="338" w:lineRule="exact"/>
        <w:rPr>
          <w:rFonts w:ascii="Times New Roman" w:cs="Times New Roman" w:eastAsia="Times New Roman" w:hAnsi="Times New Roman"/>
          <w:sz w:val="24"/>
          <w:szCs w:val="24"/>
          <w:color w:val="auto"/>
        </w:rPr>
      </w:pPr>
    </w:p>
    <w:p>
      <w:pPr>
        <w:ind w:left="2720" w:hanging="441"/>
        <w:spacing w:after="0"/>
        <w:tabs>
          <w:tab w:leader="none" w:pos="2720" w:val="left"/>
        </w:tabs>
        <w:numPr>
          <w:ilvl w:val="1"/>
          <w:numId w:val="94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Legal Advisors</w:t>
      </w:r>
    </w:p>
    <w:p>
      <w:pPr>
        <w:spacing w:after="0" w:line="338" w:lineRule="exact"/>
        <w:rPr>
          <w:rFonts w:ascii="Times New Roman" w:cs="Times New Roman" w:eastAsia="Times New Roman" w:hAnsi="Times New Roman"/>
          <w:sz w:val="24"/>
          <w:szCs w:val="24"/>
          <w:color w:val="auto"/>
        </w:rPr>
      </w:pPr>
    </w:p>
    <w:p>
      <w:pPr>
        <w:ind w:left="2720" w:hanging="441"/>
        <w:spacing w:after="0"/>
        <w:tabs>
          <w:tab w:leader="none" w:pos="2720" w:val="left"/>
        </w:tabs>
        <w:numPr>
          <w:ilvl w:val="1"/>
          <w:numId w:val="94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Advertising and marketing expenses</w:t>
      </w:r>
    </w:p>
    <w:p>
      <w:pPr>
        <w:spacing w:after="0" w:line="339" w:lineRule="exact"/>
        <w:rPr>
          <w:rFonts w:ascii="Times New Roman" w:cs="Times New Roman" w:eastAsia="Times New Roman" w:hAnsi="Times New Roman"/>
          <w:sz w:val="24"/>
          <w:szCs w:val="24"/>
          <w:color w:val="auto"/>
        </w:rPr>
      </w:pPr>
    </w:p>
    <w:p>
      <w:pPr>
        <w:ind w:left="2720" w:hanging="441"/>
        <w:spacing w:after="0"/>
        <w:tabs>
          <w:tab w:leader="none" w:pos="2720" w:val="left"/>
        </w:tabs>
        <w:numPr>
          <w:ilvl w:val="1"/>
          <w:numId w:val="94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Regulators including stock exchanges</w:t>
      </w:r>
    </w:p>
    <w:p>
      <w:pPr>
        <w:spacing w:after="0" w:line="338" w:lineRule="exact"/>
        <w:rPr>
          <w:rFonts w:ascii="Times New Roman" w:cs="Times New Roman" w:eastAsia="Times New Roman" w:hAnsi="Times New Roman"/>
          <w:sz w:val="24"/>
          <w:szCs w:val="24"/>
          <w:color w:val="auto"/>
        </w:rPr>
      </w:pPr>
    </w:p>
    <w:p>
      <w:pPr>
        <w:ind w:left="2720" w:hanging="441"/>
        <w:spacing w:after="0"/>
        <w:tabs>
          <w:tab w:leader="none" w:pos="2720" w:val="left"/>
        </w:tabs>
        <w:numPr>
          <w:ilvl w:val="1"/>
          <w:numId w:val="94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Printing and distribution of issue stationary</w:t>
      </w:r>
    </w:p>
    <w:p>
      <w:pPr>
        <w:spacing w:after="0" w:line="338" w:lineRule="exact"/>
        <w:rPr>
          <w:rFonts w:ascii="Times New Roman" w:cs="Times New Roman" w:eastAsia="Times New Roman" w:hAnsi="Times New Roman"/>
          <w:sz w:val="24"/>
          <w:szCs w:val="24"/>
          <w:color w:val="auto"/>
        </w:rPr>
      </w:pPr>
    </w:p>
    <w:p>
      <w:pPr>
        <w:ind w:left="2720" w:hanging="441"/>
        <w:spacing w:after="0"/>
        <w:tabs>
          <w:tab w:leader="none" w:pos="2720" w:val="left"/>
        </w:tabs>
        <w:numPr>
          <w:ilvl w:val="1"/>
          <w:numId w:val="94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Others, if any (to be specified).</w:t>
      </w:r>
    </w:p>
    <w:p>
      <w:pPr>
        <w:spacing w:after="0" w:line="348" w:lineRule="exact"/>
        <w:rPr>
          <w:rFonts w:ascii="Times New Roman" w:cs="Times New Roman" w:eastAsia="Times New Roman" w:hAnsi="Times New Roman"/>
          <w:sz w:val="24"/>
          <w:szCs w:val="24"/>
          <w:color w:val="auto"/>
        </w:rPr>
      </w:pPr>
    </w:p>
    <w:p>
      <w:pPr>
        <w:jc w:val="both"/>
        <w:ind w:left="1780" w:right="720" w:hanging="512"/>
        <w:spacing w:after="0" w:line="356" w:lineRule="auto"/>
        <w:tabs>
          <w:tab w:leader="none" w:pos="1782" w:val="left"/>
        </w:tabs>
        <w:numPr>
          <w:ilvl w:val="0"/>
          <w:numId w:val="949"/>
        </w:numPr>
        <w:rPr>
          <w:rFonts w:ascii="Arial" w:cs="Arial" w:eastAsia="Arial" w:hAnsi="Arial"/>
          <w:sz w:val="22"/>
          <w:szCs w:val="22"/>
          <w:color w:val="auto"/>
        </w:rPr>
      </w:pPr>
      <w:r>
        <w:rPr>
          <w:rFonts w:ascii="Times New Roman" w:cs="Times New Roman" w:eastAsia="Times New Roman" w:hAnsi="Times New Roman"/>
          <w:sz w:val="24"/>
          <w:szCs w:val="24"/>
          <w:color w:val="auto"/>
        </w:rPr>
        <w:t>Any special tax benefits for the issuer and its shareholders and its material subsidiaries identified in accordance with the Securities and Exchange Board of India (Listing Obligations and Disclosure Requirements) Regulations, 2015.</w:t>
      </w:r>
    </w:p>
    <w:p>
      <w:pPr>
        <w:spacing w:after="0" w:line="220" w:lineRule="exact"/>
        <w:rPr>
          <w:rFonts w:ascii="Arial" w:cs="Arial" w:eastAsia="Arial" w:hAnsi="Arial"/>
          <w:sz w:val="22"/>
          <w:szCs w:val="22"/>
          <w:color w:val="auto"/>
        </w:rPr>
      </w:pPr>
    </w:p>
    <w:p>
      <w:pPr>
        <w:ind w:left="1780" w:right="720" w:hanging="512"/>
        <w:spacing w:after="0" w:line="348" w:lineRule="auto"/>
        <w:tabs>
          <w:tab w:leader="none" w:pos="1782" w:val="left"/>
        </w:tabs>
        <w:numPr>
          <w:ilvl w:val="0"/>
          <w:numId w:val="949"/>
        </w:numPr>
        <w:rPr>
          <w:rFonts w:ascii="Arial" w:cs="Arial" w:eastAsia="Arial" w:hAnsi="Arial"/>
          <w:sz w:val="22"/>
          <w:szCs w:val="22"/>
          <w:color w:val="auto"/>
        </w:rPr>
      </w:pPr>
      <w:r>
        <w:rPr>
          <w:rFonts w:ascii="Times New Roman" w:cs="Times New Roman" w:eastAsia="Times New Roman" w:hAnsi="Times New Roman"/>
          <w:sz w:val="24"/>
          <w:szCs w:val="24"/>
          <w:color w:val="auto"/>
        </w:rPr>
        <w:t>Key Industry Regulations for the proposed objects of the issue (if different from existing business of the issuer).</w:t>
      </w:r>
    </w:p>
    <w:p>
      <w:pPr>
        <w:spacing w:after="0" w:line="226" w:lineRule="exact"/>
        <w:rPr>
          <w:rFonts w:ascii="Arial" w:cs="Arial" w:eastAsia="Arial" w:hAnsi="Arial"/>
          <w:sz w:val="22"/>
          <w:szCs w:val="22"/>
          <w:color w:val="auto"/>
        </w:rPr>
      </w:pPr>
    </w:p>
    <w:p>
      <w:pPr>
        <w:ind w:left="1780" w:right="720" w:hanging="512"/>
        <w:spacing w:after="0" w:line="348" w:lineRule="auto"/>
        <w:tabs>
          <w:tab w:leader="none" w:pos="1782" w:val="left"/>
        </w:tabs>
        <w:numPr>
          <w:ilvl w:val="0"/>
          <w:numId w:val="949"/>
        </w:numPr>
        <w:rPr>
          <w:rFonts w:ascii="Arial" w:cs="Arial" w:eastAsia="Arial" w:hAnsi="Arial"/>
          <w:sz w:val="22"/>
          <w:szCs w:val="22"/>
          <w:color w:val="auto"/>
        </w:rPr>
      </w:pPr>
      <w:r>
        <w:rPr>
          <w:rFonts w:ascii="Times New Roman" w:cs="Times New Roman" w:eastAsia="Times New Roman" w:hAnsi="Times New Roman"/>
          <w:sz w:val="24"/>
          <w:szCs w:val="24"/>
          <w:color w:val="auto"/>
        </w:rPr>
        <w:t>Interest of promoters, promoter group and directors, as applicable to the project or objects of the issue.</w:t>
      </w:r>
    </w:p>
    <w:p>
      <w:pPr>
        <w:sectPr>
          <w:pgSz w:w="11900" w:h="16836" w:orient="portrait"/>
          <w:cols w:equalWidth="0" w:num="1">
            <w:col w:w="9180"/>
          </w:cols>
          <w:pgMar w:left="1440" w:top="1144" w:right="1284" w:bottom="103" w:gutter="0" w:footer="0" w:header="0"/>
        </w:sectPr>
      </w:pPr>
    </w:p>
    <w:p>
      <w:pPr>
        <w:spacing w:after="0" w:line="226"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3"/>
          <w:szCs w:val="23"/>
          <w:b w:val="1"/>
          <w:bCs w:val="1"/>
          <w:color w:val="auto"/>
        </w:rPr>
        <w:t>(IX)</w:t>
      </w:r>
    </w:p>
    <w:p>
      <w:pPr>
        <w:spacing w:after="0" w:line="20" w:lineRule="exact"/>
        <w:rPr>
          <w:sz w:val="20"/>
          <w:szCs w:val="20"/>
          <w:color w:val="auto"/>
        </w:rPr>
      </w:pPr>
      <w:r>
        <w:rPr>
          <w:sz w:val="20"/>
          <w:szCs w:val="20"/>
          <w:color w:val="auto"/>
        </w:rPr>
        <w:br w:type="column"/>
      </w:r>
    </w:p>
    <w:p>
      <w:pPr>
        <w:spacing w:after="0" w:line="207" w:lineRule="exact"/>
        <w:rPr>
          <w:sz w:val="20"/>
          <w:szCs w:val="20"/>
          <w:color w:val="auto"/>
        </w:rPr>
      </w:pPr>
    </w:p>
    <w:p>
      <w:pPr>
        <w:jc w:val="both"/>
        <w:ind w:firstLine="43"/>
        <w:spacing w:after="0" w:line="358" w:lineRule="auto"/>
        <w:rPr>
          <w:sz w:val="20"/>
          <w:szCs w:val="20"/>
          <w:color w:val="auto"/>
        </w:rPr>
      </w:pPr>
      <w:r>
        <w:rPr>
          <w:rFonts w:ascii="Times New Roman" w:cs="Times New Roman" w:eastAsia="Times New Roman" w:hAnsi="Times New Roman"/>
          <w:sz w:val="24"/>
          <w:szCs w:val="24"/>
          <w:b w:val="1"/>
          <w:bCs w:val="1"/>
          <w:color w:val="auto"/>
        </w:rPr>
        <w:t xml:space="preserve">Details of Business: </w:t>
      </w:r>
      <w:r>
        <w:rPr>
          <w:rFonts w:ascii="Times New Roman" w:cs="Times New Roman" w:eastAsia="Times New Roman" w:hAnsi="Times New Roman"/>
          <w:sz w:val="24"/>
          <w:szCs w:val="24"/>
          <w:color w:val="auto"/>
        </w:rPr>
        <w:t>Description of the industry and nature of the company’s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operations and its principal activities, including the main categories of products sold and/or services performed, end-users of the issuer’s products and/or services, plant, machinery, technology, process, principal markets in which the issuer competes, approach to marketing, business strategy and productive capacity and extent of utilization of the issuer’s facilities.</w:t>
      </w:r>
    </w:p>
    <w:p>
      <w:pPr>
        <w:spacing w:after="0" w:line="200" w:lineRule="exact"/>
        <w:rPr>
          <w:sz w:val="20"/>
          <w:szCs w:val="20"/>
          <w:color w:val="auto"/>
        </w:rPr>
      </w:pPr>
    </w:p>
    <w:p>
      <w:pPr>
        <w:sectPr>
          <w:pgSz w:w="11900" w:h="16836" w:orient="portrait"/>
          <w:cols w:equalWidth="0" w:num="2">
            <w:col w:w="860" w:space="360"/>
            <w:col w:w="7960"/>
          </w:cols>
          <w:pgMar w:left="1440" w:top="1144" w:right="1284" w:bottom="103" w:gutter="0" w:footer="0" w:header="0"/>
          <w:type w:val="continuous"/>
        </w:sectPr>
      </w:pPr>
    </w:p>
    <w:p>
      <w:pPr>
        <w:spacing w:after="0" w:line="19" w:lineRule="exact"/>
        <w:rPr>
          <w:sz w:val="20"/>
          <w:szCs w:val="20"/>
          <w:color w:val="auto"/>
        </w:rPr>
      </w:pPr>
    </w:p>
    <w:p>
      <w:pPr>
        <w:ind w:left="1220" w:hanging="788"/>
        <w:spacing w:after="0" w:line="350" w:lineRule="auto"/>
        <w:tabs>
          <w:tab w:leader="none" w:pos="1263" w:val="left"/>
        </w:tabs>
        <w:numPr>
          <w:ilvl w:val="0"/>
          <w:numId w:val="95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Management (Board of Directors and Senior Management) and Organisational Structure:</w:t>
      </w:r>
    </w:p>
    <w:p>
      <w:pPr>
        <w:spacing w:after="0" w:line="220" w:lineRule="exact"/>
        <w:rPr>
          <w:rFonts w:ascii="Times New Roman" w:cs="Times New Roman" w:eastAsia="Times New Roman" w:hAnsi="Times New Roman"/>
          <w:sz w:val="24"/>
          <w:szCs w:val="24"/>
          <w:b w:val="1"/>
          <w:bCs w:val="1"/>
          <w:color w:val="auto"/>
        </w:rPr>
      </w:pPr>
    </w:p>
    <w:p>
      <w:pPr>
        <w:jc w:val="both"/>
        <w:ind w:left="1780" w:right="720" w:hanging="512"/>
        <w:spacing w:after="0" w:line="354" w:lineRule="auto"/>
        <w:tabs>
          <w:tab w:leader="none" w:pos="1782" w:val="left"/>
        </w:tabs>
        <w:numPr>
          <w:ilvl w:val="1"/>
          <w:numId w:val="95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Name, date of birth, age, Director Identification Number, address, occupation and date of expiration of the current term of office of manager, managing director and other directors (including nominee</w:t>
      </w:r>
    </w:p>
    <w:p>
      <w:pPr>
        <w:spacing w:after="0" w:line="363"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277</w:t>
      </w:r>
    </w:p>
    <w:p>
      <w:pPr>
        <w:sectPr>
          <w:pgSz w:w="11900" w:h="16836" w:orient="portrait"/>
          <w:cols w:equalWidth="0" w:num="1">
            <w:col w:w="9180"/>
          </w:cols>
          <w:pgMar w:left="1440" w:top="1144" w:right="1284" w:bottom="103" w:gutter="0" w:footer="0" w:header="0"/>
          <w:type w:val="continuous"/>
        </w:sectPr>
      </w:pPr>
    </w:p>
    <w:bookmarkStart w:id="277" w:name="page278"/>
    <w:bookmarkEnd w:id="277"/>
    <w:p>
      <w:pPr>
        <w:ind w:left="1780" w:right="720"/>
        <w:spacing w:after="0" w:line="348" w:lineRule="auto"/>
        <w:rPr>
          <w:sz w:val="20"/>
          <w:szCs w:val="20"/>
          <w:color w:val="auto"/>
        </w:rPr>
      </w:pPr>
      <w:r>
        <w:rPr>
          <w:rFonts w:ascii="Times New Roman" w:cs="Times New Roman" w:eastAsia="Times New Roman" w:hAnsi="Times New Roman"/>
          <w:sz w:val="24"/>
          <w:szCs w:val="24"/>
          <w:color w:val="auto"/>
        </w:rPr>
        <w:t>directors and whole-time directors), period of directorships and directorships in other companies.</w:t>
      </w:r>
    </w:p>
    <w:p>
      <w:pPr>
        <w:spacing w:after="0" w:line="227" w:lineRule="exact"/>
        <w:rPr>
          <w:sz w:val="20"/>
          <w:szCs w:val="20"/>
          <w:color w:val="auto"/>
        </w:rPr>
      </w:pPr>
    </w:p>
    <w:p>
      <w:pPr>
        <w:jc w:val="both"/>
        <w:ind w:left="1780" w:right="720" w:hanging="376"/>
        <w:spacing w:after="0" w:line="356" w:lineRule="auto"/>
        <w:tabs>
          <w:tab w:leader="none" w:pos="2150" w:val="left"/>
        </w:tabs>
        <w:numPr>
          <w:ilvl w:val="0"/>
          <w:numId w:val="95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For each person, details of current and past directorship(s) for a period of five years in listed companies whose shares have been/were suspended from being traded on any of the stock exchanges, during his/her tenure, as follows:</w:t>
      </w:r>
    </w:p>
    <w:p>
      <w:pPr>
        <w:spacing w:after="0" w:line="206" w:lineRule="exact"/>
        <w:rPr>
          <w:rFonts w:ascii="Times New Roman" w:cs="Times New Roman" w:eastAsia="Times New Roman" w:hAnsi="Times New Roman"/>
          <w:sz w:val="24"/>
          <w:szCs w:val="24"/>
          <w:color w:val="auto"/>
        </w:rPr>
      </w:pPr>
    </w:p>
    <w:p>
      <w:pPr>
        <w:ind w:left="2200" w:hanging="356"/>
        <w:spacing w:after="0"/>
        <w:tabs>
          <w:tab w:leader="none" w:pos="2200" w:val="left"/>
        </w:tabs>
        <w:numPr>
          <w:ilvl w:val="1"/>
          <w:numId w:val="951"/>
        </w:numPr>
        <w:rPr>
          <w:rFonts w:ascii="Symbol" w:cs="Symbol" w:eastAsia="Symbol" w:hAnsi="Symbol"/>
          <w:sz w:val="24"/>
          <w:szCs w:val="24"/>
          <w:color w:val="auto"/>
        </w:rPr>
      </w:pPr>
      <w:r>
        <w:rPr>
          <w:rFonts w:ascii="Times New Roman" w:cs="Times New Roman" w:eastAsia="Times New Roman" w:hAnsi="Times New Roman"/>
          <w:sz w:val="24"/>
          <w:szCs w:val="24"/>
          <w:color w:val="auto"/>
        </w:rPr>
        <w:t>Name of the Company:</w:t>
      </w:r>
    </w:p>
    <w:p>
      <w:pPr>
        <w:spacing w:after="0" w:line="337" w:lineRule="exact"/>
        <w:rPr>
          <w:rFonts w:ascii="Symbol" w:cs="Symbol" w:eastAsia="Symbol" w:hAnsi="Symbol"/>
          <w:sz w:val="24"/>
          <w:szCs w:val="24"/>
          <w:color w:val="auto"/>
        </w:rPr>
      </w:pPr>
    </w:p>
    <w:p>
      <w:pPr>
        <w:ind w:left="2200" w:hanging="356"/>
        <w:spacing w:after="0"/>
        <w:tabs>
          <w:tab w:leader="none" w:pos="2200" w:val="left"/>
        </w:tabs>
        <w:numPr>
          <w:ilvl w:val="1"/>
          <w:numId w:val="951"/>
        </w:numPr>
        <w:rPr>
          <w:rFonts w:ascii="Symbol" w:cs="Symbol" w:eastAsia="Symbol" w:hAnsi="Symbol"/>
          <w:sz w:val="24"/>
          <w:szCs w:val="24"/>
          <w:color w:val="auto"/>
        </w:rPr>
      </w:pPr>
      <w:r>
        <w:rPr>
          <w:rFonts w:ascii="Times New Roman" w:cs="Times New Roman" w:eastAsia="Times New Roman" w:hAnsi="Times New Roman"/>
          <w:sz w:val="24"/>
          <w:szCs w:val="24"/>
          <w:color w:val="auto"/>
        </w:rPr>
        <w:t>Listed on [give name of the stock exchange(s)</w:t>
      </w:r>
    </w:p>
    <w:p>
      <w:pPr>
        <w:spacing w:after="0" w:line="337" w:lineRule="exact"/>
        <w:rPr>
          <w:rFonts w:ascii="Symbol" w:cs="Symbol" w:eastAsia="Symbol" w:hAnsi="Symbol"/>
          <w:sz w:val="24"/>
          <w:szCs w:val="24"/>
          <w:color w:val="auto"/>
        </w:rPr>
      </w:pPr>
    </w:p>
    <w:p>
      <w:pPr>
        <w:ind w:left="2200" w:hanging="356"/>
        <w:spacing w:after="0"/>
        <w:tabs>
          <w:tab w:leader="none" w:pos="2200" w:val="left"/>
        </w:tabs>
        <w:numPr>
          <w:ilvl w:val="1"/>
          <w:numId w:val="951"/>
        </w:numPr>
        <w:rPr>
          <w:rFonts w:ascii="Symbol" w:cs="Symbol" w:eastAsia="Symbol" w:hAnsi="Symbol"/>
          <w:sz w:val="24"/>
          <w:szCs w:val="24"/>
          <w:color w:val="auto"/>
        </w:rPr>
      </w:pPr>
      <w:r>
        <w:rPr>
          <w:rFonts w:ascii="Times New Roman" w:cs="Times New Roman" w:eastAsia="Times New Roman" w:hAnsi="Times New Roman"/>
          <w:sz w:val="24"/>
          <w:szCs w:val="24"/>
          <w:color w:val="auto"/>
        </w:rPr>
        <w:t>Date of suspension on the stock exchanges:</w:t>
      </w:r>
    </w:p>
    <w:p>
      <w:pPr>
        <w:spacing w:after="0" w:line="367" w:lineRule="exact"/>
        <w:rPr>
          <w:rFonts w:ascii="Symbol" w:cs="Symbol" w:eastAsia="Symbol" w:hAnsi="Symbol"/>
          <w:sz w:val="24"/>
          <w:szCs w:val="24"/>
          <w:color w:val="auto"/>
        </w:rPr>
      </w:pPr>
    </w:p>
    <w:p>
      <w:pPr>
        <w:ind w:left="2200" w:right="720" w:hanging="356"/>
        <w:spacing w:after="0" w:line="332" w:lineRule="auto"/>
        <w:tabs>
          <w:tab w:leader="none" w:pos="2200" w:val="left"/>
        </w:tabs>
        <w:numPr>
          <w:ilvl w:val="1"/>
          <w:numId w:val="951"/>
        </w:numPr>
        <w:rPr>
          <w:rFonts w:ascii="Symbol" w:cs="Symbol" w:eastAsia="Symbol" w:hAnsi="Symbol"/>
          <w:sz w:val="24"/>
          <w:szCs w:val="24"/>
          <w:color w:val="auto"/>
        </w:rPr>
      </w:pPr>
      <w:r>
        <w:rPr>
          <w:rFonts w:ascii="Times New Roman" w:cs="Times New Roman" w:eastAsia="Times New Roman" w:hAnsi="Times New Roman"/>
          <w:sz w:val="24"/>
          <w:szCs w:val="24"/>
          <w:color w:val="auto"/>
        </w:rPr>
        <w:t>If trading suspended for more than three months, reasons for suspension and period of suspension:</w:t>
      </w:r>
    </w:p>
    <w:p>
      <w:pPr>
        <w:spacing w:after="0" w:line="255" w:lineRule="exact"/>
        <w:rPr>
          <w:rFonts w:ascii="Symbol" w:cs="Symbol" w:eastAsia="Symbol" w:hAnsi="Symbol"/>
          <w:sz w:val="24"/>
          <w:szCs w:val="24"/>
          <w:color w:val="auto"/>
        </w:rPr>
      </w:pPr>
    </w:p>
    <w:p>
      <w:pPr>
        <w:ind w:left="2200" w:hanging="356"/>
        <w:spacing w:after="0" w:line="334" w:lineRule="auto"/>
        <w:tabs>
          <w:tab w:leader="none" w:pos="2200" w:val="left"/>
        </w:tabs>
        <w:numPr>
          <w:ilvl w:val="1"/>
          <w:numId w:val="951"/>
        </w:numPr>
        <w:rPr>
          <w:rFonts w:ascii="Symbol" w:cs="Symbol" w:eastAsia="Symbol" w:hAnsi="Symbol"/>
          <w:sz w:val="24"/>
          <w:szCs w:val="24"/>
          <w:color w:val="auto"/>
        </w:rPr>
      </w:pPr>
      <w:r>
        <w:rPr>
          <w:rFonts w:ascii="Times New Roman" w:cs="Times New Roman" w:eastAsia="Times New Roman" w:hAnsi="Times New Roman"/>
          <w:sz w:val="24"/>
          <w:szCs w:val="24"/>
          <w:color w:val="auto"/>
        </w:rPr>
        <w:t>If the suspension of trading revoked, the date of revocation of suspension:</w:t>
      </w:r>
    </w:p>
    <w:p>
      <w:pPr>
        <w:spacing w:after="0" w:line="253" w:lineRule="exact"/>
        <w:rPr>
          <w:rFonts w:ascii="Symbol" w:cs="Symbol" w:eastAsia="Symbol" w:hAnsi="Symbol"/>
          <w:sz w:val="24"/>
          <w:szCs w:val="24"/>
          <w:color w:val="auto"/>
        </w:rPr>
      </w:pPr>
    </w:p>
    <w:p>
      <w:pPr>
        <w:jc w:val="both"/>
        <w:ind w:left="1780" w:right="720" w:firstLine="64"/>
        <w:spacing w:after="0" w:line="351" w:lineRule="auto"/>
        <w:tabs>
          <w:tab w:leader="none" w:pos="2213" w:val="left"/>
        </w:tabs>
        <w:numPr>
          <w:ilvl w:val="1"/>
          <w:numId w:val="951"/>
        </w:numPr>
        <w:rPr>
          <w:rFonts w:ascii="Symbol" w:cs="Symbol" w:eastAsia="Symbol" w:hAnsi="Symbol"/>
          <w:sz w:val="24"/>
          <w:szCs w:val="24"/>
          <w:color w:val="auto"/>
        </w:rPr>
      </w:pPr>
      <w:r>
        <w:rPr>
          <w:rFonts w:ascii="Times New Roman" w:cs="Times New Roman" w:eastAsia="Times New Roman" w:hAnsi="Times New Roman"/>
          <w:sz w:val="24"/>
          <w:szCs w:val="24"/>
          <w:color w:val="auto"/>
        </w:rPr>
        <w:t>Term (along with relevant dates) of the director in the above company(ies). (The above details shall be given for the preceding five years. In case of offer documents for fast track issues filed under the provisions of these regulations, the period of five years shall be reckoned on the date of filing of the letter of offer.)</w:t>
      </w:r>
    </w:p>
    <w:p>
      <w:pPr>
        <w:spacing w:after="0" w:line="211" w:lineRule="exact"/>
        <w:rPr>
          <w:rFonts w:ascii="Symbol" w:cs="Symbol" w:eastAsia="Symbol" w:hAnsi="Symbol"/>
          <w:sz w:val="24"/>
          <w:szCs w:val="24"/>
          <w:color w:val="auto"/>
        </w:rPr>
      </w:pPr>
    </w:p>
    <w:p>
      <w:pPr>
        <w:ind w:left="2200" w:hanging="796"/>
        <w:spacing w:after="0"/>
        <w:tabs>
          <w:tab w:leader="none" w:pos="2200" w:val="left"/>
        </w:tabs>
        <w:numPr>
          <w:ilvl w:val="0"/>
          <w:numId w:val="95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For each person, details of current and past directorship(s) in</w:t>
      </w:r>
    </w:p>
    <w:p>
      <w:pPr>
        <w:spacing w:after="0" w:line="152" w:lineRule="exact"/>
        <w:rPr>
          <w:sz w:val="20"/>
          <w:szCs w:val="20"/>
          <w:color w:val="auto"/>
        </w:rPr>
      </w:pPr>
    </w:p>
    <w:p>
      <w:pPr>
        <w:ind w:left="1780" w:right="720"/>
        <w:spacing w:after="0" w:line="348" w:lineRule="auto"/>
        <w:rPr>
          <w:sz w:val="20"/>
          <w:szCs w:val="20"/>
          <w:color w:val="auto"/>
        </w:rPr>
      </w:pPr>
      <w:r>
        <w:rPr>
          <w:rFonts w:ascii="Times New Roman" w:cs="Times New Roman" w:eastAsia="Times New Roman" w:hAnsi="Times New Roman"/>
          <w:sz w:val="24"/>
          <w:szCs w:val="24"/>
          <w:color w:val="auto"/>
        </w:rPr>
        <w:t>listed companies who have been/were delisted from the stock exchange(s) during his/her tenure in the past ten years, as follows:</w:t>
      </w:r>
    </w:p>
    <w:p>
      <w:pPr>
        <w:spacing w:after="0" w:line="213" w:lineRule="exact"/>
        <w:rPr>
          <w:sz w:val="20"/>
          <w:szCs w:val="20"/>
          <w:color w:val="auto"/>
        </w:rPr>
      </w:pPr>
    </w:p>
    <w:p>
      <w:pPr>
        <w:ind w:left="2200" w:hanging="356"/>
        <w:spacing w:after="0"/>
        <w:tabs>
          <w:tab w:leader="none" w:pos="2200" w:val="left"/>
        </w:tabs>
        <w:numPr>
          <w:ilvl w:val="0"/>
          <w:numId w:val="952"/>
        </w:numPr>
        <w:rPr>
          <w:rFonts w:ascii="Symbol" w:cs="Symbol" w:eastAsia="Symbol" w:hAnsi="Symbol"/>
          <w:sz w:val="24"/>
          <w:szCs w:val="24"/>
          <w:color w:val="auto"/>
        </w:rPr>
      </w:pPr>
      <w:r>
        <w:rPr>
          <w:rFonts w:ascii="Times New Roman" w:cs="Times New Roman" w:eastAsia="Times New Roman" w:hAnsi="Times New Roman"/>
          <w:sz w:val="24"/>
          <w:szCs w:val="24"/>
          <w:color w:val="auto"/>
        </w:rPr>
        <w:t>Name of the Company</w:t>
      </w:r>
    </w:p>
    <w:p>
      <w:pPr>
        <w:spacing w:after="0" w:line="337" w:lineRule="exact"/>
        <w:rPr>
          <w:rFonts w:ascii="Symbol" w:cs="Symbol" w:eastAsia="Symbol" w:hAnsi="Symbol"/>
          <w:sz w:val="24"/>
          <w:szCs w:val="24"/>
          <w:color w:val="auto"/>
        </w:rPr>
      </w:pPr>
    </w:p>
    <w:p>
      <w:pPr>
        <w:ind w:left="2200" w:hanging="356"/>
        <w:spacing w:after="0"/>
        <w:tabs>
          <w:tab w:leader="none" w:pos="2200" w:val="left"/>
        </w:tabs>
        <w:numPr>
          <w:ilvl w:val="0"/>
          <w:numId w:val="952"/>
        </w:numPr>
        <w:rPr>
          <w:rFonts w:ascii="Symbol" w:cs="Symbol" w:eastAsia="Symbol" w:hAnsi="Symbol"/>
          <w:sz w:val="24"/>
          <w:szCs w:val="24"/>
          <w:color w:val="auto"/>
        </w:rPr>
      </w:pPr>
      <w:r>
        <w:rPr>
          <w:rFonts w:ascii="Times New Roman" w:cs="Times New Roman" w:eastAsia="Times New Roman" w:hAnsi="Times New Roman"/>
          <w:sz w:val="24"/>
          <w:szCs w:val="24"/>
          <w:color w:val="auto"/>
        </w:rPr>
        <w:t>Listed on [give name of the stock exchange(s)]</w:t>
      </w:r>
    </w:p>
    <w:p>
      <w:pPr>
        <w:spacing w:after="0" w:line="337" w:lineRule="exact"/>
        <w:rPr>
          <w:rFonts w:ascii="Symbol" w:cs="Symbol" w:eastAsia="Symbol" w:hAnsi="Symbol"/>
          <w:sz w:val="24"/>
          <w:szCs w:val="24"/>
          <w:color w:val="auto"/>
        </w:rPr>
      </w:pPr>
    </w:p>
    <w:p>
      <w:pPr>
        <w:ind w:left="2200" w:hanging="356"/>
        <w:spacing w:after="0"/>
        <w:tabs>
          <w:tab w:leader="none" w:pos="2200" w:val="left"/>
        </w:tabs>
        <w:numPr>
          <w:ilvl w:val="0"/>
          <w:numId w:val="952"/>
        </w:numPr>
        <w:rPr>
          <w:rFonts w:ascii="Symbol" w:cs="Symbol" w:eastAsia="Symbol" w:hAnsi="Symbol"/>
          <w:sz w:val="24"/>
          <w:szCs w:val="24"/>
          <w:color w:val="auto"/>
        </w:rPr>
      </w:pPr>
      <w:r>
        <w:rPr>
          <w:rFonts w:ascii="Times New Roman" w:cs="Times New Roman" w:eastAsia="Times New Roman" w:hAnsi="Times New Roman"/>
          <w:sz w:val="24"/>
          <w:szCs w:val="24"/>
          <w:color w:val="auto"/>
        </w:rPr>
        <w:t>Date of delisting on the stock exchange(s)</w:t>
      </w:r>
    </w:p>
    <w:p>
      <w:pPr>
        <w:spacing w:after="0" w:line="337" w:lineRule="exact"/>
        <w:rPr>
          <w:rFonts w:ascii="Symbol" w:cs="Symbol" w:eastAsia="Symbol" w:hAnsi="Symbol"/>
          <w:sz w:val="24"/>
          <w:szCs w:val="24"/>
          <w:color w:val="auto"/>
        </w:rPr>
      </w:pPr>
    </w:p>
    <w:p>
      <w:pPr>
        <w:ind w:left="2200" w:hanging="356"/>
        <w:spacing w:after="0"/>
        <w:tabs>
          <w:tab w:leader="none" w:pos="2200" w:val="left"/>
        </w:tabs>
        <w:numPr>
          <w:ilvl w:val="0"/>
          <w:numId w:val="952"/>
        </w:numPr>
        <w:rPr>
          <w:rFonts w:ascii="Symbol" w:cs="Symbol" w:eastAsia="Symbol" w:hAnsi="Symbol"/>
          <w:sz w:val="24"/>
          <w:szCs w:val="24"/>
          <w:color w:val="auto"/>
        </w:rPr>
      </w:pPr>
      <w:r>
        <w:rPr>
          <w:rFonts w:ascii="Times New Roman" w:cs="Times New Roman" w:eastAsia="Times New Roman" w:hAnsi="Times New Roman"/>
          <w:sz w:val="24"/>
          <w:szCs w:val="24"/>
          <w:color w:val="auto"/>
        </w:rPr>
        <w:t>Compulsory or voluntary delisting</w:t>
      </w:r>
    </w:p>
    <w:p>
      <w:pPr>
        <w:spacing w:after="0" w:line="337" w:lineRule="exact"/>
        <w:rPr>
          <w:rFonts w:ascii="Symbol" w:cs="Symbol" w:eastAsia="Symbol" w:hAnsi="Symbol"/>
          <w:sz w:val="24"/>
          <w:szCs w:val="24"/>
          <w:color w:val="auto"/>
        </w:rPr>
      </w:pPr>
    </w:p>
    <w:p>
      <w:pPr>
        <w:ind w:left="2200" w:hanging="356"/>
        <w:spacing w:after="0"/>
        <w:tabs>
          <w:tab w:leader="none" w:pos="2200" w:val="left"/>
        </w:tabs>
        <w:numPr>
          <w:ilvl w:val="0"/>
          <w:numId w:val="952"/>
        </w:numPr>
        <w:rPr>
          <w:rFonts w:ascii="Symbol" w:cs="Symbol" w:eastAsia="Symbol" w:hAnsi="Symbol"/>
          <w:sz w:val="24"/>
          <w:szCs w:val="24"/>
          <w:color w:val="auto"/>
        </w:rPr>
      </w:pPr>
      <w:r>
        <w:rPr>
          <w:rFonts w:ascii="Times New Roman" w:cs="Times New Roman" w:eastAsia="Times New Roman" w:hAnsi="Times New Roman"/>
          <w:sz w:val="24"/>
          <w:szCs w:val="24"/>
          <w:color w:val="auto"/>
        </w:rPr>
        <w:t>Reasons for delisting</w:t>
      </w:r>
    </w:p>
    <w:p>
      <w:pPr>
        <w:spacing w:after="0" w:line="337" w:lineRule="exact"/>
        <w:rPr>
          <w:rFonts w:ascii="Symbol" w:cs="Symbol" w:eastAsia="Symbol" w:hAnsi="Symbol"/>
          <w:sz w:val="24"/>
          <w:szCs w:val="24"/>
          <w:color w:val="auto"/>
        </w:rPr>
      </w:pPr>
    </w:p>
    <w:p>
      <w:pPr>
        <w:ind w:left="2200" w:hanging="356"/>
        <w:spacing w:after="0"/>
        <w:tabs>
          <w:tab w:leader="none" w:pos="2200" w:val="left"/>
        </w:tabs>
        <w:numPr>
          <w:ilvl w:val="0"/>
          <w:numId w:val="952"/>
        </w:numPr>
        <w:rPr>
          <w:rFonts w:ascii="Symbol" w:cs="Symbol" w:eastAsia="Symbol" w:hAnsi="Symbol"/>
          <w:sz w:val="24"/>
          <w:szCs w:val="24"/>
          <w:color w:val="auto"/>
        </w:rPr>
      </w:pPr>
      <w:r>
        <w:rPr>
          <w:rFonts w:ascii="Times New Roman" w:cs="Times New Roman" w:eastAsia="Times New Roman" w:hAnsi="Times New Roman"/>
          <w:sz w:val="24"/>
          <w:szCs w:val="24"/>
          <w:color w:val="auto"/>
        </w:rPr>
        <w:t>If relisted, date of relisting on [give name of the stock exchange(s)</w:t>
      </w: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4"/>
          <w:szCs w:val="24"/>
          <w:color w:val="auto"/>
        </w:rPr>
        <w:t>278</w:t>
      </w:r>
    </w:p>
    <w:p>
      <w:pPr>
        <w:sectPr>
          <w:pgSz w:w="11900" w:h="16836" w:orient="portrait"/>
          <w:cols w:equalWidth="0" w:num="1">
            <w:col w:w="9180"/>
          </w:cols>
          <w:pgMar w:left="1440" w:top="1156" w:right="1284" w:bottom="103" w:gutter="0" w:footer="0" w:header="0"/>
        </w:sectPr>
      </w:pPr>
    </w:p>
    <w:bookmarkStart w:id="278" w:name="page279"/>
    <w:bookmarkEnd w:id="278"/>
    <w:p>
      <w:pPr>
        <w:ind w:left="2860" w:hanging="356"/>
        <w:spacing w:after="0" w:line="335" w:lineRule="auto"/>
        <w:tabs>
          <w:tab w:leader="none" w:pos="2860" w:val="left"/>
        </w:tabs>
        <w:numPr>
          <w:ilvl w:val="1"/>
          <w:numId w:val="953"/>
        </w:numPr>
        <w:rPr>
          <w:rFonts w:ascii="Symbol" w:cs="Symbol" w:eastAsia="Symbol" w:hAnsi="Symbol"/>
          <w:sz w:val="24"/>
          <w:szCs w:val="24"/>
          <w:color w:val="auto"/>
        </w:rPr>
      </w:pPr>
      <w:r>
        <w:rPr>
          <w:rFonts w:ascii="Times New Roman" w:cs="Times New Roman" w:eastAsia="Times New Roman" w:hAnsi="Times New Roman"/>
          <w:sz w:val="24"/>
          <w:szCs w:val="24"/>
          <w:color w:val="auto"/>
        </w:rPr>
        <w:t>Term (along with relevant dates) of the director in the above company(ies).</w:t>
      </w:r>
    </w:p>
    <w:p>
      <w:pPr>
        <w:spacing w:after="0" w:line="219" w:lineRule="exact"/>
        <w:rPr>
          <w:rFonts w:ascii="Symbol" w:cs="Symbol" w:eastAsia="Symbol" w:hAnsi="Symbol"/>
          <w:sz w:val="24"/>
          <w:szCs w:val="24"/>
          <w:color w:val="auto"/>
        </w:rPr>
      </w:pPr>
    </w:p>
    <w:p>
      <w:pPr>
        <w:ind w:left="2440" w:hanging="512"/>
        <w:spacing w:after="0"/>
        <w:tabs>
          <w:tab w:leader="none" w:pos="2440" w:val="left"/>
        </w:tabs>
        <w:numPr>
          <w:ilvl w:val="0"/>
          <w:numId w:val="95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Details of senior management and key management.</w:t>
      </w:r>
    </w:p>
    <w:p>
      <w:pPr>
        <w:spacing w:after="0" w:line="338" w:lineRule="exact"/>
        <w:rPr>
          <w:rFonts w:ascii="Times New Roman" w:cs="Times New Roman" w:eastAsia="Times New Roman" w:hAnsi="Times New Roman"/>
          <w:sz w:val="24"/>
          <w:szCs w:val="24"/>
          <w:b w:val="1"/>
          <w:bCs w:val="1"/>
          <w:color w:val="auto"/>
        </w:rPr>
      </w:pPr>
    </w:p>
    <w:p>
      <w:pPr>
        <w:ind w:left="2440" w:hanging="512"/>
        <w:spacing w:after="0"/>
        <w:tabs>
          <w:tab w:leader="none" w:pos="2440" w:val="left"/>
        </w:tabs>
        <w:numPr>
          <w:ilvl w:val="0"/>
          <w:numId w:val="95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Current organisational structure.</w:t>
      </w:r>
    </w:p>
    <w:p>
      <w:pPr>
        <w:spacing w:after="0" w:line="343" w:lineRule="exact"/>
        <w:rPr>
          <w:sz w:val="20"/>
          <w:szCs w:val="20"/>
          <w:color w:val="auto"/>
        </w:rPr>
      </w:pPr>
    </w:p>
    <w:tbl>
      <w:tblPr>
        <w:tblLayout w:type="fixed"/>
        <w:tblInd w:w="0" w:type="dxa"/>
        <w:tblCellMar>
          <w:top w:w="0" w:type="dxa"/>
          <w:left w:w="0" w:type="dxa"/>
          <w:bottom w:w="0" w:type="dxa"/>
          <w:right w:w="0" w:type="dxa"/>
        </w:tblCellMar>
      </w:tblPr>
      <w:tr>
        <w:trPr>
          <w:trHeight w:val="276"/>
        </w:trPr>
        <w:tc>
          <w:tcPr>
            <w:tcW w:w="1720" w:type="dxa"/>
            <w:vAlign w:val="bottom"/>
          </w:tcPr>
          <w:p>
            <w:pPr>
              <w:jc w:val="right"/>
              <w:ind w:right="80"/>
              <w:spacing w:after="0"/>
              <w:rPr>
                <w:sz w:val="20"/>
                <w:szCs w:val="20"/>
                <w:color w:val="auto"/>
              </w:rPr>
            </w:pPr>
            <w:r>
              <w:rPr>
                <w:rFonts w:ascii="Times New Roman" w:cs="Times New Roman" w:eastAsia="Times New Roman" w:hAnsi="Times New Roman"/>
                <w:sz w:val="24"/>
                <w:szCs w:val="24"/>
                <w:b w:val="1"/>
                <w:bCs w:val="1"/>
                <w:color w:val="auto"/>
              </w:rPr>
              <w:t>(XI)</w:t>
            </w:r>
          </w:p>
        </w:tc>
        <w:tc>
          <w:tcPr>
            <w:tcW w:w="8120" w:type="dxa"/>
            <w:vAlign w:val="bottom"/>
          </w:tcPr>
          <w:p>
            <w:pPr>
              <w:ind w:left="200"/>
              <w:spacing w:after="0"/>
              <w:rPr>
                <w:sz w:val="20"/>
                <w:szCs w:val="20"/>
                <w:color w:val="auto"/>
              </w:rPr>
            </w:pPr>
            <w:r>
              <w:rPr>
                <w:rFonts w:ascii="Times New Roman" w:cs="Times New Roman" w:eastAsia="Times New Roman" w:hAnsi="Times New Roman"/>
                <w:sz w:val="24"/>
                <w:szCs w:val="24"/>
                <w:b w:val="1"/>
                <w:bCs w:val="1"/>
                <w:color w:val="auto"/>
              </w:rPr>
              <w:t>Financial Information of the issuer:</w:t>
            </w:r>
          </w:p>
        </w:tc>
      </w:tr>
      <w:tr>
        <w:trPr>
          <w:trHeight w:val="610"/>
        </w:trPr>
        <w:tc>
          <w:tcPr>
            <w:tcW w:w="1720" w:type="dxa"/>
            <w:vAlign w:val="bottom"/>
          </w:tcPr>
          <w:p>
            <w:pPr>
              <w:spacing w:after="0"/>
              <w:rPr>
                <w:sz w:val="24"/>
                <w:szCs w:val="24"/>
                <w:color w:val="auto"/>
              </w:rPr>
            </w:pPr>
          </w:p>
        </w:tc>
        <w:tc>
          <w:tcPr>
            <w:tcW w:w="8120" w:type="dxa"/>
            <w:vAlign w:val="bottom"/>
          </w:tcPr>
          <w:p>
            <w:pPr>
              <w:ind w:left="180"/>
              <w:spacing w:after="0"/>
              <w:rPr>
                <w:sz w:val="20"/>
                <w:szCs w:val="20"/>
                <w:color w:val="auto"/>
              </w:rPr>
            </w:pPr>
            <w:r>
              <w:rPr>
                <w:rFonts w:ascii="Times New Roman" w:cs="Times New Roman" w:eastAsia="Times New Roman" w:hAnsi="Times New Roman"/>
                <w:sz w:val="24"/>
                <w:szCs w:val="24"/>
                <w:color w:val="auto"/>
              </w:rPr>
              <w:t>One standard financial unit shall be used in the Letter of Offer.</w:t>
            </w:r>
          </w:p>
        </w:tc>
      </w:tr>
      <w:tr>
        <w:trPr>
          <w:trHeight w:val="418"/>
        </w:trPr>
        <w:tc>
          <w:tcPr>
            <w:tcW w:w="1720" w:type="dxa"/>
            <w:vAlign w:val="bottom"/>
          </w:tcPr>
          <w:p>
            <w:pPr>
              <w:spacing w:after="0"/>
              <w:rPr>
                <w:sz w:val="24"/>
                <w:szCs w:val="24"/>
                <w:color w:val="auto"/>
              </w:rPr>
            </w:pPr>
          </w:p>
        </w:tc>
        <w:tc>
          <w:tcPr>
            <w:tcW w:w="8120" w:type="dxa"/>
            <w:vAlign w:val="bottom"/>
          </w:tcPr>
          <w:p>
            <w:pPr>
              <w:ind w:left="200"/>
              <w:spacing w:after="0"/>
              <w:rPr>
                <w:sz w:val="20"/>
                <w:szCs w:val="20"/>
                <w:color w:val="auto"/>
              </w:rPr>
            </w:pPr>
            <w:r>
              <w:rPr>
                <w:rFonts w:ascii="Times New Roman" w:cs="Times New Roman" w:eastAsia="Times New Roman" w:hAnsi="Times New Roman"/>
                <w:sz w:val="24"/>
                <w:szCs w:val="24"/>
                <w:b w:val="1"/>
                <w:bCs w:val="1"/>
                <w:color w:val="auto"/>
              </w:rPr>
              <w:t>(A)  Consolidated financial statements of the issuer:</w:t>
            </w:r>
          </w:p>
        </w:tc>
      </w:tr>
      <w:tr>
        <w:trPr>
          <w:trHeight w:val="610"/>
        </w:trPr>
        <w:tc>
          <w:tcPr>
            <w:tcW w:w="1720" w:type="dxa"/>
            <w:vAlign w:val="bottom"/>
          </w:tcPr>
          <w:p>
            <w:pPr>
              <w:spacing w:after="0"/>
              <w:rPr>
                <w:sz w:val="24"/>
                <w:szCs w:val="24"/>
                <w:color w:val="auto"/>
              </w:rPr>
            </w:pPr>
          </w:p>
        </w:tc>
        <w:tc>
          <w:tcPr>
            <w:tcW w:w="8120" w:type="dxa"/>
            <w:vAlign w:val="bottom"/>
          </w:tcPr>
          <w:p>
            <w:pPr>
              <w:ind w:left="180"/>
              <w:spacing w:after="0"/>
              <w:rPr>
                <w:sz w:val="20"/>
                <w:szCs w:val="20"/>
                <w:color w:val="auto"/>
              </w:rPr>
            </w:pPr>
            <w:r>
              <w:rPr>
                <w:rFonts w:ascii="Times New Roman" w:cs="Times New Roman" w:eastAsia="Times New Roman" w:hAnsi="Times New Roman"/>
                <w:sz w:val="24"/>
                <w:szCs w:val="24"/>
                <w:color w:val="auto"/>
              </w:rPr>
              <w:t>The  audited  consolidated  financial  statements  prepared  in  accordance  with</w:t>
            </w:r>
          </w:p>
        </w:tc>
      </w:tr>
      <w:tr>
        <w:trPr>
          <w:trHeight w:val="415"/>
        </w:trPr>
        <w:tc>
          <w:tcPr>
            <w:tcW w:w="1720" w:type="dxa"/>
            <w:vAlign w:val="bottom"/>
          </w:tcPr>
          <w:p>
            <w:pPr>
              <w:spacing w:after="0"/>
              <w:rPr>
                <w:sz w:val="24"/>
                <w:szCs w:val="24"/>
                <w:color w:val="auto"/>
              </w:rPr>
            </w:pPr>
          </w:p>
        </w:tc>
        <w:tc>
          <w:tcPr>
            <w:tcW w:w="8120" w:type="dxa"/>
            <w:vAlign w:val="bottom"/>
          </w:tcPr>
          <w:p>
            <w:pPr>
              <w:ind w:left="180"/>
              <w:spacing w:after="0"/>
              <w:rPr>
                <w:sz w:val="20"/>
                <w:szCs w:val="20"/>
                <w:color w:val="auto"/>
              </w:rPr>
            </w:pPr>
            <w:r>
              <w:rPr>
                <w:rFonts w:ascii="Times New Roman" w:cs="Times New Roman" w:eastAsia="Times New Roman" w:hAnsi="Times New Roman"/>
                <w:sz w:val="24"/>
                <w:szCs w:val="24"/>
                <w:color w:val="auto"/>
              </w:rPr>
              <w:t>applicable accounting standards for the last financial year (with the comparative</w:t>
            </w:r>
          </w:p>
        </w:tc>
      </w:tr>
      <w:tr>
        <w:trPr>
          <w:trHeight w:val="413"/>
        </w:trPr>
        <w:tc>
          <w:tcPr>
            <w:tcW w:w="1720" w:type="dxa"/>
            <w:vAlign w:val="bottom"/>
          </w:tcPr>
          <w:p>
            <w:pPr>
              <w:spacing w:after="0"/>
              <w:rPr>
                <w:sz w:val="24"/>
                <w:szCs w:val="24"/>
                <w:color w:val="auto"/>
              </w:rPr>
            </w:pPr>
          </w:p>
        </w:tc>
        <w:tc>
          <w:tcPr>
            <w:tcW w:w="8120" w:type="dxa"/>
            <w:vAlign w:val="bottom"/>
          </w:tcPr>
          <w:p>
            <w:pPr>
              <w:ind w:left="180"/>
              <w:spacing w:after="0"/>
              <w:rPr>
                <w:sz w:val="20"/>
                <w:szCs w:val="20"/>
                <w:color w:val="auto"/>
              </w:rPr>
            </w:pPr>
            <w:r>
              <w:rPr>
                <w:rFonts w:ascii="Times New Roman" w:cs="Times New Roman" w:eastAsia="Times New Roman" w:hAnsi="Times New Roman"/>
                <w:sz w:val="24"/>
                <w:szCs w:val="24"/>
                <w:color w:val="auto"/>
              </w:rPr>
              <w:t>prior  full  year  period).  In  addition,  latest  limited  review  financial  statements</w:t>
            </w:r>
          </w:p>
        </w:tc>
      </w:tr>
      <w:tr>
        <w:trPr>
          <w:trHeight w:val="415"/>
        </w:trPr>
        <w:tc>
          <w:tcPr>
            <w:tcW w:w="1720" w:type="dxa"/>
            <w:vAlign w:val="bottom"/>
          </w:tcPr>
          <w:p>
            <w:pPr>
              <w:spacing w:after="0"/>
              <w:rPr>
                <w:sz w:val="24"/>
                <w:szCs w:val="24"/>
                <w:color w:val="auto"/>
              </w:rPr>
            </w:pPr>
          </w:p>
        </w:tc>
        <w:tc>
          <w:tcPr>
            <w:tcW w:w="8120" w:type="dxa"/>
            <w:vAlign w:val="bottom"/>
          </w:tcPr>
          <w:p>
            <w:pPr>
              <w:ind w:left="180"/>
              <w:spacing w:after="0"/>
              <w:rPr>
                <w:sz w:val="20"/>
                <w:szCs w:val="20"/>
                <w:color w:val="auto"/>
              </w:rPr>
            </w:pPr>
            <w:r>
              <w:rPr>
                <w:rFonts w:ascii="Times New Roman" w:cs="Times New Roman" w:eastAsia="Times New Roman" w:hAnsi="Times New Roman"/>
                <w:sz w:val="24"/>
                <w:szCs w:val="24"/>
                <w:color w:val="auto"/>
              </w:rPr>
              <w:t>disclosed to  the stock  exchange with  the  comparative prior  year period (this</w:t>
            </w:r>
          </w:p>
        </w:tc>
      </w:tr>
      <w:tr>
        <w:trPr>
          <w:trHeight w:val="413"/>
        </w:trPr>
        <w:tc>
          <w:tcPr>
            <w:tcW w:w="1720" w:type="dxa"/>
            <w:vAlign w:val="bottom"/>
          </w:tcPr>
          <w:p>
            <w:pPr>
              <w:spacing w:after="0"/>
              <w:rPr>
                <w:sz w:val="24"/>
                <w:szCs w:val="24"/>
                <w:color w:val="auto"/>
              </w:rPr>
            </w:pPr>
          </w:p>
        </w:tc>
        <w:tc>
          <w:tcPr>
            <w:tcW w:w="8120" w:type="dxa"/>
            <w:vAlign w:val="bottom"/>
          </w:tcPr>
          <w:p>
            <w:pPr>
              <w:ind w:left="180"/>
              <w:spacing w:after="0"/>
              <w:rPr>
                <w:sz w:val="20"/>
                <w:szCs w:val="20"/>
                <w:color w:val="auto"/>
              </w:rPr>
            </w:pPr>
            <w:r>
              <w:rPr>
                <w:rFonts w:ascii="Times New Roman" w:cs="Times New Roman" w:eastAsia="Times New Roman" w:hAnsi="Times New Roman"/>
                <w:sz w:val="24"/>
                <w:szCs w:val="24"/>
                <w:color w:val="auto"/>
              </w:rPr>
              <w:t>information should not be earlier than six months prior to the date of the opening</w:t>
            </w:r>
          </w:p>
        </w:tc>
      </w:tr>
      <w:tr>
        <w:trPr>
          <w:trHeight w:val="415"/>
        </w:trPr>
        <w:tc>
          <w:tcPr>
            <w:tcW w:w="1720" w:type="dxa"/>
            <w:vAlign w:val="bottom"/>
          </w:tcPr>
          <w:p>
            <w:pPr>
              <w:spacing w:after="0"/>
              <w:rPr>
                <w:sz w:val="24"/>
                <w:szCs w:val="24"/>
                <w:color w:val="auto"/>
              </w:rPr>
            </w:pPr>
          </w:p>
        </w:tc>
        <w:tc>
          <w:tcPr>
            <w:tcW w:w="8120" w:type="dxa"/>
            <w:vAlign w:val="bottom"/>
          </w:tcPr>
          <w:p>
            <w:pPr>
              <w:ind w:left="180"/>
              <w:spacing w:after="0"/>
              <w:rPr>
                <w:sz w:val="20"/>
                <w:szCs w:val="20"/>
                <w:color w:val="auto"/>
              </w:rPr>
            </w:pPr>
            <w:r>
              <w:rPr>
                <w:rFonts w:ascii="Times New Roman" w:cs="Times New Roman" w:eastAsia="Times New Roman" w:hAnsi="Times New Roman"/>
                <w:sz w:val="24"/>
                <w:szCs w:val="24"/>
                <w:color w:val="auto"/>
              </w:rPr>
              <w:t>of the issue).</w:t>
            </w:r>
          </w:p>
        </w:tc>
      </w:tr>
      <w:tr>
        <w:trPr>
          <w:trHeight w:val="413"/>
        </w:trPr>
        <w:tc>
          <w:tcPr>
            <w:tcW w:w="1720" w:type="dxa"/>
            <w:vAlign w:val="bottom"/>
          </w:tcPr>
          <w:p>
            <w:pPr>
              <w:spacing w:after="0"/>
              <w:rPr>
                <w:sz w:val="24"/>
                <w:szCs w:val="24"/>
                <w:color w:val="auto"/>
              </w:rPr>
            </w:pPr>
          </w:p>
        </w:tc>
        <w:tc>
          <w:tcPr>
            <w:tcW w:w="8120" w:type="dxa"/>
            <w:vAlign w:val="bottom"/>
          </w:tcPr>
          <w:p>
            <w:pPr>
              <w:ind w:left="180"/>
              <w:spacing w:after="0"/>
              <w:rPr>
                <w:sz w:val="20"/>
                <w:szCs w:val="20"/>
                <w:color w:val="auto"/>
              </w:rPr>
            </w:pPr>
            <w:r>
              <w:rPr>
                <w:rFonts w:ascii="Times New Roman" w:cs="Times New Roman" w:eastAsia="Times New Roman" w:hAnsi="Times New Roman"/>
                <w:sz w:val="24"/>
                <w:szCs w:val="24"/>
                <w:color w:val="auto"/>
              </w:rPr>
              <w:t>Issuers may voluntarily include additional financial statements, including three</w:t>
            </w:r>
          </w:p>
        </w:tc>
      </w:tr>
      <w:tr>
        <w:trPr>
          <w:trHeight w:val="415"/>
        </w:trPr>
        <w:tc>
          <w:tcPr>
            <w:tcW w:w="1720" w:type="dxa"/>
            <w:vAlign w:val="bottom"/>
          </w:tcPr>
          <w:p>
            <w:pPr>
              <w:spacing w:after="0"/>
              <w:rPr>
                <w:sz w:val="24"/>
                <w:szCs w:val="24"/>
                <w:color w:val="auto"/>
              </w:rPr>
            </w:pPr>
          </w:p>
        </w:tc>
        <w:tc>
          <w:tcPr>
            <w:tcW w:w="8120" w:type="dxa"/>
            <w:vAlign w:val="bottom"/>
          </w:tcPr>
          <w:p>
            <w:pPr>
              <w:ind w:left="180"/>
              <w:spacing w:after="0"/>
              <w:rPr>
                <w:sz w:val="20"/>
                <w:szCs w:val="20"/>
                <w:color w:val="auto"/>
              </w:rPr>
            </w:pPr>
            <w:r>
              <w:rPr>
                <w:rFonts w:ascii="Times New Roman" w:cs="Times New Roman" w:eastAsia="Times New Roman" w:hAnsi="Times New Roman"/>
                <w:sz w:val="24"/>
                <w:szCs w:val="24"/>
                <w:color w:val="auto"/>
              </w:rPr>
              <w:t>years of audited financial statements (but not more than three years), additional</w:t>
            </w:r>
          </w:p>
        </w:tc>
      </w:tr>
      <w:tr>
        <w:trPr>
          <w:trHeight w:val="413"/>
        </w:trPr>
        <w:tc>
          <w:tcPr>
            <w:tcW w:w="1720" w:type="dxa"/>
            <w:vAlign w:val="bottom"/>
          </w:tcPr>
          <w:p>
            <w:pPr>
              <w:spacing w:after="0"/>
              <w:rPr>
                <w:sz w:val="24"/>
                <w:szCs w:val="24"/>
                <w:color w:val="auto"/>
              </w:rPr>
            </w:pPr>
          </w:p>
        </w:tc>
        <w:tc>
          <w:tcPr>
            <w:tcW w:w="8120" w:type="dxa"/>
            <w:vAlign w:val="bottom"/>
          </w:tcPr>
          <w:p>
            <w:pPr>
              <w:ind w:left="180"/>
              <w:spacing w:after="0"/>
              <w:rPr>
                <w:sz w:val="20"/>
                <w:szCs w:val="20"/>
                <w:color w:val="auto"/>
              </w:rPr>
            </w:pPr>
            <w:r>
              <w:rPr>
                <w:rFonts w:ascii="Times New Roman" w:cs="Times New Roman" w:eastAsia="Times New Roman" w:hAnsi="Times New Roman"/>
                <w:sz w:val="24"/>
                <w:szCs w:val="24"/>
                <w:color w:val="auto"/>
              </w:rPr>
              <w:t>stub periods and audited standalone financial statements.</w:t>
            </w:r>
          </w:p>
        </w:tc>
      </w:tr>
      <w:tr>
        <w:trPr>
          <w:trHeight w:val="415"/>
        </w:trPr>
        <w:tc>
          <w:tcPr>
            <w:tcW w:w="1720" w:type="dxa"/>
            <w:vAlign w:val="bottom"/>
          </w:tcPr>
          <w:p>
            <w:pPr>
              <w:spacing w:after="0"/>
              <w:rPr>
                <w:sz w:val="24"/>
                <w:szCs w:val="24"/>
                <w:color w:val="auto"/>
              </w:rPr>
            </w:pPr>
          </w:p>
        </w:tc>
        <w:tc>
          <w:tcPr>
            <w:tcW w:w="8120" w:type="dxa"/>
            <w:vAlign w:val="bottom"/>
          </w:tcPr>
          <w:p>
            <w:pPr>
              <w:ind w:left="180"/>
              <w:spacing w:after="0"/>
              <w:rPr>
                <w:sz w:val="20"/>
                <w:szCs w:val="20"/>
                <w:color w:val="auto"/>
              </w:rPr>
            </w:pPr>
            <w:r>
              <w:rPr>
                <w:rFonts w:ascii="Times New Roman" w:cs="Times New Roman" w:eastAsia="Times New Roman" w:hAnsi="Times New Roman"/>
                <w:sz w:val="24"/>
                <w:szCs w:val="24"/>
                <w:color w:val="auto"/>
              </w:rPr>
              <w:t>The following shall be included in the letter of offer:</w:t>
            </w:r>
          </w:p>
        </w:tc>
      </w:tr>
      <w:tr>
        <w:trPr>
          <w:trHeight w:val="413"/>
        </w:trPr>
        <w:tc>
          <w:tcPr>
            <w:tcW w:w="1720" w:type="dxa"/>
            <w:vAlign w:val="bottom"/>
          </w:tcPr>
          <w:p>
            <w:pPr>
              <w:jc w:val="right"/>
              <w:ind w:right="1220"/>
              <w:spacing w:after="0"/>
              <w:rPr>
                <w:sz w:val="20"/>
                <w:szCs w:val="20"/>
                <w:color w:val="auto"/>
              </w:rPr>
            </w:pPr>
            <w:r>
              <w:rPr>
                <w:rFonts w:ascii="Times New Roman" w:cs="Times New Roman" w:eastAsia="Times New Roman" w:hAnsi="Times New Roman"/>
                <w:sz w:val="24"/>
                <w:szCs w:val="24"/>
                <w:color w:val="auto"/>
              </w:rPr>
              <w:t>i.</w:t>
            </w:r>
          </w:p>
        </w:tc>
        <w:tc>
          <w:tcPr>
            <w:tcW w:w="8120" w:type="dxa"/>
            <w:vAlign w:val="bottom"/>
          </w:tcPr>
          <w:p>
            <w:pPr>
              <w:ind w:left="900"/>
              <w:spacing w:after="0"/>
              <w:rPr>
                <w:sz w:val="20"/>
                <w:szCs w:val="20"/>
                <w:color w:val="auto"/>
              </w:rPr>
            </w:pPr>
            <w:r>
              <w:rPr>
                <w:rFonts w:ascii="Times New Roman" w:cs="Times New Roman" w:eastAsia="Times New Roman" w:hAnsi="Times New Roman"/>
                <w:sz w:val="24"/>
                <w:szCs w:val="24"/>
                <w:color w:val="auto"/>
              </w:rPr>
              <w:t>Report of statutory auditors on the financial statements.</w:t>
            </w:r>
          </w:p>
        </w:tc>
      </w:tr>
      <w:tr>
        <w:trPr>
          <w:trHeight w:val="614"/>
        </w:trPr>
        <w:tc>
          <w:tcPr>
            <w:tcW w:w="1720" w:type="dxa"/>
            <w:vAlign w:val="bottom"/>
          </w:tcPr>
          <w:p>
            <w:pPr>
              <w:jc w:val="right"/>
              <w:ind w:right="1220"/>
              <w:spacing w:after="0"/>
              <w:rPr>
                <w:sz w:val="20"/>
                <w:szCs w:val="20"/>
                <w:color w:val="auto"/>
              </w:rPr>
            </w:pPr>
            <w:r>
              <w:rPr>
                <w:rFonts w:ascii="Times New Roman" w:cs="Times New Roman" w:eastAsia="Times New Roman" w:hAnsi="Times New Roman"/>
                <w:sz w:val="24"/>
                <w:szCs w:val="24"/>
                <w:color w:val="auto"/>
              </w:rPr>
              <w:t>ii.</w:t>
            </w:r>
          </w:p>
        </w:tc>
        <w:tc>
          <w:tcPr>
            <w:tcW w:w="8120" w:type="dxa"/>
            <w:vAlign w:val="bottom"/>
          </w:tcPr>
          <w:p>
            <w:pPr>
              <w:ind w:left="900"/>
              <w:spacing w:after="0"/>
              <w:rPr>
                <w:sz w:val="20"/>
                <w:szCs w:val="20"/>
                <w:color w:val="auto"/>
              </w:rPr>
            </w:pPr>
            <w:r>
              <w:rPr>
                <w:rFonts w:ascii="Times New Roman" w:cs="Times New Roman" w:eastAsia="Times New Roman" w:hAnsi="Times New Roman"/>
                <w:sz w:val="24"/>
                <w:szCs w:val="24"/>
                <w:color w:val="auto"/>
              </w:rPr>
              <w:t>Balance sheets</w:t>
            </w:r>
          </w:p>
        </w:tc>
      </w:tr>
      <w:tr>
        <w:trPr>
          <w:trHeight w:val="614"/>
        </w:trPr>
        <w:tc>
          <w:tcPr>
            <w:tcW w:w="1720" w:type="dxa"/>
            <w:vAlign w:val="bottom"/>
          </w:tcPr>
          <w:p>
            <w:pPr>
              <w:jc w:val="right"/>
              <w:ind w:right="1220"/>
              <w:spacing w:after="0"/>
              <w:rPr>
                <w:sz w:val="20"/>
                <w:szCs w:val="20"/>
                <w:color w:val="auto"/>
              </w:rPr>
            </w:pPr>
            <w:r>
              <w:rPr>
                <w:rFonts w:ascii="Times New Roman" w:cs="Times New Roman" w:eastAsia="Times New Roman" w:hAnsi="Times New Roman"/>
                <w:sz w:val="24"/>
                <w:szCs w:val="24"/>
                <w:color w:val="auto"/>
              </w:rPr>
              <w:t>iii.</w:t>
            </w:r>
          </w:p>
        </w:tc>
        <w:tc>
          <w:tcPr>
            <w:tcW w:w="8120" w:type="dxa"/>
            <w:vAlign w:val="bottom"/>
          </w:tcPr>
          <w:p>
            <w:pPr>
              <w:ind w:left="900"/>
              <w:spacing w:after="0"/>
              <w:rPr>
                <w:sz w:val="20"/>
                <w:szCs w:val="20"/>
                <w:color w:val="auto"/>
              </w:rPr>
            </w:pPr>
            <w:r>
              <w:rPr>
                <w:rFonts w:ascii="Times New Roman" w:cs="Times New Roman" w:eastAsia="Times New Roman" w:hAnsi="Times New Roman"/>
                <w:sz w:val="24"/>
                <w:szCs w:val="24"/>
                <w:color w:val="auto"/>
              </w:rPr>
              <w:t>Statements of income</w:t>
            </w:r>
          </w:p>
        </w:tc>
      </w:tr>
      <w:tr>
        <w:trPr>
          <w:trHeight w:val="615"/>
        </w:trPr>
        <w:tc>
          <w:tcPr>
            <w:tcW w:w="1720" w:type="dxa"/>
            <w:vAlign w:val="bottom"/>
          </w:tcPr>
          <w:p>
            <w:pPr>
              <w:jc w:val="right"/>
              <w:ind w:right="1220"/>
              <w:spacing w:after="0"/>
              <w:rPr>
                <w:sz w:val="20"/>
                <w:szCs w:val="20"/>
                <w:color w:val="auto"/>
              </w:rPr>
            </w:pPr>
            <w:r>
              <w:rPr>
                <w:rFonts w:ascii="Times New Roman" w:cs="Times New Roman" w:eastAsia="Times New Roman" w:hAnsi="Times New Roman"/>
                <w:sz w:val="24"/>
                <w:szCs w:val="24"/>
                <w:color w:val="auto"/>
              </w:rPr>
              <w:t>iv.</w:t>
            </w:r>
          </w:p>
        </w:tc>
        <w:tc>
          <w:tcPr>
            <w:tcW w:w="8120" w:type="dxa"/>
            <w:vAlign w:val="bottom"/>
          </w:tcPr>
          <w:p>
            <w:pPr>
              <w:ind w:left="900"/>
              <w:spacing w:after="0"/>
              <w:rPr>
                <w:sz w:val="20"/>
                <w:szCs w:val="20"/>
                <w:color w:val="auto"/>
              </w:rPr>
            </w:pPr>
            <w:r>
              <w:rPr>
                <w:rFonts w:ascii="Times New Roman" w:cs="Times New Roman" w:eastAsia="Times New Roman" w:hAnsi="Times New Roman"/>
                <w:sz w:val="24"/>
                <w:szCs w:val="24"/>
                <w:color w:val="auto"/>
              </w:rPr>
              <w:t>Schedules to accounts</w:t>
            </w:r>
          </w:p>
        </w:tc>
      </w:tr>
      <w:tr>
        <w:trPr>
          <w:trHeight w:val="612"/>
        </w:trPr>
        <w:tc>
          <w:tcPr>
            <w:tcW w:w="1720" w:type="dxa"/>
            <w:vAlign w:val="bottom"/>
          </w:tcPr>
          <w:p>
            <w:pPr>
              <w:jc w:val="right"/>
              <w:ind w:right="1220"/>
              <w:spacing w:after="0"/>
              <w:rPr>
                <w:sz w:val="20"/>
                <w:szCs w:val="20"/>
                <w:color w:val="auto"/>
              </w:rPr>
            </w:pPr>
            <w:r>
              <w:rPr>
                <w:rFonts w:ascii="Times New Roman" w:cs="Times New Roman" w:eastAsia="Times New Roman" w:hAnsi="Times New Roman"/>
                <w:sz w:val="24"/>
                <w:szCs w:val="24"/>
                <w:color w:val="auto"/>
              </w:rPr>
              <w:t>v.</w:t>
            </w:r>
          </w:p>
        </w:tc>
        <w:tc>
          <w:tcPr>
            <w:tcW w:w="8120" w:type="dxa"/>
            <w:vAlign w:val="bottom"/>
          </w:tcPr>
          <w:p>
            <w:pPr>
              <w:ind w:left="900"/>
              <w:spacing w:after="0"/>
              <w:rPr>
                <w:sz w:val="20"/>
                <w:szCs w:val="20"/>
                <w:color w:val="auto"/>
              </w:rPr>
            </w:pPr>
            <w:r>
              <w:rPr>
                <w:rFonts w:ascii="Times New Roman" w:cs="Times New Roman" w:eastAsia="Times New Roman" w:hAnsi="Times New Roman"/>
                <w:sz w:val="24"/>
                <w:szCs w:val="24"/>
                <w:color w:val="auto"/>
              </w:rPr>
              <w:t>Statements of changes in stockholders’ equity</w:t>
            </w:r>
          </w:p>
        </w:tc>
      </w:tr>
      <w:tr>
        <w:trPr>
          <w:trHeight w:val="614"/>
        </w:trPr>
        <w:tc>
          <w:tcPr>
            <w:tcW w:w="1720" w:type="dxa"/>
            <w:vAlign w:val="bottom"/>
          </w:tcPr>
          <w:p>
            <w:pPr>
              <w:jc w:val="right"/>
              <w:ind w:right="1220"/>
              <w:spacing w:after="0"/>
              <w:rPr>
                <w:sz w:val="20"/>
                <w:szCs w:val="20"/>
                <w:color w:val="auto"/>
              </w:rPr>
            </w:pPr>
            <w:r>
              <w:rPr>
                <w:rFonts w:ascii="Times New Roman" w:cs="Times New Roman" w:eastAsia="Times New Roman" w:hAnsi="Times New Roman"/>
                <w:sz w:val="24"/>
                <w:szCs w:val="24"/>
                <w:color w:val="auto"/>
              </w:rPr>
              <w:t>vi.</w:t>
            </w:r>
          </w:p>
        </w:tc>
        <w:tc>
          <w:tcPr>
            <w:tcW w:w="8120" w:type="dxa"/>
            <w:vAlign w:val="bottom"/>
          </w:tcPr>
          <w:p>
            <w:pPr>
              <w:ind w:left="900"/>
              <w:spacing w:after="0"/>
              <w:rPr>
                <w:sz w:val="20"/>
                <w:szCs w:val="20"/>
                <w:color w:val="auto"/>
              </w:rPr>
            </w:pPr>
            <w:r>
              <w:rPr>
                <w:rFonts w:ascii="Times New Roman" w:cs="Times New Roman" w:eastAsia="Times New Roman" w:hAnsi="Times New Roman"/>
                <w:sz w:val="24"/>
                <w:szCs w:val="24"/>
                <w:color w:val="auto"/>
              </w:rPr>
              <w:t>Statements of cash flows</w:t>
            </w:r>
          </w:p>
        </w:tc>
      </w:tr>
      <w:tr>
        <w:trPr>
          <w:trHeight w:val="614"/>
        </w:trPr>
        <w:tc>
          <w:tcPr>
            <w:tcW w:w="1720" w:type="dxa"/>
            <w:vAlign w:val="bottom"/>
          </w:tcPr>
          <w:p>
            <w:pPr>
              <w:jc w:val="right"/>
              <w:ind w:right="1220"/>
              <w:spacing w:after="0"/>
              <w:rPr>
                <w:sz w:val="20"/>
                <w:szCs w:val="20"/>
                <w:color w:val="auto"/>
              </w:rPr>
            </w:pPr>
            <w:r>
              <w:rPr>
                <w:rFonts w:ascii="Times New Roman" w:cs="Times New Roman" w:eastAsia="Times New Roman" w:hAnsi="Times New Roman"/>
                <w:sz w:val="24"/>
                <w:szCs w:val="24"/>
                <w:color w:val="auto"/>
              </w:rPr>
              <w:t>vii.</w:t>
            </w:r>
          </w:p>
        </w:tc>
        <w:tc>
          <w:tcPr>
            <w:tcW w:w="8120" w:type="dxa"/>
            <w:vAlign w:val="bottom"/>
          </w:tcPr>
          <w:p>
            <w:pPr>
              <w:ind w:left="900"/>
              <w:spacing w:after="0"/>
              <w:rPr>
                <w:sz w:val="20"/>
                <w:szCs w:val="20"/>
                <w:color w:val="auto"/>
              </w:rPr>
            </w:pPr>
            <w:r>
              <w:rPr>
                <w:rFonts w:ascii="Times New Roman" w:cs="Times New Roman" w:eastAsia="Times New Roman" w:hAnsi="Times New Roman"/>
                <w:sz w:val="24"/>
                <w:szCs w:val="24"/>
                <w:color w:val="auto"/>
              </w:rPr>
              <w:t>Statement of accounting policies</w:t>
            </w:r>
          </w:p>
        </w:tc>
      </w:tr>
      <w:tr>
        <w:trPr>
          <w:trHeight w:val="614"/>
        </w:trPr>
        <w:tc>
          <w:tcPr>
            <w:tcW w:w="1720" w:type="dxa"/>
            <w:vAlign w:val="bottom"/>
          </w:tcPr>
          <w:p>
            <w:pPr>
              <w:jc w:val="right"/>
              <w:ind w:right="1220"/>
              <w:spacing w:after="0"/>
              <w:rPr>
                <w:sz w:val="20"/>
                <w:szCs w:val="20"/>
                <w:color w:val="auto"/>
              </w:rPr>
            </w:pPr>
            <w:r>
              <w:rPr>
                <w:rFonts w:ascii="Times New Roman" w:cs="Times New Roman" w:eastAsia="Times New Roman" w:hAnsi="Times New Roman"/>
                <w:sz w:val="24"/>
                <w:szCs w:val="24"/>
                <w:color w:val="auto"/>
                <w:w w:val="94"/>
              </w:rPr>
              <w:t>viii.</w:t>
            </w:r>
          </w:p>
        </w:tc>
        <w:tc>
          <w:tcPr>
            <w:tcW w:w="8120" w:type="dxa"/>
            <w:vAlign w:val="bottom"/>
          </w:tcPr>
          <w:p>
            <w:pPr>
              <w:ind w:left="900"/>
              <w:spacing w:after="0"/>
              <w:rPr>
                <w:sz w:val="20"/>
                <w:szCs w:val="20"/>
                <w:color w:val="auto"/>
              </w:rPr>
            </w:pPr>
            <w:r>
              <w:rPr>
                <w:rFonts w:ascii="Times New Roman" w:cs="Times New Roman" w:eastAsia="Times New Roman" w:hAnsi="Times New Roman"/>
                <w:sz w:val="24"/>
                <w:szCs w:val="24"/>
                <w:color w:val="auto"/>
              </w:rPr>
              <w:t>Notes to financial statements</w:t>
            </w:r>
          </w:p>
        </w:tc>
      </w:tr>
      <w:tr>
        <w:trPr>
          <w:trHeight w:val="615"/>
        </w:trPr>
        <w:tc>
          <w:tcPr>
            <w:tcW w:w="1720" w:type="dxa"/>
            <w:vAlign w:val="bottom"/>
          </w:tcPr>
          <w:p>
            <w:pPr>
              <w:jc w:val="right"/>
              <w:ind w:right="1220"/>
              <w:spacing w:after="0"/>
              <w:rPr>
                <w:sz w:val="20"/>
                <w:szCs w:val="20"/>
                <w:color w:val="auto"/>
              </w:rPr>
            </w:pPr>
            <w:r>
              <w:rPr>
                <w:rFonts w:ascii="Times New Roman" w:cs="Times New Roman" w:eastAsia="Times New Roman" w:hAnsi="Times New Roman"/>
                <w:sz w:val="24"/>
                <w:szCs w:val="24"/>
                <w:color w:val="auto"/>
              </w:rPr>
              <w:t>ix.</w:t>
            </w:r>
          </w:p>
        </w:tc>
        <w:tc>
          <w:tcPr>
            <w:tcW w:w="8120" w:type="dxa"/>
            <w:vAlign w:val="bottom"/>
          </w:tcPr>
          <w:p>
            <w:pPr>
              <w:ind w:left="900"/>
              <w:spacing w:after="0"/>
              <w:rPr>
                <w:sz w:val="20"/>
                <w:szCs w:val="20"/>
                <w:color w:val="auto"/>
              </w:rPr>
            </w:pPr>
            <w:r>
              <w:rPr>
                <w:rFonts w:ascii="Times New Roman" w:cs="Times New Roman" w:eastAsia="Times New Roman" w:hAnsi="Times New Roman"/>
                <w:sz w:val="24"/>
                <w:szCs w:val="24"/>
                <w:color w:val="auto"/>
              </w:rPr>
              <w:t>Accounting Ratios</w:t>
            </w:r>
          </w:p>
        </w:tc>
      </w:tr>
    </w:tbl>
    <w:p>
      <w:pPr>
        <w:spacing w:after="0" w:line="336" w:lineRule="exact"/>
        <w:rPr>
          <w:sz w:val="20"/>
          <w:szCs w:val="20"/>
          <w:color w:val="auto"/>
        </w:rPr>
      </w:pPr>
    </w:p>
    <w:p>
      <w:pPr>
        <w:ind w:left="380"/>
        <w:spacing w:after="0"/>
        <w:tabs>
          <w:tab w:leader="none" w:pos="740" w:val="left"/>
        </w:tabs>
        <w:rPr>
          <w:sz w:val="20"/>
          <w:szCs w:val="20"/>
          <w:color w:val="auto"/>
        </w:rPr>
      </w:pPr>
      <w:r>
        <w:rPr>
          <w:rFonts w:ascii="Times New Roman" w:cs="Times New Roman" w:eastAsia="Times New Roman" w:hAnsi="Times New Roman"/>
          <w:sz w:val="24"/>
          <w:szCs w:val="24"/>
          <w:color w:val="auto"/>
        </w:rPr>
        <w:t>a)</w:t>
        <w:tab/>
        <w:t>Earnings per share (Basic and Diluted)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jc w:val="center"/>
        <w:ind w:right="-379"/>
        <w:spacing w:after="0"/>
        <w:rPr>
          <w:sz w:val="20"/>
          <w:szCs w:val="20"/>
          <w:color w:val="auto"/>
        </w:rPr>
      </w:pPr>
      <w:r>
        <w:rPr>
          <w:rFonts w:ascii="Times New Roman" w:cs="Times New Roman" w:eastAsia="Times New Roman" w:hAnsi="Times New Roman"/>
          <w:sz w:val="24"/>
          <w:szCs w:val="24"/>
          <w:color w:val="auto"/>
        </w:rPr>
        <w:t>279</w:t>
      </w:r>
    </w:p>
    <w:p>
      <w:pPr>
        <w:sectPr>
          <w:pgSz w:w="11900" w:h="16836" w:orient="portrait"/>
          <w:cols w:equalWidth="0" w:num="1">
            <w:col w:w="9840"/>
          </w:cols>
          <w:pgMar w:left="780" w:top="1173" w:right="1284" w:bottom="103" w:gutter="0" w:footer="0" w:header="0"/>
        </w:sectPr>
      </w:pPr>
    </w:p>
    <w:bookmarkStart w:id="279" w:name="page280"/>
    <w:bookmarkEnd w:id="279"/>
    <w:p>
      <w:pPr>
        <w:ind w:left="388" w:hanging="388"/>
        <w:spacing w:after="0"/>
        <w:tabs>
          <w:tab w:leader="none" w:pos="388" w:val="left"/>
        </w:tabs>
        <w:numPr>
          <w:ilvl w:val="0"/>
          <w:numId w:val="95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Return on net worth</w:t>
      </w:r>
    </w:p>
    <w:p>
      <w:pPr>
        <w:spacing w:after="0" w:line="338" w:lineRule="exact"/>
        <w:rPr>
          <w:rFonts w:ascii="Times New Roman" w:cs="Times New Roman" w:eastAsia="Times New Roman" w:hAnsi="Times New Roman"/>
          <w:sz w:val="24"/>
          <w:szCs w:val="24"/>
          <w:color w:val="auto"/>
        </w:rPr>
      </w:pPr>
    </w:p>
    <w:p>
      <w:pPr>
        <w:ind w:left="388" w:hanging="388"/>
        <w:spacing w:after="0"/>
        <w:tabs>
          <w:tab w:leader="none" w:pos="388" w:val="left"/>
        </w:tabs>
        <w:numPr>
          <w:ilvl w:val="0"/>
          <w:numId w:val="95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Net Asset Value per Share</w:t>
      </w:r>
    </w:p>
    <w:p>
      <w:pPr>
        <w:spacing w:after="0" w:line="338" w:lineRule="exact"/>
        <w:rPr>
          <w:rFonts w:ascii="Times New Roman" w:cs="Times New Roman" w:eastAsia="Times New Roman" w:hAnsi="Times New Roman"/>
          <w:sz w:val="24"/>
          <w:szCs w:val="24"/>
          <w:color w:val="auto"/>
        </w:rPr>
      </w:pPr>
    </w:p>
    <w:p>
      <w:pPr>
        <w:ind w:left="388" w:hanging="388"/>
        <w:spacing w:after="0"/>
        <w:tabs>
          <w:tab w:leader="none" w:pos="388" w:val="left"/>
        </w:tabs>
        <w:numPr>
          <w:ilvl w:val="0"/>
          <w:numId w:val="95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EBITDA</w:t>
      </w:r>
    </w:p>
    <w:p>
      <w:pPr>
        <w:spacing w:after="0" w:line="348" w:lineRule="exact"/>
        <w:rPr>
          <w:rFonts w:ascii="Times New Roman" w:cs="Times New Roman" w:eastAsia="Times New Roman" w:hAnsi="Times New Roman"/>
          <w:sz w:val="24"/>
          <w:szCs w:val="24"/>
          <w:color w:val="auto"/>
        </w:rPr>
      </w:pPr>
    </w:p>
    <w:p>
      <w:pPr>
        <w:jc w:val="both"/>
        <w:ind w:left="2068" w:right="564" w:hanging="512"/>
        <w:spacing w:after="0" w:line="359" w:lineRule="auto"/>
        <w:tabs>
          <w:tab w:leader="none" w:pos="2070" w:val="left"/>
        </w:tabs>
        <w:numPr>
          <w:ilvl w:val="1"/>
          <w:numId w:val="95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Proforma financial statements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The Issuer shall provide pro forma</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financial statements, as certified by the statutory auditor, of all the subsidiaries or businesses material to the consolidated financial statements where the issuer or its subsidiaries have made an acquisition or divestment including deemed disposal after the latest period for which financial information is disclosed in the letter of offer but before the date of filing of the letter of offer. For this purpose, the acquisition/divestment would be considered as material if acquired/ divested business or subsidiary in aggregate contributes 20% or more to turnover, net worth or profit before tax in the latest annual consolidated financial statements of the issuer. The pro forma financial statements shall be prepared for the last completed financial year and the stub period (if any). The pro forma financial statements shall be prepared in accordance with the Guidance Note issued by the ICAI from time to time and certified by the statutory auditor. The issuer company may voluntarily choose to provide pro forma financial statements of acquisitions even when they are below the above materiality threshold. In case of one or more acquisitions or divestments, one combined set of pro forma financial statements should be presented. Where the businesses acquired/ divested does not represent a separate entity, general purpose financial statement may not be available for such business. In such cases, combined/ carved-out financial statements for such businesses shall be prepared in accordance with the Guidance Note issued by the ICAI from time to time. Further, in case of non-material acquisitions/divestments, disclosures in relation to the fact of the acquisition/divestment, consideration paid/received and mode of financing shall be certified by the statutory auditor of the issuer company.</w:t>
      </w:r>
    </w:p>
    <w:p>
      <w:pPr>
        <w:spacing w:after="0" w:line="234" w:lineRule="exact"/>
        <w:rPr>
          <w:rFonts w:ascii="Times New Roman" w:cs="Times New Roman" w:eastAsia="Times New Roman" w:hAnsi="Times New Roman"/>
          <w:sz w:val="24"/>
          <w:szCs w:val="24"/>
          <w:b w:val="1"/>
          <w:bCs w:val="1"/>
          <w:color w:val="auto"/>
        </w:rPr>
      </w:pPr>
    </w:p>
    <w:p>
      <w:pPr>
        <w:jc w:val="both"/>
        <w:ind w:left="2068" w:right="564" w:hanging="512"/>
        <w:spacing w:after="0" w:line="350" w:lineRule="auto"/>
        <w:tabs>
          <w:tab w:leader="none" w:pos="2070" w:val="left"/>
        </w:tabs>
        <w:numPr>
          <w:ilvl w:val="1"/>
          <w:numId w:val="95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Audit Qualification. </w:t>
      </w:r>
      <w:r>
        <w:rPr>
          <w:rFonts w:ascii="Times New Roman" w:cs="Times New Roman" w:eastAsia="Times New Roman" w:hAnsi="Times New Roman"/>
          <w:sz w:val="24"/>
          <w:szCs w:val="24"/>
          <w:color w:val="auto"/>
        </w:rPr>
        <w:t>If the auditors’ report for the latest full year or</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limited review report for the latest stub period on the financial</w:t>
      </w:r>
    </w:p>
    <w:p>
      <w:pPr>
        <w:spacing w:after="0" w:line="296" w:lineRule="exact"/>
        <w:rPr>
          <w:sz w:val="20"/>
          <w:szCs w:val="20"/>
          <w:color w:val="auto"/>
        </w:rPr>
      </w:pPr>
    </w:p>
    <w:p>
      <w:pPr>
        <w:jc w:val="center"/>
        <w:ind w:right="-163"/>
        <w:spacing w:after="0"/>
        <w:rPr>
          <w:sz w:val="20"/>
          <w:szCs w:val="20"/>
          <w:color w:val="auto"/>
        </w:rPr>
      </w:pPr>
      <w:r>
        <w:rPr>
          <w:rFonts w:ascii="Times New Roman" w:cs="Times New Roman" w:eastAsia="Times New Roman" w:hAnsi="Times New Roman"/>
          <w:sz w:val="24"/>
          <w:szCs w:val="24"/>
          <w:color w:val="auto"/>
        </w:rPr>
        <w:t>280</w:t>
      </w:r>
    </w:p>
    <w:p>
      <w:pPr>
        <w:sectPr>
          <w:pgSz w:w="11900" w:h="16836" w:orient="portrait"/>
          <w:cols w:equalWidth="0" w:num="1">
            <w:col w:w="9312"/>
          </w:cols>
          <w:pgMar w:left="1152" w:top="1144" w:right="1440" w:bottom="103" w:gutter="0" w:footer="0" w:header="0"/>
        </w:sectPr>
      </w:pPr>
    </w:p>
    <w:bookmarkStart w:id="280" w:name="page281"/>
    <w:bookmarkEnd w:id="280"/>
    <w:p>
      <w:pPr>
        <w:jc w:val="both"/>
        <w:ind w:left="1780" w:right="564"/>
        <w:spacing w:after="0" w:line="359" w:lineRule="auto"/>
        <w:rPr>
          <w:sz w:val="20"/>
          <w:szCs w:val="20"/>
          <w:color w:val="auto"/>
        </w:rPr>
      </w:pPr>
      <w:r>
        <w:rPr>
          <w:rFonts w:ascii="Times New Roman" w:cs="Times New Roman" w:eastAsia="Times New Roman" w:hAnsi="Times New Roman"/>
          <w:sz w:val="24"/>
          <w:szCs w:val="24"/>
          <w:color w:val="auto"/>
        </w:rPr>
        <w:t>statements is modified, the issuer shall comply with the requirements of the Securities and Exchange Board of India (Listing Obligations and Disclosure Requirements) Regulations, 2015 in relation to audit report with modified opinion prior to issuing the final letter of offer, including issuing a Statement on Impact of Audit Qualifications in the format specified by the Board from time to time. The impact of any modification of auditors’ opinion (where quantifiable), whether such modification is included in the audited report for the latest full year or limited review report for the latest stub period, shall be shown as adjustments in the line items specified by the Board from time to time to the extent possible for all the financial periods (full-year or stub) presented in the letter of offer, including any comparative prior year periods. Any type of audit modification (qualification, disclaimer or emphasis of matter) shall also be disclosed appropriately in the letter of offer, including as risk factor.</w:t>
      </w:r>
    </w:p>
    <w:p>
      <w:pPr>
        <w:spacing w:after="0" w:line="220" w:lineRule="exact"/>
        <w:rPr>
          <w:sz w:val="20"/>
          <w:szCs w:val="20"/>
          <w:color w:val="auto"/>
        </w:rPr>
      </w:pPr>
    </w:p>
    <w:p>
      <w:pPr>
        <w:jc w:val="both"/>
        <w:ind w:left="1220" w:right="584" w:hanging="791"/>
        <w:spacing w:after="0" w:line="348" w:lineRule="auto"/>
        <w:tabs>
          <w:tab w:leader="none" w:pos="1200" w:val="left"/>
        </w:tabs>
        <w:rPr>
          <w:sz w:val="20"/>
          <w:szCs w:val="20"/>
          <w:color w:val="auto"/>
        </w:rPr>
      </w:pPr>
      <w:r>
        <w:rPr>
          <w:rFonts w:ascii="Times New Roman" w:cs="Times New Roman" w:eastAsia="Times New Roman" w:hAnsi="Times New Roman"/>
          <w:sz w:val="24"/>
          <w:szCs w:val="24"/>
          <w:b w:val="1"/>
          <w:bCs w:val="1"/>
          <w:color w:val="auto"/>
        </w:rPr>
        <w:t>(XII)</w:t>
      </w:r>
      <w:r>
        <w:rPr>
          <w:sz w:val="20"/>
          <w:szCs w:val="20"/>
          <w:color w:val="auto"/>
        </w:rPr>
        <w:tab/>
      </w:r>
      <w:r>
        <w:rPr>
          <w:rFonts w:ascii="Times New Roman" w:cs="Times New Roman" w:eastAsia="Times New Roman" w:hAnsi="Times New Roman"/>
          <w:sz w:val="24"/>
          <w:szCs w:val="24"/>
          <w:color w:val="auto"/>
        </w:rPr>
        <w:t>A statement to the effect that the price has been arrived at in consultation between the issuer and the lead manager(s).</w:t>
      </w:r>
    </w:p>
    <w:p>
      <w:pPr>
        <w:spacing w:after="0" w:line="232" w:lineRule="exact"/>
        <w:rPr>
          <w:sz w:val="20"/>
          <w:szCs w:val="20"/>
          <w:color w:val="auto"/>
        </w:rPr>
      </w:pPr>
    </w:p>
    <w:p>
      <w:pPr>
        <w:jc w:val="both"/>
        <w:ind w:left="1220" w:right="564" w:hanging="791"/>
        <w:spacing w:after="0" w:line="348" w:lineRule="auto"/>
        <w:tabs>
          <w:tab w:leader="none" w:pos="1200" w:val="left"/>
        </w:tabs>
        <w:rPr>
          <w:sz w:val="20"/>
          <w:szCs w:val="20"/>
          <w:color w:val="auto"/>
        </w:rPr>
      </w:pPr>
      <w:r>
        <w:rPr>
          <w:rFonts w:ascii="Times New Roman" w:cs="Times New Roman" w:eastAsia="Times New Roman" w:hAnsi="Times New Roman"/>
          <w:sz w:val="24"/>
          <w:szCs w:val="24"/>
          <w:b w:val="1"/>
          <w:bCs w:val="1"/>
          <w:color w:val="auto"/>
        </w:rPr>
        <w:t>(XIII)</w:t>
        <w:tab/>
        <w:t>Management Discussion and Analysis of financial condition and results of operations.</w:t>
      </w:r>
    </w:p>
    <w:p>
      <w:pPr>
        <w:spacing w:after="0" w:line="222" w:lineRule="exact"/>
        <w:rPr>
          <w:sz w:val="20"/>
          <w:szCs w:val="20"/>
          <w:color w:val="auto"/>
        </w:rPr>
      </w:pPr>
    </w:p>
    <w:p>
      <w:pPr>
        <w:jc w:val="both"/>
        <w:ind w:left="1220" w:right="564" w:hanging="791"/>
        <w:spacing w:after="0" w:line="354" w:lineRule="auto"/>
        <w:tabs>
          <w:tab w:leader="none" w:pos="1200" w:val="left"/>
        </w:tabs>
        <w:rPr>
          <w:sz w:val="20"/>
          <w:szCs w:val="20"/>
          <w:color w:val="auto"/>
        </w:rPr>
      </w:pPr>
      <w:r>
        <w:rPr>
          <w:rFonts w:ascii="Times New Roman" w:cs="Times New Roman" w:eastAsia="Times New Roman" w:hAnsi="Times New Roman"/>
          <w:sz w:val="24"/>
          <w:szCs w:val="24"/>
          <w:b w:val="1"/>
          <w:bCs w:val="1"/>
          <w:color w:val="auto"/>
        </w:rPr>
        <w:t>(XIV)</w:t>
        <w:tab/>
        <w:t>Disclosures pertaining to wilful defaulters</w:t>
      </w:r>
      <w:r>
        <w:rPr>
          <w:rFonts w:ascii="Times New Roman" w:cs="Times New Roman" w:eastAsia="Times New Roman" w:hAnsi="Times New Roman"/>
          <w:sz w:val="24"/>
          <w:szCs w:val="24"/>
          <w:color w:val="auto"/>
        </w:rPr>
        <w:t>: If the issuer or any of its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promoter or director has been declared as a wilful defaulter, it shall make the following disclosures with respect to each such person separately:</w:t>
      </w:r>
    </w:p>
    <w:p>
      <w:pPr>
        <w:spacing w:after="0" w:line="210" w:lineRule="exact"/>
        <w:rPr>
          <w:sz w:val="20"/>
          <w:szCs w:val="20"/>
          <w:color w:val="auto"/>
        </w:rPr>
      </w:pPr>
    </w:p>
    <w:p>
      <w:pPr>
        <w:ind w:left="1900" w:hanging="325"/>
        <w:spacing w:after="0"/>
        <w:tabs>
          <w:tab w:leader="none" w:pos="1900" w:val="left"/>
        </w:tabs>
        <w:numPr>
          <w:ilvl w:val="0"/>
          <w:numId w:val="95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 of the person declared as a wilful defaulter;</w:t>
      </w:r>
    </w:p>
    <w:p>
      <w:pPr>
        <w:spacing w:after="0" w:line="338" w:lineRule="exact"/>
        <w:rPr>
          <w:rFonts w:ascii="Times New Roman" w:cs="Times New Roman" w:eastAsia="Times New Roman" w:hAnsi="Times New Roman"/>
          <w:sz w:val="24"/>
          <w:szCs w:val="24"/>
          <w:color w:val="auto"/>
        </w:rPr>
      </w:pPr>
    </w:p>
    <w:p>
      <w:pPr>
        <w:ind w:left="1920" w:hanging="345"/>
        <w:spacing w:after="0"/>
        <w:tabs>
          <w:tab w:leader="none" w:pos="1920" w:val="left"/>
        </w:tabs>
        <w:numPr>
          <w:ilvl w:val="0"/>
          <w:numId w:val="95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 of the bank declaring the person as a wilful defaulter;</w:t>
      </w:r>
    </w:p>
    <w:p>
      <w:pPr>
        <w:spacing w:after="0" w:line="338" w:lineRule="exact"/>
        <w:rPr>
          <w:rFonts w:ascii="Times New Roman" w:cs="Times New Roman" w:eastAsia="Times New Roman" w:hAnsi="Times New Roman"/>
          <w:sz w:val="24"/>
          <w:szCs w:val="24"/>
          <w:color w:val="auto"/>
        </w:rPr>
      </w:pPr>
    </w:p>
    <w:p>
      <w:pPr>
        <w:ind w:left="1900" w:hanging="325"/>
        <w:spacing w:after="0"/>
        <w:tabs>
          <w:tab w:leader="none" w:pos="1900" w:val="left"/>
        </w:tabs>
        <w:numPr>
          <w:ilvl w:val="0"/>
          <w:numId w:val="95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Year in which the person was declared as a wilful defaulter;</w:t>
      </w:r>
    </w:p>
    <w:p>
      <w:pPr>
        <w:spacing w:after="0" w:line="347" w:lineRule="exact"/>
        <w:rPr>
          <w:rFonts w:ascii="Times New Roman" w:cs="Times New Roman" w:eastAsia="Times New Roman" w:hAnsi="Times New Roman"/>
          <w:sz w:val="24"/>
          <w:szCs w:val="24"/>
          <w:color w:val="auto"/>
        </w:rPr>
      </w:pPr>
    </w:p>
    <w:p>
      <w:pPr>
        <w:ind w:left="1920" w:hanging="345"/>
        <w:spacing w:after="0"/>
        <w:tabs>
          <w:tab w:leader="none" w:pos="1920" w:val="left"/>
        </w:tabs>
        <w:numPr>
          <w:ilvl w:val="0"/>
          <w:numId w:val="955"/>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Outstanding amount when the person was declared as a wilful defaulter;</w:t>
      </w:r>
    </w:p>
    <w:p>
      <w:pPr>
        <w:spacing w:after="0" w:line="350" w:lineRule="exact"/>
        <w:rPr>
          <w:rFonts w:ascii="Times New Roman" w:cs="Times New Roman" w:eastAsia="Times New Roman" w:hAnsi="Times New Roman"/>
          <w:sz w:val="23"/>
          <w:szCs w:val="23"/>
          <w:color w:val="auto"/>
        </w:rPr>
      </w:pPr>
    </w:p>
    <w:p>
      <w:pPr>
        <w:ind w:left="1940" w:right="564" w:hanging="365"/>
        <w:spacing w:after="0" w:line="350" w:lineRule="auto"/>
        <w:tabs>
          <w:tab w:leader="none" w:pos="1945" w:val="left"/>
        </w:tabs>
        <w:numPr>
          <w:ilvl w:val="0"/>
          <w:numId w:val="95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Steps taken, if any, by the person for removal of its name from the list of wilful defaulters;</w:t>
      </w:r>
    </w:p>
    <w:p>
      <w:pPr>
        <w:spacing w:after="0" w:line="225" w:lineRule="exact"/>
        <w:rPr>
          <w:rFonts w:ascii="Times New Roman" w:cs="Times New Roman" w:eastAsia="Times New Roman" w:hAnsi="Times New Roman"/>
          <w:sz w:val="24"/>
          <w:szCs w:val="24"/>
          <w:color w:val="auto"/>
        </w:rPr>
      </w:pPr>
    </w:p>
    <w:p>
      <w:pPr>
        <w:ind w:left="1940" w:right="564" w:hanging="365"/>
        <w:spacing w:after="0" w:line="348" w:lineRule="auto"/>
        <w:tabs>
          <w:tab w:leader="none" w:pos="1902" w:val="left"/>
        </w:tabs>
        <w:numPr>
          <w:ilvl w:val="0"/>
          <w:numId w:val="95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Other disclosures, as deemed fit by the issuer, in order to enable investors to take an informed decision;</w:t>
      </w:r>
    </w:p>
    <w:p>
      <w:pPr>
        <w:spacing w:after="0" w:line="200" w:lineRule="exact"/>
        <w:rPr>
          <w:sz w:val="20"/>
          <w:szCs w:val="20"/>
          <w:color w:val="auto"/>
        </w:rPr>
      </w:pPr>
    </w:p>
    <w:p>
      <w:pPr>
        <w:spacing w:after="0" w:line="341" w:lineRule="exact"/>
        <w:rPr>
          <w:sz w:val="20"/>
          <w:szCs w:val="20"/>
          <w:color w:val="auto"/>
        </w:rPr>
      </w:pPr>
    </w:p>
    <w:p>
      <w:pPr>
        <w:jc w:val="center"/>
        <w:ind w:right="124"/>
        <w:spacing w:after="0"/>
        <w:rPr>
          <w:sz w:val="20"/>
          <w:szCs w:val="20"/>
          <w:color w:val="auto"/>
        </w:rPr>
      </w:pPr>
      <w:r>
        <w:rPr>
          <w:rFonts w:ascii="Times New Roman" w:cs="Times New Roman" w:eastAsia="Times New Roman" w:hAnsi="Times New Roman"/>
          <w:sz w:val="24"/>
          <w:szCs w:val="24"/>
          <w:color w:val="auto"/>
        </w:rPr>
        <w:t>281</w:t>
      </w:r>
    </w:p>
    <w:p>
      <w:pPr>
        <w:sectPr>
          <w:pgSz w:w="11900" w:h="16836" w:orient="portrait"/>
          <w:cols w:equalWidth="0" w:num="1">
            <w:col w:w="9024"/>
          </w:cols>
          <w:pgMar w:left="1440" w:top="1156" w:right="1440" w:bottom="103" w:gutter="0" w:footer="0" w:header="0"/>
        </w:sectPr>
      </w:pPr>
    </w:p>
    <w:bookmarkStart w:id="281" w:name="page282"/>
    <w:bookmarkEnd w:id="281"/>
    <w:p>
      <w:pPr>
        <w:ind w:left="1580"/>
        <w:spacing w:after="0"/>
        <w:rPr>
          <w:sz w:val="20"/>
          <w:szCs w:val="20"/>
          <w:color w:val="auto"/>
        </w:rPr>
      </w:pPr>
      <w:r>
        <w:rPr>
          <w:rFonts w:ascii="Times New Roman" w:cs="Times New Roman" w:eastAsia="Times New Roman" w:hAnsi="Times New Roman"/>
          <w:sz w:val="24"/>
          <w:szCs w:val="24"/>
          <w:color w:val="auto"/>
        </w:rPr>
        <w:t>(g) Any other disclosure as specified by the Board.</w:t>
      </w:r>
    </w:p>
    <w:p>
      <w:pPr>
        <w:spacing w:after="0" w:line="339" w:lineRule="exact"/>
        <w:rPr>
          <w:sz w:val="20"/>
          <w:szCs w:val="20"/>
          <w:color w:val="auto"/>
        </w:rPr>
      </w:pPr>
    </w:p>
    <w:p>
      <w:pPr>
        <w:ind w:left="440"/>
        <w:spacing w:after="0"/>
        <w:tabs>
          <w:tab w:leader="none" w:pos="1260" w:val="left"/>
        </w:tabs>
        <w:rPr>
          <w:sz w:val="20"/>
          <w:szCs w:val="20"/>
          <w:color w:val="auto"/>
        </w:rPr>
      </w:pPr>
      <w:r>
        <w:rPr>
          <w:rFonts w:ascii="Times New Roman" w:cs="Times New Roman" w:eastAsia="Times New Roman" w:hAnsi="Times New Roman"/>
          <w:sz w:val="24"/>
          <w:szCs w:val="24"/>
          <w:b w:val="1"/>
          <w:bCs w:val="1"/>
          <w:color w:val="auto"/>
        </w:rPr>
        <w:t>(XV)</w:t>
      </w:r>
      <w:r>
        <w:rPr>
          <w:sz w:val="20"/>
          <w:szCs w:val="20"/>
          <w:color w:val="auto"/>
        </w:rPr>
        <w:tab/>
      </w:r>
      <w:r>
        <w:rPr>
          <w:rFonts w:ascii="Times New Roman" w:cs="Times New Roman" w:eastAsia="Times New Roman" w:hAnsi="Times New Roman"/>
          <w:sz w:val="24"/>
          <w:szCs w:val="24"/>
          <w:b w:val="1"/>
          <w:bCs w:val="1"/>
          <w:color w:val="auto"/>
        </w:rPr>
        <w:t>Outstanding Litigations and Defaults</w:t>
      </w:r>
      <w:r>
        <w:rPr>
          <w:rFonts w:ascii="Times New Roman" w:cs="Times New Roman" w:eastAsia="Times New Roman" w:hAnsi="Times New Roman"/>
          <w:sz w:val="24"/>
          <w:szCs w:val="24"/>
          <w:color w:val="auto"/>
        </w:rPr>
        <w:t>:</w:t>
      </w:r>
    </w:p>
    <w:p>
      <w:pPr>
        <w:spacing w:after="0" w:line="351" w:lineRule="exact"/>
        <w:rPr>
          <w:sz w:val="20"/>
          <w:szCs w:val="20"/>
          <w:color w:val="auto"/>
        </w:rPr>
      </w:pPr>
    </w:p>
    <w:p>
      <w:pPr>
        <w:jc w:val="both"/>
        <w:ind w:left="1780" w:right="564" w:hanging="512"/>
        <w:spacing w:after="0" w:line="354" w:lineRule="auto"/>
        <w:tabs>
          <w:tab w:leader="none" w:pos="1782" w:val="left"/>
        </w:tabs>
        <w:numPr>
          <w:ilvl w:val="0"/>
          <w:numId w:val="95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Pending matters which, if they result in an adverse outcome, would materially and adversely affect the operations or the financial position of the issuer.</w:t>
      </w:r>
    </w:p>
    <w:p>
      <w:pPr>
        <w:spacing w:after="0" w:line="206" w:lineRule="exact"/>
        <w:rPr>
          <w:rFonts w:ascii="Times New Roman" w:cs="Times New Roman" w:eastAsia="Times New Roman" w:hAnsi="Times New Roman"/>
          <w:sz w:val="24"/>
          <w:szCs w:val="24"/>
          <w:b w:val="1"/>
          <w:bCs w:val="1"/>
          <w:color w:val="auto"/>
        </w:rPr>
      </w:pPr>
    </w:p>
    <w:p>
      <w:pPr>
        <w:ind w:left="1780" w:hanging="512"/>
        <w:spacing w:after="0"/>
        <w:tabs>
          <w:tab w:leader="none" w:pos="1780" w:val="left"/>
        </w:tabs>
        <w:numPr>
          <w:ilvl w:val="0"/>
          <w:numId w:val="95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Matters which are pending:</w:t>
      </w:r>
    </w:p>
    <w:p>
      <w:pPr>
        <w:spacing w:after="0" w:line="350" w:lineRule="exact"/>
        <w:rPr>
          <w:rFonts w:ascii="Times New Roman" w:cs="Times New Roman" w:eastAsia="Times New Roman" w:hAnsi="Times New Roman"/>
          <w:sz w:val="24"/>
          <w:szCs w:val="24"/>
          <w:b w:val="1"/>
          <w:bCs w:val="1"/>
          <w:color w:val="auto"/>
        </w:rPr>
      </w:pPr>
    </w:p>
    <w:p>
      <w:pPr>
        <w:ind w:left="2280" w:hanging="508"/>
        <w:spacing w:after="0"/>
        <w:tabs>
          <w:tab w:leader="none" w:pos="2280" w:val="left"/>
        </w:tabs>
        <w:numPr>
          <w:ilvl w:val="1"/>
          <w:numId w:val="956"/>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Issues of moral turpitude or criminal liability on the part of the issuer,</w:t>
      </w:r>
    </w:p>
    <w:p>
      <w:pPr>
        <w:spacing w:after="0" w:line="338" w:lineRule="exact"/>
        <w:rPr>
          <w:rFonts w:ascii="Times New Roman" w:cs="Times New Roman" w:eastAsia="Times New Roman" w:hAnsi="Times New Roman"/>
          <w:sz w:val="23"/>
          <w:szCs w:val="23"/>
          <w:color w:val="auto"/>
        </w:rPr>
      </w:pPr>
    </w:p>
    <w:p>
      <w:pPr>
        <w:ind w:left="2280" w:hanging="508"/>
        <w:spacing w:after="0"/>
        <w:tabs>
          <w:tab w:leader="none" w:pos="2280" w:val="left"/>
        </w:tabs>
        <w:numPr>
          <w:ilvl w:val="1"/>
          <w:numId w:val="95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Material violations of the statutory regulations by the issuer.</w:t>
      </w:r>
    </w:p>
    <w:p>
      <w:pPr>
        <w:spacing w:after="0" w:line="350" w:lineRule="exact"/>
        <w:rPr>
          <w:rFonts w:ascii="Times New Roman" w:cs="Times New Roman" w:eastAsia="Times New Roman" w:hAnsi="Times New Roman"/>
          <w:sz w:val="24"/>
          <w:szCs w:val="24"/>
          <w:color w:val="auto"/>
        </w:rPr>
      </w:pPr>
    </w:p>
    <w:p>
      <w:pPr>
        <w:ind w:left="2280" w:right="584" w:hanging="508"/>
        <w:spacing w:after="0" w:line="348" w:lineRule="auto"/>
        <w:tabs>
          <w:tab w:leader="none" w:pos="2280" w:val="left"/>
        </w:tabs>
        <w:numPr>
          <w:ilvl w:val="1"/>
          <w:numId w:val="95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Economic offences where proceedings have been initiated against the issuer.</w:t>
      </w:r>
    </w:p>
    <w:p>
      <w:pPr>
        <w:spacing w:after="0" w:line="226" w:lineRule="exact"/>
        <w:rPr>
          <w:rFonts w:ascii="Times New Roman" w:cs="Times New Roman" w:eastAsia="Times New Roman" w:hAnsi="Times New Roman"/>
          <w:sz w:val="24"/>
          <w:szCs w:val="24"/>
          <w:color w:val="auto"/>
        </w:rPr>
      </w:pPr>
    </w:p>
    <w:p>
      <w:pPr>
        <w:jc w:val="both"/>
        <w:ind w:left="1780" w:right="564" w:hanging="512"/>
        <w:spacing w:after="0" w:line="356" w:lineRule="auto"/>
        <w:tabs>
          <w:tab w:leader="none" w:pos="1782" w:val="left"/>
        </w:tabs>
        <w:numPr>
          <w:ilvl w:val="0"/>
          <w:numId w:val="95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For the purpose of determining materiality, the threshold shall be determined by the issuer as per requirements under the Securities and Exchange Board of India (Listing Obligations and Disclosure Requirements) Regulations, 2015.</w:t>
      </w:r>
    </w:p>
    <w:p>
      <w:pPr>
        <w:spacing w:after="0" w:line="218" w:lineRule="exact"/>
        <w:rPr>
          <w:rFonts w:ascii="Times New Roman" w:cs="Times New Roman" w:eastAsia="Times New Roman" w:hAnsi="Times New Roman"/>
          <w:sz w:val="24"/>
          <w:szCs w:val="24"/>
          <w:b w:val="1"/>
          <w:bCs w:val="1"/>
          <w:color w:val="auto"/>
        </w:rPr>
      </w:pPr>
    </w:p>
    <w:p>
      <w:pPr>
        <w:jc w:val="both"/>
        <w:ind w:left="1780" w:right="564" w:hanging="512"/>
        <w:spacing w:after="0" w:line="356" w:lineRule="auto"/>
        <w:tabs>
          <w:tab w:leader="none" w:pos="1782" w:val="left"/>
        </w:tabs>
        <w:numPr>
          <w:ilvl w:val="0"/>
          <w:numId w:val="95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These disclosures shall be made in respect of the issuer and the subsidiary companies of the issuer whose financial statements are included in the draft letter of offer or letter of offer, either separately or in a consolidated form.</w:t>
      </w:r>
    </w:p>
    <w:p>
      <w:pPr>
        <w:spacing w:after="0" w:line="220" w:lineRule="exact"/>
        <w:rPr>
          <w:sz w:val="20"/>
          <w:szCs w:val="20"/>
          <w:color w:val="auto"/>
        </w:rPr>
      </w:pPr>
    </w:p>
    <w:p>
      <w:pPr>
        <w:jc w:val="both"/>
        <w:ind w:left="1220" w:right="564" w:hanging="791"/>
        <w:spacing w:after="0" w:line="354" w:lineRule="auto"/>
        <w:tabs>
          <w:tab w:leader="none" w:pos="1200" w:val="left"/>
        </w:tabs>
        <w:rPr>
          <w:sz w:val="20"/>
          <w:szCs w:val="20"/>
          <w:color w:val="auto"/>
        </w:rPr>
      </w:pPr>
      <w:r>
        <w:rPr>
          <w:rFonts w:ascii="Times New Roman" w:cs="Times New Roman" w:eastAsia="Times New Roman" w:hAnsi="Times New Roman"/>
          <w:sz w:val="24"/>
          <w:szCs w:val="24"/>
          <w:b w:val="1"/>
          <w:bCs w:val="1"/>
          <w:color w:val="auto"/>
        </w:rPr>
        <w:t>(XVI)</w:t>
        <w:tab/>
        <w:t xml:space="preserve">Government Approvals or Licensing Arrangements: </w:t>
      </w:r>
      <w:r>
        <w:rPr>
          <w:rFonts w:ascii="Times New Roman" w:cs="Times New Roman" w:eastAsia="Times New Roman" w:hAnsi="Times New Roman"/>
          <w:sz w:val="24"/>
          <w:szCs w:val="24"/>
          <w:color w:val="auto"/>
        </w:rPr>
        <w:t>All material</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pending government and regulatory approvals pertaining to the objects of the issue.</w:t>
      </w:r>
    </w:p>
    <w:p>
      <w:pPr>
        <w:spacing w:after="0" w:line="222" w:lineRule="exact"/>
        <w:rPr>
          <w:sz w:val="20"/>
          <w:szCs w:val="20"/>
          <w:color w:val="auto"/>
        </w:rPr>
      </w:pPr>
    </w:p>
    <w:p>
      <w:pPr>
        <w:jc w:val="both"/>
        <w:ind w:left="1220" w:right="564" w:hanging="791"/>
        <w:spacing w:after="0" w:line="353" w:lineRule="auto"/>
        <w:rPr>
          <w:sz w:val="20"/>
          <w:szCs w:val="20"/>
          <w:color w:val="auto"/>
        </w:rPr>
      </w:pPr>
      <w:r>
        <w:rPr>
          <w:rFonts w:ascii="Times New Roman" w:cs="Times New Roman" w:eastAsia="Times New Roman" w:hAnsi="Times New Roman"/>
          <w:sz w:val="24"/>
          <w:szCs w:val="24"/>
          <w:b w:val="1"/>
          <w:bCs w:val="1"/>
          <w:color w:val="auto"/>
        </w:rPr>
        <w:t xml:space="preserve">(XVII) Material Developments: </w:t>
      </w:r>
      <w:r>
        <w:rPr>
          <w:rFonts w:ascii="Times New Roman" w:cs="Times New Roman" w:eastAsia="Times New Roman" w:hAnsi="Times New Roman"/>
          <w:sz w:val="24"/>
          <w:szCs w:val="24"/>
          <w:color w:val="auto"/>
        </w:rPr>
        <w:t>Any material development after the date of the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latest balance sheet and its impact on the performance and prospects of the issuer.</w:t>
      </w:r>
    </w:p>
    <w:p>
      <w:pPr>
        <w:spacing w:after="0" w:line="215"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4"/>
          <w:szCs w:val="24"/>
          <w:b w:val="1"/>
          <w:bCs w:val="1"/>
          <w:color w:val="auto"/>
        </w:rPr>
        <w:t>(XVIII) Other Regulatory and Statutory Disclosures:</w:t>
      </w:r>
    </w:p>
    <w:p>
      <w:pPr>
        <w:spacing w:after="0" w:line="346" w:lineRule="exact"/>
        <w:rPr>
          <w:sz w:val="20"/>
          <w:szCs w:val="20"/>
          <w:color w:val="auto"/>
        </w:rPr>
      </w:pPr>
    </w:p>
    <w:p>
      <w:pPr>
        <w:ind w:left="1780" w:right="564" w:hanging="512"/>
        <w:spacing w:after="0" w:line="350" w:lineRule="auto"/>
        <w:tabs>
          <w:tab w:leader="none" w:pos="1782" w:val="left"/>
        </w:tabs>
        <w:numPr>
          <w:ilvl w:val="0"/>
          <w:numId w:val="95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Authority for the issue and details of the resolution passed for the issue.</w:t>
      </w:r>
    </w:p>
    <w:p>
      <w:pPr>
        <w:spacing w:after="0" w:line="210" w:lineRule="exact"/>
        <w:rPr>
          <w:rFonts w:ascii="Times New Roman" w:cs="Times New Roman" w:eastAsia="Times New Roman" w:hAnsi="Times New Roman"/>
          <w:sz w:val="24"/>
          <w:szCs w:val="24"/>
          <w:b w:val="1"/>
          <w:bCs w:val="1"/>
          <w:color w:val="auto"/>
        </w:rPr>
      </w:pPr>
    </w:p>
    <w:p>
      <w:pPr>
        <w:ind w:left="1780" w:hanging="512"/>
        <w:spacing w:after="0"/>
        <w:tabs>
          <w:tab w:leader="none" w:pos="1780" w:val="left"/>
        </w:tabs>
        <w:numPr>
          <w:ilvl w:val="0"/>
          <w:numId w:val="95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 statement by the issuer that the issuer, promoters, promoter group,</w:t>
      </w: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jc w:val="center"/>
        <w:ind w:right="124"/>
        <w:spacing w:after="0"/>
        <w:rPr>
          <w:sz w:val="20"/>
          <w:szCs w:val="20"/>
          <w:color w:val="auto"/>
        </w:rPr>
      </w:pPr>
      <w:r>
        <w:rPr>
          <w:rFonts w:ascii="Times New Roman" w:cs="Times New Roman" w:eastAsia="Times New Roman" w:hAnsi="Times New Roman"/>
          <w:sz w:val="24"/>
          <w:szCs w:val="24"/>
          <w:color w:val="auto"/>
        </w:rPr>
        <w:t>282</w:t>
      </w:r>
    </w:p>
    <w:p>
      <w:pPr>
        <w:sectPr>
          <w:pgSz w:w="11900" w:h="16836" w:orient="portrait"/>
          <w:cols w:equalWidth="0" w:num="1">
            <w:col w:w="9024"/>
          </w:cols>
          <w:pgMar w:left="1440" w:top="1144" w:right="1440" w:bottom="103" w:gutter="0" w:footer="0" w:header="0"/>
        </w:sectPr>
      </w:pPr>
    </w:p>
    <w:bookmarkStart w:id="282" w:name="page283"/>
    <w:bookmarkEnd w:id="282"/>
    <w:p>
      <w:pPr>
        <w:jc w:val="both"/>
        <w:ind w:left="1780" w:right="680"/>
        <w:spacing w:after="0" w:line="356" w:lineRule="auto"/>
        <w:rPr>
          <w:sz w:val="20"/>
          <w:szCs w:val="20"/>
          <w:color w:val="auto"/>
        </w:rPr>
      </w:pPr>
      <w:r>
        <w:rPr>
          <w:rFonts w:ascii="Times New Roman" w:cs="Times New Roman" w:eastAsia="Times New Roman" w:hAnsi="Times New Roman"/>
          <w:sz w:val="24"/>
          <w:szCs w:val="24"/>
          <w:color w:val="auto"/>
        </w:rPr>
        <w:t>directors have not been or are not prohibited from accessing or operating in the capital markets or restrained from buying, selling or dealing in securities under any order or direction passed by the Board.</w:t>
      </w:r>
    </w:p>
    <w:p>
      <w:pPr>
        <w:spacing w:after="0" w:line="218" w:lineRule="exact"/>
        <w:rPr>
          <w:sz w:val="20"/>
          <w:szCs w:val="20"/>
          <w:color w:val="auto"/>
        </w:rPr>
      </w:pPr>
    </w:p>
    <w:p>
      <w:pPr>
        <w:jc w:val="both"/>
        <w:ind w:left="1780" w:right="680" w:hanging="512"/>
        <w:spacing w:after="0" w:line="356" w:lineRule="auto"/>
        <w:tabs>
          <w:tab w:leader="none" w:pos="1782" w:val="left"/>
        </w:tabs>
        <w:numPr>
          <w:ilvl w:val="0"/>
          <w:numId w:val="95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 statement by the issuer if any of the directors of the issuer are associated with the securities market in any manner, and if yes, details of any outstanding action initiated by the Board against the said entities with the relevant details.</w:t>
      </w:r>
    </w:p>
    <w:p>
      <w:pPr>
        <w:spacing w:after="0" w:line="220" w:lineRule="exact"/>
        <w:rPr>
          <w:rFonts w:ascii="Times New Roman" w:cs="Times New Roman" w:eastAsia="Times New Roman" w:hAnsi="Times New Roman"/>
          <w:sz w:val="24"/>
          <w:szCs w:val="24"/>
          <w:b w:val="1"/>
          <w:bCs w:val="1"/>
          <w:color w:val="auto"/>
        </w:rPr>
      </w:pPr>
    </w:p>
    <w:p>
      <w:pPr>
        <w:ind w:left="1780" w:right="680" w:hanging="512"/>
        <w:spacing w:after="0" w:line="348" w:lineRule="auto"/>
        <w:tabs>
          <w:tab w:leader="none" w:pos="1782" w:val="left"/>
        </w:tabs>
        <w:numPr>
          <w:ilvl w:val="0"/>
          <w:numId w:val="95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 statement by the issuer that it is in compliance with the provisions specified in Clause (1) of this Schedule.</w:t>
      </w:r>
    </w:p>
    <w:p>
      <w:pPr>
        <w:spacing w:after="0" w:line="226" w:lineRule="exact"/>
        <w:rPr>
          <w:rFonts w:ascii="Times New Roman" w:cs="Times New Roman" w:eastAsia="Times New Roman" w:hAnsi="Times New Roman"/>
          <w:sz w:val="24"/>
          <w:szCs w:val="24"/>
          <w:b w:val="1"/>
          <w:bCs w:val="1"/>
          <w:color w:val="auto"/>
        </w:rPr>
      </w:pPr>
    </w:p>
    <w:p>
      <w:pPr>
        <w:ind w:left="1780" w:hanging="512"/>
        <w:spacing w:after="0"/>
        <w:tabs>
          <w:tab w:leader="none" w:pos="1780" w:val="left"/>
        </w:tabs>
        <w:numPr>
          <w:ilvl w:val="0"/>
          <w:numId w:val="958"/>
        </w:numPr>
        <w:rPr>
          <w:rFonts w:ascii="Times New Roman" w:cs="Times New Roman" w:eastAsia="Times New Roman" w:hAnsi="Times New Roman"/>
          <w:sz w:val="23"/>
          <w:szCs w:val="23"/>
          <w:b w:val="1"/>
          <w:bCs w:val="1"/>
          <w:color w:val="auto"/>
        </w:rPr>
      </w:pPr>
      <w:r>
        <w:rPr>
          <w:rFonts w:ascii="Times New Roman" w:cs="Times New Roman" w:eastAsia="Times New Roman" w:hAnsi="Times New Roman"/>
          <w:sz w:val="23"/>
          <w:szCs w:val="23"/>
          <w:color w:val="auto"/>
        </w:rPr>
        <w:t>For a fast track issue, details of compliance with the eligibility requirements.</w:t>
      </w:r>
    </w:p>
    <w:p>
      <w:pPr>
        <w:spacing w:after="0" w:line="338" w:lineRule="exact"/>
        <w:rPr>
          <w:rFonts w:ascii="Times New Roman" w:cs="Times New Roman" w:eastAsia="Times New Roman" w:hAnsi="Times New Roman"/>
          <w:sz w:val="23"/>
          <w:szCs w:val="23"/>
          <w:b w:val="1"/>
          <w:bCs w:val="1"/>
          <w:color w:val="auto"/>
        </w:rPr>
      </w:pPr>
    </w:p>
    <w:p>
      <w:pPr>
        <w:ind w:left="1780" w:hanging="512"/>
        <w:spacing w:after="0"/>
        <w:tabs>
          <w:tab w:leader="none" w:pos="1780" w:val="left"/>
        </w:tabs>
        <w:numPr>
          <w:ilvl w:val="0"/>
          <w:numId w:val="95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Disclaimer clauses:</w:t>
      </w:r>
    </w:p>
    <w:p>
      <w:pPr>
        <w:spacing w:after="0" w:line="348" w:lineRule="exact"/>
        <w:rPr>
          <w:rFonts w:ascii="Times New Roman" w:cs="Times New Roman" w:eastAsia="Times New Roman" w:hAnsi="Times New Roman"/>
          <w:sz w:val="24"/>
          <w:szCs w:val="24"/>
          <w:b w:val="1"/>
          <w:bCs w:val="1"/>
          <w:color w:val="auto"/>
        </w:rPr>
      </w:pPr>
    </w:p>
    <w:p>
      <w:pPr>
        <w:ind w:left="2280" w:right="680" w:hanging="508"/>
        <w:spacing w:after="0" w:line="350" w:lineRule="auto"/>
        <w:tabs>
          <w:tab w:leader="none" w:pos="2280" w:val="left"/>
        </w:tabs>
        <w:numPr>
          <w:ilvl w:val="1"/>
          <w:numId w:val="95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letter of offer shall contain the following disclaimer clause in bold capital letters:</w:t>
      </w:r>
    </w:p>
    <w:p>
      <w:pPr>
        <w:spacing w:after="0" w:line="225" w:lineRule="exact"/>
        <w:rPr>
          <w:rFonts w:ascii="Times New Roman" w:cs="Times New Roman" w:eastAsia="Times New Roman" w:hAnsi="Times New Roman"/>
          <w:sz w:val="24"/>
          <w:szCs w:val="24"/>
          <w:color w:val="auto"/>
        </w:rPr>
      </w:pPr>
    </w:p>
    <w:p>
      <w:pPr>
        <w:jc w:val="both"/>
        <w:ind w:left="2280" w:right="680"/>
        <w:spacing w:after="0" w:line="359"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 is to be distinctly understood that submission of Letter of Offer to SEBI should not in any way be deemed or construed that the same has been cleared or approved by SEBI. SEBI does not take any responsibility either for the financial soundness of any scheme or the project for which the issue is proposed to be made or for the correctness of the statements made or opinions expressed in the Letter of Offer. Lead manager(s), …… has certified that the disclosures made in the Letter of Offer are generally adequate and are in conformity with SEBI (Issue of Capital and Disclosure Requirements) Regulations, 2018 in force for the time being. This requirement is to facilitate investors to take an informed decision for making investment in the proposed issue.</w:t>
      </w:r>
    </w:p>
    <w:p>
      <w:pPr>
        <w:spacing w:after="0" w:line="200" w:lineRule="exact"/>
        <w:rPr>
          <w:rFonts w:ascii="Times New Roman" w:cs="Times New Roman" w:eastAsia="Times New Roman" w:hAnsi="Times New Roman"/>
          <w:sz w:val="24"/>
          <w:szCs w:val="24"/>
          <w:color w:val="auto"/>
        </w:rPr>
      </w:pPr>
    </w:p>
    <w:p>
      <w:pPr>
        <w:spacing w:after="0" w:line="230" w:lineRule="exact"/>
        <w:rPr>
          <w:rFonts w:ascii="Times New Roman" w:cs="Times New Roman" w:eastAsia="Times New Roman" w:hAnsi="Times New Roman"/>
          <w:sz w:val="24"/>
          <w:szCs w:val="24"/>
          <w:color w:val="auto"/>
        </w:rPr>
      </w:pPr>
    </w:p>
    <w:p>
      <w:pPr>
        <w:jc w:val="both"/>
        <w:ind w:left="2280" w:right="680"/>
        <w:spacing w:after="0" w:line="356"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 should also be clearly understood that while the issuer is primarily responsible for the correctness, adequacy and disclosure of all relevant information in the letter of offer, the lead manager(s) is expected to exercise due diligence to ensure</w:t>
      </w:r>
    </w:p>
    <w:p>
      <w:pPr>
        <w:spacing w:after="0" w:line="304" w:lineRule="exact"/>
        <w:rPr>
          <w:sz w:val="20"/>
          <w:szCs w:val="20"/>
          <w:color w:val="auto"/>
        </w:rPr>
      </w:pPr>
    </w:p>
    <w:p>
      <w:pPr>
        <w:jc w:val="center"/>
        <w:ind w:right="260"/>
        <w:spacing w:after="0"/>
        <w:rPr>
          <w:sz w:val="20"/>
          <w:szCs w:val="20"/>
          <w:color w:val="auto"/>
        </w:rPr>
      </w:pPr>
      <w:r>
        <w:rPr>
          <w:rFonts w:ascii="Times New Roman" w:cs="Times New Roman" w:eastAsia="Times New Roman" w:hAnsi="Times New Roman"/>
          <w:sz w:val="24"/>
          <w:szCs w:val="24"/>
          <w:color w:val="auto"/>
        </w:rPr>
        <w:t>283</w:t>
      </w:r>
    </w:p>
    <w:p>
      <w:pPr>
        <w:sectPr>
          <w:pgSz w:w="11900" w:h="16836" w:orient="portrait"/>
          <w:cols w:equalWidth="0" w:num="1">
            <w:col w:w="9140"/>
          </w:cols>
          <w:pgMar w:left="1440" w:top="1156" w:right="1324" w:bottom="103" w:gutter="0" w:footer="0" w:header="0"/>
        </w:sectPr>
      </w:pPr>
    </w:p>
    <w:bookmarkStart w:id="283" w:name="page284"/>
    <w:bookmarkEnd w:id="283"/>
    <w:p>
      <w:pPr>
        <w:ind w:left="2280" w:right="564"/>
        <w:spacing w:after="0" w:line="348" w:lineRule="auto"/>
        <w:rPr>
          <w:sz w:val="20"/>
          <w:szCs w:val="20"/>
          <w:color w:val="auto"/>
        </w:rPr>
      </w:pPr>
      <w:r>
        <w:rPr>
          <w:rFonts w:ascii="Times New Roman" w:cs="Times New Roman" w:eastAsia="Times New Roman" w:hAnsi="Times New Roman"/>
          <w:sz w:val="24"/>
          <w:szCs w:val="24"/>
          <w:color w:val="auto"/>
        </w:rPr>
        <w:t>that the issuer discharges its responsibility adequately in this behalf and towards this purpose, the lead manager(s)</w:t>
      </w:r>
    </w:p>
    <w:p>
      <w:pPr>
        <w:spacing w:after="0" w:line="28" w:lineRule="exact"/>
        <w:rPr>
          <w:sz w:val="20"/>
          <w:szCs w:val="20"/>
          <w:color w:val="auto"/>
        </w:rPr>
      </w:pPr>
    </w:p>
    <w:p>
      <w:pPr>
        <w:jc w:val="both"/>
        <w:ind w:left="2280" w:right="564" w:hanging="1"/>
        <w:spacing w:after="0" w:line="348" w:lineRule="auto"/>
        <w:tabs>
          <w:tab w:leader="none" w:pos="2921" w:val="left"/>
        </w:tabs>
        <w:numPr>
          <w:ilvl w:val="0"/>
          <w:numId w:val="95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has furnished to the Securities and Exchange Board of India (SEBI) a due diligence certificate dated …….which reads</w:t>
      </w:r>
    </w:p>
    <w:p>
      <w:pPr>
        <w:spacing w:after="0" w:line="15" w:lineRule="exact"/>
        <w:rPr>
          <w:sz w:val="20"/>
          <w:szCs w:val="20"/>
          <w:color w:val="auto"/>
        </w:rPr>
      </w:pPr>
    </w:p>
    <w:p>
      <w:pPr>
        <w:ind w:left="2280"/>
        <w:spacing w:after="0"/>
        <w:rPr>
          <w:sz w:val="20"/>
          <w:szCs w:val="20"/>
          <w:color w:val="auto"/>
        </w:rPr>
      </w:pPr>
      <w:r>
        <w:rPr>
          <w:rFonts w:ascii="Times New Roman" w:cs="Times New Roman" w:eastAsia="Times New Roman" w:hAnsi="Times New Roman"/>
          <w:sz w:val="24"/>
          <w:szCs w:val="24"/>
          <w:color w:val="auto"/>
        </w:rPr>
        <w:t>as follows:</w:t>
      </w:r>
    </w:p>
    <w:p>
      <w:pPr>
        <w:spacing w:after="0" w:line="149" w:lineRule="exact"/>
        <w:rPr>
          <w:sz w:val="20"/>
          <w:szCs w:val="20"/>
          <w:color w:val="auto"/>
        </w:rPr>
      </w:pPr>
    </w:p>
    <w:p>
      <w:pPr>
        <w:jc w:val="both"/>
        <w:ind w:left="2280" w:right="564"/>
        <w:spacing w:after="0" w:line="350" w:lineRule="auto"/>
        <w:rPr>
          <w:sz w:val="20"/>
          <w:szCs w:val="20"/>
          <w:color w:val="auto"/>
        </w:rPr>
      </w:pPr>
      <w:r>
        <w:rPr>
          <w:rFonts w:ascii="Times New Roman" w:cs="Times New Roman" w:eastAsia="Times New Roman" w:hAnsi="Times New Roman"/>
          <w:sz w:val="24"/>
          <w:szCs w:val="24"/>
          <w:i w:val="1"/>
          <w:iCs w:val="1"/>
          <w:color w:val="auto"/>
        </w:rPr>
        <w:t>(due diligence certificate submitted to the Board to be reproduced here)</w:t>
      </w:r>
    </w:p>
    <w:p>
      <w:pPr>
        <w:spacing w:after="0" w:line="200" w:lineRule="exact"/>
        <w:rPr>
          <w:sz w:val="20"/>
          <w:szCs w:val="20"/>
          <w:color w:val="auto"/>
        </w:rPr>
      </w:pPr>
    </w:p>
    <w:p>
      <w:pPr>
        <w:spacing w:after="0" w:line="239" w:lineRule="exact"/>
        <w:rPr>
          <w:sz w:val="20"/>
          <w:szCs w:val="20"/>
          <w:color w:val="auto"/>
        </w:rPr>
      </w:pPr>
    </w:p>
    <w:p>
      <w:pPr>
        <w:jc w:val="both"/>
        <w:ind w:left="2280" w:right="564"/>
        <w:spacing w:after="0" w:line="358" w:lineRule="auto"/>
        <w:rPr>
          <w:sz w:val="20"/>
          <w:szCs w:val="20"/>
          <w:color w:val="auto"/>
        </w:rPr>
      </w:pPr>
      <w:r>
        <w:rPr>
          <w:rFonts w:ascii="Times New Roman" w:cs="Times New Roman" w:eastAsia="Times New Roman" w:hAnsi="Times New Roman"/>
          <w:sz w:val="24"/>
          <w:szCs w:val="24"/>
          <w:color w:val="auto"/>
        </w:rPr>
        <w:t>The filing of the letter of offer does not, however, absolve the issuer from any liabilities under the Companies Act, 2013 or from the requirement of obtaining such statutory or other clearances as may be required for the purpose of the proposed issue. SEBI further reserves the right to take up, at any point of time, with the lead manager(s) any irregularities or lapses in letter of offer."</w:t>
      </w:r>
    </w:p>
    <w:p>
      <w:pPr>
        <w:spacing w:after="0" w:line="3" w:lineRule="exact"/>
        <w:rPr>
          <w:sz w:val="20"/>
          <w:szCs w:val="20"/>
          <w:color w:val="auto"/>
        </w:rPr>
      </w:pPr>
    </w:p>
    <w:p>
      <w:pPr>
        <w:ind w:left="2280" w:hanging="508"/>
        <w:spacing w:after="0"/>
        <w:tabs>
          <w:tab w:leader="none" w:pos="2280" w:val="left"/>
        </w:tabs>
        <w:numPr>
          <w:ilvl w:val="0"/>
          <w:numId w:val="96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Disclaimer statement from the issuer and lead manager(s):</w:t>
      </w:r>
    </w:p>
    <w:p>
      <w:pPr>
        <w:spacing w:after="0" w:line="351" w:lineRule="exact"/>
        <w:rPr>
          <w:rFonts w:ascii="Times New Roman" w:cs="Times New Roman" w:eastAsia="Times New Roman" w:hAnsi="Times New Roman"/>
          <w:sz w:val="24"/>
          <w:szCs w:val="24"/>
          <w:color w:val="auto"/>
        </w:rPr>
      </w:pPr>
    </w:p>
    <w:p>
      <w:pPr>
        <w:jc w:val="both"/>
        <w:ind w:left="2280" w:right="564"/>
        <w:spacing w:after="0" w:line="358"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statement to the effect that the issuer and the lead manager(s) accept no responsibility for statements made otherwise than in the Letter of Offer or in the advertisement or any other material issued by or at the instance of the issuer and that anyone placing reliance on any other source of information would be doing so at their own risk.</w:t>
      </w:r>
    </w:p>
    <w:p>
      <w:pPr>
        <w:spacing w:after="0" w:line="14" w:lineRule="exact"/>
        <w:rPr>
          <w:rFonts w:ascii="Times New Roman" w:cs="Times New Roman" w:eastAsia="Times New Roman" w:hAnsi="Times New Roman"/>
          <w:sz w:val="24"/>
          <w:szCs w:val="24"/>
          <w:color w:val="auto"/>
        </w:rPr>
      </w:pPr>
    </w:p>
    <w:p>
      <w:pPr>
        <w:jc w:val="both"/>
        <w:ind w:left="2280" w:right="564"/>
        <w:spacing w:after="0" w:line="358"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Investors who invest in the issue will be deemed to have been represented by the issuer and lead manager(s) and their respective directors, officers, agents, affiliates and representatives that they are eligible under all applicable laws, rules, regulations, guidelines and approvals to acquire equity shares of our company, and are relying on independent advice / evaluation as to their ability and quantum of investment in this issue.</w:t>
      </w:r>
    </w:p>
    <w:p>
      <w:pPr>
        <w:spacing w:after="0" w:line="19" w:lineRule="exact"/>
        <w:rPr>
          <w:rFonts w:ascii="Times New Roman" w:cs="Times New Roman" w:eastAsia="Times New Roman" w:hAnsi="Times New Roman"/>
          <w:sz w:val="24"/>
          <w:szCs w:val="24"/>
          <w:color w:val="auto"/>
        </w:rPr>
      </w:pPr>
    </w:p>
    <w:p>
      <w:pPr>
        <w:jc w:val="both"/>
        <w:ind w:left="2280" w:right="564" w:hanging="508"/>
        <w:spacing w:after="0" w:line="354" w:lineRule="auto"/>
        <w:tabs>
          <w:tab w:leader="none" w:pos="2280" w:val="left"/>
        </w:tabs>
        <w:numPr>
          <w:ilvl w:val="0"/>
          <w:numId w:val="96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Disclaimer in respect of jurisdiction: A brief paragraph mentioning the jurisdiction under which the provisions of law and the rules and regulations are applicable to the letter of offer.</w:t>
      </w:r>
    </w:p>
    <w:p>
      <w:pPr>
        <w:spacing w:after="0" w:line="208" w:lineRule="exact"/>
        <w:rPr>
          <w:rFonts w:ascii="Times New Roman" w:cs="Times New Roman" w:eastAsia="Times New Roman" w:hAnsi="Times New Roman"/>
          <w:sz w:val="24"/>
          <w:szCs w:val="24"/>
          <w:color w:val="auto"/>
        </w:rPr>
      </w:pPr>
    </w:p>
    <w:p>
      <w:pPr>
        <w:ind w:left="2280" w:hanging="508"/>
        <w:spacing w:after="0"/>
        <w:tabs>
          <w:tab w:leader="none" w:pos="2280" w:val="left"/>
        </w:tabs>
        <w:numPr>
          <w:ilvl w:val="0"/>
          <w:numId w:val="96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Disclaimer clause of the stock exchanges.</w:t>
      </w:r>
    </w:p>
    <w:p>
      <w:pPr>
        <w:spacing w:after="0" w:line="200" w:lineRule="exact"/>
        <w:rPr>
          <w:sz w:val="20"/>
          <w:szCs w:val="20"/>
          <w:color w:val="auto"/>
        </w:rPr>
      </w:pPr>
    </w:p>
    <w:p>
      <w:pPr>
        <w:spacing w:after="0" w:line="208" w:lineRule="exact"/>
        <w:rPr>
          <w:sz w:val="20"/>
          <w:szCs w:val="20"/>
          <w:color w:val="auto"/>
        </w:rPr>
      </w:pPr>
    </w:p>
    <w:p>
      <w:pPr>
        <w:jc w:val="center"/>
        <w:ind w:right="124"/>
        <w:spacing w:after="0"/>
        <w:rPr>
          <w:sz w:val="20"/>
          <w:szCs w:val="20"/>
          <w:color w:val="auto"/>
        </w:rPr>
      </w:pPr>
      <w:r>
        <w:rPr>
          <w:rFonts w:ascii="Times New Roman" w:cs="Times New Roman" w:eastAsia="Times New Roman" w:hAnsi="Times New Roman"/>
          <w:sz w:val="24"/>
          <w:szCs w:val="24"/>
          <w:color w:val="auto"/>
        </w:rPr>
        <w:t>284</w:t>
      </w:r>
    </w:p>
    <w:p>
      <w:pPr>
        <w:sectPr>
          <w:pgSz w:w="11900" w:h="16836" w:orient="portrait"/>
          <w:cols w:equalWidth="0" w:num="1">
            <w:col w:w="9024"/>
          </w:cols>
          <w:pgMar w:left="1440" w:top="1156" w:right="1440" w:bottom="103" w:gutter="0" w:footer="0" w:header="0"/>
        </w:sectPr>
      </w:pPr>
    </w:p>
    <w:bookmarkStart w:id="284" w:name="page285"/>
    <w:bookmarkEnd w:id="284"/>
    <w:p>
      <w:pPr>
        <w:jc w:val="both"/>
        <w:ind w:left="2280" w:right="720" w:hanging="508"/>
        <w:spacing w:after="0" w:line="354" w:lineRule="auto"/>
        <w:tabs>
          <w:tab w:leader="none" w:pos="2280" w:val="left"/>
        </w:tabs>
        <w:numPr>
          <w:ilvl w:val="1"/>
          <w:numId w:val="96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Disclaimer clause of the Reserve Bank of India, the Insurance Regulatory and Development Authority of India and of any other regulatory authority (if applicable).</w:t>
      </w:r>
    </w:p>
    <w:p>
      <w:pPr>
        <w:spacing w:after="0" w:line="221" w:lineRule="exact"/>
        <w:rPr>
          <w:rFonts w:ascii="Times New Roman" w:cs="Times New Roman" w:eastAsia="Times New Roman" w:hAnsi="Times New Roman"/>
          <w:sz w:val="24"/>
          <w:szCs w:val="24"/>
          <w:color w:val="auto"/>
        </w:rPr>
      </w:pPr>
    </w:p>
    <w:p>
      <w:pPr>
        <w:ind w:left="1780" w:hanging="512"/>
        <w:spacing w:after="0" w:line="348" w:lineRule="auto"/>
        <w:tabs>
          <w:tab w:leader="none" w:pos="1782" w:val="left"/>
        </w:tabs>
        <w:numPr>
          <w:ilvl w:val="0"/>
          <w:numId w:val="96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fact of filing the letter of offer with the Board and the stock exchange(s) and the office of the Board where the letter of offer has been filed.</w:t>
      </w:r>
    </w:p>
    <w:p>
      <w:pPr>
        <w:spacing w:after="0" w:line="226" w:lineRule="exact"/>
        <w:rPr>
          <w:rFonts w:ascii="Times New Roman" w:cs="Times New Roman" w:eastAsia="Times New Roman" w:hAnsi="Times New Roman"/>
          <w:sz w:val="24"/>
          <w:szCs w:val="24"/>
          <w:b w:val="1"/>
          <w:bCs w:val="1"/>
          <w:color w:val="auto"/>
        </w:rPr>
      </w:pPr>
    </w:p>
    <w:p>
      <w:pPr>
        <w:jc w:val="both"/>
        <w:ind w:left="1780" w:right="740" w:hanging="512"/>
        <w:spacing w:after="0" w:line="354" w:lineRule="auto"/>
        <w:tabs>
          <w:tab w:leader="none" w:pos="1782" w:val="left"/>
        </w:tabs>
        <w:numPr>
          <w:ilvl w:val="0"/>
          <w:numId w:val="96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Arrangements or any mechanism evolved by the issuer for redressal of investor grievances and the time normally taken by it for disposal of various types of investor grievances.</w:t>
      </w:r>
    </w:p>
    <w:p>
      <w:pPr>
        <w:spacing w:after="0" w:line="214" w:lineRule="exact"/>
        <w:rPr>
          <w:sz w:val="20"/>
          <w:szCs w:val="20"/>
          <w:color w:val="auto"/>
        </w:rPr>
      </w:pPr>
    </w:p>
    <w:p>
      <w:pPr>
        <w:ind w:left="440"/>
        <w:spacing w:after="0"/>
        <w:tabs>
          <w:tab w:leader="none" w:pos="1240" w:val="left"/>
        </w:tabs>
        <w:rPr>
          <w:sz w:val="20"/>
          <w:szCs w:val="20"/>
          <w:color w:val="auto"/>
        </w:rPr>
      </w:pPr>
      <w:r>
        <w:rPr>
          <w:rFonts w:ascii="Times New Roman" w:cs="Times New Roman" w:eastAsia="Times New Roman" w:hAnsi="Times New Roman"/>
          <w:sz w:val="24"/>
          <w:szCs w:val="24"/>
          <w:b w:val="1"/>
          <w:bCs w:val="1"/>
          <w:color w:val="auto"/>
        </w:rPr>
        <w:t>(XIX)</w:t>
        <w:tab/>
        <w:t>Offering Information:</w:t>
      </w:r>
    </w:p>
    <w:p>
      <w:pPr>
        <w:spacing w:after="0" w:line="346" w:lineRule="exact"/>
        <w:rPr>
          <w:sz w:val="20"/>
          <w:szCs w:val="20"/>
          <w:color w:val="auto"/>
        </w:rPr>
      </w:pPr>
    </w:p>
    <w:p>
      <w:pPr>
        <w:ind w:left="1840" w:hanging="572"/>
        <w:spacing w:after="0" w:line="348" w:lineRule="auto"/>
        <w:tabs>
          <w:tab w:leader="none" w:pos="1842" w:val="left"/>
        </w:tabs>
        <w:numPr>
          <w:ilvl w:val="0"/>
          <w:numId w:val="963"/>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Terms of payments and procedure and time schedule for allotment and demat credit of securities.</w:t>
      </w:r>
    </w:p>
    <w:p>
      <w:pPr>
        <w:spacing w:after="0" w:line="226" w:lineRule="exact"/>
        <w:rPr>
          <w:rFonts w:ascii="Times New Roman" w:cs="Times New Roman" w:eastAsia="Times New Roman" w:hAnsi="Times New Roman"/>
          <w:sz w:val="22"/>
          <w:szCs w:val="22"/>
          <w:color w:val="auto"/>
        </w:rPr>
      </w:pPr>
    </w:p>
    <w:p>
      <w:pPr>
        <w:ind w:left="1840" w:right="740" w:hanging="572"/>
        <w:spacing w:after="0" w:line="348" w:lineRule="auto"/>
        <w:tabs>
          <w:tab w:leader="none" w:pos="1842" w:val="left"/>
        </w:tabs>
        <w:numPr>
          <w:ilvl w:val="0"/>
          <w:numId w:val="963"/>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How to apply, availability of application forms and letter of offer and mode of payment, including the following:</w:t>
      </w:r>
    </w:p>
    <w:p>
      <w:pPr>
        <w:spacing w:after="0" w:line="215" w:lineRule="exact"/>
        <w:rPr>
          <w:rFonts w:ascii="Times New Roman" w:cs="Times New Roman" w:eastAsia="Times New Roman" w:hAnsi="Times New Roman"/>
          <w:sz w:val="22"/>
          <w:szCs w:val="22"/>
          <w:color w:val="auto"/>
        </w:rPr>
      </w:pPr>
    </w:p>
    <w:p>
      <w:pPr>
        <w:ind w:left="2200" w:hanging="356"/>
        <w:spacing w:after="0"/>
        <w:tabs>
          <w:tab w:leader="none" w:pos="2200" w:val="left"/>
        </w:tabs>
        <w:numPr>
          <w:ilvl w:val="1"/>
          <w:numId w:val="9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Applications by mutual funds:</w:t>
      </w:r>
    </w:p>
    <w:p>
      <w:pPr>
        <w:spacing w:after="0" w:line="350" w:lineRule="exact"/>
        <w:rPr>
          <w:rFonts w:ascii="Times New Roman" w:cs="Times New Roman" w:eastAsia="Times New Roman" w:hAnsi="Times New Roman"/>
          <w:sz w:val="24"/>
          <w:szCs w:val="24"/>
          <w:color w:val="auto"/>
        </w:rPr>
      </w:pPr>
    </w:p>
    <w:p>
      <w:pPr>
        <w:jc w:val="both"/>
        <w:ind w:left="2920" w:right="720" w:hanging="533"/>
        <w:spacing w:after="0" w:line="358" w:lineRule="auto"/>
        <w:tabs>
          <w:tab w:leader="none" w:pos="2920" w:val="left"/>
        </w:tabs>
        <w:numPr>
          <w:ilvl w:val="2"/>
          <w:numId w:val="9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statement under the heads "Procedure for applications by mutual funds" and "Multiple Applications" to indicate that a separate application can be made in respect of each scheme of an Indian mutual fund registered with the Board and that such applications shall not be treated as multiple applications.</w:t>
      </w:r>
    </w:p>
    <w:p>
      <w:pPr>
        <w:spacing w:after="0" w:line="213" w:lineRule="exact"/>
        <w:rPr>
          <w:rFonts w:ascii="Times New Roman" w:cs="Times New Roman" w:eastAsia="Times New Roman" w:hAnsi="Times New Roman"/>
          <w:sz w:val="24"/>
          <w:szCs w:val="24"/>
          <w:color w:val="auto"/>
        </w:rPr>
      </w:pPr>
    </w:p>
    <w:p>
      <w:pPr>
        <w:jc w:val="both"/>
        <w:ind w:left="2920" w:right="720" w:hanging="533"/>
        <w:spacing w:after="0" w:line="356" w:lineRule="auto"/>
        <w:tabs>
          <w:tab w:leader="none" w:pos="2920" w:val="left"/>
        </w:tabs>
        <w:numPr>
          <w:ilvl w:val="2"/>
          <w:numId w:val="9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statement that the application made by an asset management company or by custodian of a mutual fund shall clearly indicate the name of the concerned scheme for which the application is being made.</w:t>
      </w:r>
    </w:p>
    <w:p>
      <w:pPr>
        <w:spacing w:after="0" w:line="207" w:lineRule="exact"/>
        <w:rPr>
          <w:rFonts w:ascii="Times New Roman" w:cs="Times New Roman" w:eastAsia="Times New Roman" w:hAnsi="Times New Roman"/>
          <w:sz w:val="24"/>
          <w:szCs w:val="24"/>
          <w:color w:val="auto"/>
        </w:rPr>
      </w:pPr>
    </w:p>
    <w:p>
      <w:pPr>
        <w:ind w:left="2200" w:hanging="356"/>
        <w:spacing w:after="0"/>
        <w:tabs>
          <w:tab w:leader="none" w:pos="2200" w:val="left"/>
        </w:tabs>
        <w:numPr>
          <w:ilvl w:val="1"/>
          <w:numId w:val="9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Applications by non-resident Indians:</w:t>
      </w:r>
    </w:p>
    <w:p>
      <w:pPr>
        <w:spacing w:after="0" w:line="348" w:lineRule="exact"/>
        <w:rPr>
          <w:rFonts w:ascii="Times New Roman" w:cs="Times New Roman" w:eastAsia="Times New Roman" w:hAnsi="Times New Roman"/>
          <w:sz w:val="24"/>
          <w:szCs w:val="24"/>
          <w:color w:val="auto"/>
        </w:rPr>
      </w:pPr>
    </w:p>
    <w:p>
      <w:pPr>
        <w:jc w:val="both"/>
        <w:ind w:left="2920" w:right="720" w:hanging="533"/>
        <w:spacing w:after="0" w:line="354" w:lineRule="auto"/>
        <w:tabs>
          <w:tab w:leader="none" w:pos="2920" w:val="left"/>
        </w:tabs>
        <w:numPr>
          <w:ilvl w:val="2"/>
          <w:numId w:val="9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name and address of at least one place in India from where individual non-resident Indian applicants can obtain the application forms.</w:t>
      </w:r>
    </w:p>
    <w:p>
      <w:pPr>
        <w:spacing w:after="0" w:line="209" w:lineRule="exact"/>
        <w:rPr>
          <w:rFonts w:ascii="Times New Roman" w:cs="Times New Roman" w:eastAsia="Times New Roman" w:hAnsi="Times New Roman"/>
          <w:sz w:val="24"/>
          <w:szCs w:val="24"/>
          <w:color w:val="auto"/>
        </w:rPr>
      </w:pPr>
    </w:p>
    <w:p>
      <w:pPr>
        <w:ind w:left="2380" w:hanging="536"/>
        <w:spacing w:after="0"/>
        <w:tabs>
          <w:tab w:leader="none" w:pos="2380" w:val="left"/>
        </w:tabs>
        <w:numPr>
          <w:ilvl w:val="1"/>
          <w:numId w:val="9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Application  by  ASBA  investors:  Details  of  Application</w:t>
      </w: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285</w:t>
      </w:r>
    </w:p>
    <w:p>
      <w:pPr>
        <w:sectPr>
          <w:pgSz w:w="11900" w:h="16836" w:orient="portrait"/>
          <w:cols w:equalWidth="0" w:num="1">
            <w:col w:w="9180"/>
          </w:cols>
          <w:pgMar w:left="1440" w:top="1156" w:right="1284" w:bottom="103" w:gutter="0" w:footer="0" w:header="0"/>
        </w:sectPr>
      </w:pPr>
    </w:p>
    <w:bookmarkStart w:id="285" w:name="page286"/>
    <w:bookmarkEnd w:id="285"/>
    <w:p>
      <w:pPr>
        <w:jc w:val="both"/>
        <w:ind w:left="2360" w:right="564"/>
        <w:spacing w:after="0" w:line="354" w:lineRule="auto"/>
        <w:rPr>
          <w:sz w:val="20"/>
          <w:szCs w:val="20"/>
          <w:color w:val="auto"/>
        </w:rPr>
      </w:pPr>
      <w:r>
        <w:rPr>
          <w:rFonts w:ascii="Times New Roman" w:cs="Times New Roman" w:eastAsia="Times New Roman" w:hAnsi="Times New Roman"/>
          <w:sz w:val="24"/>
          <w:szCs w:val="24"/>
          <w:color w:val="auto"/>
        </w:rPr>
        <w:t>Supported by Blocked Amount process including specific instructions for submitting Application Supported by Blocked Amount.</w:t>
      </w:r>
    </w:p>
    <w:p>
      <w:pPr>
        <w:spacing w:after="0" w:line="222" w:lineRule="exact"/>
        <w:rPr>
          <w:sz w:val="20"/>
          <w:szCs w:val="20"/>
          <w:color w:val="auto"/>
        </w:rPr>
      </w:pPr>
    </w:p>
    <w:p>
      <w:pPr>
        <w:jc w:val="both"/>
        <w:ind w:left="2360" w:right="564" w:hanging="516"/>
        <w:spacing w:after="0" w:line="357" w:lineRule="auto"/>
        <w:tabs>
          <w:tab w:leader="none" w:pos="2396" w:val="left"/>
        </w:tabs>
        <w:numPr>
          <w:ilvl w:val="1"/>
          <w:numId w:val="96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statement that the shareholders who have not received the application form can apply, along with the requisite application money, by making an application that is available on the website of registrar, stock exchanges, lead managers or on a plain paper with same details as per application form available online.</w:t>
      </w:r>
    </w:p>
    <w:p>
      <w:pPr>
        <w:spacing w:after="0" w:line="220" w:lineRule="exact"/>
        <w:rPr>
          <w:rFonts w:ascii="Times New Roman" w:cs="Times New Roman" w:eastAsia="Times New Roman" w:hAnsi="Times New Roman"/>
          <w:sz w:val="24"/>
          <w:szCs w:val="24"/>
          <w:color w:val="auto"/>
        </w:rPr>
      </w:pPr>
    </w:p>
    <w:p>
      <w:pPr>
        <w:jc w:val="both"/>
        <w:ind w:left="2360" w:right="564" w:hanging="516"/>
        <w:spacing w:after="0" w:line="358" w:lineRule="auto"/>
        <w:tabs>
          <w:tab w:leader="none" w:pos="2396" w:val="left"/>
        </w:tabs>
        <w:numPr>
          <w:ilvl w:val="1"/>
          <w:numId w:val="96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format to enable shareholders to make an application on a plain paper specifying therein necessary particulars such as name, address, ratio of rights issue, issue price, number of equity shares held, depository participant ID, client ID, number of equity shares applied for, amount to be blocked with SCSB for using ASBA facility. Application form available online on the website of registrar, stock exchanges, lead managers may be used for providing requisite details;</w:t>
      </w:r>
    </w:p>
    <w:p>
      <w:pPr>
        <w:spacing w:after="0" w:line="218" w:lineRule="exact"/>
        <w:rPr>
          <w:rFonts w:ascii="Times New Roman" w:cs="Times New Roman" w:eastAsia="Times New Roman" w:hAnsi="Times New Roman"/>
          <w:sz w:val="24"/>
          <w:szCs w:val="24"/>
          <w:color w:val="auto"/>
        </w:rPr>
      </w:pPr>
    </w:p>
    <w:p>
      <w:pPr>
        <w:jc w:val="both"/>
        <w:ind w:left="2360" w:right="564" w:hanging="516"/>
        <w:spacing w:after="0" w:line="356" w:lineRule="auto"/>
        <w:tabs>
          <w:tab w:leader="none" w:pos="2396" w:val="left"/>
        </w:tabs>
        <w:numPr>
          <w:ilvl w:val="1"/>
          <w:numId w:val="96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statement that shareholders making an application on a plain paper cannot renounce their rights and shall not utilise the application form for any purpose including renunciation even if it is received subsequently.</w:t>
      </w:r>
    </w:p>
    <w:p>
      <w:pPr>
        <w:spacing w:after="0" w:line="220" w:lineRule="exact"/>
        <w:rPr>
          <w:rFonts w:ascii="Times New Roman" w:cs="Times New Roman" w:eastAsia="Times New Roman" w:hAnsi="Times New Roman"/>
          <w:sz w:val="24"/>
          <w:szCs w:val="24"/>
          <w:color w:val="auto"/>
        </w:rPr>
      </w:pPr>
    </w:p>
    <w:p>
      <w:pPr>
        <w:jc w:val="both"/>
        <w:ind w:left="1840" w:right="584" w:hanging="572"/>
        <w:spacing w:after="0" w:line="353" w:lineRule="auto"/>
        <w:tabs>
          <w:tab w:leader="none" w:pos="1842" w:val="left"/>
        </w:tabs>
        <w:numPr>
          <w:ilvl w:val="0"/>
          <w:numId w:val="965"/>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Dealing with Fractional Entitlement: Manner of dealing with fractional entitlement viz. payment of the equivalent of the value, if any, of the fractional rights in cash etc.</w:t>
      </w:r>
    </w:p>
    <w:p>
      <w:pPr>
        <w:spacing w:after="0" w:line="222" w:lineRule="exact"/>
        <w:rPr>
          <w:rFonts w:ascii="Times New Roman" w:cs="Times New Roman" w:eastAsia="Times New Roman" w:hAnsi="Times New Roman"/>
          <w:sz w:val="22"/>
          <w:szCs w:val="22"/>
          <w:color w:val="auto"/>
        </w:rPr>
      </w:pPr>
    </w:p>
    <w:p>
      <w:pPr>
        <w:jc w:val="both"/>
        <w:ind w:left="1840" w:right="564" w:hanging="572"/>
        <w:spacing w:after="0" w:line="354" w:lineRule="auto"/>
        <w:tabs>
          <w:tab w:leader="none" w:pos="1842" w:val="left"/>
        </w:tabs>
        <w:numPr>
          <w:ilvl w:val="0"/>
          <w:numId w:val="965"/>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Provisions of the Companies Act, 2013, as relating to punishment for fictitious applications, including the disclosures that any person who:</w:t>
      </w:r>
    </w:p>
    <w:p>
      <w:pPr>
        <w:spacing w:after="0" w:line="221" w:lineRule="exact"/>
        <w:rPr>
          <w:sz w:val="20"/>
          <w:szCs w:val="20"/>
          <w:color w:val="auto"/>
        </w:rPr>
      </w:pPr>
    </w:p>
    <w:p>
      <w:pPr>
        <w:ind w:left="2200" w:right="564" w:hanging="356"/>
        <w:spacing w:after="0" w:line="350" w:lineRule="auto"/>
        <w:tabs>
          <w:tab w:leader="none" w:pos="2202" w:val="left"/>
        </w:tabs>
        <w:numPr>
          <w:ilvl w:val="0"/>
          <w:numId w:val="9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makes or abets making of an application in a fictitious name to a company for acquiring, or subscribing for, its securities; or</w:t>
      </w:r>
    </w:p>
    <w:p>
      <w:pPr>
        <w:spacing w:after="0" w:line="222" w:lineRule="exact"/>
        <w:rPr>
          <w:rFonts w:ascii="Times New Roman" w:cs="Times New Roman" w:eastAsia="Times New Roman" w:hAnsi="Times New Roman"/>
          <w:sz w:val="24"/>
          <w:szCs w:val="24"/>
          <w:color w:val="auto"/>
        </w:rPr>
      </w:pPr>
    </w:p>
    <w:p>
      <w:pPr>
        <w:jc w:val="both"/>
        <w:ind w:left="2200" w:right="564" w:hanging="356"/>
        <w:spacing w:after="0" w:line="350" w:lineRule="auto"/>
        <w:tabs>
          <w:tab w:leader="none" w:pos="2202" w:val="left"/>
        </w:tabs>
        <w:numPr>
          <w:ilvl w:val="0"/>
          <w:numId w:val="9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makes or abets making of multiple applications to a company in different names or in different combinations of his/her name or</w:t>
      </w:r>
    </w:p>
    <w:p>
      <w:pPr>
        <w:spacing w:after="0" w:line="200" w:lineRule="exact"/>
        <w:rPr>
          <w:sz w:val="20"/>
          <w:szCs w:val="20"/>
          <w:color w:val="auto"/>
        </w:rPr>
      </w:pPr>
    </w:p>
    <w:p>
      <w:pPr>
        <w:spacing w:after="0" w:line="324" w:lineRule="exact"/>
        <w:rPr>
          <w:sz w:val="20"/>
          <w:szCs w:val="20"/>
          <w:color w:val="auto"/>
        </w:rPr>
      </w:pPr>
    </w:p>
    <w:p>
      <w:pPr>
        <w:jc w:val="center"/>
        <w:ind w:right="144"/>
        <w:spacing w:after="0"/>
        <w:rPr>
          <w:sz w:val="20"/>
          <w:szCs w:val="20"/>
          <w:color w:val="auto"/>
        </w:rPr>
      </w:pPr>
      <w:r>
        <w:rPr>
          <w:rFonts w:ascii="Times New Roman" w:cs="Times New Roman" w:eastAsia="Times New Roman" w:hAnsi="Times New Roman"/>
          <w:sz w:val="24"/>
          <w:szCs w:val="24"/>
          <w:color w:val="auto"/>
        </w:rPr>
        <w:t>286</w:t>
      </w:r>
    </w:p>
    <w:p>
      <w:pPr>
        <w:sectPr>
          <w:pgSz w:w="11900" w:h="16836" w:orient="portrait"/>
          <w:cols w:equalWidth="0" w:num="1">
            <w:col w:w="9024"/>
          </w:cols>
          <w:pgMar w:left="1440" w:top="1156" w:right="1440" w:bottom="103" w:gutter="0" w:footer="0" w:header="0"/>
        </w:sectPr>
      </w:pPr>
    </w:p>
    <w:bookmarkStart w:id="286" w:name="page287"/>
    <w:bookmarkEnd w:id="286"/>
    <w:p>
      <w:pPr>
        <w:ind w:left="2200"/>
        <w:spacing w:after="0"/>
        <w:rPr>
          <w:sz w:val="20"/>
          <w:szCs w:val="20"/>
          <w:color w:val="auto"/>
        </w:rPr>
      </w:pPr>
      <w:r>
        <w:rPr>
          <w:rFonts w:ascii="Times New Roman" w:cs="Times New Roman" w:eastAsia="Times New Roman" w:hAnsi="Times New Roman"/>
          <w:sz w:val="24"/>
          <w:szCs w:val="24"/>
          <w:color w:val="auto"/>
        </w:rPr>
        <w:t>surname for acquiring or subscribing for its securities; or</w:t>
      </w:r>
    </w:p>
    <w:p>
      <w:pPr>
        <w:spacing w:after="0" w:line="351" w:lineRule="exact"/>
        <w:rPr>
          <w:sz w:val="20"/>
          <w:szCs w:val="20"/>
          <w:color w:val="auto"/>
        </w:rPr>
      </w:pPr>
    </w:p>
    <w:p>
      <w:pPr>
        <w:jc w:val="both"/>
        <w:ind w:left="2200" w:right="564" w:hanging="356"/>
        <w:spacing w:after="0" w:line="354" w:lineRule="auto"/>
        <w:tabs>
          <w:tab w:leader="none" w:pos="2202" w:val="left"/>
        </w:tabs>
        <w:numPr>
          <w:ilvl w:val="1"/>
          <w:numId w:val="96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otherwise induces directly or indirectly a company to allot, or register any transfer of, securities to such person, or to any other person in a fictitious name.</w:t>
      </w:r>
    </w:p>
    <w:p>
      <w:pPr>
        <w:spacing w:after="0" w:line="221" w:lineRule="exact"/>
        <w:rPr>
          <w:rFonts w:ascii="Times New Roman" w:cs="Times New Roman" w:eastAsia="Times New Roman" w:hAnsi="Times New Roman"/>
          <w:sz w:val="24"/>
          <w:szCs w:val="24"/>
          <w:color w:val="auto"/>
        </w:rPr>
      </w:pPr>
    </w:p>
    <w:p>
      <w:pPr>
        <w:ind w:left="2200" w:right="564"/>
        <w:spacing w:after="0" w:line="348"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any penalty imposed pursuant to Companies Act, 2013 shall also be disclosed.</w:t>
      </w:r>
    </w:p>
    <w:p>
      <w:pPr>
        <w:spacing w:after="0" w:line="27" w:lineRule="exact"/>
        <w:rPr>
          <w:rFonts w:ascii="Times New Roman" w:cs="Times New Roman" w:eastAsia="Times New Roman" w:hAnsi="Times New Roman"/>
          <w:sz w:val="24"/>
          <w:szCs w:val="24"/>
          <w:color w:val="auto"/>
        </w:rPr>
      </w:pPr>
    </w:p>
    <w:p>
      <w:pPr>
        <w:jc w:val="both"/>
        <w:ind w:left="1840" w:right="564" w:hanging="572"/>
        <w:spacing w:after="0" w:line="354" w:lineRule="auto"/>
        <w:tabs>
          <w:tab w:leader="none" w:pos="1842" w:val="left"/>
        </w:tabs>
        <w:numPr>
          <w:ilvl w:val="0"/>
          <w:numId w:val="968"/>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A statement that credit of specified securities to the demat account/ issuing instructions for un- blocking of ASBA shall be done within a period of fifteen days and interest shall be payable in case of delay</w:t>
      </w:r>
    </w:p>
    <w:p>
      <w:pPr>
        <w:jc w:val="both"/>
        <w:ind w:left="1840" w:right="564"/>
        <w:spacing w:after="0" w:line="342" w:lineRule="auto"/>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 xml:space="preserve">in </w:t>
      </w:r>
      <w:r>
        <w:rPr>
          <w:rFonts w:ascii="Times New Roman" w:cs="Times New Roman" w:eastAsia="Times New Roman" w:hAnsi="Times New Roman"/>
          <w:sz w:val="32"/>
          <w:szCs w:val="32"/>
          <w:color w:val="auto"/>
          <w:vertAlign w:val="superscript"/>
        </w:rPr>
        <w:t>99</w:t>
      </w:r>
      <w:r>
        <w:rPr>
          <w:rFonts w:ascii="Times New Roman" w:cs="Times New Roman" w:eastAsia="Times New Roman" w:hAnsi="Times New Roman"/>
          <w:sz w:val="24"/>
          <w:szCs w:val="24"/>
          <w:color w:val="auto"/>
        </w:rPr>
        <w:t xml:space="preserve"> issuing instructions for un-blocking of ASBA at the prescribed rate. In cases where refunds are applicable, such refunds shall be made within a period of fifteen days and interest shall be payable in case of delay. Liability of issuer and its directors (who are officers in default) to issue instructions for unblocking/ make refunds along with specified rate of interest shall also be mentioned, in case refunds not made within the specified timeline.</w:t>
      </w:r>
    </w:p>
    <w:p>
      <w:pPr>
        <w:spacing w:after="0" w:line="222" w:lineRule="exact"/>
        <w:rPr>
          <w:rFonts w:ascii="Times New Roman" w:cs="Times New Roman" w:eastAsia="Times New Roman" w:hAnsi="Times New Roman"/>
          <w:sz w:val="22"/>
          <w:szCs w:val="22"/>
          <w:color w:val="auto"/>
        </w:rPr>
      </w:pPr>
    </w:p>
    <w:p>
      <w:pPr>
        <w:ind w:left="1840" w:hanging="572"/>
        <w:spacing w:after="0"/>
        <w:tabs>
          <w:tab w:leader="none" w:pos="1840" w:val="left"/>
        </w:tabs>
        <w:numPr>
          <w:ilvl w:val="0"/>
          <w:numId w:val="968"/>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Mode of making refunds:</w:t>
      </w:r>
    </w:p>
    <w:p>
      <w:pPr>
        <w:spacing w:after="0" w:line="350" w:lineRule="exact"/>
        <w:rPr>
          <w:rFonts w:ascii="Times New Roman" w:cs="Times New Roman" w:eastAsia="Times New Roman" w:hAnsi="Times New Roman"/>
          <w:sz w:val="22"/>
          <w:szCs w:val="22"/>
          <w:color w:val="auto"/>
        </w:rPr>
      </w:pPr>
    </w:p>
    <w:p>
      <w:pPr>
        <w:ind w:left="2200" w:right="564" w:hanging="356"/>
        <w:spacing w:after="0" w:line="348" w:lineRule="auto"/>
        <w:tabs>
          <w:tab w:leader="none" w:pos="2202" w:val="left"/>
        </w:tabs>
        <w:numPr>
          <w:ilvl w:val="1"/>
          <w:numId w:val="96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mode in which the issuer shall make refunds to applicants in case of an oversubscription or failure to list or otherwise.</w:t>
      </w:r>
    </w:p>
    <w:p>
      <w:pPr>
        <w:spacing w:after="0" w:line="226" w:lineRule="exact"/>
        <w:rPr>
          <w:rFonts w:ascii="Times New Roman" w:cs="Times New Roman" w:eastAsia="Times New Roman" w:hAnsi="Times New Roman"/>
          <w:sz w:val="24"/>
          <w:szCs w:val="24"/>
          <w:color w:val="auto"/>
        </w:rPr>
      </w:pPr>
    </w:p>
    <w:p>
      <w:pPr>
        <w:jc w:val="both"/>
        <w:ind w:left="2200" w:right="564" w:hanging="356"/>
        <w:spacing w:after="0" w:line="354" w:lineRule="auto"/>
        <w:tabs>
          <w:tab w:leader="none" w:pos="2202" w:val="left"/>
        </w:tabs>
        <w:numPr>
          <w:ilvl w:val="1"/>
          <w:numId w:val="96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issuer proposes to use more than one mode of making refunds to applicants, the respective cases where each such mode will be adopted shall be disclosed.</w:t>
      </w:r>
    </w:p>
    <w:p>
      <w:pPr>
        <w:spacing w:after="0" w:line="209" w:lineRule="exact"/>
        <w:rPr>
          <w:rFonts w:ascii="Times New Roman" w:cs="Times New Roman" w:eastAsia="Times New Roman" w:hAnsi="Times New Roman"/>
          <w:sz w:val="24"/>
          <w:szCs w:val="24"/>
          <w:color w:val="auto"/>
        </w:rPr>
      </w:pPr>
    </w:p>
    <w:p>
      <w:pPr>
        <w:ind w:left="2200" w:hanging="356"/>
        <w:spacing w:after="0"/>
        <w:tabs>
          <w:tab w:leader="none" w:pos="2200" w:val="left"/>
        </w:tabs>
        <w:numPr>
          <w:ilvl w:val="1"/>
          <w:numId w:val="96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permissible modes of making refunds are as follows:</w:t>
      </w:r>
    </w:p>
    <w:p>
      <w:pPr>
        <w:spacing w:after="0" w:line="336" w:lineRule="exact"/>
        <w:rPr>
          <w:rFonts w:ascii="Times New Roman" w:cs="Times New Roman" w:eastAsia="Times New Roman" w:hAnsi="Times New Roman"/>
          <w:sz w:val="24"/>
          <w:szCs w:val="24"/>
          <w:color w:val="auto"/>
        </w:rPr>
      </w:pPr>
    </w:p>
    <w:p>
      <w:pPr>
        <w:ind w:left="2580" w:hanging="282"/>
        <w:spacing w:after="0"/>
        <w:tabs>
          <w:tab w:leader="none" w:pos="2580" w:val="left"/>
        </w:tabs>
        <w:numPr>
          <w:ilvl w:val="2"/>
          <w:numId w:val="96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Unblocking amounts blocked using ASBA facility;</w:t>
      </w:r>
    </w:p>
    <w:p>
      <w:pPr>
        <w:spacing w:after="0" w:line="151" w:lineRule="exact"/>
        <w:rPr>
          <w:rFonts w:ascii="Times New Roman" w:cs="Times New Roman" w:eastAsia="Times New Roman" w:hAnsi="Times New Roman"/>
          <w:sz w:val="24"/>
          <w:szCs w:val="24"/>
          <w:color w:val="auto"/>
        </w:rPr>
      </w:pPr>
    </w:p>
    <w:p>
      <w:pPr>
        <w:jc w:val="both"/>
        <w:ind w:left="2640" w:right="564" w:hanging="342"/>
        <w:spacing w:after="0" w:line="358" w:lineRule="auto"/>
        <w:tabs>
          <w:tab w:leader="none" w:pos="2662" w:val="left"/>
        </w:tabs>
        <w:numPr>
          <w:ilvl w:val="2"/>
          <w:numId w:val="96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applicants residing in any of the centres specified by the Board: by crediting of refunds to the bank accounts of applicants through electronic transfer of funds by using Direct Credit, RTGS (Real Time Gross Settlement) or NEFT (National Electronic Funds Transfer) or NACH (National Automated Clearing House), as applicable, as is for the time being permitted by the Reserve Bank of India;</w:t>
      </w:r>
    </w:p>
    <w:p>
      <w:pPr>
        <w:spacing w:after="0" w:line="200" w:lineRule="exact"/>
        <w:rPr>
          <w:sz w:val="20"/>
          <w:szCs w:val="20"/>
          <w:color w:val="auto"/>
        </w:rPr>
      </w:pPr>
    </w:p>
    <w:p>
      <w:pPr>
        <w:spacing w:after="0" w:line="317" w:lineRule="exact"/>
        <w:rPr>
          <w:sz w:val="20"/>
          <w:szCs w:val="20"/>
          <w:color w:val="auto"/>
        </w:rPr>
      </w:pPr>
    </w:p>
    <w:p>
      <w:pPr>
        <w:jc w:val="center"/>
        <w:ind w:right="144"/>
        <w:spacing w:after="0"/>
        <w:rPr>
          <w:sz w:val="20"/>
          <w:szCs w:val="20"/>
          <w:color w:val="auto"/>
        </w:rPr>
      </w:pPr>
      <w:r>
        <w:rPr>
          <w:rFonts w:ascii="Times New Roman" w:cs="Times New Roman" w:eastAsia="Times New Roman" w:hAnsi="Times New Roman"/>
          <w:sz w:val="24"/>
          <w:szCs w:val="24"/>
          <w:color w:val="auto"/>
        </w:rPr>
        <w:t>287</w:t>
      </w:r>
    </w:p>
    <w:p>
      <w:pPr>
        <w:sectPr>
          <w:pgSz w:w="11900" w:h="16836" w:orient="portrait"/>
          <w:cols w:equalWidth="0" w:num="1">
            <w:col w:w="9024"/>
          </w:cols>
          <w:pgMar w:left="1440" w:top="1144" w:right="1440" w:bottom="103" w:gutter="0" w:footer="0" w:header="0"/>
        </w:sectPr>
      </w:pPr>
    </w:p>
    <w:bookmarkStart w:id="287" w:name="page288"/>
    <w:bookmarkEnd w:id="287"/>
    <w:p>
      <w:pPr>
        <w:jc w:val="both"/>
        <w:ind w:left="2640" w:right="564" w:hanging="342"/>
        <w:spacing w:after="0" w:line="356" w:lineRule="auto"/>
        <w:tabs>
          <w:tab w:leader="none" w:pos="2726" w:val="left"/>
        </w:tabs>
        <w:numPr>
          <w:ilvl w:val="3"/>
          <w:numId w:val="96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other applicants: by despatch of refund orders by registered post, where the value is `1500/- or more, or under certificate of posting in other cases, (subject however to postal rules); and</w:t>
      </w:r>
    </w:p>
    <w:p>
      <w:pPr>
        <w:spacing w:after="0" w:line="18" w:lineRule="exact"/>
        <w:rPr>
          <w:rFonts w:ascii="Times New Roman" w:cs="Times New Roman" w:eastAsia="Times New Roman" w:hAnsi="Times New Roman"/>
          <w:sz w:val="24"/>
          <w:szCs w:val="24"/>
          <w:color w:val="auto"/>
        </w:rPr>
      </w:pPr>
    </w:p>
    <w:p>
      <w:pPr>
        <w:jc w:val="both"/>
        <w:ind w:left="2640" w:right="564" w:hanging="342"/>
        <w:spacing w:after="0" w:line="354" w:lineRule="auto"/>
        <w:tabs>
          <w:tab w:leader="none" w:pos="2772" w:val="left"/>
        </w:tabs>
        <w:numPr>
          <w:ilvl w:val="3"/>
          <w:numId w:val="96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any category of applicants specified by the Board: crediting of refunds to the applicants in any electronic manner permissible by the Board.</w:t>
      </w:r>
    </w:p>
    <w:p>
      <w:pPr>
        <w:spacing w:after="0" w:line="19" w:lineRule="exact"/>
        <w:rPr>
          <w:rFonts w:ascii="Times New Roman" w:cs="Times New Roman" w:eastAsia="Times New Roman" w:hAnsi="Times New Roman"/>
          <w:sz w:val="24"/>
          <w:szCs w:val="24"/>
          <w:color w:val="auto"/>
        </w:rPr>
      </w:pPr>
    </w:p>
    <w:p>
      <w:pPr>
        <w:ind w:left="1220" w:right="564" w:hanging="788"/>
        <w:spacing w:after="0" w:line="350" w:lineRule="auto"/>
        <w:tabs>
          <w:tab w:leader="none" w:pos="1266" w:val="left"/>
        </w:tabs>
        <w:numPr>
          <w:ilvl w:val="0"/>
          <w:numId w:val="97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Undertakings by the issuer in connection with the issue: </w:t>
      </w:r>
      <w:r>
        <w:rPr>
          <w:rFonts w:ascii="Times New Roman" w:cs="Times New Roman" w:eastAsia="Times New Roman" w:hAnsi="Times New Roman"/>
          <w:sz w:val="24"/>
          <w:szCs w:val="24"/>
          <w:color w:val="auto"/>
        </w:rPr>
        <w:t>The issuer</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shall undertake that:</w:t>
      </w:r>
    </w:p>
    <w:p>
      <w:pPr>
        <w:spacing w:after="0" w:line="225" w:lineRule="exact"/>
        <w:rPr>
          <w:rFonts w:ascii="Times New Roman" w:cs="Times New Roman" w:eastAsia="Times New Roman" w:hAnsi="Times New Roman"/>
          <w:sz w:val="24"/>
          <w:szCs w:val="24"/>
          <w:b w:val="1"/>
          <w:bCs w:val="1"/>
          <w:color w:val="auto"/>
        </w:rPr>
      </w:pPr>
    </w:p>
    <w:p>
      <w:pPr>
        <w:ind w:left="1840" w:right="564" w:hanging="572"/>
        <w:spacing w:after="0" w:line="348" w:lineRule="auto"/>
        <w:tabs>
          <w:tab w:leader="none" w:pos="1842" w:val="left"/>
        </w:tabs>
        <w:numPr>
          <w:ilvl w:val="1"/>
          <w:numId w:val="970"/>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complaints received in respect of the issue shall be attended to by the issuer expeditiously and satisfactorily.</w:t>
      </w:r>
    </w:p>
    <w:p>
      <w:pPr>
        <w:spacing w:after="0" w:line="226" w:lineRule="exact"/>
        <w:rPr>
          <w:rFonts w:ascii="Times New Roman" w:cs="Times New Roman" w:eastAsia="Times New Roman" w:hAnsi="Times New Roman"/>
          <w:sz w:val="22"/>
          <w:szCs w:val="22"/>
          <w:color w:val="auto"/>
        </w:rPr>
      </w:pPr>
    </w:p>
    <w:p>
      <w:pPr>
        <w:jc w:val="both"/>
        <w:ind w:left="1840" w:right="564" w:hanging="572"/>
        <w:spacing w:after="0" w:line="356" w:lineRule="auto"/>
        <w:tabs>
          <w:tab w:leader="none" w:pos="1842" w:val="left"/>
        </w:tabs>
        <w:numPr>
          <w:ilvl w:val="1"/>
          <w:numId w:val="970"/>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steps for completion of the necessary formalities for listing and commencement of trading at all stock exchanges where the specified securities are to be listed are taken within the time limit specified by the Board.</w:t>
      </w:r>
    </w:p>
    <w:p>
      <w:pPr>
        <w:spacing w:after="0" w:line="218" w:lineRule="exact"/>
        <w:rPr>
          <w:rFonts w:ascii="Times New Roman" w:cs="Times New Roman" w:eastAsia="Times New Roman" w:hAnsi="Times New Roman"/>
          <w:sz w:val="22"/>
          <w:szCs w:val="22"/>
          <w:color w:val="auto"/>
        </w:rPr>
      </w:pPr>
    </w:p>
    <w:p>
      <w:pPr>
        <w:jc w:val="both"/>
        <w:ind w:left="1840" w:right="564" w:hanging="572"/>
        <w:spacing w:after="0" w:line="354" w:lineRule="auto"/>
        <w:tabs>
          <w:tab w:leader="none" w:pos="1842" w:val="left"/>
        </w:tabs>
        <w:numPr>
          <w:ilvl w:val="1"/>
          <w:numId w:val="970"/>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funds required for making refunds to unsuccessful applicants as per the mode(s) disclosed shall be made available to the Registrar to the issue by the issuer.</w:t>
      </w:r>
    </w:p>
    <w:p>
      <w:pPr>
        <w:spacing w:after="0" w:line="221" w:lineRule="exact"/>
        <w:rPr>
          <w:rFonts w:ascii="Times New Roman" w:cs="Times New Roman" w:eastAsia="Times New Roman" w:hAnsi="Times New Roman"/>
          <w:sz w:val="22"/>
          <w:szCs w:val="22"/>
          <w:color w:val="auto"/>
        </w:rPr>
      </w:pPr>
    </w:p>
    <w:p>
      <w:pPr>
        <w:jc w:val="both"/>
        <w:ind w:left="1840" w:right="564" w:hanging="572"/>
        <w:spacing w:after="0" w:line="357" w:lineRule="auto"/>
        <w:tabs>
          <w:tab w:leader="none" w:pos="1842" w:val="left"/>
        </w:tabs>
        <w:numPr>
          <w:ilvl w:val="1"/>
          <w:numId w:val="970"/>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where refunds are made through electronic transfer of funds, a suitable communication shall be sent to the applicant within 15 days of closure of the issue giving details of the bank where refunds shall be credited along with amount and expected date of electronic credit of refund.</w:t>
      </w:r>
    </w:p>
    <w:p>
      <w:pPr>
        <w:spacing w:after="0" w:line="218" w:lineRule="exact"/>
        <w:rPr>
          <w:rFonts w:ascii="Times New Roman" w:cs="Times New Roman" w:eastAsia="Times New Roman" w:hAnsi="Times New Roman"/>
          <w:sz w:val="22"/>
          <w:szCs w:val="22"/>
          <w:color w:val="auto"/>
        </w:rPr>
      </w:pPr>
    </w:p>
    <w:p>
      <w:pPr>
        <w:jc w:val="both"/>
        <w:ind w:left="1840" w:right="564" w:hanging="572"/>
        <w:spacing w:after="0" w:line="354" w:lineRule="auto"/>
        <w:tabs>
          <w:tab w:leader="none" w:pos="1842" w:val="left"/>
        </w:tabs>
        <w:numPr>
          <w:ilvl w:val="1"/>
          <w:numId w:val="970"/>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where release of block on the application amount for unsuccessful bidders or part of the application amount in case of proportionate allotment, a suitable communication shall be sent to the applicants.</w:t>
      </w:r>
    </w:p>
    <w:p>
      <w:pPr>
        <w:spacing w:after="0" w:line="208" w:lineRule="exact"/>
        <w:rPr>
          <w:rFonts w:ascii="Times New Roman" w:cs="Times New Roman" w:eastAsia="Times New Roman" w:hAnsi="Times New Roman"/>
          <w:sz w:val="22"/>
          <w:szCs w:val="22"/>
          <w:color w:val="auto"/>
        </w:rPr>
      </w:pPr>
    </w:p>
    <w:p>
      <w:pPr>
        <w:ind w:left="1840" w:hanging="572"/>
        <w:spacing w:after="0"/>
        <w:tabs>
          <w:tab w:leader="none" w:pos="1840" w:val="left"/>
        </w:tabs>
        <w:numPr>
          <w:ilvl w:val="1"/>
          <w:numId w:val="970"/>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adequate arrangements shall be made to collect all ASBA  applications</w:t>
      </w:r>
    </w:p>
    <w:p>
      <w:pPr>
        <w:spacing w:after="0" w:line="348" w:lineRule="exact"/>
        <w:rPr>
          <w:rFonts w:ascii="Times New Roman" w:cs="Times New Roman" w:eastAsia="Times New Roman" w:hAnsi="Times New Roman"/>
          <w:sz w:val="22"/>
          <w:szCs w:val="22"/>
          <w:color w:val="auto"/>
        </w:rPr>
      </w:pPr>
    </w:p>
    <w:p>
      <w:pPr>
        <w:ind w:left="1840" w:right="564" w:hanging="572"/>
        <w:spacing w:after="0" w:line="350" w:lineRule="auto"/>
        <w:tabs>
          <w:tab w:leader="none" w:pos="1840" w:val="left"/>
        </w:tabs>
        <w:numPr>
          <w:ilvl w:val="1"/>
          <w:numId w:val="970"/>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in case of convertible debt instruments, the issuer shall additionally undertake that:</w:t>
      </w:r>
    </w:p>
    <w:p>
      <w:pPr>
        <w:spacing w:after="0" w:line="225" w:lineRule="exact"/>
        <w:rPr>
          <w:rFonts w:ascii="Times New Roman" w:cs="Times New Roman" w:eastAsia="Times New Roman" w:hAnsi="Times New Roman"/>
          <w:sz w:val="22"/>
          <w:szCs w:val="22"/>
          <w:color w:val="auto"/>
        </w:rPr>
      </w:pPr>
    </w:p>
    <w:p>
      <w:pPr>
        <w:jc w:val="both"/>
        <w:ind w:left="2360" w:right="564" w:hanging="516"/>
        <w:spacing w:after="0" w:line="348" w:lineRule="auto"/>
        <w:tabs>
          <w:tab w:leader="none" w:pos="2360" w:val="left"/>
        </w:tabs>
        <w:numPr>
          <w:ilvl w:val="2"/>
          <w:numId w:val="97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 shall forward the details of utilisation of the funds raised through the convertible debt instruments, duly certified by the</w:t>
      </w:r>
    </w:p>
    <w:p>
      <w:pPr>
        <w:spacing w:after="0" w:line="327" w:lineRule="exact"/>
        <w:rPr>
          <w:sz w:val="20"/>
          <w:szCs w:val="20"/>
          <w:color w:val="auto"/>
        </w:rPr>
      </w:pPr>
    </w:p>
    <w:p>
      <w:pPr>
        <w:jc w:val="center"/>
        <w:ind w:right="124"/>
        <w:spacing w:after="0"/>
        <w:rPr>
          <w:sz w:val="20"/>
          <w:szCs w:val="20"/>
          <w:color w:val="auto"/>
        </w:rPr>
      </w:pPr>
      <w:r>
        <w:rPr>
          <w:rFonts w:ascii="Times New Roman" w:cs="Times New Roman" w:eastAsia="Times New Roman" w:hAnsi="Times New Roman"/>
          <w:sz w:val="24"/>
          <w:szCs w:val="24"/>
          <w:color w:val="auto"/>
        </w:rPr>
        <w:t>288</w:t>
      </w:r>
    </w:p>
    <w:p>
      <w:pPr>
        <w:sectPr>
          <w:pgSz w:w="11900" w:h="16836" w:orient="portrait"/>
          <w:cols w:equalWidth="0" w:num="1">
            <w:col w:w="9024"/>
          </w:cols>
          <w:pgMar w:left="1440" w:top="1156" w:right="1440" w:bottom="103" w:gutter="0" w:footer="0" w:header="0"/>
        </w:sectPr>
      </w:pPr>
    </w:p>
    <w:bookmarkStart w:id="288" w:name="page289"/>
    <w:bookmarkEnd w:id="288"/>
    <w:p>
      <w:pPr>
        <w:ind w:left="2360" w:right="564"/>
        <w:spacing w:after="0" w:line="348" w:lineRule="auto"/>
        <w:rPr>
          <w:sz w:val="20"/>
          <w:szCs w:val="20"/>
          <w:color w:val="auto"/>
        </w:rPr>
      </w:pPr>
      <w:r>
        <w:rPr>
          <w:rFonts w:ascii="Times New Roman" w:cs="Times New Roman" w:eastAsia="Times New Roman" w:hAnsi="Times New Roman"/>
          <w:sz w:val="24"/>
          <w:szCs w:val="24"/>
          <w:color w:val="auto"/>
        </w:rPr>
        <w:t>statutory auditors of the issuer, to the debenture trustee at the end of each half-year.</w:t>
      </w:r>
    </w:p>
    <w:p>
      <w:pPr>
        <w:spacing w:after="0" w:line="227" w:lineRule="exact"/>
        <w:rPr>
          <w:sz w:val="20"/>
          <w:szCs w:val="20"/>
          <w:color w:val="auto"/>
        </w:rPr>
      </w:pPr>
    </w:p>
    <w:p>
      <w:pPr>
        <w:ind w:left="2360" w:right="584" w:hanging="516"/>
        <w:spacing w:after="0" w:line="350" w:lineRule="auto"/>
        <w:tabs>
          <w:tab w:leader="none" w:pos="2360" w:val="left"/>
        </w:tabs>
        <w:numPr>
          <w:ilvl w:val="0"/>
          <w:numId w:val="9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 shall disclose the name and address of the debenture trustee in the annual report.</w:t>
      </w:r>
    </w:p>
    <w:p>
      <w:pPr>
        <w:spacing w:after="0" w:line="224" w:lineRule="exact"/>
        <w:rPr>
          <w:rFonts w:ascii="Times New Roman" w:cs="Times New Roman" w:eastAsia="Times New Roman" w:hAnsi="Times New Roman"/>
          <w:sz w:val="24"/>
          <w:szCs w:val="24"/>
          <w:color w:val="auto"/>
        </w:rPr>
      </w:pPr>
    </w:p>
    <w:p>
      <w:pPr>
        <w:jc w:val="both"/>
        <w:ind w:left="2360" w:right="564" w:hanging="516"/>
        <w:spacing w:after="0" w:line="357" w:lineRule="auto"/>
        <w:tabs>
          <w:tab w:leader="none" w:pos="2360" w:val="left"/>
        </w:tabs>
        <w:numPr>
          <w:ilvl w:val="0"/>
          <w:numId w:val="9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 shall provide a compliance certificate to the convertible debt instrument holders on a yearly basis in respect of compliance with the terms and conditions of issue of debentures as contained in the Letter of Offer, duly certified by the debenture trustee.</w:t>
      </w:r>
    </w:p>
    <w:p>
      <w:pPr>
        <w:spacing w:after="0" w:line="216" w:lineRule="exact"/>
        <w:rPr>
          <w:rFonts w:ascii="Times New Roman" w:cs="Times New Roman" w:eastAsia="Times New Roman" w:hAnsi="Times New Roman"/>
          <w:sz w:val="24"/>
          <w:szCs w:val="24"/>
          <w:color w:val="auto"/>
        </w:rPr>
      </w:pPr>
    </w:p>
    <w:p>
      <w:pPr>
        <w:jc w:val="both"/>
        <w:ind w:left="2360" w:right="564" w:hanging="516"/>
        <w:spacing w:after="0" w:line="357" w:lineRule="auto"/>
        <w:tabs>
          <w:tab w:leader="none" w:pos="2360" w:val="left"/>
        </w:tabs>
        <w:numPr>
          <w:ilvl w:val="0"/>
          <w:numId w:val="9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 shall furnish a confirmation certificate that the security created by the issuer in favour of the convertible debt instrument holders is properly maintained and is adequate to meet the payment obligations towards the convertible debt instrument holders in the event of a default.</w:t>
      </w:r>
    </w:p>
    <w:p>
      <w:pPr>
        <w:spacing w:after="0" w:line="218" w:lineRule="exact"/>
        <w:rPr>
          <w:rFonts w:ascii="Times New Roman" w:cs="Times New Roman" w:eastAsia="Times New Roman" w:hAnsi="Times New Roman"/>
          <w:sz w:val="24"/>
          <w:szCs w:val="24"/>
          <w:color w:val="auto"/>
        </w:rPr>
      </w:pPr>
    </w:p>
    <w:p>
      <w:pPr>
        <w:jc w:val="both"/>
        <w:ind w:left="2360" w:right="564" w:hanging="516"/>
        <w:spacing w:after="0" w:line="356" w:lineRule="auto"/>
        <w:tabs>
          <w:tab w:leader="none" w:pos="2360" w:val="left"/>
        </w:tabs>
        <w:numPr>
          <w:ilvl w:val="0"/>
          <w:numId w:val="9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 shall extend necessary cooperation to the credit rating agency(ies) in providing the requisite information in a true and adequate manner till the debt obligations in respect of the instrument are outstanding.</w:t>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jc w:val="both"/>
        <w:ind w:left="1220" w:right="564" w:hanging="791"/>
        <w:spacing w:after="0" w:line="356" w:lineRule="auto"/>
        <w:tabs>
          <w:tab w:leader="none" w:pos="1200" w:val="left"/>
        </w:tabs>
        <w:rPr>
          <w:sz w:val="20"/>
          <w:szCs w:val="20"/>
          <w:color w:val="auto"/>
        </w:rPr>
      </w:pPr>
      <w:r>
        <w:rPr>
          <w:rFonts w:ascii="Times New Roman" w:cs="Times New Roman" w:eastAsia="Times New Roman" w:hAnsi="Times New Roman"/>
          <w:sz w:val="24"/>
          <w:szCs w:val="24"/>
          <w:b w:val="1"/>
          <w:bCs w:val="1"/>
          <w:color w:val="auto"/>
        </w:rPr>
        <w:t>(XXI)</w:t>
        <w:tab/>
        <w:t xml:space="preserve">Utilisation of Issue Proceeds: </w:t>
      </w:r>
      <w:r>
        <w:rPr>
          <w:rFonts w:ascii="Times New Roman" w:cs="Times New Roman" w:eastAsia="Times New Roman" w:hAnsi="Times New Roman"/>
          <w:sz w:val="24"/>
          <w:szCs w:val="24"/>
          <w:color w:val="auto"/>
        </w:rPr>
        <w:t>The letter of offer, other than for an issue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made by a scheduled commercial bank or a public financial institution, shall contain a statement of the board of directors of the issuer to the effect that:</w:t>
      </w:r>
    </w:p>
    <w:p>
      <w:pPr>
        <w:spacing w:after="0" w:line="218" w:lineRule="exact"/>
        <w:rPr>
          <w:sz w:val="20"/>
          <w:szCs w:val="20"/>
          <w:color w:val="auto"/>
        </w:rPr>
      </w:pPr>
    </w:p>
    <w:p>
      <w:pPr>
        <w:ind w:left="1780" w:right="564" w:hanging="476"/>
        <w:spacing w:after="0" w:line="350" w:lineRule="auto"/>
        <w:tabs>
          <w:tab w:leader="none" w:pos="1782" w:val="left"/>
        </w:tabs>
        <w:numPr>
          <w:ilvl w:val="0"/>
          <w:numId w:val="97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all monies received out of issue of shares or specified securities to the public shall be transferred to a separate bank account.</w:t>
      </w:r>
    </w:p>
    <w:p>
      <w:pPr>
        <w:spacing w:after="0" w:line="222" w:lineRule="exact"/>
        <w:rPr>
          <w:rFonts w:ascii="Times New Roman" w:cs="Times New Roman" w:eastAsia="Times New Roman" w:hAnsi="Times New Roman"/>
          <w:sz w:val="24"/>
          <w:szCs w:val="24"/>
          <w:b w:val="1"/>
          <w:bCs w:val="1"/>
          <w:color w:val="auto"/>
        </w:rPr>
      </w:pPr>
    </w:p>
    <w:p>
      <w:pPr>
        <w:jc w:val="both"/>
        <w:ind w:left="1780" w:right="564" w:hanging="476"/>
        <w:spacing w:after="0" w:line="356" w:lineRule="auto"/>
        <w:tabs>
          <w:tab w:leader="none" w:pos="1782" w:val="left"/>
        </w:tabs>
        <w:numPr>
          <w:ilvl w:val="0"/>
          <w:numId w:val="97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details of all monies utilised out of the issue referred to in clause (A) shall be disclosed under an appropriate separate head in the balance sheet of the issuer indicating the purpose for which such monies had been utilised; and</w:t>
      </w:r>
    </w:p>
    <w:p>
      <w:pPr>
        <w:spacing w:after="0" w:line="220" w:lineRule="exact"/>
        <w:rPr>
          <w:rFonts w:ascii="Times New Roman" w:cs="Times New Roman" w:eastAsia="Times New Roman" w:hAnsi="Times New Roman"/>
          <w:sz w:val="24"/>
          <w:szCs w:val="24"/>
          <w:b w:val="1"/>
          <w:bCs w:val="1"/>
          <w:color w:val="auto"/>
        </w:rPr>
      </w:pPr>
    </w:p>
    <w:p>
      <w:pPr>
        <w:jc w:val="both"/>
        <w:ind w:left="1780" w:right="564" w:hanging="476"/>
        <w:spacing w:after="0" w:line="348" w:lineRule="auto"/>
        <w:tabs>
          <w:tab w:leader="none" w:pos="1782" w:val="left"/>
        </w:tabs>
        <w:numPr>
          <w:ilvl w:val="0"/>
          <w:numId w:val="97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details of all unutilised monies out of the issue of specified securities referred to in clause (A) shall be disclosed under an appropriate</w:t>
      </w:r>
    </w:p>
    <w:p>
      <w:pPr>
        <w:spacing w:after="0" w:line="327" w:lineRule="exact"/>
        <w:rPr>
          <w:sz w:val="20"/>
          <w:szCs w:val="20"/>
          <w:color w:val="auto"/>
        </w:rPr>
      </w:pPr>
    </w:p>
    <w:p>
      <w:pPr>
        <w:jc w:val="center"/>
        <w:ind w:right="124"/>
        <w:spacing w:after="0"/>
        <w:rPr>
          <w:sz w:val="20"/>
          <w:szCs w:val="20"/>
          <w:color w:val="auto"/>
        </w:rPr>
      </w:pPr>
      <w:r>
        <w:rPr>
          <w:rFonts w:ascii="Times New Roman" w:cs="Times New Roman" w:eastAsia="Times New Roman" w:hAnsi="Times New Roman"/>
          <w:sz w:val="24"/>
          <w:szCs w:val="24"/>
          <w:color w:val="auto"/>
        </w:rPr>
        <w:t>289</w:t>
      </w:r>
    </w:p>
    <w:p>
      <w:pPr>
        <w:sectPr>
          <w:pgSz w:w="11900" w:h="16836" w:orient="portrait"/>
          <w:cols w:equalWidth="0" w:num="1">
            <w:col w:w="9024"/>
          </w:cols>
          <w:pgMar w:left="1440" w:top="1156" w:right="1440" w:bottom="103" w:gutter="0" w:footer="0" w:header="0"/>
        </w:sectPr>
      </w:pPr>
    </w:p>
    <w:bookmarkStart w:id="289" w:name="page290"/>
    <w:bookmarkEnd w:id="289"/>
    <w:p>
      <w:pPr>
        <w:ind w:left="1780" w:right="720"/>
        <w:spacing w:after="0" w:line="348" w:lineRule="auto"/>
        <w:rPr>
          <w:sz w:val="20"/>
          <w:szCs w:val="20"/>
          <w:color w:val="auto"/>
        </w:rPr>
      </w:pPr>
      <w:r>
        <w:rPr>
          <w:rFonts w:ascii="Times New Roman" w:cs="Times New Roman" w:eastAsia="Times New Roman" w:hAnsi="Times New Roman"/>
          <w:sz w:val="24"/>
          <w:szCs w:val="24"/>
          <w:color w:val="auto"/>
        </w:rPr>
        <w:t>separate head in the balance sheet of the issuer indicating the form in which such unutilised monies have been invested.</w:t>
      </w:r>
    </w:p>
    <w:p>
      <w:pPr>
        <w:spacing w:after="0" w:line="220"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4"/>
          <w:szCs w:val="24"/>
          <w:b w:val="1"/>
          <w:bCs w:val="1"/>
          <w:color w:val="auto"/>
        </w:rPr>
        <w:t>(XXII)  Restrictions on foreign ownership of Indian securities, if any:</w:t>
      </w:r>
    </w:p>
    <w:p>
      <w:pPr>
        <w:spacing w:after="0" w:line="334" w:lineRule="exact"/>
        <w:rPr>
          <w:sz w:val="20"/>
          <w:szCs w:val="20"/>
          <w:color w:val="auto"/>
        </w:rPr>
      </w:pPr>
    </w:p>
    <w:p>
      <w:pPr>
        <w:ind w:left="1700" w:hanging="368"/>
        <w:spacing w:after="0"/>
        <w:tabs>
          <w:tab w:leader="none" w:pos="1700" w:val="left"/>
        </w:tabs>
        <w:numPr>
          <w:ilvl w:val="0"/>
          <w:numId w:val="97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Investment by NRIs.</w:t>
      </w:r>
    </w:p>
    <w:p>
      <w:pPr>
        <w:spacing w:after="0" w:line="350" w:lineRule="exact"/>
        <w:rPr>
          <w:rFonts w:ascii="Times New Roman" w:cs="Times New Roman" w:eastAsia="Times New Roman" w:hAnsi="Times New Roman"/>
          <w:sz w:val="24"/>
          <w:szCs w:val="24"/>
          <w:b w:val="1"/>
          <w:bCs w:val="1"/>
          <w:color w:val="auto"/>
        </w:rPr>
      </w:pPr>
    </w:p>
    <w:p>
      <w:pPr>
        <w:ind w:left="1760" w:hanging="428"/>
        <w:spacing w:after="0" w:line="348" w:lineRule="auto"/>
        <w:tabs>
          <w:tab w:leader="none" w:pos="1698" w:val="left"/>
        </w:tabs>
        <w:numPr>
          <w:ilvl w:val="0"/>
          <w:numId w:val="97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Investment by foreign portfolio investors and foreign venture capital investors.</w:t>
      </w:r>
    </w:p>
    <w:p>
      <w:pPr>
        <w:spacing w:after="0" w:line="215" w:lineRule="exact"/>
        <w:rPr>
          <w:rFonts w:ascii="Times New Roman" w:cs="Times New Roman" w:eastAsia="Times New Roman" w:hAnsi="Times New Roman"/>
          <w:sz w:val="24"/>
          <w:szCs w:val="24"/>
          <w:b w:val="1"/>
          <w:bCs w:val="1"/>
          <w:color w:val="auto"/>
        </w:rPr>
      </w:pPr>
    </w:p>
    <w:p>
      <w:pPr>
        <w:ind w:left="1700" w:hanging="368"/>
        <w:spacing w:after="0"/>
        <w:tabs>
          <w:tab w:leader="none" w:pos="1700" w:val="left"/>
        </w:tabs>
        <w:numPr>
          <w:ilvl w:val="0"/>
          <w:numId w:val="97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Investment by other non-residents.</w:t>
      </w:r>
    </w:p>
    <w:p>
      <w:pPr>
        <w:spacing w:after="0" w:line="343"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4"/>
          <w:szCs w:val="24"/>
          <w:b w:val="1"/>
          <w:bCs w:val="1"/>
          <w:color w:val="auto"/>
        </w:rPr>
        <w:t>(XXIII) Statutory and other information:</w:t>
      </w:r>
    </w:p>
    <w:p>
      <w:pPr>
        <w:spacing w:after="0" w:line="334" w:lineRule="exact"/>
        <w:rPr>
          <w:sz w:val="20"/>
          <w:szCs w:val="20"/>
          <w:color w:val="auto"/>
        </w:rPr>
      </w:pPr>
    </w:p>
    <w:p>
      <w:pPr>
        <w:ind w:left="1880" w:hanging="840"/>
        <w:spacing w:after="0"/>
        <w:tabs>
          <w:tab w:leader="none" w:pos="1880" w:val="left"/>
        </w:tabs>
        <w:numPr>
          <w:ilvl w:val="0"/>
          <w:numId w:val="97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Allotment of specified securities shall be in the demateralised form.</w:t>
      </w:r>
    </w:p>
    <w:p>
      <w:pPr>
        <w:spacing w:after="0" w:line="200" w:lineRule="exact"/>
        <w:rPr>
          <w:rFonts w:ascii="Times New Roman" w:cs="Times New Roman" w:eastAsia="Times New Roman" w:hAnsi="Times New Roman"/>
          <w:sz w:val="24"/>
          <w:szCs w:val="24"/>
          <w:color w:val="auto"/>
        </w:rPr>
      </w:pPr>
    </w:p>
    <w:p>
      <w:pPr>
        <w:spacing w:after="0" w:line="364" w:lineRule="exact"/>
        <w:rPr>
          <w:rFonts w:ascii="Times New Roman" w:cs="Times New Roman" w:eastAsia="Times New Roman" w:hAnsi="Times New Roman"/>
          <w:sz w:val="24"/>
          <w:szCs w:val="24"/>
          <w:color w:val="auto"/>
        </w:rPr>
      </w:pPr>
    </w:p>
    <w:p>
      <w:pPr>
        <w:ind w:left="1880" w:hanging="840"/>
        <w:spacing w:after="0" w:line="348" w:lineRule="auto"/>
        <w:tabs>
          <w:tab w:leader="none" w:pos="1880" w:val="left"/>
        </w:tabs>
        <w:numPr>
          <w:ilvl w:val="0"/>
          <w:numId w:val="97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Material contracts and time and place of inspection which shall include copies of the Annual Reports of the issuer for the last five years.</w:t>
      </w:r>
    </w:p>
    <w:p>
      <w:pPr>
        <w:spacing w:after="0" w:line="15"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4"/>
          <w:szCs w:val="24"/>
          <w:b w:val="1"/>
          <w:bCs w:val="1"/>
          <w:color w:val="auto"/>
        </w:rPr>
        <w:t>(XXIV) Any other material disclosures, as deemed necessary</w:t>
      </w:r>
      <w:r>
        <w:rPr>
          <w:rFonts w:ascii="Times New Roman" w:cs="Times New Roman" w:eastAsia="Times New Roman" w:hAnsi="Times New Roman"/>
          <w:sz w:val="24"/>
          <w:szCs w:val="24"/>
          <w:color w:val="auto"/>
        </w:rPr>
        <w:t>.</w:t>
      </w:r>
    </w:p>
    <w:p>
      <w:pPr>
        <w:spacing w:after="0" w:line="344" w:lineRule="exact"/>
        <w:rPr>
          <w:sz w:val="20"/>
          <w:szCs w:val="20"/>
          <w:color w:val="auto"/>
        </w:rPr>
      </w:pPr>
    </w:p>
    <w:p>
      <w:pPr>
        <w:ind w:left="440"/>
        <w:spacing w:after="0"/>
        <w:tabs>
          <w:tab w:leader="none" w:pos="1260" w:val="left"/>
        </w:tabs>
        <w:rPr>
          <w:sz w:val="20"/>
          <w:szCs w:val="20"/>
          <w:color w:val="auto"/>
        </w:rPr>
      </w:pPr>
      <w:r>
        <w:rPr>
          <w:rFonts w:ascii="Times New Roman" w:cs="Times New Roman" w:eastAsia="Times New Roman" w:hAnsi="Times New Roman"/>
          <w:sz w:val="24"/>
          <w:szCs w:val="24"/>
          <w:b w:val="1"/>
          <w:bCs w:val="1"/>
          <w:color w:val="auto"/>
        </w:rPr>
        <w:t>(XXV)</w:t>
      </w:r>
      <w:r>
        <w:rPr>
          <w:sz w:val="20"/>
          <w:szCs w:val="20"/>
          <w:color w:val="auto"/>
        </w:rPr>
        <w:tab/>
      </w:r>
      <w:r>
        <w:rPr>
          <w:rFonts w:ascii="Times New Roman" w:cs="Times New Roman" w:eastAsia="Times New Roman" w:hAnsi="Times New Roman"/>
          <w:sz w:val="23"/>
          <w:szCs w:val="23"/>
          <w:b w:val="1"/>
          <w:bCs w:val="1"/>
          <w:color w:val="auto"/>
        </w:rPr>
        <w:t>Declaration:</w:t>
      </w:r>
    </w:p>
    <w:p>
      <w:pPr>
        <w:spacing w:after="0" w:line="343" w:lineRule="exact"/>
        <w:rPr>
          <w:sz w:val="20"/>
          <w:szCs w:val="20"/>
          <w:color w:val="auto"/>
        </w:rPr>
      </w:pPr>
    </w:p>
    <w:p>
      <w:pPr>
        <w:jc w:val="both"/>
        <w:ind w:left="1300" w:right="720"/>
        <w:spacing w:after="0" w:line="357" w:lineRule="auto"/>
        <w:rPr>
          <w:sz w:val="20"/>
          <w:szCs w:val="20"/>
          <w:color w:val="auto"/>
        </w:rPr>
      </w:pPr>
      <w:r>
        <w:rPr>
          <w:rFonts w:ascii="Times New Roman" w:cs="Times New Roman" w:eastAsia="Times New Roman" w:hAnsi="Times New Roman"/>
          <w:sz w:val="24"/>
          <w:szCs w:val="24"/>
          <w:color w:val="auto"/>
        </w:rPr>
        <w:t>“No statement made in this letter of offer contravenes any of the provisions of the Companies Act, 2013 and the rules made thereunder. All the legal requirements connected with the issue as also the guidelines, instructions, etc., issued by SEBI, Government and any other competent authority in this behalf, have been duly complied with.”</w:t>
      </w:r>
    </w:p>
    <w:p>
      <w:pPr>
        <w:spacing w:after="0" w:line="19" w:lineRule="exact"/>
        <w:rPr>
          <w:sz w:val="20"/>
          <w:szCs w:val="20"/>
          <w:color w:val="auto"/>
        </w:rPr>
      </w:pPr>
    </w:p>
    <w:p>
      <w:pPr>
        <w:jc w:val="both"/>
        <w:ind w:left="1300" w:right="720"/>
        <w:spacing w:after="0" w:line="358" w:lineRule="auto"/>
        <w:rPr>
          <w:sz w:val="20"/>
          <w:szCs w:val="20"/>
          <w:color w:val="auto"/>
        </w:rPr>
      </w:pPr>
      <w:r>
        <w:rPr>
          <w:rFonts w:ascii="Times New Roman" w:cs="Times New Roman" w:eastAsia="Times New Roman" w:hAnsi="Times New Roman"/>
          <w:sz w:val="24"/>
          <w:szCs w:val="24"/>
          <w:color w:val="auto"/>
        </w:rPr>
        <w:t>The draft letter of offer (in case of issues other than fast track issues) and the letter of offer shall be approved by the Board of Directors of the issuer and shall be signed by all directors including the Managing Director within the meaning of the Companies Act, 2013 or Manager within the meaning of the Companies Act, 2013 and the Chief Financial Officer or any other person heading the finance function and discharging that function. The signatories shall further certify that all disclosures made in the letter of offer are true and correct.</w:t>
      </w:r>
    </w:p>
    <w:p>
      <w:pPr>
        <w:spacing w:after="0" w:line="200" w:lineRule="exact"/>
        <w:rPr>
          <w:sz w:val="20"/>
          <w:szCs w:val="20"/>
          <w:color w:val="auto"/>
        </w:rPr>
      </w:pPr>
    </w:p>
    <w:p>
      <w:pPr>
        <w:spacing w:after="0" w:line="232" w:lineRule="exact"/>
        <w:rPr>
          <w:sz w:val="20"/>
          <w:szCs w:val="20"/>
          <w:color w:val="auto"/>
        </w:rPr>
      </w:pPr>
    </w:p>
    <w:p>
      <w:pPr>
        <w:jc w:val="both"/>
        <w:ind w:left="480" w:right="720" w:hanging="436"/>
        <w:spacing w:after="0" w:line="354" w:lineRule="auto"/>
        <w:tabs>
          <w:tab w:leader="none" w:pos="482" w:val="left"/>
        </w:tabs>
        <w:numPr>
          <w:ilvl w:val="0"/>
          <w:numId w:val="97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 issuer shall make a copy of the offer document of the immediately preceding public issue or rights issue available to the public in the manner specified in these regulations and shall also make such document available as a material document</w:t>
      </w:r>
    </w:p>
    <w:p>
      <w:pPr>
        <w:spacing w:after="0" w:line="322"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4"/>
          <w:szCs w:val="24"/>
          <w:color w:val="auto"/>
        </w:rPr>
        <w:t>290</w:t>
      </w:r>
    </w:p>
    <w:p>
      <w:pPr>
        <w:sectPr>
          <w:pgSz w:w="11900" w:h="16836" w:orient="portrait"/>
          <w:cols w:equalWidth="0" w:num="1">
            <w:col w:w="9180"/>
          </w:cols>
          <w:pgMar w:left="1440" w:top="1156" w:right="1284" w:bottom="103" w:gutter="0" w:footer="0" w:header="0"/>
        </w:sectPr>
      </w:pPr>
    </w:p>
    <w:bookmarkStart w:id="290" w:name="page291"/>
    <w:bookmarkEnd w:id="290"/>
    <w:p>
      <w:pPr>
        <w:ind w:left="768"/>
        <w:spacing w:after="0"/>
        <w:rPr>
          <w:sz w:val="20"/>
          <w:szCs w:val="20"/>
          <w:color w:val="auto"/>
        </w:rPr>
      </w:pPr>
      <w:r>
        <w:rPr>
          <w:rFonts w:ascii="Times New Roman" w:cs="Times New Roman" w:eastAsia="Times New Roman" w:hAnsi="Times New Roman"/>
          <w:sz w:val="24"/>
          <w:szCs w:val="24"/>
          <w:color w:val="auto"/>
        </w:rPr>
        <w:t>for inspection.</w:t>
      </w:r>
      <w:r>
        <w:rPr>
          <w:rFonts w:ascii="Times New Roman" w:cs="Times New Roman" w:eastAsia="Times New Roman" w:hAnsi="Times New Roman"/>
          <w:sz w:val="24"/>
          <w:szCs w:val="24"/>
          <w:b w:val="1"/>
          <w:bCs w:val="1"/>
          <w:color w:val="auto"/>
        </w:rPr>
        <w:t>]</w:t>
      </w: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p>
      <w:pPr>
        <w:ind w:left="3288"/>
        <w:spacing w:after="0"/>
        <w:rPr>
          <w:sz w:val="20"/>
          <w:szCs w:val="20"/>
          <w:color w:val="auto"/>
        </w:rPr>
      </w:pPr>
      <w:r>
        <w:rPr>
          <w:rFonts w:ascii="Times New Roman" w:cs="Times New Roman" w:eastAsia="Times New Roman" w:hAnsi="Times New Roman"/>
          <w:sz w:val="32"/>
          <w:szCs w:val="32"/>
          <w:b w:val="1"/>
          <w:bCs w:val="1"/>
          <w:color w:val="auto"/>
          <w:vertAlign w:val="superscript"/>
        </w:rPr>
        <w:t>118</w:t>
      </w:r>
      <w:r>
        <w:rPr>
          <w:rFonts w:ascii="Times New Roman" w:cs="Times New Roman" w:eastAsia="Times New Roman" w:hAnsi="Times New Roman"/>
          <w:sz w:val="24"/>
          <w:szCs w:val="24"/>
          <w:b w:val="1"/>
          <w:bCs w:val="1"/>
          <w:color w:val="auto"/>
        </w:rPr>
        <w:t>[ Part B-1 – Disclosures in letter of offer</w:t>
      </w:r>
    </w:p>
    <w:p>
      <w:pPr>
        <w:spacing w:after="0" w:line="43" w:lineRule="exact"/>
        <w:rPr>
          <w:sz w:val="20"/>
          <w:szCs w:val="20"/>
          <w:color w:val="auto"/>
        </w:rPr>
      </w:pPr>
    </w:p>
    <w:p>
      <w:pPr>
        <w:ind w:left="3848"/>
        <w:spacing w:after="0"/>
        <w:rPr>
          <w:sz w:val="20"/>
          <w:szCs w:val="20"/>
          <w:color w:val="auto"/>
        </w:rPr>
      </w:pPr>
      <w:r>
        <w:rPr>
          <w:rFonts w:ascii="Times New Roman" w:cs="Times New Roman" w:eastAsia="Times New Roman" w:hAnsi="Times New Roman"/>
          <w:sz w:val="24"/>
          <w:szCs w:val="24"/>
          <w:b w:val="1"/>
          <w:bCs w:val="1"/>
          <w:color w:val="auto"/>
        </w:rPr>
        <w:t>[See regulation 70(2)]</w:t>
      </w:r>
    </w:p>
    <w:p>
      <w:pPr>
        <w:spacing w:after="0" w:line="200" w:lineRule="exact"/>
        <w:rPr>
          <w:sz w:val="20"/>
          <w:szCs w:val="20"/>
          <w:color w:val="auto"/>
        </w:rPr>
      </w:pPr>
    </w:p>
    <w:p>
      <w:pPr>
        <w:spacing w:after="0" w:line="359" w:lineRule="exact"/>
        <w:rPr>
          <w:sz w:val="20"/>
          <w:szCs w:val="20"/>
          <w:color w:val="auto"/>
        </w:rPr>
      </w:pPr>
    </w:p>
    <w:p>
      <w:pPr>
        <w:ind w:left="1448"/>
        <w:spacing w:after="0" w:line="348" w:lineRule="auto"/>
        <w:rPr>
          <w:sz w:val="20"/>
          <w:szCs w:val="20"/>
          <w:color w:val="auto"/>
        </w:rPr>
      </w:pPr>
      <w:r>
        <w:rPr>
          <w:rFonts w:ascii="Times New Roman" w:cs="Times New Roman" w:eastAsia="Times New Roman" w:hAnsi="Times New Roman"/>
          <w:sz w:val="24"/>
          <w:szCs w:val="24"/>
          <w:color w:val="auto"/>
        </w:rPr>
        <w:t>All disclosures specified under this Part shall be made in the draft letter of offer and the letter of offer.</w:t>
      </w:r>
    </w:p>
    <w:p>
      <w:pPr>
        <w:spacing w:after="0" w:line="20" w:lineRule="exact"/>
        <w:rPr>
          <w:sz w:val="20"/>
          <w:szCs w:val="20"/>
          <w:color w:val="auto"/>
        </w:rPr>
      </w:pPr>
    </w:p>
    <w:p>
      <w:pPr>
        <w:ind w:left="1448"/>
        <w:spacing w:after="0"/>
        <w:rPr>
          <w:sz w:val="20"/>
          <w:szCs w:val="20"/>
          <w:color w:val="auto"/>
        </w:rPr>
      </w:pPr>
      <w:r>
        <w:rPr>
          <w:rFonts w:ascii="Times New Roman" w:cs="Times New Roman" w:eastAsia="Times New Roman" w:hAnsi="Times New Roman"/>
          <w:sz w:val="24"/>
          <w:szCs w:val="24"/>
          <w:b w:val="1"/>
          <w:bCs w:val="1"/>
          <w:color w:val="auto"/>
        </w:rPr>
        <w:t>Instructions:</w:t>
      </w:r>
    </w:p>
    <w:p>
      <w:pPr>
        <w:spacing w:after="0" w:line="145" w:lineRule="exact"/>
        <w:rPr>
          <w:sz w:val="20"/>
          <w:szCs w:val="20"/>
          <w:color w:val="auto"/>
        </w:rPr>
      </w:pPr>
    </w:p>
    <w:p>
      <w:pPr>
        <w:jc w:val="both"/>
        <w:ind w:left="1488" w:hanging="580"/>
        <w:spacing w:after="0" w:line="356" w:lineRule="auto"/>
        <w:tabs>
          <w:tab w:leader="none" w:pos="1444" w:val="left"/>
        </w:tabs>
        <w:numPr>
          <w:ilvl w:val="1"/>
          <w:numId w:val="97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All information shall be relevant and updated. The source and basis of all statements and claims shall be disclosed. Terms such as “market leader”, “leading player”, etc. shall be used only if these can be substantiated by citing a proper source.</w:t>
      </w:r>
    </w:p>
    <w:p>
      <w:pPr>
        <w:spacing w:after="0" w:line="18" w:lineRule="exact"/>
        <w:rPr>
          <w:rFonts w:ascii="Times New Roman" w:cs="Times New Roman" w:eastAsia="Times New Roman" w:hAnsi="Times New Roman"/>
          <w:sz w:val="24"/>
          <w:szCs w:val="24"/>
          <w:color w:val="auto"/>
        </w:rPr>
      </w:pPr>
    </w:p>
    <w:p>
      <w:pPr>
        <w:ind w:left="1488" w:hanging="580"/>
        <w:spacing w:after="0" w:line="350" w:lineRule="auto"/>
        <w:tabs>
          <w:tab w:leader="none" w:pos="1444" w:val="left"/>
        </w:tabs>
        <w:numPr>
          <w:ilvl w:val="1"/>
          <w:numId w:val="97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All blank spaces in the draft letter of offer shall be filled up with appropriate data before filing the letter of offer with the designated stock exchanges.</w:t>
      </w:r>
    </w:p>
    <w:p>
      <w:pPr>
        <w:spacing w:after="0" w:line="23" w:lineRule="exact"/>
        <w:rPr>
          <w:rFonts w:ascii="Times New Roman" w:cs="Times New Roman" w:eastAsia="Times New Roman" w:hAnsi="Times New Roman"/>
          <w:sz w:val="24"/>
          <w:szCs w:val="24"/>
          <w:color w:val="auto"/>
        </w:rPr>
      </w:pPr>
    </w:p>
    <w:p>
      <w:pPr>
        <w:jc w:val="both"/>
        <w:ind w:left="1488" w:hanging="580"/>
        <w:spacing w:after="0" w:line="354" w:lineRule="auto"/>
        <w:tabs>
          <w:tab w:leader="none" w:pos="1444" w:val="left"/>
        </w:tabs>
        <w:numPr>
          <w:ilvl w:val="1"/>
          <w:numId w:val="97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Simple English shall be used to enable easy understanding of the contents. Technical terms, if any, used in explaining the business of the issuer shall be clarified in simple terms.</w:t>
      </w:r>
    </w:p>
    <w:p>
      <w:pPr>
        <w:spacing w:after="0" w:line="22" w:lineRule="exact"/>
        <w:rPr>
          <w:rFonts w:ascii="Times New Roman" w:cs="Times New Roman" w:eastAsia="Times New Roman" w:hAnsi="Times New Roman"/>
          <w:sz w:val="24"/>
          <w:szCs w:val="24"/>
          <w:color w:val="auto"/>
        </w:rPr>
      </w:pPr>
    </w:p>
    <w:p>
      <w:pPr>
        <w:jc w:val="both"/>
        <w:ind w:left="1488" w:hanging="580"/>
        <w:spacing w:after="0" w:line="354" w:lineRule="auto"/>
        <w:tabs>
          <w:tab w:leader="none" w:pos="1444" w:val="left"/>
        </w:tabs>
        <w:numPr>
          <w:ilvl w:val="1"/>
          <w:numId w:val="97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Wherever it is mentioned that details are given elsewhere in the document, the same shall be adequately cross-referenced by indicating the paragraph heading and page number.</w:t>
      </w:r>
    </w:p>
    <w:p>
      <w:pPr>
        <w:spacing w:after="0" w:line="7" w:lineRule="exact"/>
        <w:rPr>
          <w:rFonts w:ascii="Times New Roman" w:cs="Times New Roman" w:eastAsia="Times New Roman" w:hAnsi="Times New Roman"/>
          <w:sz w:val="24"/>
          <w:szCs w:val="24"/>
          <w:color w:val="auto"/>
        </w:rPr>
      </w:pPr>
    </w:p>
    <w:p>
      <w:pPr>
        <w:ind w:left="1448" w:hanging="540"/>
        <w:spacing w:after="0"/>
        <w:tabs>
          <w:tab w:leader="none" w:pos="1448" w:val="left"/>
        </w:tabs>
        <w:numPr>
          <w:ilvl w:val="1"/>
          <w:numId w:val="97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There shall be no forward-looking statements that cannot be substantiated.</w:t>
      </w:r>
    </w:p>
    <w:p>
      <w:pPr>
        <w:spacing w:after="0" w:line="151" w:lineRule="exact"/>
        <w:rPr>
          <w:rFonts w:ascii="Times New Roman" w:cs="Times New Roman" w:eastAsia="Times New Roman" w:hAnsi="Times New Roman"/>
          <w:sz w:val="24"/>
          <w:szCs w:val="24"/>
          <w:color w:val="auto"/>
        </w:rPr>
      </w:pPr>
    </w:p>
    <w:p>
      <w:pPr>
        <w:jc w:val="both"/>
        <w:ind w:left="1488" w:hanging="580"/>
        <w:spacing w:after="0" w:line="353" w:lineRule="auto"/>
        <w:tabs>
          <w:tab w:leader="none" w:pos="1444" w:val="left"/>
        </w:tabs>
        <w:numPr>
          <w:ilvl w:val="1"/>
          <w:numId w:val="97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Consistency shall be ensured in the style of disclosures. If first person is used, the same may be used throughout. Sentences that contain a combination of first and third persons may be avoided.</w:t>
      </w:r>
    </w:p>
    <w:p>
      <w:pPr>
        <w:spacing w:after="0" w:line="11" w:lineRule="exact"/>
        <w:rPr>
          <w:rFonts w:ascii="Times New Roman" w:cs="Times New Roman" w:eastAsia="Times New Roman" w:hAnsi="Times New Roman"/>
          <w:sz w:val="24"/>
          <w:szCs w:val="24"/>
          <w:color w:val="auto"/>
        </w:rPr>
      </w:pPr>
    </w:p>
    <w:p>
      <w:pPr>
        <w:ind w:left="1448" w:hanging="540"/>
        <w:spacing w:after="0"/>
        <w:tabs>
          <w:tab w:leader="none" w:pos="1448" w:val="left"/>
        </w:tabs>
        <w:numPr>
          <w:ilvl w:val="1"/>
          <w:numId w:val="97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For currency of presentation, only one standard financial unit shall be used.</w:t>
      </w:r>
    </w:p>
    <w:p>
      <w:pPr>
        <w:spacing w:after="0" w:line="200" w:lineRule="exact"/>
        <w:rPr>
          <w:rFonts w:ascii="Times New Roman" w:cs="Times New Roman" w:eastAsia="Times New Roman" w:hAnsi="Times New Roman"/>
          <w:sz w:val="24"/>
          <w:szCs w:val="24"/>
          <w:color w:val="auto"/>
        </w:rPr>
      </w:pPr>
    </w:p>
    <w:p>
      <w:pPr>
        <w:spacing w:after="0" w:line="364" w:lineRule="exact"/>
        <w:rPr>
          <w:rFonts w:ascii="Times New Roman" w:cs="Times New Roman" w:eastAsia="Times New Roman" w:hAnsi="Times New Roman"/>
          <w:sz w:val="24"/>
          <w:szCs w:val="24"/>
          <w:color w:val="auto"/>
        </w:rPr>
      </w:pPr>
    </w:p>
    <w:p>
      <w:pPr>
        <w:ind w:left="688" w:hanging="356"/>
        <w:spacing w:after="0" w:line="348" w:lineRule="auto"/>
        <w:tabs>
          <w:tab w:leader="none" w:pos="688" w:val="left"/>
        </w:tabs>
        <w:numPr>
          <w:ilvl w:val="0"/>
          <w:numId w:val="97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Cover pages: </w:t>
      </w:r>
      <w:r>
        <w:rPr>
          <w:rFonts w:ascii="Times New Roman" w:cs="Times New Roman" w:eastAsia="Times New Roman" w:hAnsi="Times New Roman"/>
          <w:sz w:val="24"/>
          <w:szCs w:val="24"/>
          <w:color w:val="auto"/>
        </w:rPr>
        <w:t>The cover pages shall be of adequate thickness (minimum hundred GSM</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quality) and shall be white in colour with no patterns.</w:t>
      </w:r>
    </w:p>
    <w:p>
      <w:pPr>
        <w:spacing w:after="0" w:line="20" w:lineRule="exact"/>
        <w:rPr>
          <w:rFonts w:ascii="Times New Roman" w:cs="Times New Roman" w:eastAsia="Times New Roman" w:hAnsi="Times New Roman"/>
          <w:sz w:val="24"/>
          <w:szCs w:val="24"/>
          <w:b w:val="1"/>
          <w:bCs w:val="1"/>
          <w:color w:val="auto"/>
        </w:rPr>
      </w:pPr>
    </w:p>
    <w:p>
      <w:pPr>
        <w:ind w:left="1408" w:hanging="356"/>
        <w:spacing w:after="0"/>
        <w:tabs>
          <w:tab w:leader="none" w:pos="1408" w:val="left"/>
        </w:tabs>
        <w:numPr>
          <w:ilvl w:val="2"/>
          <w:numId w:val="97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Front cover pages:</w:t>
      </w:r>
    </w:p>
    <w:p>
      <w:pPr>
        <w:spacing w:after="0" w:line="132" w:lineRule="exact"/>
        <w:rPr>
          <w:rFonts w:ascii="Times New Roman" w:cs="Times New Roman" w:eastAsia="Times New Roman" w:hAnsi="Times New Roman"/>
          <w:sz w:val="24"/>
          <w:szCs w:val="24"/>
          <w:color w:val="auto"/>
        </w:rPr>
      </w:pPr>
    </w:p>
    <w:p>
      <w:pPr>
        <w:ind w:left="1988" w:hanging="576"/>
        <w:spacing w:after="0"/>
        <w:tabs>
          <w:tab w:leader="none" w:pos="1988" w:val="left"/>
        </w:tabs>
        <w:numPr>
          <w:ilvl w:val="3"/>
          <w:numId w:val="97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Front inside cover page shall be kept blank.</w:t>
      </w:r>
    </w:p>
    <w:p>
      <w:pPr>
        <w:spacing w:after="0" w:line="139" w:lineRule="exact"/>
        <w:rPr>
          <w:rFonts w:ascii="Times New Roman" w:cs="Times New Roman" w:eastAsia="Times New Roman" w:hAnsi="Times New Roman"/>
          <w:sz w:val="24"/>
          <w:szCs w:val="24"/>
          <w:color w:val="auto"/>
        </w:rPr>
      </w:pPr>
    </w:p>
    <w:p>
      <w:pPr>
        <w:ind w:left="1988" w:hanging="576"/>
        <w:spacing w:after="0"/>
        <w:tabs>
          <w:tab w:leader="none" w:pos="1988" w:val="left"/>
        </w:tabs>
        <w:numPr>
          <w:ilvl w:val="3"/>
          <w:numId w:val="97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Front outside cover page shall contain only the following issue details:</w:t>
      </w:r>
    </w:p>
    <w:p>
      <w:pPr>
        <w:spacing w:after="0" w:line="136" w:lineRule="exact"/>
        <w:rPr>
          <w:rFonts w:ascii="Times New Roman" w:cs="Times New Roman" w:eastAsia="Times New Roman" w:hAnsi="Times New Roman"/>
          <w:sz w:val="24"/>
          <w:szCs w:val="24"/>
          <w:color w:val="auto"/>
        </w:rPr>
      </w:pPr>
    </w:p>
    <w:p>
      <w:pPr>
        <w:ind w:left="2568" w:hanging="580"/>
        <w:spacing w:after="0"/>
        <w:tabs>
          <w:tab w:leader="none" w:pos="2568" w:val="left"/>
        </w:tabs>
        <w:numPr>
          <w:ilvl w:val="4"/>
          <w:numId w:val="97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type of letter of offer (“Draft Letter of Offer” or “Letter of Offer”).</w:t>
      </w: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ind w:left="8" w:right="460" w:hanging="8"/>
        <w:spacing w:after="0" w:line="213" w:lineRule="auto"/>
        <w:tabs>
          <w:tab w:leader="none" w:pos="252" w:val="left"/>
        </w:tabs>
        <w:numPr>
          <w:ilvl w:val="0"/>
          <w:numId w:val="978"/>
        </w:numPr>
        <w:rPr>
          <w:rFonts w:ascii="Times New Roman" w:cs="Times New Roman" w:eastAsia="Times New Roman" w:hAnsi="Times New Roman"/>
          <w:sz w:val="25"/>
          <w:szCs w:val="25"/>
          <w:color w:val="auto"/>
          <w:vertAlign w:val="superscript"/>
        </w:rPr>
      </w:pPr>
      <w:r>
        <w:rPr>
          <w:rFonts w:ascii="Times New Roman" w:cs="Times New Roman" w:eastAsia="Times New Roman" w:hAnsi="Times New Roman"/>
          <w:sz w:val="19"/>
          <w:szCs w:val="19"/>
          <w:color w:val="auto"/>
        </w:rPr>
        <w:t>Inserted by the SEBI (Issue of Capital and Disclosure Requirements) (Fourth Amendment) Regulations, 2020 w.e.f. 28.09.2020.</w:t>
      </w:r>
    </w:p>
    <w:p>
      <w:pPr>
        <w:spacing w:after="0" w:line="29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291</w:t>
      </w:r>
    </w:p>
    <w:p>
      <w:pPr>
        <w:sectPr>
          <w:pgSz w:w="11900" w:h="16836" w:orient="portrait"/>
          <w:cols w:equalWidth="0" w:num="1">
            <w:col w:w="9468"/>
          </w:cols>
          <w:pgMar w:left="1152" w:top="1144" w:right="1284" w:bottom="103" w:gutter="0" w:footer="0" w:header="0"/>
        </w:sectPr>
      </w:pPr>
    </w:p>
    <w:bookmarkStart w:id="291" w:name="page292"/>
    <w:bookmarkEnd w:id="291"/>
    <w:p>
      <w:pPr>
        <w:ind w:left="2280" w:hanging="580"/>
        <w:spacing w:after="0"/>
        <w:tabs>
          <w:tab w:leader="none" w:pos="2280" w:val="left"/>
        </w:tabs>
        <w:numPr>
          <w:ilvl w:val="0"/>
          <w:numId w:val="97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Date of the draft letter of offer / letter of offer.</w:t>
      </w:r>
    </w:p>
    <w:p>
      <w:pPr>
        <w:spacing w:after="0" w:line="149" w:lineRule="exact"/>
        <w:rPr>
          <w:rFonts w:ascii="Times New Roman" w:cs="Times New Roman" w:eastAsia="Times New Roman" w:hAnsi="Times New Roman"/>
          <w:sz w:val="24"/>
          <w:szCs w:val="24"/>
          <w:color w:val="auto"/>
        </w:rPr>
      </w:pPr>
    </w:p>
    <w:p>
      <w:pPr>
        <w:jc w:val="both"/>
        <w:ind w:left="2280" w:hanging="580"/>
        <w:spacing w:after="0" w:line="358" w:lineRule="auto"/>
        <w:tabs>
          <w:tab w:leader="none" w:pos="2280" w:val="left"/>
        </w:tabs>
        <w:numPr>
          <w:ilvl w:val="0"/>
          <w:numId w:val="97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 of the issuer, its logo, date and place of its incorporation, corporate identity number, address of its registered and corporate offices, telephone number, website address and e-mail address (where there has been any change in the address of the registered office or the name of the issuer, reference to the page of the letter of offer where details thereof are given).</w:t>
      </w:r>
    </w:p>
    <w:p>
      <w:pPr>
        <w:spacing w:after="0" w:line="1" w:lineRule="exact"/>
        <w:rPr>
          <w:rFonts w:ascii="Times New Roman" w:cs="Times New Roman" w:eastAsia="Times New Roman" w:hAnsi="Times New Roman"/>
          <w:sz w:val="24"/>
          <w:szCs w:val="24"/>
          <w:color w:val="auto"/>
        </w:rPr>
      </w:pPr>
    </w:p>
    <w:p>
      <w:pPr>
        <w:ind w:left="2280" w:hanging="580"/>
        <w:spacing w:after="0"/>
        <w:tabs>
          <w:tab w:leader="none" w:pos="2280" w:val="left"/>
        </w:tabs>
        <w:numPr>
          <w:ilvl w:val="0"/>
          <w:numId w:val="97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Names of the promoter(s) of the issuer.</w:t>
      </w:r>
    </w:p>
    <w:p>
      <w:pPr>
        <w:spacing w:after="0" w:line="152" w:lineRule="exact"/>
        <w:rPr>
          <w:rFonts w:ascii="Times New Roman" w:cs="Times New Roman" w:eastAsia="Times New Roman" w:hAnsi="Times New Roman"/>
          <w:sz w:val="24"/>
          <w:szCs w:val="24"/>
          <w:color w:val="auto"/>
        </w:rPr>
      </w:pPr>
    </w:p>
    <w:p>
      <w:pPr>
        <w:ind w:left="2280" w:hanging="580"/>
        <w:spacing w:after="0" w:line="348" w:lineRule="auto"/>
        <w:tabs>
          <w:tab w:leader="none" w:pos="2280" w:val="left"/>
        </w:tabs>
        <w:numPr>
          <w:ilvl w:val="0"/>
          <w:numId w:val="97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the company or any of its promoters or directors being a wilful defaulter.</w:t>
      </w:r>
    </w:p>
    <w:p>
      <w:pPr>
        <w:spacing w:after="0" w:line="27" w:lineRule="exact"/>
        <w:rPr>
          <w:rFonts w:ascii="Times New Roman" w:cs="Times New Roman" w:eastAsia="Times New Roman" w:hAnsi="Times New Roman"/>
          <w:sz w:val="24"/>
          <w:szCs w:val="24"/>
          <w:color w:val="auto"/>
        </w:rPr>
      </w:pPr>
    </w:p>
    <w:p>
      <w:pPr>
        <w:ind w:left="2280" w:hanging="580"/>
        <w:spacing w:after="0" w:line="348" w:lineRule="auto"/>
        <w:tabs>
          <w:tab w:leader="none" w:pos="1874" w:val="left"/>
        </w:tabs>
        <w:numPr>
          <w:ilvl w:val="0"/>
          <w:numId w:val="97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Nature, number and price of specified securities offered and issue size, as may be applicable.</w:t>
      </w:r>
    </w:p>
    <w:p>
      <w:pPr>
        <w:spacing w:after="0" w:line="27" w:lineRule="exact"/>
        <w:rPr>
          <w:rFonts w:ascii="Times New Roman" w:cs="Times New Roman" w:eastAsia="Times New Roman" w:hAnsi="Times New Roman"/>
          <w:sz w:val="24"/>
          <w:szCs w:val="24"/>
          <w:color w:val="auto"/>
        </w:rPr>
      </w:pPr>
    </w:p>
    <w:p>
      <w:pPr>
        <w:ind w:left="2280" w:hanging="580"/>
        <w:spacing w:after="0" w:line="348" w:lineRule="auto"/>
        <w:tabs>
          <w:tab w:leader="none" w:pos="2280" w:val="left"/>
        </w:tabs>
        <w:numPr>
          <w:ilvl w:val="0"/>
          <w:numId w:val="97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following clause on ‘General Risk’ shall be incorporated in a box format:</w:t>
      </w:r>
    </w:p>
    <w:p>
      <w:pPr>
        <w:spacing w:after="0" w:line="28" w:lineRule="exact"/>
        <w:rPr>
          <w:sz w:val="20"/>
          <w:szCs w:val="20"/>
          <w:color w:val="auto"/>
        </w:rPr>
      </w:pPr>
    </w:p>
    <w:p>
      <w:pPr>
        <w:jc w:val="both"/>
        <w:ind w:left="1160"/>
        <w:spacing w:after="0" w:line="358" w:lineRule="auto"/>
        <w:rPr>
          <w:sz w:val="20"/>
          <w:szCs w:val="20"/>
          <w:color w:val="auto"/>
        </w:rPr>
      </w:pPr>
      <w:r>
        <w:rPr>
          <w:rFonts w:ascii="Times New Roman" w:cs="Times New Roman" w:eastAsia="Times New Roman" w:hAnsi="Times New Roman"/>
          <w:sz w:val="24"/>
          <w:szCs w:val="24"/>
          <w:color w:val="auto"/>
        </w:rPr>
        <w:t>"Investment in equity and equity related securities involve a degree of risk and investors should not invest any funds in this offer unless they can afford to take the risk of losing their investment. Investors are advised to read the risk factors carefully before taking an investment decision in this offering. For taking an investment decision, investors must rely on their own examination of the issuer and the offer including the risks involved. The securities have not been recommended or approved by the Securities and Exchange Board of India (SEBI) nor does SEBI guarantee the accuracy or adequacy of this document. Specific attention of investors is invited to the statement of ‘Risk factors’ given on page number under the section ‘General Risks’."</w:t>
      </w:r>
    </w:p>
    <w:p>
      <w:pPr>
        <w:spacing w:after="0" w:line="24" w:lineRule="exact"/>
        <w:rPr>
          <w:sz w:val="20"/>
          <w:szCs w:val="20"/>
          <w:color w:val="auto"/>
        </w:rPr>
      </w:pPr>
    </w:p>
    <w:p>
      <w:pPr>
        <w:ind w:left="2280" w:hanging="580"/>
        <w:spacing w:after="0" w:line="348" w:lineRule="auto"/>
        <w:tabs>
          <w:tab w:leader="none" w:pos="2280" w:val="left"/>
        </w:tabs>
        <w:numPr>
          <w:ilvl w:val="0"/>
          <w:numId w:val="98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following clause on ‘Issuer’s Absolute Responsibility’ shall be incorporated in a box format:</w:t>
      </w:r>
    </w:p>
    <w:p>
      <w:pPr>
        <w:spacing w:after="0" w:line="28" w:lineRule="exact"/>
        <w:rPr>
          <w:sz w:val="20"/>
          <w:szCs w:val="20"/>
          <w:color w:val="auto"/>
        </w:rPr>
      </w:pPr>
    </w:p>
    <w:p>
      <w:pPr>
        <w:jc w:val="both"/>
        <w:ind w:left="1160"/>
        <w:spacing w:after="0" w:line="358" w:lineRule="auto"/>
        <w:rPr>
          <w:sz w:val="20"/>
          <w:szCs w:val="20"/>
          <w:color w:val="auto"/>
        </w:rPr>
      </w:pPr>
      <w:r>
        <w:rPr>
          <w:rFonts w:ascii="Times New Roman" w:cs="Times New Roman" w:eastAsia="Times New Roman" w:hAnsi="Times New Roman"/>
          <w:sz w:val="24"/>
          <w:szCs w:val="24"/>
          <w:color w:val="auto"/>
        </w:rPr>
        <w:t>“The issuer, having made all reasonable inquiries, accepts responsibility for and confirms that this letter of offer contains all information with regard to the issuer and the issue which is material in the context of the issue, that the information contained in the letter of offer is true and correct in all material aspects and is not misleading in any material respect, that the opinions and intentions expressed herein are honestly held and that there are no other facts, the omission of which make this document as a whole or any of such information or the expression of any such opinions or intentions misleading in any material respect.”</w:t>
      </w: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292</w:t>
      </w:r>
    </w:p>
    <w:p>
      <w:pPr>
        <w:sectPr>
          <w:pgSz w:w="11900" w:h="16836" w:orient="portrait"/>
          <w:cols w:equalWidth="0" w:num="1">
            <w:col w:w="9180"/>
          </w:cols>
          <w:pgMar w:left="1440" w:top="1144" w:right="1284" w:bottom="103" w:gutter="0" w:footer="0" w:header="0"/>
        </w:sectPr>
      </w:pPr>
    </w:p>
    <w:bookmarkStart w:id="292" w:name="page293"/>
    <w:bookmarkEnd w:id="292"/>
    <w:p>
      <w:pPr>
        <w:ind w:left="2280" w:hanging="580"/>
        <w:spacing w:after="0" w:line="357" w:lineRule="auto"/>
        <w:tabs>
          <w:tab w:leader="none" w:pos="1874" w:val="left"/>
        </w:tabs>
        <w:numPr>
          <w:ilvl w:val="4"/>
          <w:numId w:val="98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Names, logos and addresses of all the lead manager(s) with their titles who have signed the due diligence certificate and filed the letter of offer with the Board, along with their telephone numbers, website addresses and e- mail addresses. (Where any of the lead manager(s) is an associate of the issuer, it shall disclose itself as an associate of the issuer and that its role is limited to marketing of the issue.)</w:t>
      </w:r>
    </w:p>
    <w:p>
      <w:pPr>
        <w:spacing w:after="0" w:line="21" w:lineRule="exact"/>
        <w:rPr>
          <w:rFonts w:ascii="Times New Roman" w:cs="Times New Roman" w:eastAsia="Times New Roman" w:hAnsi="Times New Roman"/>
          <w:sz w:val="24"/>
          <w:szCs w:val="24"/>
          <w:color w:val="auto"/>
        </w:rPr>
      </w:pPr>
    </w:p>
    <w:p>
      <w:pPr>
        <w:ind w:left="2280" w:hanging="580"/>
        <w:spacing w:after="0" w:line="348" w:lineRule="auto"/>
        <w:tabs>
          <w:tab w:leader="none" w:pos="1874" w:val="left"/>
        </w:tabs>
        <w:numPr>
          <w:ilvl w:val="4"/>
          <w:numId w:val="98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 logo and address of the registrar to the issue, along with its telephone number, website address and e-mail address.</w:t>
      </w:r>
    </w:p>
    <w:p>
      <w:pPr>
        <w:spacing w:after="0" w:line="16" w:lineRule="exact"/>
        <w:rPr>
          <w:rFonts w:ascii="Times New Roman" w:cs="Times New Roman" w:eastAsia="Times New Roman" w:hAnsi="Times New Roman"/>
          <w:sz w:val="24"/>
          <w:szCs w:val="24"/>
          <w:color w:val="auto"/>
        </w:rPr>
      </w:pPr>
    </w:p>
    <w:p>
      <w:pPr>
        <w:ind w:left="2280" w:hanging="580"/>
        <w:spacing w:after="0"/>
        <w:tabs>
          <w:tab w:leader="none" w:pos="2280" w:val="left"/>
        </w:tabs>
        <w:numPr>
          <w:ilvl w:val="4"/>
          <w:numId w:val="98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Issue schedule:</w:t>
      </w:r>
    </w:p>
    <w:p>
      <w:pPr>
        <w:spacing w:after="0" w:line="136" w:lineRule="exact"/>
        <w:rPr>
          <w:rFonts w:ascii="Times New Roman" w:cs="Times New Roman" w:eastAsia="Times New Roman" w:hAnsi="Times New Roman"/>
          <w:sz w:val="24"/>
          <w:szCs w:val="24"/>
          <w:color w:val="auto"/>
        </w:rPr>
      </w:pPr>
    </w:p>
    <w:p>
      <w:pPr>
        <w:ind w:left="2600" w:hanging="321"/>
        <w:spacing w:after="0"/>
        <w:tabs>
          <w:tab w:leader="none" w:pos="2600" w:val="left"/>
        </w:tabs>
        <w:numPr>
          <w:ilvl w:val="5"/>
          <w:numId w:val="98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Date of opening of the issue</w:t>
      </w:r>
    </w:p>
    <w:p>
      <w:pPr>
        <w:spacing w:after="0" w:line="139" w:lineRule="exact"/>
        <w:rPr>
          <w:rFonts w:ascii="Times New Roman" w:cs="Times New Roman" w:eastAsia="Times New Roman" w:hAnsi="Times New Roman"/>
          <w:sz w:val="24"/>
          <w:szCs w:val="24"/>
          <w:color w:val="auto"/>
        </w:rPr>
      </w:pPr>
    </w:p>
    <w:p>
      <w:pPr>
        <w:ind w:left="2600" w:hanging="321"/>
        <w:spacing w:after="0"/>
        <w:tabs>
          <w:tab w:leader="none" w:pos="2600" w:val="left"/>
        </w:tabs>
        <w:numPr>
          <w:ilvl w:val="5"/>
          <w:numId w:val="98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Date of closing of the issue</w:t>
      </w:r>
    </w:p>
    <w:p>
      <w:pPr>
        <w:spacing w:after="0" w:line="136" w:lineRule="exact"/>
        <w:rPr>
          <w:rFonts w:ascii="Times New Roman" w:cs="Times New Roman" w:eastAsia="Times New Roman" w:hAnsi="Times New Roman"/>
          <w:sz w:val="24"/>
          <w:szCs w:val="24"/>
          <w:color w:val="auto"/>
        </w:rPr>
      </w:pPr>
    </w:p>
    <w:p>
      <w:pPr>
        <w:ind w:left="1880" w:hanging="180"/>
        <w:spacing w:after="0"/>
        <w:tabs>
          <w:tab w:leader="none" w:pos="1880" w:val="left"/>
        </w:tabs>
        <w:numPr>
          <w:ilvl w:val="4"/>
          <w:numId w:val="98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Credit rating, if applicable.</w:t>
      </w:r>
    </w:p>
    <w:p>
      <w:pPr>
        <w:spacing w:after="0" w:line="151" w:lineRule="exact"/>
        <w:rPr>
          <w:rFonts w:ascii="Times New Roman" w:cs="Times New Roman" w:eastAsia="Times New Roman" w:hAnsi="Times New Roman"/>
          <w:sz w:val="24"/>
          <w:szCs w:val="24"/>
          <w:color w:val="auto"/>
        </w:rPr>
      </w:pPr>
    </w:p>
    <w:p>
      <w:pPr>
        <w:jc w:val="both"/>
        <w:ind w:left="2280" w:hanging="580"/>
        <w:spacing w:after="0" w:line="354" w:lineRule="auto"/>
        <w:tabs>
          <w:tab w:leader="none" w:pos="2280" w:val="left"/>
        </w:tabs>
        <w:numPr>
          <w:ilvl w:val="4"/>
          <w:numId w:val="98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Name(s) of the stock exchanges where the specified securities are listed and the details of their in-principle approval for listing obtained from these stock exchange(s).</w:t>
      </w:r>
    </w:p>
    <w:p>
      <w:pPr>
        <w:spacing w:after="0" w:line="19" w:lineRule="exact"/>
        <w:rPr>
          <w:rFonts w:ascii="Times New Roman" w:cs="Times New Roman" w:eastAsia="Times New Roman" w:hAnsi="Times New Roman"/>
          <w:sz w:val="24"/>
          <w:szCs w:val="24"/>
          <w:color w:val="auto"/>
        </w:rPr>
      </w:pPr>
    </w:p>
    <w:p>
      <w:pPr>
        <w:ind w:left="1120" w:hanging="356"/>
        <w:spacing w:after="0" w:line="350" w:lineRule="auto"/>
        <w:tabs>
          <w:tab w:leader="none" w:pos="1120" w:val="left"/>
        </w:tabs>
        <w:numPr>
          <w:ilvl w:val="2"/>
          <w:numId w:val="98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Back cover pages: </w:t>
      </w:r>
      <w:r>
        <w:rPr>
          <w:rFonts w:ascii="Times New Roman" w:cs="Times New Roman" w:eastAsia="Times New Roman" w:hAnsi="Times New Roman"/>
          <w:sz w:val="24"/>
          <w:szCs w:val="24"/>
          <w:color w:val="auto"/>
        </w:rPr>
        <w:t>The back inside cover page and back outside cover page shall</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be kept blank.</w:t>
      </w:r>
    </w:p>
    <w:p>
      <w:pPr>
        <w:spacing w:after="0" w:line="23" w:lineRule="exact"/>
        <w:rPr>
          <w:rFonts w:ascii="Times New Roman" w:cs="Times New Roman" w:eastAsia="Times New Roman" w:hAnsi="Times New Roman"/>
          <w:sz w:val="24"/>
          <w:szCs w:val="24"/>
          <w:color w:val="auto"/>
        </w:rPr>
      </w:pPr>
    </w:p>
    <w:p>
      <w:pPr>
        <w:ind w:left="400" w:hanging="356"/>
        <w:spacing w:after="0" w:line="350" w:lineRule="auto"/>
        <w:tabs>
          <w:tab w:leader="none" w:pos="400" w:val="left"/>
        </w:tabs>
        <w:numPr>
          <w:ilvl w:val="0"/>
          <w:numId w:val="98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Table of Contents: </w:t>
      </w:r>
      <w:r>
        <w:rPr>
          <w:rFonts w:ascii="Times New Roman" w:cs="Times New Roman" w:eastAsia="Times New Roman" w:hAnsi="Times New Roman"/>
          <w:sz w:val="24"/>
          <w:szCs w:val="24"/>
          <w:color w:val="auto"/>
        </w:rPr>
        <w:t>The table of contents shall appear immediately after the front inside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cover page.</w:t>
      </w:r>
    </w:p>
    <w:p>
      <w:pPr>
        <w:spacing w:after="0" w:line="15" w:lineRule="exact"/>
        <w:rPr>
          <w:rFonts w:ascii="Times New Roman" w:cs="Times New Roman" w:eastAsia="Times New Roman" w:hAnsi="Times New Roman"/>
          <w:sz w:val="24"/>
          <w:szCs w:val="24"/>
          <w:b w:val="1"/>
          <w:bCs w:val="1"/>
          <w:color w:val="auto"/>
        </w:rPr>
      </w:pPr>
    </w:p>
    <w:p>
      <w:pPr>
        <w:ind w:left="400" w:hanging="356"/>
        <w:spacing w:after="0"/>
        <w:tabs>
          <w:tab w:leader="none" w:pos="400" w:val="left"/>
        </w:tabs>
        <w:numPr>
          <w:ilvl w:val="0"/>
          <w:numId w:val="98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Definitions and abbreviations:</w:t>
      </w:r>
    </w:p>
    <w:p>
      <w:pPr>
        <w:spacing w:after="0" w:line="134" w:lineRule="exact"/>
        <w:rPr>
          <w:rFonts w:ascii="Times New Roman" w:cs="Times New Roman" w:eastAsia="Times New Roman" w:hAnsi="Times New Roman"/>
          <w:sz w:val="24"/>
          <w:szCs w:val="24"/>
          <w:b w:val="1"/>
          <w:bCs w:val="1"/>
          <w:color w:val="auto"/>
        </w:rPr>
      </w:pPr>
    </w:p>
    <w:p>
      <w:pPr>
        <w:ind w:left="900" w:hanging="496"/>
        <w:spacing w:after="0"/>
        <w:tabs>
          <w:tab w:leader="none" w:pos="900" w:val="left"/>
        </w:tabs>
        <w:numPr>
          <w:ilvl w:val="1"/>
          <w:numId w:val="98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Conventional or general terms</w:t>
      </w:r>
    </w:p>
    <w:p>
      <w:pPr>
        <w:spacing w:after="0" w:line="136" w:lineRule="exact"/>
        <w:rPr>
          <w:rFonts w:ascii="Times New Roman" w:cs="Times New Roman" w:eastAsia="Times New Roman" w:hAnsi="Times New Roman"/>
          <w:sz w:val="24"/>
          <w:szCs w:val="24"/>
          <w:color w:val="auto"/>
        </w:rPr>
      </w:pPr>
    </w:p>
    <w:p>
      <w:pPr>
        <w:ind w:left="900" w:hanging="496"/>
        <w:spacing w:after="0"/>
        <w:tabs>
          <w:tab w:leader="none" w:pos="900" w:val="left"/>
        </w:tabs>
        <w:numPr>
          <w:ilvl w:val="1"/>
          <w:numId w:val="98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Issue related terms</w:t>
      </w:r>
    </w:p>
    <w:p>
      <w:pPr>
        <w:spacing w:after="0" w:line="139" w:lineRule="exact"/>
        <w:rPr>
          <w:rFonts w:ascii="Times New Roman" w:cs="Times New Roman" w:eastAsia="Times New Roman" w:hAnsi="Times New Roman"/>
          <w:sz w:val="24"/>
          <w:szCs w:val="24"/>
          <w:color w:val="auto"/>
        </w:rPr>
      </w:pPr>
    </w:p>
    <w:p>
      <w:pPr>
        <w:ind w:left="900" w:hanging="496"/>
        <w:spacing w:after="0"/>
        <w:tabs>
          <w:tab w:leader="none" w:pos="900" w:val="left"/>
        </w:tabs>
        <w:numPr>
          <w:ilvl w:val="1"/>
          <w:numId w:val="98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Issuer and industry related terms</w:t>
      </w:r>
    </w:p>
    <w:p>
      <w:pPr>
        <w:spacing w:after="0" w:line="137" w:lineRule="exact"/>
        <w:rPr>
          <w:rFonts w:ascii="Times New Roman" w:cs="Times New Roman" w:eastAsia="Times New Roman" w:hAnsi="Times New Roman"/>
          <w:sz w:val="24"/>
          <w:szCs w:val="24"/>
          <w:color w:val="auto"/>
        </w:rPr>
      </w:pPr>
    </w:p>
    <w:p>
      <w:pPr>
        <w:ind w:left="900" w:hanging="496"/>
        <w:spacing w:after="0"/>
        <w:tabs>
          <w:tab w:leader="none" w:pos="900" w:val="left"/>
        </w:tabs>
        <w:numPr>
          <w:ilvl w:val="1"/>
          <w:numId w:val="98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Abbreviations</w:t>
      </w:r>
    </w:p>
    <w:p>
      <w:pPr>
        <w:spacing w:after="0" w:line="151" w:lineRule="exact"/>
        <w:rPr>
          <w:rFonts w:ascii="Times New Roman" w:cs="Times New Roman" w:eastAsia="Times New Roman" w:hAnsi="Times New Roman"/>
          <w:sz w:val="24"/>
          <w:szCs w:val="24"/>
          <w:color w:val="auto"/>
        </w:rPr>
      </w:pPr>
    </w:p>
    <w:p>
      <w:pPr>
        <w:ind w:left="400" w:hanging="356"/>
        <w:spacing w:after="0" w:line="348" w:lineRule="auto"/>
        <w:tabs>
          <w:tab w:leader="none" w:pos="400" w:val="left"/>
        </w:tabs>
        <w:numPr>
          <w:ilvl w:val="0"/>
          <w:numId w:val="98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Letter of offer summary: </w:t>
      </w:r>
      <w:r>
        <w:rPr>
          <w:rFonts w:ascii="Times New Roman" w:cs="Times New Roman" w:eastAsia="Times New Roman" w:hAnsi="Times New Roman"/>
          <w:sz w:val="24"/>
          <w:szCs w:val="24"/>
          <w:color w:val="auto"/>
        </w:rPr>
        <w:t>This section shall contain summary of the following</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information, as applicable:</w:t>
      </w:r>
    </w:p>
    <w:p>
      <w:pPr>
        <w:spacing w:after="0" w:line="27" w:lineRule="exact"/>
        <w:rPr>
          <w:rFonts w:ascii="Times New Roman" w:cs="Times New Roman" w:eastAsia="Times New Roman" w:hAnsi="Times New Roman"/>
          <w:sz w:val="24"/>
          <w:szCs w:val="24"/>
          <w:b w:val="1"/>
          <w:bCs w:val="1"/>
          <w:color w:val="auto"/>
        </w:rPr>
      </w:pPr>
    </w:p>
    <w:p>
      <w:pPr>
        <w:ind w:left="760" w:hanging="356"/>
        <w:spacing w:after="0" w:line="348" w:lineRule="auto"/>
        <w:tabs>
          <w:tab w:leader="none" w:pos="760" w:val="left"/>
        </w:tabs>
        <w:numPr>
          <w:ilvl w:val="1"/>
          <w:numId w:val="98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Primary business of the Issuer and the industry in which it operates, in not more than 100 words each;</w:t>
      </w:r>
    </w:p>
    <w:p>
      <w:pPr>
        <w:spacing w:after="0" w:line="15" w:lineRule="exact"/>
        <w:rPr>
          <w:rFonts w:ascii="Times New Roman" w:cs="Times New Roman" w:eastAsia="Times New Roman" w:hAnsi="Times New Roman"/>
          <w:sz w:val="24"/>
          <w:szCs w:val="24"/>
          <w:color w:val="auto"/>
        </w:rPr>
      </w:pPr>
    </w:p>
    <w:p>
      <w:pPr>
        <w:ind w:left="760" w:hanging="356"/>
        <w:spacing w:after="0"/>
        <w:tabs>
          <w:tab w:leader="none" w:pos="760" w:val="left"/>
        </w:tabs>
        <w:numPr>
          <w:ilvl w:val="1"/>
          <w:numId w:val="98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Names of the promoters;</w:t>
      </w:r>
    </w:p>
    <w:p>
      <w:pPr>
        <w:spacing w:after="0" w:line="136" w:lineRule="exact"/>
        <w:rPr>
          <w:rFonts w:ascii="Times New Roman" w:cs="Times New Roman" w:eastAsia="Times New Roman" w:hAnsi="Times New Roman"/>
          <w:sz w:val="24"/>
          <w:szCs w:val="24"/>
          <w:color w:val="auto"/>
        </w:rPr>
      </w:pPr>
    </w:p>
    <w:p>
      <w:pPr>
        <w:ind w:left="760" w:hanging="356"/>
        <w:spacing w:after="0"/>
        <w:tabs>
          <w:tab w:leader="none" w:pos="760" w:val="left"/>
        </w:tabs>
        <w:numPr>
          <w:ilvl w:val="1"/>
          <w:numId w:val="98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Objects of the issue in a tabular format;</w:t>
      </w:r>
    </w:p>
    <w:p>
      <w:pPr>
        <w:spacing w:after="0" w:line="151" w:lineRule="exact"/>
        <w:rPr>
          <w:rFonts w:ascii="Times New Roman" w:cs="Times New Roman" w:eastAsia="Times New Roman" w:hAnsi="Times New Roman"/>
          <w:sz w:val="24"/>
          <w:szCs w:val="24"/>
          <w:color w:val="auto"/>
        </w:rPr>
      </w:pPr>
    </w:p>
    <w:p>
      <w:pPr>
        <w:ind w:left="760" w:hanging="356"/>
        <w:spacing w:after="0" w:line="348" w:lineRule="auto"/>
        <w:tabs>
          <w:tab w:leader="none" w:pos="760" w:val="left"/>
        </w:tabs>
        <w:numPr>
          <w:ilvl w:val="1"/>
          <w:numId w:val="98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Following details as per the restated consolidated financial statements for past 3 years and limited review stub period in tabular format:</w:t>
      </w:r>
    </w:p>
    <w:p>
      <w:pPr>
        <w:spacing w:after="0" w:line="15" w:lineRule="exact"/>
        <w:rPr>
          <w:rFonts w:ascii="Times New Roman" w:cs="Times New Roman" w:eastAsia="Times New Roman" w:hAnsi="Times New Roman"/>
          <w:sz w:val="24"/>
          <w:szCs w:val="24"/>
          <w:color w:val="auto"/>
        </w:rPr>
      </w:pPr>
    </w:p>
    <w:p>
      <w:pPr>
        <w:ind w:left="1480" w:hanging="356"/>
        <w:spacing w:after="0"/>
        <w:tabs>
          <w:tab w:leader="none" w:pos="1480" w:val="left"/>
        </w:tabs>
        <w:numPr>
          <w:ilvl w:val="3"/>
          <w:numId w:val="98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Share capital;</w:t>
      </w:r>
    </w:p>
    <w:p>
      <w:pPr>
        <w:spacing w:after="0" w:line="136" w:lineRule="exact"/>
        <w:rPr>
          <w:rFonts w:ascii="Times New Roman" w:cs="Times New Roman" w:eastAsia="Times New Roman" w:hAnsi="Times New Roman"/>
          <w:sz w:val="24"/>
          <w:szCs w:val="24"/>
          <w:color w:val="auto"/>
        </w:rPr>
      </w:pPr>
    </w:p>
    <w:p>
      <w:pPr>
        <w:ind w:left="1480" w:hanging="356"/>
        <w:spacing w:after="0"/>
        <w:tabs>
          <w:tab w:leader="none" w:pos="1480" w:val="left"/>
        </w:tabs>
        <w:numPr>
          <w:ilvl w:val="3"/>
          <w:numId w:val="98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Net Worth;</w:t>
      </w:r>
    </w:p>
    <w:p>
      <w:pPr>
        <w:spacing w:after="0" w:line="139" w:lineRule="exact"/>
        <w:rPr>
          <w:rFonts w:ascii="Times New Roman" w:cs="Times New Roman" w:eastAsia="Times New Roman" w:hAnsi="Times New Roman"/>
          <w:sz w:val="24"/>
          <w:szCs w:val="24"/>
          <w:color w:val="auto"/>
        </w:rPr>
      </w:pPr>
    </w:p>
    <w:p>
      <w:pPr>
        <w:ind w:left="1480" w:hanging="356"/>
        <w:spacing w:after="0"/>
        <w:tabs>
          <w:tab w:leader="none" w:pos="1480" w:val="left"/>
        </w:tabs>
        <w:numPr>
          <w:ilvl w:val="3"/>
          <w:numId w:val="98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Revenue;</w:t>
      </w:r>
    </w:p>
    <w:p>
      <w:pPr>
        <w:spacing w:after="0" w:line="394"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4"/>
          <w:szCs w:val="24"/>
          <w:color w:val="auto"/>
        </w:rPr>
        <w:t>293</w:t>
      </w:r>
    </w:p>
    <w:p>
      <w:pPr>
        <w:sectPr>
          <w:pgSz w:w="11900" w:h="16836" w:orient="portrait"/>
          <w:cols w:equalWidth="0" w:num="1">
            <w:col w:w="9180"/>
          </w:cols>
          <w:pgMar w:left="1440" w:top="1156" w:right="1284" w:bottom="103" w:gutter="0" w:footer="0" w:header="0"/>
        </w:sectPr>
      </w:pPr>
    </w:p>
    <w:bookmarkStart w:id="293" w:name="page294"/>
    <w:bookmarkEnd w:id="293"/>
    <w:p>
      <w:pPr>
        <w:ind w:left="1480" w:hanging="356"/>
        <w:spacing w:after="0"/>
        <w:tabs>
          <w:tab w:leader="none" w:pos="1480" w:val="left"/>
        </w:tabs>
        <w:numPr>
          <w:ilvl w:val="2"/>
          <w:numId w:val="98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Profit after tax;</w:t>
      </w:r>
    </w:p>
    <w:p>
      <w:pPr>
        <w:spacing w:after="0" w:line="137" w:lineRule="exact"/>
        <w:rPr>
          <w:rFonts w:ascii="Times New Roman" w:cs="Times New Roman" w:eastAsia="Times New Roman" w:hAnsi="Times New Roman"/>
          <w:sz w:val="24"/>
          <w:szCs w:val="24"/>
          <w:color w:val="auto"/>
        </w:rPr>
      </w:pPr>
    </w:p>
    <w:p>
      <w:pPr>
        <w:ind w:left="1480" w:hanging="356"/>
        <w:spacing w:after="0"/>
        <w:tabs>
          <w:tab w:leader="none" w:pos="1480" w:val="left"/>
        </w:tabs>
        <w:numPr>
          <w:ilvl w:val="2"/>
          <w:numId w:val="98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Earnings per share;</w:t>
      </w:r>
    </w:p>
    <w:p>
      <w:pPr>
        <w:spacing w:after="0" w:line="139" w:lineRule="exact"/>
        <w:rPr>
          <w:rFonts w:ascii="Times New Roman" w:cs="Times New Roman" w:eastAsia="Times New Roman" w:hAnsi="Times New Roman"/>
          <w:sz w:val="24"/>
          <w:szCs w:val="24"/>
          <w:color w:val="auto"/>
        </w:rPr>
      </w:pPr>
    </w:p>
    <w:p>
      <w:pPr>
        <w:ind w:left="1480" w:hanging="356"/>
        <w:spacing w:after="0"/>
        <w:tabs>
          <w:tab w:leader="none" w:pos="1480" w:val="left"/>
        </w:tabs>
        <w:numPr>
          <w:ilvl w:val="2"/>
          <w:numId w:val="98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Net Asset Value per equity share; and</w:t>
      </w:r>
    </w:p>
    <w:p>
      <w:pPr>
        <w:spacing w:after="0" w:line="136" w:lineRule="exact"/>
        <w:rPr>
          <w:rFonts w:ascii="Times New Roman" w:cs="Times New Roman" w:eastAsia="Times New Roman" w:hAnsi="Times New Roman"/>
          <w:sz w:val="24"/>
          <w:szCs w:val="24"/>
          <w:color w:val="auto"/>
        </w:rPr>
      </w:pPr>
    </w:p>
    <w:p>
      <w:pPr>
        <w:ind w:left="1480" w:hanging="356"/>
        <w:spacing w:after="0"/>
        <w:tabs>
          <w:tab w:leader="none" w:pos="1480" w:val="left"/>
        </w:tabs>
        <w:numPr>
          <w:ilvl w:val="2"/>
          <w:numId w:val="98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Total borrowings (as per balance sheet).</w:t>
      </w:r>
    </w:p>
    <w:p>
      <w:pPr>
        <w:spacing w:after="0" w:line="139" w:lineRule="exact"/>
        <w:rPr>
          <w:rFonts w:ascii="Times New Roman" w:cs="Times New Roman" w:eastAsia="Times New Roman" w:hAnsi="Times New Roman"/>
          <w:sz w:val="24"/>
          <w:szCs w:val="24"/>
          <w:color w:val="auto"/>
        </w:rPr>
      </w:pPr>
    </w:p>
    <w:p>
      <w:pPr>
        <w:ind w:left="760" w:hanging="356"/>
        <w:spacing w:after="0"/>
        <w:tabs>
          <w:tab w:leader="none" w:pos="760" w:val="left"/>
        </w:tabs>
        <w:numPr>
          <w:ilvl w:val="1"/>
          <w:numId w:val="98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Summary table of outstanding litigations and a cross-reference to the section titled</w:t>
      </w:r>
    </w:p>
    <w:p>
      <w:pPr>
        <w:spacing w:after="0" w:line="136" w:lineRule="exact"/>
        <w:rPr>
          <w:rFonts w:ascii="Times New Roman" w:cs="Times New Roman" w:eastAsia="Times New Roman" w:hAnsi="Times New Roman"/>
          <w:sz w:val="24"/>
          <w:szCs w:val="24"/>
          <w:color w:val="auto"/>
        </w:rPr>
      </w:pPr>
    </w:p>
    <w:p>
      <w:pPr>
        <w:ind w:left="760"/>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Outstanding Litigations and Material Developments</w:t>
      </w:r>
      <w:r>
        <w:rPr>
          <w:rFonts w:ascii="Times New Roman" w:cs="Times New Roman" w:eastAsia="Times New Roman" w:hAnsi="Times New Roman"/>
          <w:sz w:val="24"/>
          <w:szCs w:val="24"/>
          <w:color w:val="auto"/>
        </w:rPr>
        <w:t>’.</w:t>
      </w:r>
    </w:p>
    <w:p>
      <w:pPr>
        <w:spacing w:after="0" w:line="139" w:lineRule="exact"/>
        <w:rPr>
          <w:rFonts w:ascii="Times New Roman" w:cs="Times New Roman" w:eastAsia="Times New Roman" w:hAnsi="Times New Roman"/>
          <w:sz w:val="24"/>
          <w:szCs w:val="24"/>
          <w:color w:val="auto"/>
        </w:rPr>
      </w:pPr>
    </w:p>
    <w:p>
      <w:pPr>
        <w:ind w:left="760" w:hanging="356"/>
        <w:spacing w:after="0"/>
        <w:tabs>
          <w:tab w:leader="none" w:pos="760" w:val="left"/>
        </w:tabs>
        <w:numPr>
          <w:ilvl w:val="1"/>
          <w:numId w:val="98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Cross-reference to the section titled ‘</w:t>
      </w:r>
      <w:r>
        <w:rPr>
          <w:rFonts w:ascii="Times New Roman" w:cs="Times New Roman" w:eastAsia="Times New Roman" w:hAnsi="Times New Roman"/>
          <w:sz w:val="24"/>
          <w:szCs w:val="24"/>
          <w:i w:val="1"/>
          <w:iCs w:val="1"/>
          <w:color w:val="auto"/>
        </w:rPr>
        <w:t>Risk Factors</w:t>
      </w:r>
      <w:r>
        <w:rPr>
          <w:rFonts w:ascii="Times New Roman" w:cs="Times New Roman" w:eastAsia="Times New Roman" w:hAnsi="Times New Roman"/>
          <w:sz w:val="24"/>
          <w:szCs w:val="24"/>
          <w:color w:val="auto"/>
        </w:rPr>
        <w:t>’.</w:t>
      </w:r>
    </w:p>
    <w:p>
      <w:pPr>
        <w:spacing w:after="0" w:line="149" w:lineRule="exact"/>
        <w:rPr>
          <w:rFonts w:ascii="Times New Roman" w:cs="Times New Roman" w:eastAsia="Times New Roman" w:hAnsi="Times New Roman"/>
          <w:sz w:val="24"/>
          <w:szCs w:val="24"/>
          <w:color w:val="auto"/>
        </w:rPr>
      </w:pPr>
    </w:p>
    <w:p>
      <w:pPr>
        <w:ind w:left="760" w:hanging="356"/>
        <w:spacing w:after="0" w:line="350" w:lineRule="auto"/>
        <w:tabs>
          <w:tab w:leader="none" w:pos="760" w:val="left"/>
        </w:tabs>
        <w:numPr>
          <w:ilvl w:val="1"/>
          <w:numId w:val="98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Cross-reference to the contingent liabilities of the issuer as disclosed in the financial statements included in the letter of offer.</w:t>
      </w:r>
    </w:p>
    <w:p>
      <w:pPr>
        <w:spacing w:after="0" w:line="23" w:lineRule="exact"/>
        <w:rPr>
          <w:rFonts w:ascii="Times New Roman" w:cs="Times New Roman" w:eastAsia="Times New Roman" w:hAnsi="Times New Roman"/>
          <w:sz w:val="24"/>
          <w:szCs w:val="24"/>
          <w:color w:val="auto"/>
        </w:rPr>
      </w:pPr>
    </w:p>
    <w:p>
      <w:pPr>
        <w:ind w:left="760" w:hanging="356"/>
        <w:spacing w:after="0" w:line="350" w:lineRule="auto"/>
        <w:tabs>
          <w:tab w:leader="none" w:pos="760" w:val="left"/>
        </w:tabs>
        <w:numPr>
          <w:ilvl w:val="1"/>
          <w:numId w:val="98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Cross-reference to related party transactions as disclosed in the financial statements included in the letter of offer.</w:t>
      </w:r>
    </w:p>
    <w:p>
      <w:pPr>
        <w:spacing w:after="0" w:line="23" w:lineRule="exact"/>
        <w:rPr>
          <w:rFonts w:ascii="Times New Roman" w:cs="Times New Roman" w:eastAsia="Times New Roman" w:hAnsi="Times New Roman"/>
          <w:sz w:val="24"/>
          <w:szCs w:val="24"/>
          <w:color w:val="auto"/>
        </w:rPr>
      </w:pPr>
    </w:p>
    <w:p>
      <w:pPr>
        <w:ind w:left="760" w:hanging="356"/>
        <w:spacing w:after="0" w:line="350" w:lineRule="auto"/>
        <w:tabs>
          <w:tab w:leader="none" w:pos="820" w:val="left"/>
        </w:tabs>
        <w:numPr>
          <w:ilvl w:val="1"/>
          <w:numId w:val="98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issuances of equity shares made in the last one year for consideration other than cash.</w:t>
      </w:r>
    </w:p>
    <w:p>
      <w:pPr>
        <w:spacing w:after="0" w:line="10" w:lineRule="exact"/>
        <w:rPr>
          <w:rFonts w:ascii="Times New Roman" w:cs="Times New Roman" w:eastAsia="Times New Roman" w:hAnsi="Times New Roman"/>
          <w:sz w:val="24"/>
          <w:szCs w:val="24"/>
          <w:color w:val="auto"/>
        </w:rPr>
      </w:pPr>
    </w:p>
    <w:p>
      <w:pPr>
        <w:ind w:left="760" w:hanging="356"/>
        <w:spacing w:after="0"/>
        <w:tabs>
          <w:tab w:leader="none" w:pos="760" w:val="left"/>
        </w:tabs>
        <w:numPr>
          <w:ilvl w:val="1"/>
          <w:numId w:val="98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split/consolidation of equity shares in the last one year.</w:t>
      </w:r>
    </w:p>
    <w:p>
      <w:pPr>
        <w:spacing w:after="0" w:line="144" w:lineRule="exact"/>
        <w:rPr>
          <w:rFonts w:ascii="Times New Roman" w:cs="Times New Roman" w:eastAsia="Times New Roman" w:hAnsi="Times New Roman"/>
          <w:sz w:val="24"/>
          <w:szCs w:val="24"/>
          <w:color w:val="auto"/>
        </w:rPr>
      </w:pPr>
    </w:p>
    <w:p>
      <w:pPr>
        <w:ind w:left="400" w:hanging="356"/>
        <w:spacing w:after="0"/>
        <w:tabs>
          <w:tab w:leader="none" w:pos="400" w:val="left"/>
        </w:tabs>
        <w:numPr>
          <w:ilvl w:val="0"/>
          <w:numId w:val="98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Risk factors:</w:t>
      </w:r>
    </w:p>
    <w:p>
      <w:pPr>
        <w:spacing w:after="0" w:line="144" w:lineRule="exact"/>
        <w:rPr>
          <w:rFonts w:ascii="Times New Roman" w:cs="Times New Roman" w:eastAsia="Times New Roman" w:hAnsi="Times New Roman"/>
          <w:sz w:val="24"/>
          <w:szCs w:val="24"/>
          <w:b w:val="1"/>
          <w:bCs w:val="1"/>
          <w:color w:val="auto"/>
        </w:rPr>
      </w:pPr>
    </w:p>
    <w:p>
      <w:pPr>
        <w:ind w:left="760" w:hanging="356"/>
        <w:spacing w:after="0" w:line="350" w:lineRule="auto"/>
        <w:tabs>
          <w:tab w:leader="none" w:pos="760" w:val="left"/>
        </w:tabs>
        <w:numPr>
          <w:ilvl w:val="1"/>
          <w:numId w:val="98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Risk factors shall be printed in a clear readable font (preferably of minimum point ten size).</w:t>
      </w:r>
    </w:p>
    <w:p>
      <w:pPr>
        <w:spacing w:after="0" w:line="23" w:lineRule="exact"/>
        <w:rPr>
          <w:rFonts w:ascii="Times New Roman" w:cs="Times New Roman" w:eastAsia="Times New Roman" w:hAnsi="Times New Roman"/>
          <w:sz w:val="24"/>
          <w:szCs w:val="24"/>
          <w:color w:val="auto"/>
        </w:rPr>
      </w:pPr>
    </w:p>
    <w:p>
      <w:pPr>
        <w:ind w:left="760" w:hanging="356"/>
        <w:spacing w:after="0" w:line="350" w:lineRule="auto"/>
        <w:tabs>
          <w:tab w:leader="none" w:pos="760" w:val="left"/>
        </w:tabs>
        <w:numPr>
          <w:ilvl w:val="1"/>
          <w:numId w:val="98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Risk factors shall be classified as those which are specific to the project and internal to the issuer and those which are external and beyond the control of the issuer.</w:t>
      </w:r>
    </w:p>
    <w:p>
      <w:pPr>
        <w:spacing w:after="0" w:line="23" w:lineRule="exact"/>
        <w:rPr>
          <w:rFonts w:ascii="Times New Roman" w:cs="Times New Roman" w:eastAsia="Times New Roman" w:hAnsi="Times New Roman"/>
          <w:sz w:val="24"/>
          <w:szCs w:val="24"/>
          <w:color w:val="auto"/>
        </w:rPr>
      </w:pPr>
    </w:p>
    <w:p>
      <w:pPr>
        <w:ind w:left="760" w:hanging="356"/>
        <w:spacing w:after="0" w:line="350" w:lineRule="auto"/>
        <w:tabs>
          <w:tab w:leader="none" w:pos="760" w:val="left"/>
        </w:tabs>
        <w:numPr>
          <w:ilvl w:val="1"/>
          <w:numId w:val="98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Risk factors shall be determined on the basis of their materiality. In doing so, the following shall be considered:</w:t>
      </w:r>
    </w:p>
    <w:p>
      <w:pPr>
        <w:spacing w:after="0" w:line="23" w:lineRule="exact"/>
        <w:rPr>
          <w:rFonts w:ascii="Times New Roman" w:cs="Times New Roman" w:eastAsia="Times New Roman" w:hAnsi="Times New Roman"/>
          <w:sz w:val="24"/>
          <w:szCs w:val="24"/>
          <w:color w:val="auto"/>
        </w:rPr>
      </w:pPr>
    </w:p>
    <w:p>
      <w:pPr>
        <w:ind w:left="1480" w:hanging="360"/>
        <w:spacing w:after="0" w:line="350"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(1) Some risks may not be material individually but may be material when considered collectively.</w:t>
      </w:r>
    </w:p>
    <w:p>
      <w:pPr>
        <w:spacing w:after="0" w:line="11" w:lineRule="exact"/>
        <w:rPr>
          <w:rFonts w:ascii="Times New Roman" w:cs="Times New Roman" w:eastAsia="Times New Roman" w:hAnsi="Times New Roman"/>
          <w:sz w:val="24"/>
          <w:szCs w:val="24"/>
          <w:color w:val="auto"/>
        </w:rPr>
      </w:pPr>
    </w:p>
    <w:p>
      <w:pPr>
        <w:ind w:left="1120"/>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(2) Some risks may have an impact which is qualitative though not quantitative.</w:t>
      </w:r>
    </w:p>
    <w:p>
      <w:pPr>
        <w:spacing w:after="0" w:line="151" w:lineRule="exact"/>
        <w:rPr>
          <w:rFonts w:ascii="Times New Roman" w:cs="Times New Roman" w:eastAsia="Times New Roman" w:hAnsi="Times New Roman"/>
          <w:sz w:val="24"/>
          <w:szCs w:val="24"/>
          <w:color w:val="auto"/>
        </w:rPr>
      </w:pPr>
    </w:p>
    <w:p>
      <w:pPr>
        <w:ind w:left="1480" w:hanging="360"/>
        <w:spacing w:after="0" w:line="348"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(3) Some risks may not be material at present but may have a material impact in the future.</w:t>
      </w:r>
    </w:p>
    <w:p>
      <w:pPr>
        <w:spacing w:after="0" w:line="15" w:lineRule="exact"/>
        <w:rPr>
          <w:rFonts w:ascii="Times New Roman" w:cs="Times New Roman" w:eastAsia="Times New Roman" w:hAnsi="Times New Roman"/>
          <w:sz w:val="24"/>
          <w:szCs w:val="24"/>
          <w:color w:val="auto"/>
        </w:rPr>
      </w:pPr>
    </w:p>
    <w:p>
      <w:pPr>
        <w:ind w:left="760" w:hanging="356"/>
        <w:spacing w:after="0"/>
        <w:tabs>
          <w:tab w:leader="none" w:pos="760" w:val="left"/>
        </w:tabs>
        <w:numPr>
          <w:ilvl w:val="1"/>
          <w:numId w:val="98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Each risk factor shall appear in the following manner:</w:t>
      </w:r>
    </w:p>
    <w:p>
      <w:pPr>
        <w:spacing w:after="0" w:line="137" w:lineRule="exact"/>
        <w:rPr>
          <w:sz w:val="20"/>
          <w:szCs w:val="20"/>
          <w:color w:val="auto"/>
        </w:rPr>
      </w:pPr>
    </w:p>
    <w:p>
      <w:pPr>
        <w:ind w:left="1480" w:hanging="356"/>
        <w:spacing w:after="0"/>
        <w:tabs>
          <w:tab w:leader="none" w:pos="1480" w:val="left"/>
        </w:tabs>
        <w:numPr>
          <w:ilvl w:val="1"/>
          <w:numId w:val="98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risk as envisaged by the issuer.</w:t>
      </w:r>
    </w:p>
    <w:p>
      <w:pPr>
        <w:spacing w:after="0" w:line="139" w:lineRule="exact"/>
        <w:rPr>
          <w:rFonts w:ascii="Times New Roman" w:cs="Times New Roman" w:eastAsia="Times New Roman" w:hAnsi="Times New Roman"/>
          <w:sz w:val="24"/>
          <w:szCs w:val="24"/>
          <w:color w:val="auto"/>
        </w:rPr>
      </w:pPr>
    </w:p>
    <w:p>
      <w:pPr>
        <w:ind w:left="1480" w:hanging="356"/>
        <w:spacing w:after="0"/>
        <w:tabs>
          <w:tab w:leader="none" w:pos="1480" w:val="left"/>
        </w:tabs>
        <w:numPr>
          <w:ilvl w:val="1"/>
          <w:numId w:val="98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Proposals, if any, to address the risk.</w:t>
      </w:r>
    </w:p>
    <w:p>
      <w:pPr>
        <w:spacing w:after="0" w:line="149" w:lineRule="exact"/>
        <w:rPr>
          <w:rFonts w:ascii="Times New Roman" w:cs="Times New Roman" w:eastAsia="Times New Roman" w:hAnsi="Times New Roman"/>
          <w:sz w:val="24"/>
          <w:szCs w:val="24"/>
          <w:color w:val="auto"/>
        </w:rPr>
      </w:pPr>
    </w:p>
    <w:p>
      <w:pPr>
        <w:jc w:val="both"/>
        <w:ind w:left="760" w:hanging="356"/>
        <w:spacing w:after="0" w:line="354" w:lineRule="auto"/>
        <w:tabs>
          <w:tab w:leader="none" w:pos="760" w:val="left"/>
        </w:tabs>
        <w:numPr>
          <w:ilvl w:val="0"/>
          <w:numId w:val="98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Proposals to address the risks shall not contain any speculative statement on the positive outcome of any matter or litigation, etc. and shall not be given for any matter that is sub- judice before any court/tribunal.</w:t>
      </w:r>
    </w:p>
    <w:p>
      <w:pPr>
        <w:spacing w:after="0" w:line="22" w:lineRule="exact"/>
        <w:rPr>
          <w:rFonts w:ascii="Times New Roman" w:cs="Times New Roman" w:eastAsia="Times New Roman" w:hAnsi="Times New Roman"/>
          <w:sz w:val="24"/>
          <w:szCs w:val="24"/>
          <w:color w:val="auto"/>
        </w:rPr>
      </w:pPr>
    </w:p>
    <w:p>
      <w:pPr>
        <w:jc w:val="both"/>
        <w:ind w:left="760" w:hanging="356"/>
        <w:spacing w:after="0" w:line="354" w:lineRule="auto"/>
        <w:tabs>
          <w:tab w:leader="none" w:pos="760" w:val="left"/>
        </w:tabs>
        <w:numPr>
          <w:ilvl w:val="0"/>
          <w:numId w:val="98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Risk factors shall be disclosed in the descending order of materiality. Wherever risks about material impact are stated, likely or potential implications, including financial implication, wherever quantifiable shall be disclosed. If it cannot be quantified, a</w:t>
      </w:r>
    </w:p>
    <w:p>
      <w:pPr>
        <w:spacing w:after="0" w:line="264"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4"/>
          <w:szCs w:val="24"/>
          <w:color w:val="auto"/>
        </w:rPr>
        <w:t>294</w:t>
      </w:r>
    </w:p>
    <w:p>
      <w:pPr>
        <w:sectPr>
          <w:pgSz w:w="11900" w:h="16836" w:orient="portrait"/>
          <w:cols w:equalWidth="0" w:num="1">
            <w:col w:w="9180"/>
          </w:cols>
          <w:pgMar w:left="1440" w:top="1144" w:right="1284" w:bottom="103" w:gutter="0" w:footer="0" w:header="0"/>
        </w:sectPr>
      </w:pPr>
    </w:p>
    <w:bookmarkStart w:id="294" w:name="page295"/>
    <w:bookmarkEnd w:id="294"/>
    <w:p>
      <w:pPr>
        <w:ind w:left="760"/>
        <w:spacing w:after="0" w:line="348" w:lineRule="auto"/>
        <w:rPr>
          <w:sz w:val="20"/>
          <w:szCs w:val="20"/>
          <w:color w:val="auto"/>
        </w:rPr>
      </w:pPr>
      <w:r>
        <w:rPr>
          <w:rFonts w:ascii="Times New Roman" w:cs="Times New Roman" w:eastAsia="Times New Roman" w:hAnsi="Times New Roman"/>
          <w:sz w:val="24"/>
          <w:szCs w:val="24"/>
          <w:color w:val="auto"/>
        </w:rPr>
        <w:t>distinct statement about the fact that the implications cannot be quantified shall be made.</w:t>
      </w:r>
    </w:p>
    <w:p>
      <w:pPr>
        <w:spacing w:after="0" w:line="28" w:lineRule="exact"/>
        <w:rPr>
          <w:sz w:val="20"/>
          <w:szCs w:val="20"/>
          <w:color w:val="auto"/>
        </w:rPr>
      </w:pPr>
    </w:p>
    <w:p>
      <w:pPr>
        <w:ind w:left="760" w:hanging="356"/>
        <w:spacing w:after="0" w:line="348" w:lineRule="auto"/>
        <w:tabs>
          <w:tab w:leader="none" w:pos="760" w:val="left"/>
        </w:tabs>
        <w:numPr>
          <w:ilvl w:val="0"/>
          <w:numId w:val="9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Risk factors covering the following subjects, shall necessarily be disclosed wherever applicable:</w:t>
      </w:r>
    </w:p>
    <w:p>
      <w:pPr>
        <w:spacing w:after="0" w:line="27" w:lineRule="exact"/>
        <w:rPr>
          <w:rFonts w:ascii="Times New Roman" w:cs="Times New Roman" w:eastAsia="Times New Roman" w:hAnsi="Times New Roman"/>
          <w:sz w:val="24"/>
          <w:szCs w:val="24"/>
          <w:color w:val="auto"/>
        </w:rPr>
      </w:pPr>
    </w:p>
    <w:p>
      <w:pPr>
        <w:ind w:left="1480" w:hanging="356"/>
        <w:spacing w:after="0" w:line="348" w:lineRule="auto"/>
        <w:tabs>
          <w:tab w:leader="none" w:pos="1480" w:val="left"/>
        </w:tabs>
        <w:numPr>
          <w:ilvl w:val="1"/>
          <w:numId w:val="9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Material statutory clearances and approval that are yet to be received by the issuer.</w:t>
      </w:r>
    </w:p>
    <w:p>
      <w:pPr>
        <w:spacing w:after="0" w:line="15" w:lineRule="exact"/>
        <w:rPr>
          <w:rFonts w:ascii="Times New Roman" w:cs="Times New Roman" w:eastAsia="Times New Roman" w:hAnsi="Times New Roman"/>
          <w:sz w:val="24"/>
          <w:szCs w:val="24"/>
          <w:color w:val="auto"/>
        </w:rPr>
      </w:pPr>
    </w:p>
    <w:p>
      <w:pPr>
        <w:ind w:left="1480" w:hanging="356"/>
        <w:spacing w:after="0"/>
        <w:tabs>
          <w:tab w:leader="none" w:pos="1480" w:val="left"/>
        </w:tabs>
        <w:numPr>
          <w:ilvl w:val="1"/>
          <w:numId w:val="9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Seasonality of the business of the issuer.</w:t>
      </w:r>
    </w:p>
    <w:p>
      <w:pPr>
        <w:spacing w:after="0" w:line="149" w:lineRule="exact"/>
        <w:rPr>
          <w:rFonts w:ascii="Times New Roman" w:cs="Times New Roman" w:eastAsia="Times New Roman" w:hAnsi="Times New Roman"/>
          <w:sz w:val="24"/>
          <w:szCs w:val="24"/>
          <w:color w:val="auto"/>
        </w:rPr>
      </w:pPr>
    </w:p>
    <w:p>
      <w:pPr>
        <w:jc w:val="both"/>
        <w:ind w:left="1480" w:hanging="356"/>
        <w:spacing w:after="0" w:line="354" w:lineRule="auto"/>
        <w:tabs>
          <w:tab w:leader="none" w:pos="1540" w:val="left"/>
        </w:tabs>
        <w:numPr>
          <w:ilvl w:val="1"/>
          <w:numId w:val="9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Where an object of the issue is to finance acquisitions and the acquisition targets have not been identified, details of interim use of funds and the probable date of completing the acquisitions.</w:t>
      </w:r>
    </w:p>
    <w:p>
      <w:pPr>
        <w:spacing w:after="0" w:line="22" w:lineRule="exact"/>
        <w:rPr>
          <w:rFonts w:ascii="Times New Roman" w:cs="Times New Roman" w:eastAsia="Times New Roman" w:hAnsi="Times New Roman"/>
          <w:sz w:val="24"/>
          <w:szCs w:val="24"/>
          <w:color w:val="auto"/>
        </w:rPr>
      </w:pPr>
    </w:p>
    <w:p>
      <w:pPr>
        <w:jc w:val="both"/>
        <w:ind w:left="1480" w:hanging="356"/>
        <w:spacing w:after="0" w:line="354" w:lineRule="auto"/>
        <w:tabs>
          <w:tab w:leader="none" w:pos="1480" w:val="left"/>
        </w:tabs>
        <w:numPr>
          <w:ilvl w:val="1"/>
          <w:numId w:val="9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Risk associated with orders not having been placed for plant and machinery in relation to the objects of the issue, indicating the percentage and value terms of the plant and machinery for which orders are yet to be placed.</w:t>
      </w:r>
    </w:p>
    <w:p>
      <w:pPr>
        <w:spacing w:after="0" w:line="19" w:lineRule="exact"/>
        <w:rPr>
          <w:rFonts w:ascii="Times New Roman" w:cs="Times New Roman" w:eastAsia="Times New Roman" w:hAnsi="Times New Roman"/>
          <w:sz w:val="24"/>
          <w:szCs w:val="24"/>
          <w:color w:val="auto"/>
        </w:rPr>
      </w:pPr>
    </w:p>
    <w:p>
      <w:pPr>
        <w:ind w:left="1480" w:hanging="356"/>
        <w:spacing w:after="0" w:line="350" w:lineRule="auto"/>
        <w:tabs>
          <w:tab w:leader="none" w:pos="1480" w:val="left"/>
        </w:tabs>
        <w:numPr>
          <w:ilvl w:val="1"/>
          <w:numId w:val="9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Lack of significant experience of the issuer or its promoters in the industry segment for which the issue is being made.</w:t>
      </w:r>
    </w:p>
    <w:p>
      <w:pPr>
        <w:spacing w:after="0" w:line="10" w:lineRule="exact"/>
        <w:rPr>
          <w:rFonts w:ascii="Times New Roman" w:cs="Times New Roman" w:eastAsia="Times New Roman" w:hAnsi="Times New Roman"/>
          <w:sz w:val="24"/>
          <w:szCs w:val="24"/>
          <w:color w:val="auto"/>
        </w:rPr>
      </w:pPr>
    </w:p>
    <w:p>
      <w:pPr>
        <w:ind w:left="1480" w:hanging="356"/>
        <w:spacing w:after="0"/>
        <w:tabs>
          <w:tab w:leader="none" w:pos="1480" w:val="left"/>
        </w:tabs>
        <w:numPr>
          <w:ilvl w:val="1"/>
          <w:numId w:val="9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issuer has incurred losses in the last three financial years.</w:t>
      </w:r>
    </w:p>
    <w:p>
      <w:pPr>
        <w:spacing w:after="0" w:line="151" w:lineRule="exact"/>
        <w:rPr>
          <w:rFonts w:ascii="Times New Roman" w:cs="Times New Roman" w:eastAsia="Times New Roman" w:hAnsi="Times New Roman"/>
          <w:sz w:val="24"/>
          <w:szCs w:val="24"/>
          <w:color w:val="auto"/>
        </w:rPr>
      </w:pPr>
    </w:p>
    <w:p>
      <w:pPr>
        <w:jc w:val="both"/>
        <w:ind w:left="1480" w:hanging="356"/>
        <w:spacing w:after="0" w:line="354" w:lineRule="auto"/>
        <w:tabs>
          <w:tab w:leader="none" w:pos="1480" w:val="left"/>
        </w:tabs>
        <w:numPr>
          <w:ilvl w:val="1"/>
          <w:numId w:val="9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Dependence of the issuer or any of its business segments upon a single customer or a few customers, the loss of any one or more may have a material adverse effect on the issuer.</w:t>
      </w:r>
    </w:p>
    <w:p>
      <w:pPr>
        <w:spacing w:after="0" w:line="19" w:lineRule="exact"/>
        <w:rPr>
          <w:rFonts w:ascii="Times New Roman" w:cs="Times New Roman" w:eastAsia="Times New Roman" w:hAnsi="Times New Roman"/>
          <w:sz w:val="24"/>
          <w:szCs w:val="24"/>
          <w:color w:val="auto"/>
        </w:rPr>
      </w:pPr>
    </w:p>
    <w:p>
      <w:pPr>
        <w:ind w:left="1480" w:hanging="356"/>
        <w:spacing w:after="0" w:line="350" w:lineRule="auto"/>
        <w:tabs>
          <w:tab w:leader="none" w:pos="1480" w:val="left"/>
        </w:tabs>
        <w:numPr>
          <w:ilvl w:val="1"/>
          <w:numId w:val="9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Refusal of listing of any securities of the issuer or any of its subsidiaries during last ten years by any of the stock exchanges in India or abroad.</w:t>
      </w:r>
    </w:p>
    <w:p>
      <w:pPr>
        <w:spacing w:after="0" w:line="23" w:lineRule="exact"/>
        <w:rPr>
          <w:rFonts w:ascii="Times New Roman" w:cs="Times New Roman" w:eastAsia="Times New Roman" w:hAnsi="Times New Roman"/>
          <w:sz w:val="24"/>
          <w:szCs w:val="24"/>
          <w:color w:val="auto"/>
        </w:rPr>
      </w:pPr>
    </w:p>
    <w:p>
      <w:pPr>
        <w:jc w:val="both"/>
        <w:ind w:left="1480" w:hanging="356"/>
        <w:spacing w:after="0" w:line="354" w:lineRule="auto"/>
        <w:tabs>
          <w:tab w:leader="none" w:pos="1480" w:val="left"/>
        </w:tabs>
        <w:numPr>
          <w:ilvl w:val="1"/>
          <w:numId w:val="9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Failure of the issuer or any of its subsidiary to meet the listing requirements of any stock exchange in India or abroad and the details of penalty, if any, including suspension of trading, imposed by such stock exchanges.</w:t>
      </w:r>
    </w:p>
    <w:p>
      <w:pPr>
        <w:spacing w:after="0" w:line="22" w:lineRule="exact"/>
        <w:rPr>
          <w:rFonts w:ascii="Times New Roman" w:cs="Times New Roman" w:eastAsia="Times New Roman" w:hAnsi="Times New Roman"/>
          <w:sz w:val="24"/>
          <w:szCs w:val="24"/>
          <w:color w:val="auto"/>
        </w:rPr>
      </w:pPr>
    </w:p>
    <w:p>
      <w:pPr>
        <w:ind w:left="1480" w:hanging="356"/>
        <w:spacing w:after="0" w:line="348" w:lineRule="auto"/>
        <w:tabs>
          <w:tab w:leader="none" w:pos="1869" w:val="left"/>
        </w:tabs>
        <w:numPr>
          <w:ilvl w:val="1"/>
          <w:numId w:val="9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Limited or sporadic trading of any specified securities of the issuer on the stock exchanges.</w:t>
      </w:r>
    </w:p>
    <w:p>
      <w:pPr>
        <w:spacing w:after="0" w:line="27" w:lineRule="exact"/>
        <w:rPr>
          <w:rFonts w:ascii="Times New Roman" w:cs="Times New Roman" w:eastAsia="Times New Roman" w:hAnsi="Times New Roman"/>
          <w:sz w:val="24"/>
          <w:szCs w:val="24"/>
          <w:color w:val="auto"/>
        </w:rPr>
      </w:pPr>
    </w:p>
    <w:p>
      <w:pPr>
        <w:jc w:val="both"/>
        <w:ind w:left="1480" w:hanging="356"/>
        <w:spacing w:after="0" w:line="357" w:lineRule="auto"/>
        <w:tabs>
          <w:tab w:leader="none" w:pos="1869" w:val="left"/>
        </w:tabs>
        <w:numPr>
          <w:ilvl w:val="1"/>
          <w:numId w:val="9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outstanding debt instruments, any default in compliance with the material covenants such as creation of full security as per terms of issue, default in payment of interest, default in redemption, non-creation of debenture redemption reserve, default in payment of penal interest wherever applicable, non- availability or non-maintenance of asset cover, interest cover, debt-service cover, etc.</w:t>
      </w:r>
    </w:p>
    <w:p>
      <w:pPr>
        <w:spacing w:after="0" w:line="21" w:lineRule="exact"/>
        <w:rPr>
          <w:rFonts w:ascii="Times New Roman" w:cs="Times New Roman" w:eastAsia="Times New Roman" w:hAnsi="Times New Roman"/>
          <w:sz w:val="24"/>
          <w:szCs w:val="24"/>
          <w:color w:val="auto"/>
        </w:rPr>
      </w:pPr>
    </w:p>
    <w:p>
      <w:pPr>
        <w:ind w:left="1480" w:hanging="356"/>
        <w:spacing w:after="0" w:line="348" w:lineRule="auto"/>
        <w:tabs>
          <w:tab w:leader="none" w:pos="1869" w:val="left"/>
        </w:tabs>
        <w:numPr>
          <w:ilvl w:val="1"/>
          <w:numId w:val="9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Unsecured loans, if any, taken by the issuer and its subsidiaries that can be recalled at any time.</w:t>
      </w: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4"/>
          <w:szCs w:val="24"/>
          <w:color w:val="auto"/>
        </w:rPr>
        <w:t>295</w:t>
      </w:r>
    </w:p>
    <w:p>
      <w:pPr>
        <w:sectPr>
          <w:pgSz w:w="11900" w:h="16836" w:orient="portrait"/>
          <w:cols w:equalWidth="0" w:num="1">
            <w:col w:w="9180"/>
          </w:cols>
          <w:pgMar w:left="1440" w:top="1156" w:right="1284" w:bottom="103" w:gutter="0" w:footer="0" w:header="0"/>
        </w:sectPr>
      </w:pPr>
    </w:p>
    <w:bookmarkStart w:id="295" w:name="page296"/>
    <w:bookmarkEnd w:id="295"/>
    <w:p>
      <w:pPr>
        <w:ind w:left="1480" w:hanging="356"/>
        <w:spacing w:after="0" w:line="348" w:lineRule="auto"/>
        <w:tabs>
          <w:tab w:leader="none" w:pos="1869" w:val="left"/>
        </w:tabs>
        <w:numPr>
          <w:ilvl w:val="0"/>
          <w:numId w:val="99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Default in repayment of deposits or payment of interest thereon by the issuer and subsidiaries, and the roll-over of liability, if any.</w:t>
      </w:r>
    </w:p>
    <w:p>
      <w:pPr>
        <w:spacing w:after="0" w:line="28" w:lineRule="exact"/>
        <w:rPr>
          <w:rFonts w:ascii="Times New Roman" w:cs="Times New Roman" w:eastAsia="Times New Roman" w:hAnsi="Times New Roman"/>
          <w:sz w:val="24"/>
          <w:szCs w:val="24"/>
          <w:color w:val="auto"/>
        </w:rPr>
      </w:pPr>
    </w:p>
    <w:p>
      <w:pPr>
        <w:jc w:val="both"/>
        <w:ind w:left="1480" w:hanging="356"/>
        <w:spacing w:after="0" w:line="354" w:lineRule="auto"/>
        <w:tabs>
          <w:tab w:leader="none" w:pos="1869" w:val="left"/>
        </w:tabs>
        <w:numPr>
          <w:ilvl w:val="0"/>
          <w:numId w:val="99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Potential conflict of interest of the promoters or directors of the issuer if involved with one or more ventures which are in the same line of activity or business as that of the issuer.</w:t>
      </w:r>
    </w:p>
    <w:p>
      <w:pPr>
        <w:spacing w:after="0" w:line="19" w:lineRule="exact"/>
        <w:rPr>
          <w:rFonts w:ascii="Times New Roman" w:cs="Times New Roman" w:eastAsia="Times New Roman" w:hAnsi="Times New Roman"/>
          <w:sz w:val="24"/>
          <w:szCs w:val="24"/>
          <w:color w:val="auto"/>
        </w:rPr>
      </w:pPr>
    </w:p>
    <w:p>
      <w:pPr>
        <w:jc w:val="both"/>
        <w:ind w:left="1480" w:hanging="356"/>
        <w:spacing w:after="0" w:line="357" w:lineRule="auto"/>
        <w:tabs>
          <w:tab w:leader="none" w:pos="1869" w:val="left"/>
        </w:tabs>
        <w:numPr>
          <w:ilvl w:val="0"/>
          <w:numId w:val="99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Shortfall in performance vis-à-vis the objects stated in any of the issues made by the listed issuer or listed subsidiaries in the last five years, as disclosed under the heading "Performance vis-à-vis Objects" in the section "Other Regulatory and Statutory Disclosures", quantifying such shortfalls or delays.</w:t>
      </w:r>
    </w:p>
    <w:p>
      <w:pPr>
        <w:spacing w:after="0" w:line="14" w:lineRule="exact"/>
        <w:rPr>
          <w:rFonts w:ascii="Times New Roman" w:cs="Times New Roman" w:eastAsia="Times New Roman" w:hAnsi="Times New Roman"/>
          <w:sz w:val="24"/>
          <w:szCs w:val="24"/>
          <w:color w:val="auto"/>
        </w:rPr>
      </w:pPr>
    </w:p>
    <w:p>
      <w:pPr>
        <w:jc w:val="both"/>
        <w:ind w:left="1480" w:hanging="356"/>
        <w:spacing w:after="0" w:line="356" w:lineRule="auto"/>
        <w:tabs>
          <w:tab w:leader="none" w:pos="1869" w:val="left"/>
        </w:tabs>
        <w:numPr>
          <w:ilvl w:val="0"/>
          <w:numId w:val="99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Interests of the promoters, directors or key management personnel of the issuer, other than reimbursement of expenses incurred or normal remuneration or benefits. Any portion of the issue proceeds that is proposed to be paid by the issuer to the promoter, directors or key managerial personnel of the issuer.</w:t>
      </w:r>
    </w:p>
    <w:p>
      <w:pPr>
        <w:spacing w:after="0" w:line="18" w:lineRule="exact"/>
        <w:rPr>
          <w:rFonts w:ascii="Times New Roman" w:cs="Times New Roman" w:eastAsia="Times New Roman" w:hAnsi="Times New Roman"/>
          <w:sz w:val="24"/>
          <w:szCs w:val="24"/>
          <w:color w:val="auto"/>
        </w:rPr>
      </w:pPr>
    </w:p>
    <w:p>
      <w:pPr>
        <w:jc w:val="both"/>
        <w:ind w:left="1480" w:hanging="356"/>
        <w:spacing w:after="0" w:line="354" w:lineRule="auto"/>
        <w:tabs>
          <w:tab w:leader="none" w:pos="1869" w:val="left"/>
        </w:tabs>
        <w:numPr>
          <w:ilvl w:val="0"/>
          <w:numId w:val="99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Relationship of the promoter or directors of the issuer with the entities from whom the issuer has acquired or proposes to acquire land in the last 5 years, along with the relevant details.</w:t>
      </w:r>
    </w:p>
    <w:p>
      <w:pPr>
        <w:spacing w:after="0" w:line="22" w:lineRule="exact"/>
        <w:rPr>
          <w:rFonts w:ascii="Times New Roman" w:cs="Times New Roman" w:eastAsia="Times New Roman" w:hAnsi="Times New Roman"/>
          <w:sz w:val="24"/>
          <w:szCs w:val="24"/>
          <w:color w:val="auto"/>
        </w:rPr>
      </w:pPr>
    </w:p>
    <w:p>
      <w:pPr>
        <w:ind w:left="1480" w:hanging="356"/>
        <w:spacing w:after="0" w:line="348" w:lineRule="auto"/>
        <w:tabs>
          <w:tab w:leader="none" w:pos="1869" w:val="left"/>
        </w:tabs>
        <w:numPr>
          <w:ilvl w:val="0"/>
          <w:numId w:val="99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Excessive dependence on any key managerial personnel for the project for which the issue is being made.</w:t>
      </w:r>
    </w:p>
    <w:p>
      <w:pPr>
        <w:spacing w:after="0" w:line="27" w:lineRule="exact"/>
        <w:rPr>
          <w:rFonts w:ascii="Times New Roman" w:cs="Times New Roman" w:eastAsia="Times New Roman" w:hAnsi="Times New Roman"/>
          <w:sz w:val="24"/>
          <w:szCs w:val="24"/>
          <w:color w:val="auto"/>
        </w:rPr>
      </w:pPr>
    </w:p>
    <w:p>
      <w:pPr>
        <w:ind w:left="1480" w:hanging="356"/>
        <w:spacing w:after="0" w:line="348" w:lineRule="auto"/>
        <w:tabs>
          <w:tab w:leader="none" w:pos="1869" w:val="left"/>
        </w:tabs>
        <w:numPr>
          <w:ilvl w:val="0"/>
          <w:numId w:val="99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material investment in debt instruments by the issuer which are unsecured.</w:t>
      </w:r>
    </w:p>
    <w:p>
      <w:pPr>
        <w:spacing w:after="0" w:line="15" w:lineRule="exact"/>
        <w:rPr>
          <w:rFonts w:ascii="Times New Roman" w:cs="Times New Roman" w:eastAsia="Times New Roman" w:hAnsi="Times New Roman"/>
          <w:sz w:val="24"/>
          <w:szCs w:val="24"/>
          <w:color w:val="auto"/>
        </w:rPr>
      </w:pPr>
    </w:p>
    <w:p>
      <w:pPr>
        <w:ind w:left="1880" w:hanging="756"/>
        <w:spacing w:after="0"/>
        <w:tabs>
          <w:tab w:leader="none" w:pos="1880" w:val="left"/>
        </w:tabs>
        <w:numPr>
          <w:ilvl w:val="0"/>
          <w:numId w:val="99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Non-provision for decline in the value of investments.</w:t>
      </w:r>
    </w:p>
    <w:p>
      <w:pPr>
        <w:spacing w:after="0" w:line="136" w:lineRule="exact"/>
        <w:rPr>
          <w:rFonts w:ascii="Times New Roman" w:cs="Times New Roman" w:eastAsia="Times New Roman" w:hAnsi="Times New Roman"/>
          <w:sz w:val="24"/>
          <w:szCs w:val="24"/>
          <w:color w:val="auto"/>
        </w:rPr>
      </w:pPr>
    </w:p>
    <w:p>
      <w:pPr>
        <w:ind w:left="1880" w:hanging="756"/>
        <w:spacing w:after="0"/>
        <w:tabs>
          <w:tab w:leader="none" w:pos="1880" w:val="left"/>
        </w:tabs>
        <w:numPr>
          <w:ilvl w:val="0"/>
          <w:numId w:val="99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Summary of all outstanding litigations and other matters disclosed in the</w:t>
      </w:r>
    </w:p>
    <w:p>
      <w:pPr>
        <w:spacing w:after="0" w:line="151" w:lineRule="exact"/>
        <w:rPr>
          <w:sz w:val="20"/>
          <w:szCs w:val="20"/>
          <w:color w:val="auto"/>
        </w:rPr>
      </w:pPr>
    </w:p>
    <w:p>
      <w:pPr>
        <w:jc w:val="both"/>
        <w:ind w:left="1480"/>
        <w:spacing w:after="0" w:line="356" w:lineRule="auto"/>
        <w:rPr>
          <w:sz w:val="20"/>
          <w:szCs w:val="20"/>
          <w:color w:val="auto"/>
        </w:rPr>
      </w:pPr>
      <w:r>
        <w:rPr>
          <w:rFonts w:ascii="Times New Roman" w:cs="Times New Roman" w:eastAsia="Times New Roman" w:hAnsi="Times New Roman"/>
          <w:sz w:val="24"/>
          <w:szCs w:val="24"/>
          <w:color w:val="auto"/>
        </w:rPr>
        <w:t>section titled ‘</w:t>
      </w:r>
      <w:r>
        <w:rPr>
          <w:rFonts w:ascii="Times New Roman" w:cs="Times New Roman" w:eastAsia="Times New Roman" w:hAnsi="Times New Roman"/>
          <w:sz w:val="24"/>
          <w:szCs w:val="24"/>
          <w:i w:val="1"/>
          <w:iCs w:val="1"/>
          <w:color w:val="auto"/>
        </w:rPr>
        <w:t>Outstanding Litigations and Material Developments</w:t>
      </w:r>
      <w:r>
        <w:rPr>
          <w:rFonts w:ascii="Times New Roman" w:cs="Times New Roman" w:eastAsia="Times New Roman" w:hAnsi="Times New Roman"/>
          <w:sz w:val="24"/>
          <w:szCs w:val="24"/>
          <w:color w:val="auto"/>
        </w:rPr>
        <w:t>’ in a tabular format along with amount involved, where quantifiable. Issuer shall also separately highlight any criminal, regulatory or taxation matters which may have any material adverse effect on the issuer.</w:t>
      </w:r>
    </w:p>
    <w:p>
      <w:pPr>
        <w:spacing w:after="0" w:line="19" w:lineRule="exact"/>
        <w:rPr>
          <w:sz w:val="20"/>
          <w:szCs w:val="20"/>
          <w:color w:val="auto"/>
        </w:rPr>
      </w:pPr>
    </w:p>
    <w:p>
      <w:pPr>
        <w:ind w:left="1480" w:hanging="356"/>
        <w:spacing w:after="0" w:line="348" w:lineRule="auto"/>
        <w:tabs>
          <w:tab w:leader="none" w:pos="1869" w:val="left"/>
        </w:tabs>
        <w:numPr>
          <w:ilvl w:val="0"/>
          <w:numId w:val="99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delay, if any, in the schedule of the implementation of the project for which the funds are being raised in the issue.</w:t>
      </w:r>
    </w:p>
    <w:p>
      <w:pPr>
        <w:spacing w:after="0" w:line="27" w:lineRule="exact"/>
        <w:rPr>
          <w:rFonts w:ascii="Times New Roman" w:cs="Times New Roman" w:eastAsia="Times New Roman" w:hAnsi="Times New Roman"/>
          <w:sz w:val="24"/>
          <w:szCs w:val="24"/>
          <w:color w:val="auto"/>
        </w:rPr>
      </w:pPr>
    </w:p>
    <w:p>
      <w:pPr>
        <w:jc w:val="both"/>
        <w:ind w:left="1480" w:hanging="356"/>
        <w:spacing w:after="0" w:line="354" w:lineRule="auto"/>
        <w:tabs>
          <w:tab w:leader="none" w:pos="1869" w:val="left"/>
        </w:tabs>
        <w:numPr>
          <w:ilvl w:val="0"/>
          <w:numId w:val="99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monitoring agency is not required to be appointed as per these Regulations, the statement that deployment of the issue proceeds is entirely at the discretion of the issuer.</w:t>
      </w:r>
    </w:p>
    <w:p>
      <w:pPr>
        <w:spacing w:after="0" w:line="20" w:lineRule="exact"/>
        <w:rPr>
          <w:rFonts w:ascii="Times New Roman" w:cs="Times New Roman" w:eastAsia="Times New Roman" w:hAnsi="Times New Roman"/>
          <w:sz w:val="24"/>
          <w:szCs w:val="24"/>
          <w:color w:val="auto"/>
        </w:rPr>
      </w:pPr>
    </w:p>
    <w:p>
      <w:pPr>
        <w:ind w:left="1480" w:hanging="356"/>
        <w:spacing w:after="0" w:line="350" w:lineRule="auto"/>
        <w:tabs>
          <w:tab w:leader="none" w:pos="1869" w:val="left"/>
        </w:tabs>
        <w:numPr>
          <w:ilvl w:val="0"/>
          <w:numId w:val="99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Negative cash flow from operating activities in the last three financial years.</w:t>
      </w:r>
    </w:p>
    <w:p>
      <w:pPr>
        <w:spacing w:after="0" w:line="23" w:lineRule="exact"/>
        <w:rPr>
          <w:rFonts w:ascii="Times New Roman" w:cs="Times New Roman" w:eastAsia="Times New Roman" w:hAnsi="Times New Roman"/>
          <w:sz w:val="24"/>
          <w:szCs w:val="24"/>
          <w:color w:val="auto"/>
        </w:rPr>
      </w:pPr>
    </w:p>
    <w:p>
      <w:pPr>
        <w:ind w:left="1480" w:hanging="356"/>
        <w:spacing w:after="0" w:line="350" w:lineRule="auto"/>
        <w:tabs>
          <w:tab w:leader="none" w:pos="1869" w:val="left"/>
        </w:tabs>
        <w:numPr>
          <w:ilvl w:val="0"/>
          <w:numId w:val="99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land proposed to be acquired from proceeds of the issue is not registered in the name of the issuer.</w:t>
      </w:r>
    </w:p>
    <w:p>
      <w:pPr>
        <w:spacing w:after="0" w:line="268"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4"/>
          <w:szCs w:val="24"/>
          <w:color w:val="auto"/>
        </w:rPr>
        <w:t>296</w:t>
      </w:r>
    </w:p>
    <w:p>
      <w:pPr>
        <w:sectPr>
          <w:pgSz w:w="11900" w:h="16836" w:orient="portrait"/>
          <w:cols w:equalWidth="0" w:num="1">
            <w:col w:w="9180"/>
          </w:cols>
          <w:pgMar w:left="1440" w:top="1156" w:right="1284" w:bottom="103" w:gutter="0" w:footer="0" w:header="0"/>
        </w:sectPr>
      </w:pPr>
    </w:p>
    <w:bookmarkStart w:id="296" w:name="page297"/>
    <w:bookmarkEnd w:id="296"/>
    <w:p>
      <w:pPr>
        <w:jc w:val="both"/>
        <w:ind w:left="1480" w:hanging="356"/>
        <w:spacing w:after="0" w:line="354" w:lineRule="auto"/>
        <w:tabs>
          <w:tab w:leader="none" w:pos="1869" w:val="left"/>
        </w:tabs>
        <w:numPr>
          <w:ilvl w:val="3"/>
          <w:numId w:val="99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restrictive covenants as regards the interests of the equity shareholders in any shareholders' agreement, promoters' agreement or any other agreement for short term (secured and unsecured) and long term borrowings.</w:t>
      </w:r>
    </w:p>
    <w:p>
      <w:pPr>
        <w:spacing w:after="0" w:line="20" w:lineRule="exact"/>
        <w:rPr>
          <w:rFonts w:ascii="Times New Roman" w:cs="Times New Roman" w:eastAsia="Times New Roman" w:hAnsi="Times New Roman"/>
          <w:sz w:val="24"/>
          <w:szCs w:val="24"/>
          <w:color w:val="auto"/>
        </w:rPr>
      </w:pPr>
    </w:p>
    <w:p>
      <w:pPr>
        <w:ind w:left="1480" w:hanging="356"/>
        <w:spacing w:after="0" w:line="350" w:lineRule="auto"/>
        <w:tabs>
          <w:tab w:leader="none" w:pos="1869" w:val="left"/>
        </w:tabs>
        <w:numPr>
          <w:ilvl w:val="3"/>
          <w:numId w:val="99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Existence of a large number of pending investor grievances against the issuer and listed subsidiaries.</w:t>
      </w:r>
    </w:p>
    <w:p>
      <w:pPr>
        <w:spacing w:after="0" w:line="23" w:lineRule="exact"/>
        <w:rPr>
          <w:rFonts w:ascii="Times New Roman" w:cs="Times New Roman" w:eastAsia="Times New Roman" w:hAnsi="Times New Roman"/>
          <w:sz w:val="24"/>
          <w:szCs w:val="24"/>
          <w:color w:val="auto"/>
        </w:rPr>
      </w:pPr>
    </w:p>
    <w:p>
      <w:pPr>
        <w:jc w:val="both"/>
        <w:ind w:left="1480" w:hanging="356"/>
        <w:spacing w:after="0" w:line="354" w:lineRule="auto"/>
        <w:tabs>
          <w:tab w:leader="none" w:pos="1869" w:val="left"/>
        </w:tabs>
        <w:numPr>
          <w:ilvl w:val="3"/>
          <w:numId w:val="99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issue of secured convertible debt instruments, risks associated with second or residual charge or subordinated obligation created on the asset cover.</w:t>
      </w:r>
    </w:p>
    <w:p>
      <w:pPr>
        <w:spacing w:after="0" w:line="15" w:lineRule="exact"/>
        <w:rPr>
          <w:rFonts w:ascii="Times New Roman" w:cs="Times New Roman" w:eastAsia="Times New Roman" w:hAnsi="Times New Roman"/>
          <w:sz w:val="24"/>
          <w:szCs w:val="24"/>
          <w:color w:val="auto"/>
        </w:rPr>
      </w:pPr>
    </w:p>
    <w:p>
      <w:pPr>
        <w:ind w:left="400" w:hanging="356"/>
        <w:spacing w:after="0"/>
        <w:tabs>
          <w:tab w:leader="none" w:pos="400" w:val="left"/>
        </w:tabs>
        <w:numPr>
          <w:ilvl w:val="0"/>
          <w:numId w:val="99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Introduction:</w:t>
      </w:r>
    </w:p>
    <w:p>
      <w:pPr>
        <w:spacing w:after="0" w:line="132" w:lineRule="exact"/>
        <w:rPr>
          <w:rFonts w:ascii="Times New Roman" w:cs="Times New Roman" w:eastAsia="Times New Roman" w:hAnsi="Times New Roman"/>
          <w:sz w:val="24"/>
          <w:szCs w:val="24"/>
          <w:b w:val="1"/>
          <w:bCs w:val="1"/>
          <w:color w:val="auto"/>
        </w:rPr>
      </w:pPr>
    </w:p>
    <w:p>
      <w:pPr>
        <w:ind w:left="760" w:hanging="356"/>
        <w:spacing w:after="0"/>
        <w:tabs>
          <w:tab w:leader="none" w:pos="760" w:val="left"/>
        </w:tabs>
        <w:numPr>
          <w:ilvl w:val="1"/>
          <w:numId w:val="993"/>
        </w:numPr>
        <w:rPr>
          <w:rFonts w:ascii="Arial" w:cs="Arial" w:eastAsia="Arial" w:hAnsi="Arial"/>
          <w:sz w:val="22"/>
          <w:szCs w:val="22"/>
          <w:color w:val="auto"/>
        </w:rPr>
      </w:pPr>
      <w:r>
        <w:rPr>
          <w:rFonts w:ascii="Times New Roman" w:cs="Times New Roman" w:eastAsia="Times New Roman" w:hAnsi="Times New Roman"/>
          <w:sz w:val="24"/>
          <w:szCs w:val="24"/>
          <w:color w:val="auto"/>
        </w:rPr>
        <w:t>Issue details in brief.</w:t>
      </w:r>
    </w:p>
    <w:p>
      <w:pPr>
        <w:spacing w:after="0" w:line="144" w:lineRule="exact"/>
        <w:rPr>
          <w:rFonts w:ascii="Arial" w:cs="Arial" w:eastAsia="Arial" w:hAnsi="Arial"/>
          <w:sz w:val="22"/>
          <w:szCs w:val="22"/>
          <w:color w:val="auto"/>
        </w:rPr>
      </w:pPr>
    </w:p>
    <w:p>
      <w:pPr>
        <w:ind w:left="400" w:hanging="356"/>
        <w:spacing w:after="0"/>
        <w:tabs>
          <w:tab w:leader="none" w:pos="400" w:val="left"/>
        </w:tabs>
        <w:numPr>
          <w:ilvl w:val="0"/>
          <w:numId w:val="99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General information:</w:t>
      </w:r>
    </w:p>
    <w:p>
      <w:pPr>
        <w:spacing w:after="0" w:line="144" w:lineRule="exact"/>
        <w:rPr>
          <w:rFonts w:ascii="Times New Roman" w:cs="Times New Roman" w:eastAsia="Times New Roman" w:hAnsi="Times New Roman"/>
          <w:sz w:val="24"/>
          <w:szCs w:val="24"/>
          <w:b w:val="1"/>
          <w:bCs w:val="1"/>
          <w:color w:val="auto"/>
        </w:rPr>
      </w:pPr>
    </w:p>
    <w:p>
      <w:pPr>
        <w:jc w:val="both"/>
        <w:ind w:left="760" w:hanging="356"/>
        <w:spacing w:after="0" w:line="350" w:lineRule="auto"/>
        <w:tabs>
          <w:tab w:leader="none" w:pos="760" w:val="left"/>
        </w:tabs>
        <w:numPr>
          <w:ilvl w:val="1"/>
          <w:numId w:val="99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 and address of the registered and corporate offices, the registration number of the issuer, and the address of the Registrar of Companies where the issuer is registered.</w:t>
      </w:r>
    </w:p>
    <w:p>
      <w:pPr>
        <w:spacing w:after="0" w:line="23" w:lineRule="exact"/>
        <w:rPr>
          <w:rFonts w:ascii="Times New Roman" w:cs="Times New Roman" w:eastAsia="Times New Roman" w:hAnsi="Times New Roman"/>
          <w:sz w:val="24"/>
          <w:szCs w:val="24"/>
          <w:color w:val="auto"/>
        </w:rPr>
      </w:pPr>
    </w:p>
    <w:p>
      <w:pPr>
        <w:ind w:left="760" w:hanging="356"/>
        <w:spacing w:after="0" w:line="350" w:lineRule="auto"/>
        <w:tabs>
          <w:tab w:leader="none" w:pos="760" w:val="left"/>
        </w:tabs>
        <w:numPr>
          <w:ilvl w:val="1"/>
          <w:numId w:val="99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 Age, designation, address and DIN of each member of the Board of directors of the issuer.</w:t>
      </w:r>
    </w:p>
    <w:p>
      <w:pPr>
        <w:spacing w:after="0" w:line="23" w:lineRule="exact"/>
        <w:rPr>
          <w:rFonts w:ascii="Times New Roman" w:cs="Times New Roman" w:eastAsia="Times New Roman" w:hAnsi="Times New Roman"/>
          <w:sz w:val="24"/>
          <w:szCs w:val="24"/>
          <w:color w:val="auto"/>
        </w:rPr>
      </w:pPr>
    </w:p>
    <w:p>
      <w:pPr>
        <w:ind w:left="760" w:hanging="356"/>
        <w:spacing w:after="0" w:line="350" w:lineRule="auto"/>
        <w:tabs>
          <w:tab w:leader="none" w:pos="760" w:val="left"/>
        </w:tabs>
        <w:numPr>
          <w:ilvl w:val="1"/>
          <w:numId w:val="99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Names, addresses, telephone numbers and e-mail addresses of the Company Secretary, and legal advisor.</w:t>
      </w:r>
    </w:p>
    <w:p>
      <w:pPr>
        <w:spacing w:after="0" w:line="11" w:lineRule="exact"/>
        <w:rPr>
          <w:rFonts w:ascii="Times New Roman" w:cs="Times New Roman" w:eastAsia="Times New Roman" w:hAnsi="Times New Roman"/>
          <w:sz w:val="24"/>
          <w:szCs w:val="24"/>
          <w:color w:val="auto"/>
        </w:rPr>
      </w:pPr>
    </w:p>
    <w:p>
      <w:pPr>
        <w:ind w:left="760" w:hanging="356"/>
        <w:spacing w:after="0"/>
        <w:tabs>
          <w:tab w:leader="none" w:pos="760" w:val="left"/>
        </w:tabs>
        <w:numPr>
          <w:ilvl w:val="1"/>
          <w:numId w:val="99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 address, telephone number and e-mail address of the compliance officer.</w:t>
      </w:r>
    </w:p>
    <w:p>
      <w:pPr>
        <w:spacing w:after="0" w:line="151" w:lineRule="exact"/>
        <w:rPr>
          <w:rFonts w:ascii="Times New Roman" w:cs="Times New Roman" w:eastAsia="Times New Roman" w:hAnsi="Times New Roman"/>
          <w:sz w:val="24"/>
          <w:szCs w:val="24"/>
          <w:color w:val="auto"/>
        </w:rPr>
      </w:pPr>
    </w:p>
    <w:p>
      <w:pPr>
        <w:jc w:val="both"/>
        <w:ind w:left="760" w:hanging="356"/>
        <w:spacing w:after="0" w:line="356" w:lineRule="auto"/>
        <w:tabs>
          <w:tab w:leader="none" w:pos="760" w:val="left"/>
        </w:tabs>
        <w:numPr>
          <w:ilvl w:val="1"/>
          <w:numId w:val="99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Names, addresses, telephone numbers, contact person, website addresses and e-mail addresses of the lead manager(s), registrars to the issue, bankers to the issue; URL of SEBI website listing out the details of self-certified syndicate banks, registrar to the issue and share transfer agents, etc.</w:t>
      </w:r>
    </w:p>
    <w:p>
      <w:pPr>
        <w:spacing w:after="0" w:line="18" w:lineRule="exact"/>
        <w:rPr>
          <w:rFonts w:ascii="Times New Roman" w:cs="Times New Roman" w:eastAsia="Times New Roman" w:hAnsi="Times New Roman"/>
          <w:sz w:val="24"/>
          <w:szCs w:val="24"/>
          <w:color w:val="auto"/>
        </w:rPr>
      </w:pPr>
    </w:p>
    <w:p>
      <w:pPr>
        <w:ind w:left="760" w:hanging="356"/>
        <w:spacing w:after="0" w:line="348" w:lineRule="auto"/>
        <w:tabs>
          <w:tab w:leader="none" w:pos="760" w:val="left"/>
        </w:tabs>
        <w:numPr>
          <w:ilvl w:val="1"/>
          <w:numId w:val="99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Names, addresses, telephone numbers peer review number, firm registration number and e-mail addresses of the auditors of the issuer.</w:t>
      </w:r>
    </w:p>
    <w:p>
      <w:pPr>
        <w:spacing w:after="0" w:line="16" w:lineRule="exact"/>
        <w:rPr>
          <w:rFonts w:ascii="Times New Roman" w:cs="Times New Roman" w:eastAsia="Times New Roman" w:hAnsi="Times New Roman"/>
          <w:sz w:val="24"/>
          <w:szCs w:val="24"/>
          <w:color w:val="auto"/>
        </w:rPr>
      </w:pPr>
    </w:p>
    <w:p>
      <w:pPr>
        <w:ind w:left="760" w:hanging="356"/>
        <w:spacing w:after="0"/>
        <w:tabs>
          <w:tab w:leader="none" w:pos="760" w:val="left"/>
        </w:tabs>
        <w:numPr>
          <w:ilvl w:val="1"/>
          <w:numId w:val="99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Statement of inter-se allocation of responsibilities among lead manager(s).</w:t>
      </w:r>
    </w:p>
    <w:p>
      <w:pPr>
        <w:spacing w:after="0" w:line="149" w:lineRule="exact"/>
        <w:rPr>
          <w:rFonts w:ascii="Times New Roman" w:cs="Times New Roman" w:eastAsia="Times New Roman" w:hAnsi="Times New Roman"/>
          <w:sz w:val="24"/>
          <w:szCs w:val="24"/>
          <w:color w:val="auto"/>
        </w:rPr>
      </w:pPr>
    </w:p>
    <w:p>
      <w:pPr>
        <w:ind w:left="760" w:hanging="356"/>
        <w:spacing w:after="0" w:line="350" w:lineRule="auto"/>
        <w:tabs>
          <w:tab w:leader="none" w:pos="760" w:val="left"/>
        </w:tabs>
        <w:numPr>
          <w:ilvl w:val="1"/>
          <w:numId w:val="99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Following details of credit rating in case of an issue of convertible debt instruments/debt instruments:</w:t>
      </w:r>
    </w:p>
    <w:p>
      <w:pPr>
        <w:spacing w:after="0" w:line="23" w:lineRule="exact"/>
        <w:rPr>
          <w:rFonts w:ascii="Times New Roman" w:cs="Times New Roman" w:eastAsia="Times New Roman" w:hAnsi="Times New Roman"/>
          <w:sz w:val="24"/>
          <w:szCs w:val="24"/>
          <w:color w:val="auto"/>
        </w:rPr>
      </w:pPr>
    </w:p>
    <w:p>
      <w:pPr>
        <w:ind w:left="1480" w:hanging="716"/>
        <w:spacing w:after="0" w:line="354" w:lineRule="auto"/>
        <w:tabs>
          <w:tab w:leader="none" w:pos="1149" w:val="left"/>
        </w:tabs>
        <w:numPr>
          <w:ilvl w:val="2"/>
          <w:numId w:val="99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names of all the credit rating agencies from which credit rating including unaccepted rating has been obtained for the issue of convertible debt instruments.</w:t>
      </w:r>
    </w:p>
    <w:p>
      <w:pPr>
        <w:spacing w:after="0" w:line="22" w:lineRule="exact"/>
        <w:rPr>
          <w:rFonts w:ascii="Times New Roman" w:cs="Times New Roman" w:eastAsia="Times New Roman" w:hAnsi="Times New Roman"/>
          <w:sz w:val="24"/>
          <w:szCs w:val="24"/>
          <w:color w:val="auto"/>
        </w:rPr>
      </w:pPr>
    </w:p>
    <w:p>
      <w:pPr>
        <w:ind w:left="1480" w:hanging="716"/>
        <w:spacing w:after="0" w:line="348" w:lineRule="auto"/>
        <w:tabs>
          <w:tab w:leader="none" w:pos="1149" w:val="left"/>
        </w:tabs>
        <w:numPr>
          <w:ilvl w:val="2"/>
          <w:numId w:val="99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all credit ratings, including unaccepted ratings, obtained for the issue of convertible debt instruments.</w:t>
      </w:r>
    </w:p>
    <w:p>
      <w:pPr>
        <w:spacing w:after="0" w:line="28" w:lineRule="exact"/>
        <w:rPr>
          <w:rFonts w:ascii="Times New Roman" w:cs="Times New Roman" w:eastAsia="Times New Roman" w:hAnsi="Times New Roman"/>
          <w:sz w:val="24"/>
          <w:szCs w:val="24"/>
          <w:color w:val="auto"/>
        </w:rPr>
      </w:pPr>
    </w:p>
    <w:p>
      <w:pPr>
        <w:ind w:left="1480" w:hanging="716"/>
        <w:spacing w:after="0" w:line="354" w:lineRule="auto"/>
        <w:tabs>
          <w:tab w:leader="none" w:pos="1149" w:val="left"/>
        </w:tabs>
        <w:numPr>
          <w:ilvl w:val="2"/>
          <w:numId w:val="99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All credit ratings obtained during the preceding three years prior to the filing the draft letter of offer /letter of offer for any of the issuer’s listed debt instruments at the time of accessing the market.</w:t>
      </w:r>
    </w:p>
    <w:p>
      <w:pPr>
        <w:spacing w:after="0" w:line="264"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4"/>
          <w:szCs w:val="24"/>
          <w:color w:val="auto"/>
        </w:rPr>
        <w:t>297</w:t>
      </w:r>
    </w:p>
    <w:p>
      <w:pPr>
        <w:sectPr>
          <w:pgSz w:w="11900" w:h="16836" w:orient="portrait"/>
          <w:cols w:equalWidth="0" w:num="1">
            <w:col w:w="9180"/>
          </w:cols>
          <w:pgMar w:left="1440" w:top="1156" w:right="1284" w:bottom="103" w:gutter="0" w:footer="0" w:header="0"/>
        </w:sectPr>
      </w:pPr>
    </w:p>
    <w:bookmarkStart w:id="297" w:name="page298"/>
    <w:bookmarkEnd w:id="297"/>
    <w:p>
      <w:pPr>
        <w:ind w:left="760" w:hanging="356"/>
        <w:spacing w:after="0" w:line="348" w:lineRule="auto"/>
        <w:tabs>
          <w:tab w:leader="none" w:pos="760" w:val="left"/>
        </w:tabs>
        <w:numPr>
          <w:ilvl w:val="0"/>
          <w:numId w:val="99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 address, telephone number, website address and e-mail address of the debenture trustee, in case of issue of convertible debt instruments/debt instruments.</w:t>
      </w:r>
    </w:p>
    <w:p>
      <w:pPr>
        <w:spacing w:after="0" w:line="28" w:lineRule="exact"/>
        <w:rPr>
          <w:rFonts w:ascii="Times New Roman" w:cs="Times New Roman" w:eastAsia="Times New Roman" w:hAnsi="Times New Roman"/>
          <w:sz w:val="24"/>
          <w:szCs w:val="24"/>
          <w:color w:val="auto"/>
        </w:rPr>
      </w:pPr>
    </w:p>
    <w:p>
      <w:pPr>
        <w:jc w:val="both"/>
        <w:ind w:left="760" w:hanging="356"/>
        <w:spacing w:after="0" w:line="356" w:lineRule="auto"/>
        <w:tabs>
          <w:tab w:leader="none" w:pos="760" w:val="left"/>
        </w:tabs>
        <w:numPr>
          <w:ilvl w:val="0"/>
          <w:numId w:val="99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 address, telephone number and e-mail address of the monitoring agency, if appointed, and disclosure as to whether such appointment is pursuant to these regulations. The fact of filing the letter of offer with the Board and the stock exchange(s) and the office of the Board where the letter of offer has been filed.</w:t>
      </w:r>
    </w:p>
    <w:p>
      <w:pPr>
        <w:spacing w:after="0" w:line="6" w:lineRule="exact"/>
        <w:rPr>
          <w:rFonts w:ascii="Times New Roman" w:cs="Times New Roman" w:eastAsia="Times New Roman" w:hAnsi="Times New Roman"/>
          <w:sz w:val="24"/>
          <w:szCs w:val="24"/>
          <w:color w:val="auto"/>
        </w:rPr>
      </w:pPr>
    </w:p>
    <w:p>
      <w:pPr>
        <w:ind w:left="760" w:hanging="356"/>
        <w:spacing w:after="0"/>
        <w:tabs>
          <w:tab w:leader="none" w:pos="760" w:val="left"/>
        </w:tabs>
        <w:numPr>
          <w:ilvl w:val="0"/>
          <w:numId w:val="99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underwriting:</w:t>
      </w:r>
    </w:p>
    <w:p>
      <w:pPr>
        <w:spacing w:after="0" w:line="149" w:lineRule="exact"/>
        <w:rPr>
          <w:rFonts w:ascii="Times New Roman" w:cs="Times New Roman" w:eastAsia="Times New Roman" w:hAnsi="Times New Roman"/>
          <w:sz w:val="24"/>
          <w:szCs w:val="24"/>
          <w:color w:val="auto"/>
        </w:rPr>
      </w:pPr>
    </w:p>
    <w:p>
      <w:pPr>
        <w:ind w:left="1480" w:hanging="716"/>
        <w:spacing w:after="0" w:line="350" w:lineRule="auto"/>
        <w:tabs>
          <w:tab w:leader="none" w:pos="1149" w:val="left"/>
        </w:tabs>
        <w:numPr>
          <w:ilvl w:val="1"/>
          <w:numId w:val="99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Names, addresses, telephone numbers, and e-mail addresses of the underwriters and the amount underwritten by each of them.</w:t>
      </w:r>
    </w:p>
    <w:p>
      <w:pPr>
        <w:spacing w:after="0" w:line="23" w:lineRule="exact"/>
        <w:rPr>
          <w:rFonts w:ascii="Times New Roman" w:cs="Times New Roman" w:eastAsia="Times New Roman" w:hAnsi="Times New Roman"/>
          <w:sz w:val="24"/>
          <w:szCs w:val="24"/>
          <w:color w:val="auto"/>
        </w:rPr>
      </w:pPr>
    </w:p>
    <w:p>
      <w:pPr>
        <w:ind w:left="1480" w:hanging="716"/>
        <w:spacing w:after="0" w:line="350" w:lineRule="auto"/>
        <w:tabs>
          <w:tab w:leader="none" w:pos="1149" w:val="left"/>
        </w:tabs>
        <w:numPr>
          <w:ilvl w:val="1"/>
          <w:numId w:val="99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Declaration by the board of directors of the issuer that the underwriters have sufficient resources to discharge their respective obligations.</w:t>
      </w:r>
    </w:p>
    <w:p>
      <w:pPr>
        <w:spacing w:after="0" w:line="10" w:lineRule="exact"/>
        <w:rPr>
          <w:rFonts w:ascii="Times New Roman" w:cs="Times New Roman" w:eastAsia="Times New Roman" w:hAnsi="Times New Roman"/>
          <w:sz w:val="24"/>
          <w:szCs w:val="24"/>
          <w:color w:val="auto"/>
        </w:rPr>
      </w:pPr>
    </w:p>
    <w:p>
      <w:pPr>
        <w:ind w:left="1160" w:hanging="396"/>
        <w:spacing w:after="0"/>
        <w:tabs>
          <w:tab w:leader="none" w:pos="1160" w:val="left"/>
        </w:tabs>
        <w:numPr>
          <w:ilvl w:val="1"/>
          <w:numId w:val="99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partial underwriting of the issue, the extent of such underwriting.</w:t>
      </w:r>
    </w:p>
    <w:p>
      <w:pPr>
        <w:spacing w:after="0" w:line="151" w:lineRule="exact"/>
        <w:rPr>
          <w:rFonts w:ascii="Times New Roman" w:cs="Times New Roman" w:eastAsia="Times New Roman" w:hAnsi="Times New Roman"/>
          <w:sz w:val="24"/>
          <w:szCs w:val="24"/>
          <w:color w:val="auto"/>
        </w:rPr>
      </w:pPr>
    </w:p>
    <w:p>
      <w:pPr>
        <w:ind w:left="1480" w:hanging="716"/>
        <w:spacing w:after="0" w:line="354" w:lineRule="auto"/>
        <w:tabs>
          <w:tab w:leader="none" w:pos="1149" w:val="left"/>
        </w:tabs>
        <w:numPr>
          <w:ilvl w:val="1"/>
          <w:numId w:val="99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the final underwriting arrangement, indicating actual number of specified securities underwritten, in the letter of offer filed with the designated stock exchange.</w:t>
      </w:r>
    </w:p>
    <w:p>
      <w:pPr>
        <w:spacing w:after="0" w:line="19" w:lineRule="exact"/>
        <w:rPr>
          <w:rFonts w:ascii="Times New Roman" w:cs="Times New Roman" w:eastAsia="Times New Roman" w:hAnsi="Times New Roman"/>
          <w:sz w:val="24"/>
          <w:szCs w:val="24"/>
          <w:color w:val="auto"/>
        </w:rPr>
      </w:pPr>
    </w:p>
    <w:p>
      <w:pPr>
        <w:jc w:val="both"/>
        <w:ind w:left="760" w:hanging="356"/>
        <w:spacing w:after="0" w:line="354" w:lineRule="auto"/>
        <w:tabs>
          <w:tab w:leader="none" w:pos="760" w:val="left"/>
        </w:tabs>
        <w:numPr>
          <w:ilvl w:val="0"/>
          <w:numId w:val="99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Changes in the auditors during the last three years along with name, address, email address, peer review number and firm registration number of auditors and reasons thereof.</w:t>
      </w:r>
    </w:p>
    <w:p>
      <w:pPr>
        <w:spacing w:after="0" w:line="15"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4"/>
          <w:szCs w:val="24"/>
          <w:b w:val="1"/>
          <w:bCs w:val="1"/>
          <w:color w:val="auto"/>
        </w:rPr>
        <w:t>(8) Capital structure:</w:t>
      </w:r>
    </w:p>
    <w:p>
      <w:pPr>
        <w:spacing w:after="0" w:line="132" w:lineRule="exact"/>
        <w:rPr>
          <w:sz w:val="20"/>
          <w:szCs w:val="20"/>
          <w:color w:val="auto"/>
        </w:rPr>
      </w:pPr>
    </w:p>
    <w:p>
      <w:pPr>
        <w:ind w:left="400" w:hanging="356"/>
        <w:spacing w:after="0"/>
        <w:tabs>
          <w:tab w:leader="none" w:pos="400" w:val="left"/>
        </w:tabs>
        <w:numPr>
          <w:ilvl w:val="0"/>
          <w:numId w:val="9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capital structure in the following order in a tabular form:</w:t>
      </w:r>
    </w:p>
    <w:p>
      <w:pPr>
        <w:spacing w:after="0" w:line="151" w:lineRule="exact"/>
        <w:rPr>
          <w:rFonts w:ascii="Times New Roman" w:cs="Times New Roman" w:eastAsia="Times New Roman" w:hAnsi="Times New Roman"/>
          <w:sz w:val="24"/>
          <w:szCs w:val="24"/>
          <w:color w:val="auto"/>
        </w:rPr>
      </w:pPr>
    </w:p>
    <w:p>
      <w:pPr>
        <w:ind w:left="1480" w:hanging="356"/>
        <w:spacing w:after="0" w:line="348" w:lineRule="auto"/>
        <w:tabs>
          <w:tab w:leader="none" w:pos="1480" w:val="left"/>
        </w:tabs>
        <w:numPr>
          <w:ilvl w:val="1"/>
          <w:numId w:val="9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Authorised, issued, subscribed and paid-up capital (number of securities, description and aggregate nominal value).</w:t>
      </w:r>
    </w:p>
    <w:p>
      <w:pPr>
        <w:spacing w:after="0" w:line="15" w:lineRule="exact"/>
        <w:rPr>
          <w:rFonts w:ascii="Times New Roman" w:cs="Times New Roman" w:eastAsia="Times New Roman" w:hAnsi="Times New Roman"/>
          <w:sz w:val="24"/>
          <w:szCs w:val="24"/>
          <w:color w:val="auto"/>
        </w:rPr>
      </w:pPr>
    </w:p>
    <w:p>
      <w:pPr>
        <w:ind w:left="1480" w:hanging="356"/>
        <w:spacing w:after="0"/>
        <w:tabs>
          <w:tab w:leader="none" w:pos="1480" w:val="left"/>
        </w:tabs>
        <w:numPr>
          <w:ilvl w:val="1"/>
          <w:numId w:val="9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Paid-up capital:</w:t>
      </w:r>
    </w:p>
    <w:p>
      <w:pPr>
        <w:spacing w:after="0" w:line="137" w:lineRule="exact"/>
        <w:rPr>
          <w:rFonts w:ascii="Times New Roman" w:cs="Times New Roman" w:eastAsia="Times New Roman" w:hAnsi="Times New Roman"/>
          <w:sz w:val="24"/>
          <w:szCs w:val="24"/>
          <w:color w:val="auto"/>
        </w:rPr>
      </w:pPr>
    </w:p>
    <w:p>
      <w:pPr>
        <w:ind w:left="1880" w:hanging="396"/>
        <w:spacing w:after="0"/>
        <w:tabs>
          <w:tab w:leader="none" w:pos="1880" w:val="left"/>
        </w:tabs>
        <w:numPr>
          <w:ilvl w:val="2"/>
          <w:numId w:val="9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After the issue.</w:t>
      </w:r>
    </w:p>
    <w:p>
      <w:pPr>
        <w:spacing w:after="0" w:line="139" w:lineRule="exact"/>
        <w:rPr>
          <w:rFonts w:ascii="Times New Roman" w:cs="Times New Roman" w:eastAsia="Times New Roman" w:hAnsi="Times New Roman"/>
          <w:sz w:val="24"/>
          <w:szCs w:val="24"/>
          <w:color w:val="auto"/>
        </w:rPr>
      </w:pPr>
    </w:p>
    <w:p>
      <w:pPr>
        <w:ind w:left="1880" w:hanging="396"/>
        <w:spacing w:after="0"/>
        <w:tabs>
          <w:tab w:leader="none" w:pos="1880" w:val="left"/>
        </w:tabs>
        <w:numPr>
          <w:ilvl w:val="2"/>
          <w:numId w:val="9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After conversion of convertible instruments (if applicable).</w:t>
      </w:r>
    </w:p>
    <w:p>
      <w:pPr>
        <w:spacing w:after="0" w:line="149" w:lineRule="exact"/>
        <w:rPr>
          <w:rFonts w:ascii="Times New Roman" w:cs="Times New Roman" w:eastAsia="Times New Roman" w:hAnsi="Times New Roman"/>
          <w:sz w:val="24"/>
          <w:szCs w:val="24"/>
          <w:color w:val="auto"/>
        </w:rPr>
      </w:pPr>
    </w:p>
    <w:p>
      <w:pPr>
        <w:ind w:left="1480" w:hanging="356"/>
        <w:spacing w:after="0" w:line="350" w:lineRule="auto"/>
        <w:tabs>
          <w:tab w:leader="none" w:pos="1480" w:val="left"/>
        </w:tabs>
        <w:numPr>
          <w:ilvl w:val="1"/>
          <w:numId w:val="9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Intention and extent of participation by the promoter and promoter group in the issue with respect to:</w:t>
      </w:r>
    </w:p>
    <w:p>
      <w:pPr>
        <w:spacing w:after="0" w:line="10" w:lineRule="exact"/>
        <w:rPr>
          <w:rFonts w:ascii="Times New Roman" w:cs="Times New Roman" w:eastAsia="Times New Roman" w:hAnsi="Times New Roman"/>
          <w:sz w:val="24"/>
          <w:szCs w:val="24"/>
          <w:color w:val="auto"/>
        </w:rPr>
      </w:pPr>
    </w:p>
    <w:p>
      <w:pPr>
        <w:ind w:left="1880" w:hanging="396"/>
        <w:spacing w:after="0"/>
        <w:tabs>
          <w:tab w:leader="none" w:pos="1880" w:val="left"/>
        </w:tabs>
        <w:numPr>
          <w:ilvl w:val="2"/>
          <w:numId w:val="9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their rights entitlement.</w:t>
      </w:r>
    </w:p>
    <w:p>
      <w:pPr>
        <w:spacing w:after="0" w:line="151" w:lineRule="exact"/>
        <w:rPr>
          <w:rFonts w:ascii="Times New Roman" w:cs="Times New Roman" w:eastAsia="Times New Roman" w:hAnsi="Times New Roman"/>
          <w:sz w:val="24"/>
          <w:szCs w:val="24"/>
          <w:color w:val="auto"/>
        </w:rPr>
      </w:pPr>
    </w:p>
    <w:p>
      <w:pPr>
        <w:jc w:val="right"/>
        <w:ind w:left="2200" w:hanging="716"/>
        <w:spacing w:after="0" w:line="348" w:lineRule="auto"/>
        <w:tabs>
          <w:tab w:leader="none" w:pos="1869" w:val="left"/>
        </w:tabs>
        <w:numPr>
          <w:ilvl w:val="2"/>
          <w:numId w:val="9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intention to subscribe over and above their rights entitlement: Provided that such participation shall  not result  in a breach of the minimum</w:t>
      </w:r>
    </w:p>
    <w:p>
      <w:pPr>
        <w:spacing w:after="0" w:line="15" w:lineRule="exact"/>
        <w:rPr>
          <w:sz w:val="20"/>
          <w:szCs w:val="20"/>
          <w:color w:val="auto"/>
        </w:rPr>
      </w:pPr>
    </w:p>
    <w:p>
      <w:pPr>
        <w:ind w:left="2200"/>
        <w:spacing w:after="0"/>
        <w:tabs>
          <w:tab w:leader="none" w:pos="2960" w:val="left"/>
          <w:tab w:leader="none" w:pos="4380" w:val="left"/>
          <w:tab w:leader="none" w:pos="5720" w:val="left"/>
          <w:tab w:leader="none" w:pos="6840" w:val="left"/>
          <w:tab w:leader="none" w:pos="7200" w:val="left"/>
          <w:tab w:leader="none" w:pos="7680" w:val="left"/>
          <w:tab w:leader="none" w:pos="8820" w:val="left"/>
        </w:tabs>
        <w:rPr>
          <w:sz w:val="20"/>
          <w:szCs w:val="20"/>
          <w:color w:val="auto"/>
        </w:rPr>
      </w:pPr>
      <w:r>
        <w:rPr>
          <w:rFonts w:ascii="Times New Roman" w:cs="Times New Roman" w:eastAsia="Times New Roman" w:hAnsi="Times New Roman"/>
          <w:sz w:val="24"/>
          <w:szCs w:val="24"/>
          <w:color w:val="auto"/>
        </w:rPr>
        <w:t>public</w:t>
        <w:tab/>
        <w:t>shareholding</w:t>
        <w:tab/>
        <w:t>requirement</w:t>
        <w:tab/>
        <w:t>stipulated</w:t>
        <w:tab/>
        <w:t>in</w:t>
        <w:tab/>
        <w:t>the</w:t>
        <w:tab/>
        <w:t>Securities</w:t>
      </w:r>
      <w:r>
        <w:rPr>
          <w:sz w:val="20"/>
          <w:szCs w:val="20"/>
          <w:color w:val="auto"/>
        </w:rPr>
        <w:tab/>
      </w:r>
      <w:r>
        <w:rPr>
          <w:rFonts w:ascii="Times New Roman" w:cs="Times New Roman" w:eastAsia="Times New Roman" w:hAnsi="Times New Roman"/>
          <w:sz w:val="23"/>
          <w:szCs w:val="23"/>
          <w:color w:val="auto"/>
        </w:rPr>
        <w:t>and</w:t>
      </w:r>
    </w:p>
    <w:p>
      <w:pPr>
        <w:spacing w:after="0" w:line="149" w:lineRule="exact"/>
        <w:rPr>
          <w:sz w:val="20"/>
          <w:szCs w:val="20"/>
          <w:color w:val="auto"/>
        </w:rPr>
      </w:pPr>
    </w:p>
    <w:p>
      <w:pPr>
        <w:ind w:left="2600" w:right="1200" w:hanging="388"/>
        <w:spacing w:after="0" w:line="350" w:lineRule="auto"/>
        <w:rPr>
          <w:sz w:val="20"/>
          <w:szCs w:val="20"/>
          <w:color w:val="auto"/>
        </w:rPr>
      </w:pPr>
      <w:r>
        <w:rPr>
          <w:rFonts w:ascii="Times New Roman" w:cs="Times New Roman" w:eastAsia="Times New Roman" w:hAnsi="Times New Roman"/>
          <w:sz w:val="24"/>
          <w:szCs w:val="24"/>
          <w:color w:val="auto"/>
        </w:rPr>
        <w:t>Exchange Board of India</w:t>
      </w:r>
      <w:r>
        <w:rPr>
          <w:sz w:val="20"/>
          <w:szCs w:val="20"/>
          <w:color w:val="auto"/>
        </w:rPr>
        <w:t xml:space="preserve"> </w:t>
      </w:r>
      <w:r>
        <w:rPr>
          <w:rFonts w:ascii="Times New Roman" w:cs="Times New Roman" w:eastAsia="Times New Roman" w:hAnsi="Times New Roman"/>
          <w:sz w:val="24"/>
          <w:szCs w:val="24"/>
          <w:color w:val="auto"/>
        </w:rPr>
        <w:t>(Listing Obligations and Disclosure Requirements) Regulations, 2015.</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4"/>
          <w:szCs w:val="24"/>
          <w:color w:val="auto"/>
        </w:rPr>
        <w:t>298</w:t>
      </w:r>
    </w:p>
    <w:p>
      <w:pPr>
        <w:sectPr>
          <w:pgSz w:w="11900" w:h="16836" w:orient="portrait"/>
          <w:cols w:equalWidth="0" w:num="1">
            <w:col w:w="9180"/>
          </w:cols>
          <w:pgMar w:left="1440" w:top="1156" w:right="1284" w:bottom="103" w:gutter="0" w:footer="0" w:header="0"/>
        </w:sectPr>
      </w:pPr>
    </w:p>
    <w:bookmarkStart w:id="298" w:name="page299"/>
    <w:bookmarkEnd w:id="298"/>
    <w:p>
      <w:pPr>
        <w:jc w:val="both"/>
        <w:ind w:left="1480" w:hanging="356"/>
        <w:spacing w:after="0" w:line="354" w:lineRule="auto"/>
        <w:tabs>
          <w:tab w:leader="none" w:pos="1480" w:val="left"/>
        </w:tabs>
        <w:numPr>
          <w:ilvl w:val="0"/>
          <w:numId w:val="99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Ex-rights price as referred under clause of (b) of sub-regulation 4 of regulation 10 of Securities and Exchange Board of India (Substantial Acquisition of Shares and Takeovers) Regulation, 2011.</w:t>
      </w:r>
    </w:p>
    <w:p>
      <w:pPr>
        <w:spacing w:after="0" w:line="20" w:lineRule="exact"/>
        <w:rPr>
          <w:rFonts w:ascii="Times New Roman" w:cs="Times New Roman" w:eastAsia="Times New Roman" w:hAnsi="Times New Roman"/>
          <w:sz w:val="24"/>
          <w:szCs w:val="24"/>
          <w:color w:val="auto"/>
        </w:rPr>
      </w:pPr>
    </w:p>
    <w:p>
      <w:pPr>
        <w:jc w:val="both"/>
        <w:ind w:left="1480" w:hanging="356"/>
        <w:spacing w:after="0" w:line="358" w:lineRule="auto"/>
        <w:tabs>
          <w:tab w:leader="none" w:pos="1480" w:val="left"/>
        </w:tabs>
        <w:numPr>
          <w:ilvl w:val="0"/>
          <w:numId w:val="99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Shareholding pattern of the issuer in the format as prescribed under Regulation 33 of the Securities and Exchange Board of India (Listing Obligations and Disclosure Requirements) Regulations, 2015 and as last submitted to the stock exchanges. This information can either be incorporated by reference with specific website details of the stock exchange(s) or by providing the details in the letter of offer:</w:t>
      </w:r>
    </w:p>
    <w:p>
      <w:pPr>
        <w:spacing w:after="0" w:line="14" w:lineRule="exact"/>
        <w:rPr>
          <w:rFonts w:ascii="Times New Roman" w:cs="Times New Roman" w:eastAsia="Times New Roman" w:hAnsi="Times New Roman"/>
          <w:sz w:val="24"/>
          <w:szCs w:val="24"/>
          <w:color w:val="auto"/>
        </w:rPr>
      </w:pPr>
    </w:p>
    <w:p>
      <w:pPr>
        <w:ind w:left="2200" w:hanging="716"/>
        <w:spacing w:after="0" w:line="358" w:lineRule="auto"/>
        <w:tabs>
          <w:tab w:leader="none" w:pos="1869" w:val="left"/>
        </w:tabs>
        <w:numPr>
          <w:ilvl w:val="1"/>
          <w:numId w:val="99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shareholders of the issuer holding 1% or more of the paid-up capital of the issuer as last disclosed to the stock exchanges. Details of shares locked-in, pledged, encumbrance by promoters and promoter group. This information can either be incorporated by reference with specific website details of the stock exchange(s) or by providing the details in the letter of offer.</w:t>
      </w:r>
    </w:p>
    <w:p>
      <w:pPr>
        <w:spacing w:after="0" w:line="7" w:lineRule="exact"/>
        <w:rPr>
          <w:sz w:val="20"/>
          <w:szCs w:val="20"/>
          <w:color w:val="auto"/>
        </w:rPr>
      </w:pPr>
    </w:p>
    <w:p>
      <w:pPr>
        <w:ind w:left="400" w:hanging="356"/>
        <w:spacing w:after="0"/>
        <w:tabs>
          <w:tab w:leader="none" w:pos="400" w:val="left"/>
        </w:tabs>
        <w:numPr>
          <w:ilvl w:val="0"/>
          <w:numId w:val="99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Particulars of the issue:</w:t>
      </w:r>
    </w:p>
    <w:p>
      <w:pPr>
        <w:spacing w:after="0" w:line="139" w:lineRule="exact"/>
        <w:rPr>
          <w:rFonts w:ascii="Times New Roman" w:cs="Times New Roman" w:eastAsia="Times New Roman" w:hAnsi="Times New Roman"/>
          <w:sz w:val="24"/>
          <w:szCs w:val="24"/>
          <w:b w:val="1"/>
          <w:bCs w:val="1"/>
          <w:color w:val="auto"/>
        </w:rPr>
      </w:pPr>
    </w:p>
    <w:p>
      <w:pPr>
        <w:ind w:left="40"/>
        <w:spacing w:after="0"/>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(A) Objects of the issue:</w:t>
      </w:r>
    </w:p>
    <w:p>
      <w:pPr>
        <w:spacing w:after="0" w:line="132" w:lineRule="exact"/>
        <w:rPr>
          <w:rFonts w:ascii="Times New Roman" w:cs="Times New Roman" w:eastAsia="Times New Roman" w:hAnsi="Times New Roman"/>
          <w:sz w:val="24"/>
          <w:szCs w:val="24"/>
          <w:b w:val="1"/>
          <w:bCs w:val="1"/>
          <w:color w:val="auto"/>
        </w:rPr>
      </w:pPr>
    </w:p>
    <w:p>
      <w:pPr>
        <w:ind w:left="1160" w:hanging="396"/>
        <w:spacing w:after="0"/>
        <w:tabs>
          <w:tab w:leader="none" w:pos="1160" w:val="left"/>
        </w:tabs>
        <w:numPr>
          <w:ilvl w:val="1"/>
          <w:numId w:val="99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Objects of the issue.</w:t>
      </w:r>
    </w:p>
    <w:p>
      <w:pPr>
        <w:spacing w:after="0" w:line="139" w:lineRule="exact"/>
        <w:rPr>
          <w:rFonts w:ascii="Times New Roman" w:cs="Times New Roman" w:eastAsia="Times New Roman" w:hAnsi="Times New Roman"/>
          <w:sz w:val="24"/>
          <w:szCs w:val="24"/>
          <w:b w:val="1"/>
          <w:bCs w:val="1"/>
          <w:color w:val="auto"/>
        </w:rPr>
      </w:pPr>
    </w:p>
    <w:p>
      <w:pPr>
        <w:ind w:left="1160" w:hanging="396"/>
        <w:spacing w:after="0"/>
        <w:tabs>
          <w:tab w:leader="none" w:pos="1160" w:val="left"/>
        </w:tabs>
        <w:numPr>
          <w:ilvl w:val="1"/>
          <w:numId w:val="99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If one of the objects of the issue is loan repayment:</w:t>
      </w:r>
    </w:p>
    <w:p>
      <w:pPr>
        <w:spacing w:after="0" w:line="149" w:lineRule="exact"/>
        <w:rPr>
          <w:rFonts w:ascii="Times New Roman" w:cs="Times New Roman" w:eastAsia="Times New Roman" w:hAnsi="Times New Roman"/>
          <w:sz w:val="24"/>
          <w:szCs w:val="24"/>
          <w:b w:val="1"/>
          <w:bCs w:val="1"/>
          <w:color w:val="auto"/>
        </w:rPr>
      </w:pPr>
    </w:p>
    <w:p>
      <w:pPr>
        <w:ind w:left="2280" w:hanging="580"/>
        <w:spacing w:after="0" w:line="350" w:lineRule="auto"/>
        <w:tabs>
          <w:tab w:leader="none" w:pos="2280" w:val="left"/>
        </w:tabs>
        <w:numPr>
          <w:ilvl w:val="2"/>
          <w:numId w:val="99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loan proposed to be repaid such as name of the lender, brief terms and conditions and amount outstanding;</w:t>
      </w:r>
    </w:p>
    <w:p>
      <w:pPr>
        <w:spacing w:after="0" w:line="23" w:lineRule="exact"/>
        <w:rPr>
          <w:rFonts w:ascii="Times New Roman" w:cs="Times New Roman" w:eastAsia="Times New Roman" w:hAnsi="Times New Roman"/>
          <w:sz w:val="24"/>
          <w:szCs w:val="24"/>
          <w:color w:val="auto"/>
        </w:rPr>
      </w:pPr>
    </w:p>
    <w:p>
      <w:pPr>
        <w:ind w:left="2280" w:hanging="580"/>
        <w:spacing w:after="0" w:line="350" w:lineRule="auto"/>
        <w:tabs>
          <w:tab w:leader="none" w:pos="2280" w:val="left"/>
        </w:tabs>
        <w:numPr>
          <w:ilvl w:val="2"/>
          <w:numId w:val="99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certificate from the statutory auditor certifying the utilization of loan for the purposed availed.</w:t>
      </w:r>
    </w:p>
    <w:p>
      <w:pPr>
        <w:spacing w:after="0" w:line="23" w:lineRule="exact"/>
        <w:rPr>
          <w:rFonts w:ascii="Times New Roman" w:cs="Times New Roman" w:eastAsia="Times New Roman" w:hAnsi="Times New Roman"/>
          <w:sz w:val="24"/>
          <w:szCs w:val="24"/>
          <w:color w:val="auto"/>
        </w:rPr>
      </w:pPr>
    </w:p>
    <w:p>
      <w:pPr>
        <w:ind w:left="2280" w:hanging="580"/>
        <w:spacing w:after="0" w:line="350" w:lineRule="auto"/>
        <w:tabs>
          <w:tab w:leader="none" w:pos="2280" w:val="left"/>
        </w:tabs>
        <w:numPr>
          <w:ilvl w:val="2"/>
          <w:numId w:val="99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one of the objects is investment in a joint venture or a subsidiary or an acquisition, following additional disclosures:</w:t>
      </w:r>
    </w:p>
    <w:p>
      <w:pPr>
        <w:spacing w:after="0" w:line="23" w:lineRule="exact"/>
        <w:rPr>
          <w:rFonts w:ascii="Times New Roman" w:cs="Times New Roman" w:eastAsia="Times New Roman" w:hAnsi="Times New Roman"/>
          <w:sz w:val="24"/>
          <w:szCs w:val="24"/>
          <w:color w:val="auto"/>
        </w:rPr>
      </w:pPr>
    </w:p>
    <w:p>
      <w:pPr>
        <w:ind w:left="2280" w:hanging="580"/>
        <w:spacing w:after="0" w:line="350" w:lineRule="auto"/>
        <w:tabs>
          <w:tab w:leader="none" w:pos="2280" w:val="left"/>
        </w:tabs>
        <w:numPr>
          <w:ilvl w:val="2"/>
          <w:numId w:val="99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the form of investment, i.e., equity, debt or any other instrument;</w:t>
      </w:r>
    </w:p>
    <w:p>
      <w:pPr>
        <w:spacing w:after="0" w:line="23" w:lineRule="exact"/>
        <w:rPr>
          <w:rFonts w:ascii="Times New Roman" w:cs="Times New Roman" w:eastAsia="Times New Roman" w:hAnsi="Times New Roman"/>
          <w:sz w:val="24"/>
          <w:szCs w:val="24"/>
          <w:color w:val="auto"/>
        </w:rPr>
      </w:pPr>
    </w:p>
    <w:p>
      <w:pPr>
        <w:ind w:left="2280" w:hanging="580"/>
        <w:spacing w:after="0" w:line="350" w:lineRule="auto"/>
        <w:tabs>
          <w:tab w:leader="none" w:pos="2280" w:val="left"/>
        </w:tabs>
        <w:numPr>
          <w:ilvl w:val="2"/>
          <w:numId w:val="99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form of investment has not been decided, a statement to that effect;</w:t>
      </w:r>
    </w:p>
    <w:p>
      <w:pPr>
        <w:spacing w:after="0" w:line="23" w:lineRule="exact"/>
        <w:rPr>
          <w:rFonts w:ascii="Times New Roman" w:cs="Times New Roman" w:eastAsia="Times New Roman" w:hAnsi="Times New Roman"/>
          <w:sz w:val="24"/>
          <w:szCs w:val="24"/>
          <w:color w:val="auto"/>
        </w:rPr>
      </w:pPr>
    </w:p>
    <w:p>
      <w:pPr>
        <w:ind w:left="2280" w:hanging="580"/>
        <w:spacing w:after="0" w:line="350" w:lineRule="auto"/>
        <w:tabs>
          <w:tab w:leader="none" w:pos="2280" w:val="left"/>
        </w:tabs>
        <w:numPr>
          <w:ilvl w:val="2"/>
          <w:numId w:val="99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investment is in debt instruments, complete details regarding rate of interest, nature of security, terms of repayment, subordination, etc.;</w:t>
      </w:r>
    </w:p>
    <w:p>
      <w:pPr>
        <w:spacing w:after="0" w:line="23" w:lineRule="exact"/>
        <w:rPr>
          <w:rFonts w:ascii="Times New Roman" w:cs="Times New Roman" w:eastAsia="Times New Roman" w:hAnsi="Times New Roman"/>
          <w:sz w:val="24"/>
          <w:szCs w:val="24"/>
          <w:color w:val="auto"/>
        </w:rPr>
      </w:pPr>
    </w:p>
    <w:p>
      <w:pPr>
        <w:ind w:left="2280" w:hanging="580"/>
        <w:spacing w:after="0" w:line="350" w:lineRule="auto"/>
        <w:tabs>
          <w:tab w:leader="none" w:pos="2280" w:val="left"/>
        </w:tabs>
        <w:numPr>
          <w:ilvl w:val="2"/>
          <w:numId w:val="99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Nature of benefit expected to accrue to the issuer as a result of the investment</w:t>
      </w:r>
    </w:p>
    <w:p>
      <w:pPr>
        <w:spacing w:after="0" w:line="23" w:lineRule="exact"/>
        <w:rPr>
          <w:rFonts w:ascii="Times New Roman" w:cs="Times New Roman" w:eastAsia="Times New Roman" w:hAnsi="Times New Roman"/>
          <w:sz w:val="24"/>
          <w:szCs w:val="24"/>
          <w:color w:val="auto"/>
        </w:rPr>
      </w:pPr>
    </w:p>
    <w:p>
      <w:pPr>
        <w:jc w:val="right"/>
        <w:ind w:left="1480" w:hanging="716"/>
        <w:spacing w:after="0" w:line="350" w:lineRule="auto"/>
        <w:tabs>
          <w:tab w:leader="none" w:pos="1149" w:val="left"/>
        </w:tabs>
        <w:numPr>
          <w:ilvl w:val="1"/>
          <w:numId w:val="99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If one of the objects of the issue is to grant a loan to an entity other than a subsidiary, details of the loan agreements, including the rate of interest, whether</w:t>
      </w:r>
    </w:p>
    <w:p>
      <w:pPr>
        <w:spacing w:after="0" w:line="268"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4"/>
          <w:szCs w:val="24"/>
          <w:color w:val="auto"/>
        </w:rPr>
        <w:t>299</w:t>
      </w:r>
    </w:p>
    <w:p>
      <w:pPr>
        <w:sectPr>
          <w:pgSz w:w="11900" w:h="16836" w:orient="portrait"/>
          <w:cols w:equalWidth="0" w:num="1">
            <w:col w:w="9180"/>
          </w:cols>
          <w:pgMar w:left="1440" w:top="1156" w:right="1284" w:bottom="103" w:gutter="0" w:footer="0" w:header="0"/>
        </w:sectPr>
      </w:pPr>
    </w:p>
    <w:bookmarkStart w:id="299" w:name="page300"/>
    <w:bookmarkEnd w:id="299"/>
    <w:p>
      <w:pPr>
        <w:jc w:val="both"/>
        <w:ind w:left="1480"/>
        <w:spacing w:after="0" w:line="354" w:lineRule="auto"/>
        <w:rPr>
          <w:sz w:val="20"/>
          <w:szCs w:val="20"/>
          <w:color w:val="auto"/>
        </w:rPr>
      </w:pPr>
      <w:r>
        <w:rPr>
          <w:rFonts w:ascii="Times New Roman" w:cs="Times New Roman" w:eastAsia="Times New Roman" w:hAnsi="Times New Roman"/>
          <w:sz w:val="24"/>
          <w:szCs w:val="24"/>
          <w:color w:val="auto"/>
        </w:rPr>
        <w:t>secured or unsecured, duration, nature of security, terms of repayment, subordination etc. and the nature of benefit expected to accrue to the issuer as a result of the investment.</w:t>
      </w:r>
    </w:p>
    <w:p>
      <w:pPr>
        <w:spacing w:after="0" w:line="20" w:lineRule="exact"/>
        <w:rPr>
          <w:sz w:val="20"/>
          <w:szCs w:val="20"/>
          <w:color w:val="auto"/>
        </w:rPr>
      </w:pPr>
    </w:p>
    <w:p>
      <w:pPr>
        <w:ind w:left="1480" w:hanging="716"/>
        <w:spacing w:after="0" w:line="350" w:lineRule="auto"/>
        <w:tabs>
          <w:tab w:leader="none" w:pos="1149" w:val="left"/>
        </w:tabs>
        <w:numPr>
          <w:ilvl w:val="0"/>
          <w:numId w:val="99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If one of the objects of the issue is utilisation of the issue proceeds for long term working capital, the following additional disclosures on a basis:</w:t>
      </w:r>
    </w:p>
    <w:p>
      <w:pPr>
        <w:spacing w:after="0" w:line="23" w:lineRule="exact"/>
        <w:rPr>
          <w:rFonts w:ascii="Times New Roman" w:cs="Times New Roman" w:eastAsia="Times New Roman" w:hAnsi="Times New Roman"/>
          <w:sz w:val="24"/>
          <w:szCs w:val="24"/>
          <w:b w:val="1"/>
          <w:bCs w:val="1"/>
          <w:color w:val="auto"/>
        </w:rPr>
      </w:pPr>
    </w:p>
    <w:p>
      <w:pPr>
        <w:ind w:left="2280" w:hanging="580"/>
        <w:spacing w:after="0" w:line="350" w:lineRule="auto"/>
        <w:tabs>
          <w:tab w:leader="none" w:pos="2280" w:val="left"/>
        </w:tabs>
        <w:numPr>
          <w:ilvl w:val="1"/>
          <w:numId w:val="99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Basis of estimation of working capital requirement along with the relevant assumptions.</w:t>
      </w:r>
    </w:p>
    <w:p>
      <w:pPr>
        <w:spacing w:after="0" w:line="23" w:lineRule="exact"/>
        <w:rPr>
          <w:rFonts w:ascii="Times New Roman" w:cs="Times New Roman" w:eastAsia="Times New Roman" w:hAnsi="Times New Roman"/>
          <w:sz w:val="24"/>
          <w:szCs w:val="24"/>
          <w:color w:val="auto"/>
        </w:rPr>
      </w:pPr>
    </w:p>
    <w:p>
      <w:pPr>
        <w:ind w:left="2280" w:hanging="580"/>
        <w:spacing w:after="0" w:line="350" w:lineRule="auto"/>
        <w:tabs>
          <w:tab w:leader="none" w:pos="2280" w:val="left"/>
        </w:tabs>
        <w:numPr>
          <w:ilvl w:val="1"/>
          <w:numId w:val="99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Reasons for raising additional working capital substantiating the same with relevant facts and figures.</w:t>
      </w:r>
    </w:p>
    <w:p>
      <w:pPr>
        <w:spacing w:after="0" w:line="23" w:lineRule="exact"/>
        <w:rPr>
          <w:rFonts w:ascii="Times New Roman" w:cs="Times New Roman" w:eastAsia="Times New Roman" w:hAnsi="Times New Roman"/>
          <w:sz w:val="24"/>
          <w:szCs w:val="24"/>
          <w:color w:val="auto"/>
        </w:rPr>
      </w:pPr>
    </w:p>
    <w:p>
      <w:pPr>
        <w:jc w:val="both"/>
        <w:ind w:left="2280" w:hanging="580"/>
        <w:spacing w:after="0" w:line="358" w:lineRule="auto"/>
        <w:tabs>
          <w:tab w:leader="none" w:pos="2280" w:val="left"/>
        </w:tabs>
        <w:numPr>
          <w:ilvl w:val="1"/>
          <w:numId w:val="99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the projected working capital requirement, including detailed assessment of working capital after implementation of the project or achievement of objects of the issue, as the case may be, capacity utilisation assumptions, break up of expected current assets into raw materials, finished goods, work in progress, sundry debtors etc., with assumption about the holding norms for each type of current asset, total current liabilities, net current assets and envisaged sources of finance for net current assets, i.e., bank finance, institutional finance, own funds, etc.</w:t>
      </w:r>
    </w:p>
    <w:p>
      <w:pPr>
        <w:spacing w:after="0" w:line="22" w:lineRule="exact"/>
        <w:rPr>
          <w:rFonts w:ascii="Times New Roman" w:cs="Times New Roman" w:eastAsia="Times New Roman" w:hAnsi="Times New Roman"/>
          <w:sz w:val="24"/>
          <w:szCs w:val="24"/>
          <w:color w:val="auto"/>
        </w:rPr>
      </w:pPr>
    </w:p>
    <w:p>
      <w:pPr>
        <w:jc w:val="both"/>
        <w:ind w:left="2280" w:hanging="580"/>
        <w:spacing w:after="0" w:line="354" w:lineRule="auto"/>
        <w:tabs>
          <w:tab w:leader="none" w:pos="2280" w:val="left"/>
        </w:tabs>
        <w:numPr>
          <w:ilvl w:val="1"/>
          <w:numId w:val="99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Total envisaged working capital requirement in a tabular form, the margin money thereof and the portion to be financed by any bank(s) or otherwise.</w:t>
      </w:r>
    </w:p>
    <w:p>
      <w:pPr>
        <w:spacing w:after="0" w:line="19" w:lineRule="exact"/>
        <w:rPr>
          <w:rFonts w:ascii="Times New Roman" w:cs="Times New Roman" w:eastAsia="Times New Roman" w:hAnsi="Times New Roman"/>
          <w:sz w:val="24"/>
          <w:szCs w:val="24"/>
          <w:color w:val="auto"/>
        </w:rPr>
      </w:pPr>
    </w:p>
    <w:p>
      <w:pPr>
        <w:jc w:val="both"/>
        <w:ind w:left="2280" w:hanging="580"/>
        <w:spacing w:after="0" w:line="357" w:lineRule="auto"/>
        <w:tabs>
          <w:tab w:leader="none" w:pos="2280" w:val="left"/>
        </w:tabs>
        <w:numPr>
          <w:ilvl w:val="1"/>
          <w:numId w:val="99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the existing working capital available to the issuer with a break up for total current assets into raw materials, finished goods, work in progress, sundry debtors, etc., total current liabilities, net current assets and sources of finance for net current assets i.e. bank finance, institutional finance, own funds etc.</w:t>
      </w:r>
    </w:p>
    <w:p>
      <w:pPr>
        <w:spacing w:after="0" w:line="19" w:lineRule="exact"/>
        <w:rPr>
          <w:rFonts w:ascii="Times New Roman" w:cs="Times New Roman" w:eastAsia="Times New Roman" w:hAnsi="Times New Roman"/>
          <w:sz w:val="24"/>
          <w:szCs w:val="24"/>
          <w:color w:val="auto"/>
        </w:rPr>
      </w:pPr>
    </w:p>
    <w:p>
      <w:pPr>
        <w:ind w:left="2280" w:hanging="580"/>
        <w:spacing w:after="0" w:line="348" w:lineRule="auto"/>
        <w:tabs>
          <w:tab w:leader="none" w:pos="2280" w:val="left"/>
        </w:tabs>
        <w:numPr>
          <w:ilvl w:val="1"/>
          <w:numId w:val="99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no working capital is shown as a part of project for which the issue is being made, the reasons for the same.</w:t>
      </w:r>
    </w:p>
    <w:p>
      <w:pPr>
        <w:spacing w:after="0" w:line="20" w:lineRule="exact"/>
        <w:rPr>
          <w:rFonts w:ascii="Times New Roman" w:cs="Times New Roman" w:eastAsia="Times New Roman" w:hAnsi="Times New Roman"/>
          <w:sz w:val="24"/>
          <w:szCs w:val="24"/>
          <w:color w:val="auto"/>
        </w:rPr>
      </w:pPr>
    </w:p>
    <w:p>
      <w:pPr>
        <w:ind w:left="1160" w:hanging="396"/>
        <w:spacing w:after="0"/>
        <w:tabs>
          <w:tab w:leader="none" w:pos="1160" w:val="left"/>
        </w:tabs>
        <w:numPr>
          <w:ilvl w:val="0"/>
          <w:numId w:val="99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Land:</w:t>
      </w:r>
    </w:p>
    <w:p>
      <w:pPr>
        <w:spacing w:after="0" w:line="144" w:lineRule="exact"/>
        <w:rPr>
          <w:rFonts w:ascii="Times New Roman" w:cs="Times New Roman" w:eastAsia="Times New Roman" w:hAnsi="Times New Roman"/>
          <w:sz w:val="24"/>
          <w:szCs w:val="24"/>
          <w:b w:val="1"/>
          <w:bCs w:val="1"/>
          <w:color w:val="auto"/>
        </w:rPr>
      </w:pPr>
    </w:p>
    <w:p>
      <w:pPr>
        <w:jc w:val="both"/>
        <w:ind w:left="2280" w:hanging="580"/>
        <w:spacing w:after="0" w:line="356" w:lineRule="auto"/>
        <w:tabs>
          <w:tab w:leader="none" w:pos="2280" w:val="left"/>
        </w:tabs>
        <w:numPr>
          <w:ilvl w:val="1"/>
          <w:numId w:val="99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Names of the entities from whom land has been acquired/ proposed to be acquired along with the cost of acquisition, and the relationship, if any, of such entities to any promoter or director of the issuer, in case the proceeds of the issue are being utilised for acquisition of land.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4"/>
          <w:szCs w:val="24"/>
          <w:color w:val="auto"/>
        </w:rPr>
        <w:t>300</w:t>
      </w:r>
    </w:p>
    <w:p>
      <w:pPr>
        <w:sectPr>
          <w:pgSz w:w="11900" w:h="16836" w:orient="portrait"/>
          <w:cols w:equalWidth="0" w:num="1">
            <w:col w:w="9180"/>
          </w:cols>
          <w:pgMar w:left="1440" w:top="1156" w:right="1284" w:bottom="103" w:gutter="0" w:footer="0" w:header="0"/>
        </w:sectPr>
      </w:pPr>
    </w:p>
    <w:bookmarkStart w:id="300" w:name="page301"/>
    <w:bookmarkEnd w:id="300"/>
    <w:p>
      <w:pPr>
        <w:jc w:val="both"/>
        <w:ind w:left="2280" w:hanging="580"/>
        <w:spacing w:after="0" w:line="354" w:lineRule="auto"/>
        <w:tabs>
          <w:tab w:leader="none" w:pos="2280" w:val="left"/>
        </w:tabs>
        <w:numPr>
          <w:ilvl w:val="2"/>
          <w:numId w:val="99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whether the land acquired by the issuer is free from all encumbrances and has a clear title and whether it is registered in the name of the issuer.</w:t>
      </w:r>
    </w:p>
    <w:p>
      <w:pPr>
        <w:spacing w:after="0" w:line="20" w:lineRule="exact"/>
        <w:rPr>
          <w:rFonts w:ascii="Times New Roman" w:cs="Times New Roman" w:eastAsia="Times New Roman" w:hAnsi="Times New Roman"/>
          <w:sz w:val="24"/>
          <w:szCs w:val="24"/>
          <w:color w:val="auto"/>
        </w:rPr>
      </w:pPr>
    </w:p>
    <w:p>
      <w:pPr>
        <w:jc w:val="both"/>
        <w:ind w:left="2280" w:hanging="580"/>
        <w:spacing w:after="0" w:line="356" w:lineRule="auto"/>
        <w:tabs>
          <w:tab w:leader="none" w:pos="2280" w:val="left"/>
        </w:tabs>
        <w:numPr>
          <w:ilvl w:val="2"/>
          <w:numId w:val="99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whether the issuer has applied/ received all the approvals pertaining to land. If no such approvals are required to be taken by the issuer, then this fact may be indicated by way of an affirmative statement.</w:t>
      </w:r>
    </w:p>
    <w:p>
      <w:pPr>
        <w:spacing w:after="0" w:line="18" w:lineRule="exact"/>
        <w:rPr>
          <w:rFonts w:ascii="Times New Roman" w:cs="Times New Roman" w:eastAsia="Times New Roman" w:hAnsi="Times New Roman"/>
          <w:sz w:val="24"/>
          <w:szCs w:val="24"/>
          <w:color w:val="auto"/>
        </w:rPr>
      </w:pPr>
    </w:p>
    <w:p>
      <w:pPr>
        <w:ind w:left="2280" w:hanging="580"/>
        <w:spacing w:after="0" w:line="350" w:lineRule="auto"/>
        <w:tabs>
          <w:tab w:leader="none" w:pos="2280" w:val="left"/>
        </w:tabs>
        <w:numPr>
          <w:ilvl w:val="2"/>
          <w:numId w:val="99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Figures appearing under this section shall be consistent with the figures appearing under the section "Cost of the Project".</w:t>
      </w:r>
    </w:p>
    <w:p>
      <w:pPr>
        <w:spacing w:after="0" w:line="16" w:lineRule="exact"/>
        <w:rPr>
          <w:rFonts w:ascii="Times New Roman" w:cs="Times New Roman" w:eastAsia="Times New Roman" w:hAnsi="Times New Roman"/>
          <w:sz w:val="24"/>
          <w:szCs w:val="24"/>
          <w:color w:val="auto"/>
        </w:rPr>
      </w:pPr>
    </w:p>
    <w:p>
      <w:pPr>
        <w:ind w:left="1160" w:hanging="396"/>
        <w:spacing w:after="0"/>
        <w:tabs>
          <w:tab w:leader="none" w:pos="1160" w:val="left"/>
        </w:tabs>
        <w:numPr>
          <w:ilvl w:val="0"/>
          <w:numId w:val="100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Project:</w:t>
      </w:r>
    </w:p>
    <w:p>
      <w:pPr>
        <w:spacing w:after="0" w:line="134" w:lineRule="exact"/>
        <w:rPr>
          <w:rFonts w:ascii="Times New Roman" w:cs="Times New Roman" w:eastAsia="Times New Roman" w:hAnsi="Times New Roman"/>
          <w:sz w:val="24"/>
          <w:szCs w:val="24"/>
          <w:b w:val="1"/>
          <w:bCs w:val="1"/>
          <w:color w:val="auto"/>
        </w:rPr>
      </w:pPr>
    </w:p>
    <w:p>
      <w:pPr>
        <w:ind w:left="1160"/>
        <w:spacing w:after="0"/>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If one of the objects of the issue is to fund a project, details of:</w:t>
      </w:r>
    </w:p>
    <w:p>
      <w:pPr>
        <w:spacing w:after="0" w:line="136" w:lineRule="exact"/>
        <w:rPr>
          <w:rFonts w:ascii="Times New Roman" w:cs="Times New Roman" w:eastAsia="Times New Roman" w:hAnsi="Times New Roman"/>
          <w:sz w:val="24"/>
          <w:szCs w:val="24"/>
          <w:b w:val="1"/>
          <w:bCs w:val="1"/>
          <w:color w:val="auto"/>
        </w:rPr>
      </w:pPr>
    </w:p>
    <w:p>
      <w:pPr>
        <w:ind w:left="2280" w:hanging="580"/>
        <w:spacing w:after="0"/>
        <w:tabs>
          <w:tab w:leader="none" w:pos="2280" w:val="left"/>
        </w:tabs>
        <w:numPr>
          <w:ilvl w:val="2"/>
          <w:numId w:val="100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location of the project;</w:t>
      </w:r>
    </w:p>
    <w:p>
      <w:pPr>
        <w:spacing w:after="0" w:line="139" w:lineRule="exact"/>
        <w:rPr>
          <w:rFonts w:ascii="Times New Roman" w:cs="Times New Roman" w:eastAsia="Times New Roman" w:hAnsi="Times New Roman"/>
          <w:sz w:val="24"/>
          <w:szCs w:val="24"/>
          <w:color w:val="auto"/>
        </w:rPr>
      </w:pPr>
    </w:p>
    <w:p>
      <w:pPr>
        <w:ind w:left="2280" w:hanging="580"/>
        <w:spacing w:after="0"/>
        <w:tabs>
          <w:tab w:leader="none" w:pos="2280" w:val="left"/>
        </w:tabs>
        <w:numPr>
          <w:ilvl w:val="2"/>
          <w:numId w:val="100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plant and machinery, technology, process, etc.;</w:t>
      </w:r>
    </w:p>
    <w:p>
      <w:pPr>
        <w:spacing w:after="0" w:line="149" w:lineRule="exact"/>
        <w:rPr>
          <w:rFonts w:ascii="Times New Roman" w:cs="Times New Roman" w:eastAsia="Times New Roman" w:hAnsi="Times New Roman"/>
          <w:sz w:val="24"/>
          <w:szCs w:val="24"/>
          <w:color w:val="auto"/>
        </w:rPr>
      </w:pPr>
    </w:p>
    <w:p>
      <w:pPr>
        <w:ind w:left="2200" w:hanging="572"/>
        <w:spacing w:after="0" w:line="356" w:lineRule="auto"/>
        <w:tabs>
          <w:tab w:leader="none" w:pos="1869" w:val="left"/>
        </w:tabs>
        <w:numPr>
          <w:ilvl w:val="1"/>
          <w:numId w:val="100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shall be given in a tabular form, which shall include the details of the machines required to be bought by the issuer, cost of the machines, name of the suppliers, date of placement of order and the date or expected date of supply, etc.</w:t>
      </w:r>
    </w:p>
    <w:p>
      <w:pPr>
        <w:spacing w:after="0" w:line="18" w:lineRule="exact"/>
        <w:rPr>
          <w:rFonts w:ascii="Times New Roman" w:cs="Times New Roman" w:eastAsia="Times New Roman" w:hAnsi="Times New Roman"/>
          <w:sz w:val="24"/>
          <w:szCs w:val="24"/>
          <w:color w:val="auto"/>
        </w:rPr>
      </w:pPr>
    </w:p>
    <w:p>
      <w:pPr>
        <w:ind w:left="2200" w:hanging="572"/>
        <w:spacing w:after="0" w:line="350" w:lineRule="auto"/>
        <w:tabs>
          <w:tab w:leader="none" w:pos="1869" w:val="left"/>
        </w:tabs>
        <w:numPr>
          <w:ilvl w:val="1"/>
          <w:numId w:val="100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machines are yet to be delivered, the date of quotations relied upon for the cost estimates given shall also be mentioned.</w:t>
      </w:r>
    </w:p>
    <w:p>
      <w:pPr>
        <w:spacing w:after="0" w:line="23" w:lineRule="exact"/>
        <w:rPr>
          <w:rFonts w:ascii="Times New Roman" w:cs="Times New Roman" w:eastAsia="Times New Roman" w:hAnsi="Times New Roman"/>
          <w:sz w:val="24"/>
          <w:szCs w:val="24"/>
          <w:color w:val="auto"/>
        </w:rPr>
      </w:pPr>
    </w:p>
    <w:p>
      <w:pPr>
        <w:ind w:left="2200" w:hanging="572"/>
        <w:spacing w:after="0" w:line="432" w:lineRule="auto"/>
        <w:tabs>
          <w:tab w:leader="none" w:pos="1869" w:val="left"/>
        </w:tabs>
        <w:numPr>
          <w:ilvl w:val="1"/>
          <w:numId w:val="100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The percentage and value terms of the plant and machinery for which orders are yet to be placed shall be stated.</w:t>
      </w:r>
    </w:p>
    <w:p>
      <w:pPr>
        <w:jc w:val="both"/>
        <w:ind w:left="2280" w:hanging="580"/>
        <w:spacing w:after="0" w:line="354" w:lineRule="auto"/>
        <w:tabs>
          <w:tab w:leader="none" w:pos="2280" w:val="left"/>
        </w:tabs>
        <w:numPr>
          <w:ilvl w:val="2"/>
          <w:numId w:val="100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details of the second hand machinery bought or proposed to be bought, if any, including the age of the machines, balance estimated life, etc. shall also be given.</w:t>
      </w:r>
    </w:p>
    <w:p>
      <w:pPr>
        <w:spacing w:after="0" w:line="22" w:lineRule="exact"/>
        <w:rPr>
          <w:rFonts w:ascii="Times New Roman" w:cs="Times New Roman" w:eastAsia="Times New Roman" w:hAnsi="Times New Roman"/>
          <w:sz w:val="24"/>
          <w:szCs w:val="24"/>
          <w:color w:val="auto"/>
        </w:rPr>
      </w:pPr>
    </w:p>
    <w:p>
      <w:pPr>
        <w:jc w:val="both"/>
        <w:ind w:left="2280" w:hanging="580"/>
        <w:spacing w:after="0" w:line="348" w:lineRule="auto"/>
        <w:tabs>
          <w:tab w:leader="none" w:pos="2280" w:val="left"/>
        </w:tabs>
        <w:numPr>
          <w:ilvl w:val="2"/>
          <w:numId w:val="100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Collaboration, performance guarantee if any, or assistance in marketing by the collaborators. The following information regarding persons or</w:t>
      </w:r>
    </w:p>
    <w:p>
      <w:pPr>
        <w:spacing w:after="0" w:line="28" w:lineRule="exact"/>
        <w:rPr>
          <w:sz w:val="20"/>
          <w:szCs w:val="20"/>
          <w:color w:val="auto"/>
        </w:rPr>
      </w:pPr>
    </w:p>
    <w:p>
      <w:pPr>
        <w:ind w:left="2280"/>
        <w:spacing w:after="0" w:line="348" w:lineRule="auto"/>
        <w:rPr>
          <w:sz w:val="20"/>
          <w:szCs w:val="20"/>
          <w:color w:val="auto"/>
        </w:rPr>
      </w:pPr>
      <w:r>
        <w:rPr>
          <w:rFonts w:ascii="Times New Roman" w:cs="Times New Roman" w:eastAsia="Times New Roman" w:hAnsi="Times New Roman"/>
          <w:sz w:val="24"/>
          <w:szCs w:val="24"/>
          <w:color w:val="auto"/>
        </w:rPr>
        <w:t>entities with whom technical and financial agreements have been entered into shall be given:</w:t>
      </w:r>
    </w:p>
    <w:p>
      <w:pPr>
        <w:spacing w:after="0" w:line="15" w:lineRule="exact"/>
        <w:rPr>
          <w:sz w:val="20"/>
          <w:szCs w:val="20"/>
          <w:color w:val="auto"/>
        </w:rPr>
      </w:pPr>
    </w:p>
    <w:p>
      <w:pPr>
        <w:ind w:left="1880" w:hanging="252"/>
        <w:spacing w:after="0"/>
        <w:tabs>
          <w:tab w:leader="none" w:pos="1880" w:val="left"/>
        </w:tabs>
        <w:numPr>
          <w:ilvl w:val="1"/>
          <w:numId w:val="100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place of registration and year of incorporation.</w:t>
      </w:r>
    </w:p>
    <w:p>
      <w:pPr>
        <w:spacing w:after="0" w:line="136" w:lineRule="exact"/>
        <w:rPr>
          <w:rFonts w:ascii="Times New Roman" w:cs="Times New Roman" w:eastAsia="Times New Roman" w:hAnsi="Times New Roman"/>
          <w:sz w:val="24"/>
          <w:szCs w:val="24"/>
          <w:color w:val="auto"/>
        </w:rPr>
      </w:pPr>
    </w:p>
    <w:p>
      <w:pPr>
        <w:ind w:left="1880" w:hanging="252"/>
        <w:spacing w:after="0"/>
        <w:tabs>
          <w:tab w:leader="none" w:pos="1880" w:val="left"/>
        </w:tabs>
        <w:numPr>
          <w:ilvl w:val="1"/>
          <w:numId w:val="100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paid up share capital.</w:t>
      </w:r>
    </w:p>
    <w:p>
      <w:pPr>
        <w:spacing w:after="0" w:line="151" w:lineRule="exact"/>
        <w:rPr>
          <w:rFonts w:ascii="Times New Roman" w:cs="Times New Roman" w:eastAsia="Times New Roman" w:hAnsi="Times New Roman"/>
          <w:sz w:val="24"/>
          <w:szCs w:val="24"/>
          <w:color w:val="auto"/>
        </w:rPr>
      </w:pPr>
    </w:p>
    <w:p>
      <w:pPr>
        <w:ind w:left="1880" w:hanging="252"/>
        <w:spacing w:after="0"/>
        <w:tabs>
          <w:tab w:leader="none" w:pos="1880" w:val="left"/>
        </w:tabs>
        <w:numPr>
          <w:ilvl w:val="1"/>
          <w:numId w:val="1002"/>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turnover of the last financial year of operation.</w:t>
      </w:r>
    </w:p>
    <w:p>
      <w:pPr>
        <w:spacing w:after="0" w:line="171" w:lineRule="exact"/>
        <w:rPr>
          <w:rFonts w:ascii="Times New Roman" w:cs="Times New Roman" w:eastAsia="Times New Roman" w:hAnsi="Times New Roman"/>
          <w:sz w:val="21"/>
          <w:szCs w:val="21"/>
          <w:color w:val="auto"/>
        </w:rPr>
      </w:pPr>
    </w:p>
    <w:p>
      <w:pPr>
        <w:ind w:left="1880" w:hanging="252"/>
        <w:spacing w:after="0"/>
        <w:tabs>
          <w:tab w:leader="none" w:pos="1880" w:val="left"/>
        </w:tabs>
        <w:numPr>
          <w:ilvl w:val="1"/>
          <w:numId w:val="100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general information regarding such persons relevant to the issuer.</w:t>
      </w:r>
    </w:p>
    <w:p>
      <w:pPr>
        <w:spacing w:after="0" w:line="162" w:lineRule="exact"/>
        <w:rPr>
          <w:rFonts w:ascii="Times New Roman" w:cs="Times New Roman" w:eastAsia="Times New Roman" w:hAnsi="Times New Roman"/>
          <w:sz w:val="22"/>
          <w:szCs w:val="22"/>
          <w:color w:val="auto"/>
        </w:rPr>
      </w:pPr>
    </w:p>
    <w:p>
      <w:pPr>
        <w:ind w:left="2280" w:hanging="580"/>
        <w:spacing w:after="0" w:line="348" w:lineRule="auto"/>
        <w:tabs>
          <w:tab w:leader="none" w:pos="2280" w:val="left"/>
        </w:tabs>
        <w:numPr>
          <w:ilvl w:val="2"/>
          <w:numId w:val="100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Infrastructure facilities for raw materials and utilities like water, electricity, etc.</w:t>
      </w:r>
    </w:p>
    <w:p>
      <w:pPr>
        <w:spacing w:after="0" w:line="20" w:lineRule="exact"/>
        <w:rPr>
          <w:rFonts w:ascii="Times New Roman" w:cs="Times New Roman" w:eastAsia="Times New Roman" w:hAnsi="Times New Roman"/>
          <w:sz w:val="24"/>
          <w:szCs w:val="24"/>
          <w:color w:val="auto"/>
        </w:rPr>
      </w:pPr>
    </w:p>
    <w:p>
      <w:pPr>
        <w:ind w:left="1160" w:hanging="396"/>
        <w:spacing w:after="0"/>
        <w:tabs>
          <w:tab w:leader="none" w:pos="1160" w:val="left"/>
        </w:tabs>
        <w:numPr>
          <w:ilvl w:val="0"/>
          <w:numId w:val="100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Property:</w:t>
      </w:r>
    </w:p>
    <w:p>
      <w:pPr>
        <w:spacing w:after="0" w:line="389"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4"/>
          <w:szCs w:val="24"/>
          <w:color w:val="auto"/>
        </w:rPr>
        <w:t>301</w:t>
      </w:r>
    </w:p>
    <w:p>
      <w:pPr>
        <w:sectPr>
          <w:pgSz w:w="11900" w:h="16836" w:orient="portrait"/>
          <w:cols w:equalWidth="0" w:num="1">
            <w:col w:w="9180"/>
          </w:cols>
          <w:pgMar w:left="1440" w:top="1156" w:right="1284" w:bottom="103" w:gutter="0" w:footer="0" w:header="0"/>
        </w:sectPr>
      </w:pPr>
    </w:p>
    <w:bookmarkStart w:id="301" w:name="page302"/>
    <w:bookmarkEnd w:id="301"/>
    <w:p>
      <w:pPr>
        <w:ind w:left="1160"/>
        <w:spacing w:after="0" w:line="348" w:lineRule="auto"/>
        <w:rPr>
          <w:sz w:val="20"/>
          <w:szCs w:val="20"/>
          <w:color w:val="auto"/>
        </w:rPr>
      </w:pPr>
      <w:r>
        <w:rPr>
          <w:rFonts w:ascii="Times New Roman" w:cs="Times New Roman" w:eastAsia="Times New Roman" w:hAnsi="Times New Roman"/>
          <w:sz w:val="24"/>
          <w:szCs w:val="24"/>
          <w:color w:val="auto"/>
        </w:rPr>
        <w:t>If one of the object of the issue is to purchase any property, where arrangements have been made, details of:</w:t>
      </w:r>
    </w:p>
    <w:p>
      <w:pPr>
        <w:spacing w:after="0" w:line="16" w:lineRule="exact"/>
        <w:rPr>
          <w:sz w:val="20"/>
          <w:szCs w:val="20"/>
          <w:color w:val="auto"/>
        </w:rPr>
      </w:pPr>
    </w:p>
    <w:p>
      <w:pPr>
        <w:ind w:left="2280" w:hanging="580"/>
        <w:spacing w:after="0"/>
        <w:tabs>
          <w:tab w:leader="none" w:pos="2280" w:val="left"/>
        </w:tabs>
        <w:numPr>
          <w:ilvl w:val="2"/>
          <w:numId w:val="100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names address, descriptions and occupations of the vendors;</w:t>
      </w:r>
    </w:p>
    <w:p>
      <w:pPr>
        <w:spacing w:after="0" w:line="149" w:lineRule="exact"/>
        <w:rPr>
          <w:rFonts w:ascii="Times New Roman" w:cs="Times New Roman" w:eastAsia="Times New Roman" w:hAnsi="Times New Roman"/>
          <w:sz w:val="24"/>
          <w:szCs w:val="24"/>
          <w:color w:val="auto"/>
        </w:rPr>
      </w:pPr>
    </w:p>
    <w:p>
      <w:pPr>
        <w:jc w:val="both"/>
        <w:ind w:left="2280" w:hanging="580"/>
        <w:spacing w:after="0" w:line="356" w:lineRule="auto"/>
        <w:tabs>
          <w:tab w:leader="none" w:pos="2280" w:val="left"/>
        </w:tabs>
        <w:numPr>
          <w:ilvl w:val="2"/>
          <w:numId w:val="100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amount paid or payable in cash, shares or debentures to the vendor and, where there is more than one separate vendor, or the issuer is a sub purchaser, the amount so paid or payable to each vendor, specifying separately the amount, if any, paid or payable for goodwill;</w:t>
      </w:r>
    </w:p>
    <w:p>
      <w:pPr>
        <w:spacing w:after="0" w:line="18" w:lineRule="exact"/>
        <w:rPr>
          <w:rFonts w:ascii="Times New Roman" w:cs="Times New Roman" w:eastAsia="Times New Roman" w:hAnsi="Times New Roman"/>
          <w:sz w:val="24"/>
          <w:szCs w:val="24"/>
          <w:color w:val="auto"/>
        </w:rPr>
      </w:pPr>
    </w:p>
    <w:p>
      <w:pPr>
        <w:ind w:left="2280" w:hanging="580"/>
        <w:spacing w:after="0" w:line="350" w:lineRule="auto"/>
        <w:tabs>
          <w:tab w:leader="none" w:pos="2280" w:val="left"/>
        </w:tabs>
        <w:numPr>
          <w:ilvl w:val="2"/>
          <w:numId w:val="100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nature of the title or interest in such property acquired or to be acquired by the issuer;</w:t>
      </w:r>
    </w:p>
    <w:p>
      <w:pPr>
        <w:spacing w:after="0" w:line="23" w:lineRule="exact"/>
        <w:rPr>
          <w:rFonts w:ascii="Times New Roman" w:cs="Times New Roman" w:eastAsia="Times New Roman" w:hAnsi="Times New Roman"/>
          <w:sz w:val="24"/>
          <w:szCs w:val="24"/>
          <w:color w:val="auto"/>
        </w:rPr>
      </w:pPr>
    </w:p>
    <w:p>
      <w:pPr>
        <w:jc w:val="both"/>
        <w:ind w:left="2280" w:hanging="580"/>
        <w:spacing w:after="0" w:line="358" w:lineRule="auto"/>
        <w:tabs>
          <w:tab w:leader="none" w:pos="2280" w:val="left"/>
        </w:tabs>
        <w:numPr>
          <w:ilvl w:val="2"/>
          <w:numId w:val="100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short particulars of every transaction relating to the property completed within the two preceding years, in which any vendor of the property to the issuer or any person who is, or was at the time of the transaction, a promoter, or a director or proposed director of the issuer had any interest, direct or indirect, specifying the date of the transaction and the name of such promoter, director or proposed director and stating the amount payable by or to such vendor, promoter, director or proposed director in respect of the transaction;</w:t>
      </w:r>
    </w:p>
    <w:p>
      <w:pPr>
        <w:spacing w:after="0" w:line="19" w:lineRule="exact"/>
        <w:rPr>
          <w:rFonts w:ascii="Times New Roman" w:cs="Times New Roman" w:eastAsia="Times New Roman" w:hAnsi="Times New Roman"/>
          <w:sz w:val="24"/>
          <w:szCs w:val="24"/>
          <w:color w:val="auto"/>
        </w:rPr>
      </w:pPr>
    </w:p>
    <w:p>
      <w:pPr>
        <w:jc w:val="both"/>
        <w:ind w:left="2280" w:hanging="580"/>
        <w:spacing w:after="0" w:line="357" w:lineRule="auto"/>
        <w:tabs>
          <w:tab w:leader="none" w:pos="2280" w:val="left"/>
        </w:tabs>
        <w:numPr>
          <w:ilvl w:val="2"/>
          <w:numId w:val="100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property to which sub-clause (a) applies is a property purchased or acquired by the issuer or proposed to be purchased or acquired, which is to be paid for wholly or partly out of the proceeds of the issue or the purchase or acquisition of which has not been completed as of the date of the draft letter of offer or letter of offer, as the case may be.</w:t>
      </w:r>
    </w:p>
    <w:p>
      <w:pPr>
        <w:spacing w:after="0" w:line="11" w:lineRule="exact"/>
        <w:rPr>
          <w:rFonts w:ascii="Times New Roman" w:cs="Times New Roman" w:eastAsia="Times New Roman" w:hAnsi="Times New Roman"/>
          <w:sz w:val="24"/>
          <w:szCs w:val="24"/>
          <w:color w:val="auto"/>
        </w:rPr>
      </w:pPr>
    </w:p>
    <w:p>
      <w:pPr>
        <w:ind w:left="1160" w:hanging="396"/>
        <w:spacing w:after="0"/>
        <w:tabs>
          <w:tab w:leader="none" w:pos="1160" w:val="left"/>
        </w:tabs>
        <w:numPr>
          <w:ilvl w:val="0"/>
          <w:numId w:val="100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Plant/ Equipment/ Technology/ Process:</w:t>
      </w:r>
    </w:p>
    <w:p>
      <w:pPr>
        <w:spacing w:after="0" w:line="144" w:lineRule="exact"/>
        <w:rPr>
          <w:rFonts w:ascii="Times New Roman" w:cs="Times New Roman" w:eastAsia="Times New Roman" w:hAnsi="Times New Roman"/>
          <w:sz w:val="24"/>
          <w:szCs w:val="24"/>
          <w:b w:val="1"/>
          <w:bCs w:val="1"/>
          <w:color w:val="auto"/>
        </w:rPr>
      </w:pPr>
    </w:p>
    <w:p>
      <w:pPr>
        <w:ind w:left="1160"/>
        <w:spacing w:after="0" w:line="350"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If one of the objects of the issue is to purchase any plant, machinery, technology, process, etc.</w:t>
      </w:r>
    </w:p>
    <w:p>
      <w:pPr>
        <w:spacing w:after="0" w:line="23" w:lineRule="exact"/>
        <w:rPr>
          <w:rFonts w:ascii="Times New Roman" w:cs="Times New Roman" w:eastAsia="Times New Roman" w:hAnsi="Times New Roman"/>
          <w:sz w:val="24"/>
          <w:szCs w:val="24"/>
          <w:b w:val="1"/>
          <w:bCs w:val="1"/>
          <w:color w:val="auto"/>
        </w:rPr>
      </w:pPr>
    </w:p>
    <w:p>
      <w:pPr>
        <w:jc w:val="both"/>
        <w:ind w:left="1840" w:hanging="356"/>
        <w:spacing w:after="0" w:line="356" w:lineRule="auto"/>
        <w:tabs>
          <w:tab w:leader="none" w:pos="1840" w:val="left"/>
        </w:tabs>
        <w:numPr>
          <w:ilvl w:val="1"/>
          <w:numId w:val="100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in a tabular form, which shall include the details of the equipment required to be bought by the issuer, cost of the equipment, name of the suppliers, date of placement of order and the date or expected date of supply, etc.</w:t>
      </w:r>
    </w:p>
    <w:p>
      <w:pPr>
        <w:spacing w:after="0" w:line="18" w:lineRule="exact"/>
        <w:rPr>
          <w:rFonts w:ascii="Times New Roman" w:cs="Times New Roman" w:eastAsia="Times New Roman" w:hAnsi="Times New Roman"/>
          <w:sz w:val="24"/>
          <w:szCs w:val="24"/>
          <w:color w:val="auto"/>
        </w:rPr>
      </w:pPr>
    </w:p>
    <w:p>
      <w:pPr>
        <w:ind w:left="1840" w:hanging="356"/>
        <w:spacing w:after="0" w:line="350" w:lineRule="auto"/>
        <w:tabs>
          <w:tab w:leader="none" w:pos="1840" w:val="left"/>
        </w:tabs>
        <w:numPr>
          <w:ilvl w:val="1"/>
          <w:numId w:val="100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the order for the equipment is yet to be placed, the date of quotations relied upon for the cost estimates given.</w:t>
      </w:r>
    </w:p>
    <w:p>
      <w:pPr>
        <w:spacing w:after="0" w:line="23" w:lineRule="exact"/>
        <w:rPr>
          <w:rFonts w:ascii="Times New Roman" w:cs="Times New Roman" w:eastAsia="Times New Roman" w:hAnsi="Times New Roman"/>
          <w:sz w:val="24"/>
          <w:szCs w:val="24"/>
          <w:color w:val="auto"/>
        </w:rPr>
      </w:pPr>
    </w:p>
    <w:p>
      <w:pPr>
        <w:ind w:left="1840" w:hanging="356"/>
        <w:spacing w:after="0" w:line="375" w:lineRule="auto"/>
        <w:tabs>
          <w:tab w:leader="none" w:pos="1840" w:val="left"/>
        </w:tabs>
        <w:numPr>
          <w:ilvl w:val="1"/>
          <w:numId w:val="1005"/>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The percentage and value terms of the equipment for which orders are yet to be placed.</w:t>
      </w:r>
    </w:p>
    <w:p>
      <w:pPr>
        <w:spacing w:after="0" w:line="1" w:lineRule="exact"/>
        <w:rPr>
          <w:rFonts w:ascii="Times New Roman" w:cs="Times New Roman" w:eastAsia="Times New Roman" w:hAnsi="Times New Roman"/>
          <w:sz w:val="23"/>
          <w:szCs w:val="23"/>
          <w:color w:val="auto"/>
        </w:rPr>
      </w:pPr>
    </w:p>
    <w:p>
      <w:pPr>
        <w:ind w:left="1840" w:hanging="356"/>
        <w:spacing w:after="0" w:line="350" w:lineRule="auto"/>
        <w:tabs>
          <w:tab w:leader="none" w:pos="1840" w:val="left"/>
        </w:tabs>
        <w:numPr>
          <w:ilvl w:val="1"/>
          <w:numId w:val="100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details of the second hand equipment bought or proposed to be bought, if any, including the age of the machines, balance estimated life, etc.</w:t>
      </w:r>
    </w:p>
    <w:p>
      <w:pPr>
        <w:spacing w:after="0" w:line="268"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4"/>
          <w:szCs w:val="24"/>
          <w:color w:val="auto"/>
        </w:rPr>
        <w:t>302</w:t>
      </w:r>
    </w:p>
    <w:p>
      <w:pPr>
        <w:sectPr>
          <w:pgSz w:w="11900" w:h="16836" w:orient="portrait"/>
          <w:cols w:equalWidth="0" w:num="1">
            <w:col w:w="9180"/>
          </w:cols>
          <w:pgMar w:left="1440" w:top="1156" w:right="1284" w:bottom="103" w:gutter="0" w:footer="0" w:header="0"/>
        </w:sectPr>
      </w:pPr>
    </w:p>
    <w:bookmarkStart w:id="302" w:name="page303"/>
    <w:bookmarkEnd w:id="302"/>
    <w:p>
      <w:pPr>
        <w:ind w:left="1480" w:hanging="716"/>
        <w:spacing w:after="0" w:line="356" w:lineRule="auto"/>
        <w:tabs>
          <w:tab w:leader="none" w:pos="1149" w:val="left"/>
        </w:tabs>
        <w:numPr>
          <w:ilvl w:val="1"/>
          <w:numId w:val="100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In case of issue of secured convertible debt instruments, description of the assets on which the security shall be created/asset cover, if required, shall be created, the basis for computation of the security cover, the valuation methods, the periodicity of such valuation and the ranking of the charge(s).</w:t>
      </w:r>
    </w:p>
    <w:p>
      <w:pPr>
        <w:spacing w:after="0" w:line="18" w:lineRule="exact"/>
        <w:rPr>
          <w:rFonts w:ascii="Times New Roman" w:cs="Times New Roman" w:eastAsia="Times New Roman" w:hAnsi="Times New Roman"/>
          <w:sz w:val="24"/>
          <w:szCs w:val="24"/>
          <w:b w:val="1"/>
          <w:bCs w:val="1"/>
          <w:color w:val="auto"/>
        </w:rPr>
      </w:pPr>
    </w:p>
    <w:p>
      <w:pPr>
        <w:ind w:left="1480" w:hanging="716"/>
        <w:spacing w:after="0" w:line="348" w:lineRule="auto"/>
        <w:tabs>
          <w:tab w:leader="none" w:pos="1480" w:val="left"/>
        </w:tabs>
        <w:numPr>
          <w:ilvl w:val="1"/>
          <w:numId w:val="100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If warrants are issued, the objects for which the funds from conversions of warrants are proposed to be used.</w:t>
      </w:r>
    </w:p>
    <w:p>
      <w:pPr>
        <w:spacing w:after="0" w:line="20" w:lineRule="exact"/>
        <w:rPr>
          <w:rFonts w:ascii="Times New Roman" w:cs="Times New Roman" w:eastAsia="Times New Roman" w:hAnsi="Times New Roman"/>
          <w:sz w:val="24"/>
          <w:szCs w:val="24"/>
          <w:b w:val="1"/>
          <w:bCs w:val="1"/>
          <w:color w:val="auto"/>
        </w:rPr>
      </w:pPr>
    </w:p>
    <w:p>
      <w:pPr>
        <w:ind w:left="400" w:hanging="356"/>
        <w:spacing w:after="0"/>
        <w:tabs>
          <w:tab w:leader="none" w:pos="400" w:val="left"/>
        </w:tabs>
        <w:numPr>
          <w:ilvl w:val="0"/>
          <w:numId w:val="100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Requirement of funds:</w:t>
      </w:r>
    </w:p>
    <w:p>
      <w:pPr>
        <w:spacing w:after="0" w:line="144" w:lineRule="exact"/>
        <w:rPr>
          <w:rFonts w:ascii="Times New Roman" w:cs="Times New Roman" w:eastAsia="Times New Roman" w:hAnsi="Times New Roman"/>
          <w:sz w:val="24"/>
          <w:szCs w:val="24"/>
          <w:b w:val="1"/>
          <w:bCs w:val="1"/>
          <w:color w:val="auto"/>
        </w:rPr>
      </w:pPr>
    </w:p>
    <w:p>
      <w:pPr>
        <w:ind w:left="1480" w:hanging="716"/>
        <w:spacing w:after="0" w:line="354" w:lineRule="auto"/>
        <w:tabs>
          <w:tab w:leader="none" w:pos="1149" w:val="left"/>
        </w:tabs>
        <w:numPr>
          <w:ilvl w:val="1"/>
          <w:numId w:val="100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Where the issuer proposes to undertake more than one activity or project, such as diversification, modernisation, expansion, etc., the total project cost activity-wise or project wise, as the case may be.</w:t>
      </w:r>
    </w:p>
    <w:p>
      <w:pPr>
        <w:spacing w:after="0" w:line="22" w:lineRule="exact"/>
        <w:rPr>
          <w:rFonts w:ascii="Times New Roman" w:cs="Times New Roman" w:eastAsia="Times New Roman" w:hAnsi="Times New Roman"/>
          <w:sz w:val="24"/>
          <w:szCs w:val="24"/>
          <w:color w:val="auto"/>
        </w:rPr>
      </w:pPr>
    </w:p>
    <w:p>
      <w:pPr>
        <w:ind w:left="1480" w:hanging="716"/>
        <w:spacing w:after="0" w:line="354" w:lineRule="auto"/>
        <w:tabs>
          <w:tab w:leader="none" w:pos="1149" w:val="left"/>
        </w:tabs>
        <w:numPr>
          <w:ilvl w:val="1"/>
          <w:numId w:val="100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Where the issuer is implementing the project in a phased manner, the cost of each phase, including the phase, if any, which has already been implemented, shall be separately given.</w:t>
      </w:r>
    </w:p>
    <w:p>
      <w:pPr>
        <w:spacing w:after="0" w:line="19" w:lineRule="exact"/>
        <w:rPr>
          <w:rFonts w:ascii="Times New Roman" w:cs="Times New Roman" w:eastAsia="Times New Roman" w:hAnsi="Times New Roman"/>
          <w:sz w:val="24"/>
          <w:szCs w:val="24"/>
          <w:color w:val="auto"/>
        </w:rPr>
      </w:pPr>
    </w:p>
    <w:p>
      <w:pPr>
        <w:ind w:left="1480" w:hanging="716"/>
        <w:spacing w:after="0" w:line="356" w:lineRule="auto"/>
        <w:tabs>
          <w:tab w:leader="none" w:pos="1149" w:val="left"/>
        </w:tabs>
        <w:numPr>
          <w:ilvl w:val="1"/>
          <w:numId w:val="100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all material existing or anticipated transactions in relation to utilisation of the issue proceeds or project cost with promoters, promoter group, directors and key managerial personnel. The relevant documents shall be included in the list of material documents for inspection.</w:t>
      </w:r>
    </w:p>
    <w:p>
      <w:pPr>
        <w:spacing w:after="0" w:line="11" w:lineRule="exact"/>
        <w:rPr>
          <w:rFonts w:ascii="Times New Roman" w:cs="Times New Roman" w:eastAsia="Times New Roman" w:hAnsi="Times New Roman"/>
          <w:sz w:val="24"/>
          <w:szCs w:val="24"/>
          <w:color w:val="auto"/>
        </w:rPr>
      </w:pPr>
    </w:p>
    <w:p>
      <w:pPr>
        <w:ind w:left="700" w:hanging="656"/>
        <w:spacing w:after="0"/>
        <w:tabs>
          <w:tab w:leader="none" w:pos="700" w:val="left"/>
        </w:tabs>
        <w:numPr>
          <w:ilvl w:val="0"/>
          <w:numId w:val="100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Funding plan (Means of Finance):</w:t>
      </w:r>
    </w:p>
    <w:p>
      <w:pPr>
        <w:spacing w:after="0" w:line="146" w:lineRule="exact"/>
        <w:rPr>
          <w:rFonts w:ascii="Times New Roman" w:cs="Times New Roman" w:eastAsia="Times New Roman" w:hAnsi="Times New Roman"/>
          <w:sz w:val="24"/>
          <w:szCs w:val="24"/>
          <w:b w:val="1"/>
          <w:bCs w:val="1"/>
          <w:color w:val="auto"/>
        </w:rPr>
      </w:pPr>
    </w:p>
    <w:p>
      <w:pPr>
        <w:ind w:left="1480" w:hanging="716"/>
        <w:spacing w:after="0" w:line="356" w:lineRule="auto"/>
        <w:tabs>
          <w:tab w:leader="none" w:pos="1149" w:val="left"/>
        </w:tabs>
        <w:numPr>
          <w:ilvl w:val="1"/>
          <w:numId w:val="100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 undertaking by the issuer confirming that firm arrangements of finance through verifiable means towards seventy five per cent of the stated means of finance, excluding the amount to be raised through the proposed issue and existing identifiable internal accruals, have been made.</w:t>
      </w:r>
    </w:p>
    <w:p>
      <w:pPr>
        <w:spacing w:after="0" w:line="18" w:lineRule="exact"/>
        <w:rPr>
          <w:rFonts w:ascii="Times New Roman" w:cs="Times New Roman" w:eastAsia="Times New Roman" w:hAnsi="Times New Roman"/>
          <w:sz w:val="24"/>
          <w:szCs w:val="24"/>
          <w:color w:val="auto"/>
        </w:rPr>
      </w:pPr>
    </w:p>
    <w:p>
      <w:pPr>
        <w:ind w:left="1480" w:hanging="716"/>
        <w:spacing w:after="0" w:line="348" w:lineRule="auto"/>
        <w:tabs>
          <w:tab w:leader="none" w:pos="1149" w:val="left"/>
        </w:tabs>
        <w:numPr>
          <w:ilvl w:val="1"/>
          <w:numId w:val="100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Balance portion of the means of finance for which no firm arrangement has been made without specification.</w:t>
      </w:r>
    </w:p>
    <w:p>
      <w:pPr>
        <w:spacing w:after="0" w:line="16" w:lineRule="exact"/>
        <w:rPr>
          <w:rFonts w:ascii="Times New Roman" w:cs="Times New Roman" w:eastAsia="Times New Roman" w:hAnsi="Times New Roman"/>
          <w:sz w:val="24"/>
          <w:szCs w:val="24"/>
          <w:color w:val="auto"/>
        </w:rPr>
      </w:pPr>
    </w:p>
    <w:p>
      <w:pPr>
        <w:ind w:left="1160" w:hanging="396"/>
        <w:spacing w:after="0"/>
        <w:tabs>
          <w:tab w:leader="none" w:pos="1160" w:val="left"/>
        </w:tabs>
        <w:numPr>
          <w:ilvl w:val="1"/>
          <w:numId w:val="100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funds tied up and the avenues for deployment of excess proceeds, if any.</w:t>
      </w:r>
    </w:p>
    <w:p>
      <w:pPr>
        <w:spacing w:after="0" w:line="200" w:lineRule="exact"/>
        <w:rPr>
          <w:rFonts w:ascii="Times New Roman" w:cs="Times New Roman" w:eastAsia="Times New Roman" w:hAnsi="Times New Roman"/>
          <w:sz w:val="24"/>
          <w:szCs w:val="24"/>
          <w:color w:val="auto"/>
        </w:rPr>
      </w:pPr>
    </w:p>
    <w:p>
      <w:pPr>
        <w:spacing w:after="0" w:line="356" w:lineRule="exact"/>
        <w:rPr>
          <w:rFonts w:ascii="Times New Roman" w:cs="Times New Roman" w:eastAsia="Times New Roman" w:hAnsi="Times New Roman"/>
          <w:sz w:val="24"/>
          <w:szCs w:val="24"/>
          <w:color w:val="auto"/>
        </w:rPr>
      </w:pPr>
    </w:p>
    <w:p>
      <w:pPr>
        <w:ind w:left="460" w:hanging="416"/>
        <w:spacing w:after="0"/>
        <w:tabs>
          <w:tab w:leader="none" w:pos="460" w:val="left"/>
        </w:tabs>
        <w:numPr>
          <w:ilvl w:val="0"/>
          <w:numId w:val="100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Appraisal (if applicable):</w:t>
      </w:r>
    </w:p>
    <w:p>
      <w:pPr>
        <w:spacing w:after="0" w:line="132" w:lineRule="exact"/>
        <w:rPr>
          <w:rFonts w:ascii="Times New Roman" w:cs="Times New Roman" w:eastAsia="Times New Roman" w:hAnsi="Times New Roman"/>
          <w:sz w:val="24"/>
          <w:szCs w:val="24"/>
          <w:b w:val="1"/>
          <w:bCs w:val="1"/>
          <w:color w:val="auto"/>
        </w:rPr>
      </w:pPr>
    </w:p>
    <w:p>
      <w:pPr>
        <w:ind w:left="1160" w:hanging="396"/>
        <w:spacing w:after="0"/>
        <w:tabs>
          <w:tab w:leader="none" w:pos="1160" w:val="left"/>
        </w:tabs>
        <w:numPr>
          <w:ilvl w:val="1"/>
          <w:numId w:val="100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Scope and purpose of the appraisal, if any, along with the date of appraisal.</w:t>
      </w:r>
    </w:p>
    <w:p>
      <w:pPr>
        <w:spacing w:after="0" w:line="139" w:lineRule="exact"/>
        <w:rPr>
          <w:rFonts w:ascii="Times New Roman" w:cs="Times New Roman" w:eastAsia="Times New Roman" w:hAnsi="Times New Roman"/>
          <w:sz w:val="24"/>
          <w:szCs w:val="24"/>
          <w:color w:val="auto"/>
        </w:rPr>
      </w:pPr>
    </w:p>
    <w:p>
      <w:pPr>
        <w:ind w:left="1160" w:hanging="396"/>
        <w:spacing w:after="0"/>
        <w:tabs>
          <w:tab w:leader="none" w:pos="1160" w:val="left"/>
        </w:tabs>
        <w:numPr>
          <w:ilvl w:val="1"/>
          <w:numId w:val="100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Cost of the project and means of finance as per the appraisal report.</w:t>
      </w:r>
    </w:p>
    <w:p>
      <w:pPr>
        <w:spacing w:after="0" w:line="149" w:lineRule="exact"/>
        <w:rPr>
          <w:rFonts w:ascii="Times New Roman" w:cs="Times New Roman" w:eastAsia="Times New Roman" w:hAnsi="Times New Roman"/>
          <w:sz w:val="24"/>
          <w:szCs w:val="24"/>
          <w:color w:val="auto"/>
        </w:rPr>
      </w:pPr>
    </w:p>
    <w:p>
      <w:pPr>
        <w:ind w:left="1480" w:hanging="716"/>
        <w:spacing w:after="0" w:line="350" w:lineRule="auto"/>
        <w:tabs>
          <w:tab w:leader="none" w:pos="1149" w:val="left"/>
        </w:tabs>
        <w:numPr>
          <w:ilvl w:val="1"/>
          <w:numId w:val="100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Explanation of revision, if any, in the project cost and the means of finance after the date of issue of the appraisal report.</w:t>
      </w:r>
    </w:p>
    <w:p>
      <w:pPr>
        <w:spacing w:after="0" w:line="23" w:lineRule="exact"/>
        <w:rPr>
          <w:rFonts w:ascii="Times New Roman" w:cs="Times New Roman" w:eastAsia="Times New Roman" w:hAnsi="Times New Roman"/>
          <w:sz w:val="24"/>
          <w:szCs w:val="24"/>
          <w:color w:val="auto"/>
        </w:rPr>
      </w:pPr>
    </w:p>
    <w:p>
      <w:pPr>
        <w:ind w:left="1480" w:hanging="716"/>
        <w:spacing w:after="0" w:line="350" w:lineRule="auto"/>
        <w:tabs>
          <w:tab w:leader="none" w:pos="1149" w:val="left"/>
        </w:tabs>
        <w:numPr>
          <w:ilvl w:val="1"/>
          <w:numId w:val="100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Weaknesses, qualifications and threats given in the appraisal report, by way of risk factors.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4"/>
          <w:szCs w:val="24"/>
          <w:color w:val="auto"/>
        </w:rPr>
        <w:t>303</w:t>
      </w:r>
    </w:p>
    <w:p>
      <w:pPr>
        <w:sectPr>
          <w:pgSz w:w="11900" w:h="16836" w:orient="portrait"/>
          <w:cols w:equalWidth="0" w:num="1">
            <w:col w:w="9180"/>
          </w:cols>
          <w:pgMar w:left="1440" w:top="1156" w:right="1284" w:bottom="103" w:gutter="0" w:footer="0" w:header="0"/>
        </w:sectPr>
      </w:pPr>
    </w:p>
    <w:bookmarkStart w:id="303" w:name="page304"/>
    <w:bookmarkEnd w:id="303"/>
    <w:p>
      <w:pPr>
        <w:jc w:val="both"/>
        <w:ind w:left="400" w:hanging="356"/>
        <w:spacing w:after="0" w:line="356" w:lineRule="auto"/>
        <w:tabs>
          <w:tab w:leader="none" w:pos="400" w:val="left"/>
        </w:tabs>
        <w:numPr>
          <w:ilvl w:val="0"/>
          <w:numId w:val="100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Schedule of implementation: </w:t>
      </w:r>
      <w:r>
        <w:rPr>
          <w:rFonts w:ascii="Times New Roman" w:cs="Times New Roman" w:eastAsia="Times New Roman" w:hAnsi="Times New Roman"/>
          <w:sz w:val="24"/>
          <w:szCs w:val="24"/>
          <w:color w:val="auto"/>
        </w:rPr>
        <w:t>The schedule of implementation of the project and the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progress made so far, giving details of land acquisition, civil works, installation of plant and machinery, trial production, date of commercial production and reasons for delay, if any.</w:t>
      </w:r>
    </w:p>
    <w:p>
      <w:pPr>
        <w:spacing w:after="0" w:line="200" w:lineRule="exact"/>
        <w:rPr>
          <w:rFonts w:ascii="Times New Roman" w:cs="Times New Roman" w:eastAsia="Times New Roman" w:hAnsi="Times New Roman"/>
          <w:sz w:val="24"/>
          <w:szCs w:val="24"/>
          <w:b w:val="1"/>
          <w:bCs w:val="1"/>
          <w:color w:val="auto"/>
        </w:rPr>
      </w:pPr>
    </w:p>
    <w:p>
      <w:pPr>
        <w:spacing w:after="0" w:line="224" w:lineRule="exact"/>
        <w:rPr>
          <w:rFonts w:ascii="Times New Roman" w:cs="Times New Roman" w:eastAsia="Times New Roman" w:hAnsi="Times New Roman"/>
          <w:sz w:val="24"/>
          <w:szCs w:val="24"/>
          <w:b w:val="1"/>
          <w:bCs w:val="1"/>
          <w:color w:val="auto"/>
        </w:rPr>
      </w:pPr>
    </w:p>
    <w:p>
      <w:pPr>
        <w:ind w:left="400" w:hanging="356"/>
        <w:spacing w:after="0"/>
        <w:tabs>
          <w:tab w:leader="none" w:pos="400" w:val="left"/>
        </w:tabs>
        <w:numPr>
          <w:ilvl w:val="0"/>
          <w:numId w:val="100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Deployment of funds:</w:t>
      </w:r>
    </w:p>
    <w:p>
      <w:pPr>
        <w:spacing w:after="0" w:line="146" w:lineRule="exact"/>
        <w:rPr>
          <w:rFonts w:ascii="Times New Roman" w:cs="Times New Roman" w:eastAsia="Times New Roman" w:hAnsi="Times New Roman"/>
          <w:sz w:val="24"/>
          <w:szCs w:val="24"/>
          <w:b w:val="1"/>
          <w:bCs w:val="1"/>
          <w:color w:val="auto"/>
        </w:rPr>
      </w:pPr>
    </w:p>
    <w:p>
      <w:pPr>
        <w:ind w:left="1480" w:hanging="716"/>
        <w:spacing w:after="0" w:line="357" w:lineRule="auto"/>
        <w:tabs>
          <w:tab w:leader="none" w:pos="1149" w:val="left"/>
        </w:tabs>
        <w:numPr>
          <w:ilvl w:val="1"/>
          <w:numId w:val="100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the sources of funds and the deployment of these funds on the project (where the issuer is raising capital for a project), up to a date not earlier than two months from the date of filing the letter of offer with the designated stock exchange, as certified by a Chartered Accountant, along with the name of the chartered accountant and the date of the certificate.</w:t>
      </w:r>
    </w:p>
    <w:p>
      <w:pPr>
        <w:spacing w:after="0" w:line="16" w:lineRule="exact"/>
        <w:rPr>
          <w:rFonts w:ascii="Times New Roman" w:cs="Times New Roman" w:eastAsia="Times New Roman" w:hAnsi="Times New Roman"/>
          <w:sz w:val="24"/>
          <w:szCs w:val="24"/>
          <w:color w:val="auto"/>
        </w:rPr>
      </w:pPr>
    </w:p>
    <w:p>
      <w:pPr>
        <w:ind w:left="1480" w:hanging="716"/>
        <w:spacing w:after="0" w:line="356" w:lineRule="auto"/>
        <w:tabs>
          <w:tab w:leader="none" w:pos="1149" w:val="left"/>
        </w:tabs>
        <w:numPr>
          <w:ilvl w:val="1"/>
          <w:numId w:val="100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Where share application money brought in advance by the promoters is deployed in the project and the same is being adjusted towards their rights entitlement in the rights issue, the extent of deployment and utilisation of the funds brought in by the promoters.</w:t>
      </w:r>
    </w:p>
    <w:p>
      <w:pPr>
        <w:spacing w:after="0" w:line="200" w:lineRule="exact"/>
        <w:rPr>
          <w:rFonts w:ascii="Times New Roman" w:cs="Times New Roman" w:eastAsia="Times New Roman" w:hAnsi="Times New Roman"/>
          <w:sz w:val="24"/>
          <w:szCs w:val="24"/>
          <w:color w:val="auto"/>
        </w:rPr>
      </w:pPr>
    </w:p>
    <w:p>
      <w:pPr>
        <w:spacing w:after="0" w:line="234" w:lineRule="exact"/>
        <w:rPr>
          <w:rFonts w:ascii="Times New Roman" w:cs="Times New Roman" w:eastAsia="Times New Roman" w:hAnsi="Times New Roman"/>
          <w:sz w:val="24"/>
          <w:szCs w:val="24"/>
          <w:color w:val="auto"/>
        </w:rPr>
      </w:pPr>
    </w:p>
    <w:p>
      <w:pPr>
        <w:jc w:val="both"/>
        <w:ind w:left="400" w:hanging="356"/>
        <w:spacing w:after="0" w:line="354" w:lineRule="auto"/>
        <w:tabs>
          <w:tab w:leader="none" w:pos="400" w:val="left"/>
        </w:tabs>
        <w:numPr>
          <w:ilvl w:val="0"/>
          <w:numId w:val="100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Sources of financing of funds already deployed: </w:t>
      </w:r>
      <w:r>
        <w:rPr>
          <w:rFonts w:ascii="Times New Roman" w:cs="Times New Roman" w:eastAsia="Times New Roman" w:hAnsi="Times New Roman"/>
          <w:sz w:val="24"/>
          <w:szCs w:val="24"/>
          <w:color w:val="auto"/>
        </w:rPr>
        <w:t>Means and source of financing,</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including details of "bridge loan" or other financial arrangement, which may be repaid from the proceeds of the issue.</w:t>
      </w:r>
    </w:p>
    <w:p>
      <w:pPr>
        <w:spacing w:after="0" w:line="200" w:lineRule="exact"/>
        <w:rPr>
          <w:rFonts w:ascii="Times New Roman" w:cs="Times New Roman" w:eastAsia="Times New Roman" w:hAnsi="Times New Roman"/>
          <w:sz w:val="24"/>
          <w:szCs w:val="24"/>
          <w:b w:val="1"/>
          <w:bCs w:val="1"/>
          <w:color w:val="auto"/>
        </w:rPr>
      </w:pPr>
    </w:p>
    <w:p>
      <w:pPr>
        <w:spacing w:after="0" w:line="234" w:lineRule="exact"/>
        <w:rPr>
          <w:rFonts w:ascii="Times New Roman" w:cs="Times New Roman" w:eastAsia="Times New Roman" w:hAnsi="Times New Roman"/>
          <w:sz w:val="24"/>
          <w:szCs w:val="24"/>
          <w:b w:val="1"/>
          <w:bCs w:val="1"/>
          <w:color w:val="auto"/>
        </w:rPr>
      </w:pPr>
    </w:p>
    <w:p>
      <w:pPr>
        <w:ind w:left="400" w:hanging="356"/>
        <w:spacing w:after="0" w:line="348" w:lineRule="auto"/>
        <w:tabs>
          <w:tab w:leader="none" w:pos="400" w:val="left"/>
        </w:tabs>
        <w:numPr>
          <w:ilvl w:val="0"/>
          <w:numId w:val="100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Details of balance fund deployment: </w:t>
      </w:r>
      <w:r>
        <w:rPr>
          <w:rFonts w:ascii="Times New Roman" w:cs="Times New Roman" w:eastAsia="Times New Roman" w:hAnsi="Times New Roman"/>
          <w:sz w:val="24"/>
          <w:szCs w:val="24"/>
          <w:color w:val="auto"/>
        </w:rPr>
        <w:t>Year wise break-up of the expenditure proposed to</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be incurred on the said project.</w:t>
      </w:r>
    </w:p>
    <w:p>
      <w:pPr>
        <w:spacing w:after="0" w:line="200" w:lineRule="exact"/>
        <w:rPr>
          <w:rFonts w:ascii="Times New Roman" w:cs="Times New Roman" w:eastAsia="Times New Roman" w:hAnsi="Times New Roman"/>
          <w:sz w:val="24"/>
          <w:szCs w:val="24"/>
          <w:b w:val="1"/>
          <w:bCs w:val="1"/>
          <w:color w:val="auto"/>
        </w:rPr>
      </w:pPr>
    </w:p>
    <w:p>
      <w:pPr>
        <w:spacing w:after="0" w:line="241" w:lineRule="exact"/>
        <w:rPr>
          <w:rFonts w:ascii="Times New Roman" w:cs="Times New Roman" w:eastAsia="Times New Roman" w:hAnsi="Times New Roman"/>
          <w:sz w:val="24"/>
          <w:szCs w:val="24"/>
          <w:b w:val="1"/>
          <w:bCs w:val="1"/>
          <w:color w:val="auto"/>
        </w:rPr>
      </w:pPr>
    </w:p>
    <w:p>
      <w:pPr>
        <w:ind w:left="400" w:hanging="356"/>
        <w:spacing w:after="0" w:line="350" w:lineRule="auto"/>
        <w:tabs>
          <w:tab w:leader="none" w:pos="400" w:val="left"/>
        </w:tabs>
        <w:numPr>
          <w:ilvl w:val="0"/>
          <w:numId w:val="100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Interim Use of Funds: </w:t>
      </w:r>
      <w:r>
        <w:rPr>
          <w:rFonts w:ascii="Times New Roman" w:cs="Times New Roman" w:eastAsia="Times New Roman" w:hAnsi="Times New Roman"/>
          <w:sz w:val="24"/>
          <w:szCs w:val="24"/>
          <w:color w:val="auto"/>
        </w:rPr>
        <w:t>A statement that net issue proceeds pending utilization (for the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stated objects) shall be deposited only in the scheduled commercial banks.</w:t>
      </w:r>
    </w:p>
    <w:p>
      <w:pPr>
        <w:spacing w:after="0" w:line="200" w:lineRule="exact"/>
        <w:rPr>
          <w:rFonts w:ascii="Times New Roman" w:cs="Times New Roman" w:eastAsia="Times New Roman" w:hAnsi="Times New Roman"/>
          <w:sz w:val="24"/>
          <w:szCs w:val="24"/>
          <w:b w:val="1"/>
          <w:bCs w:val="1"/>
          <w:color w:val="auto"/>
        </w:rPr>
      </w:pPr>
    </w:p>
    <w:p>
      <w:pPr>
        <w:spacing w:after="0" w:line="238" w:lineRule="exact"/>
        <w:rPr>
          <w:rFonts w:ascii="Times New Roman" w:cs="Times New Roman" w:eastAsia="Times New Roman" w:hAnsi="Times New Roman"/>
          <w:sz w:val="24"/>
          <w:szCs w:val="24"/>
          <w:b w:val="1"/>
          <w:bCs w:val="1"/>
          <w:color w:val="auto"/>
        </w:rPr>
      </w:pPr>
    </w:p>
    <w:p>
      <w:pPr>
        <w:jc w:val="both"/>
        <w:ind w:left="400" w:hanging="356"/>
        <w:spacing w:after="0" w:line="354" w:lineRule="auto"/>
        <w:tabs>
          <w:tab w:leader="none" w:pos="400" w:val="left"/>
        </w:tabs>
        <w:numPr>
          <w:ilvl w:val="0"/>
          <w:numId w:val="100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Expenses of the Issue: </w:t>
      </w:r>
      <w:r>
        <w:rPr>
          <w:rFonts w:ascii="Times New Roman" w:cs="Times New Roman" w:eastAsia="Times New Roman" w:hAnsi="Times New Roman"/>
          <w:sz w:val="24"/>
          <w:szCs w:val="24"/>
          <w:color w:val="auto"/>
        </w:rPr>
        <w:t>Expenses of the issue along with a break up for each item of</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expense, including details of the fees payable to separately as under (in terms of amount, as a percentage of total issue expenses and as a percentage of total issue size):</w:t>
      </w:r>
    </w:p>
    <w:p>
      <w:pPr>
        <w:spacing w:after="0" w:line="7" w:lineRule="exact"/>
        <w:rPr>
          <w:rFonts w:ascii="Times New Roman" w:cs="Times New Roman" w:eastAsia="Times New Roman" w:hAnsi="Times New Roman"/>
          <w:sz w:val="24"/>
          <w:szCs w:val="24"/>
          <w:b w:val="1"/>
          <w:bCs w:val="1"/>
          <w:color w:val="auto"/>
        </w:rPr>
      </w:pPr>
    </w:p>
    <w:p>
      <w:pPr>
        <w:ind w:left="1160" w:hanging="368"/>
        <w:spacing w:after="0"/>
        <w:tabs>
          <w:tab w:leader="none" w:pos="1160" w:val="left"/>
        </w:tabs>
        <w:numPr>
          <w:ilvl w:val="2"/>
          <w:numId w:val="100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Lead manager(s) fees including underwriting commission</w:t>
      </w:r>
    </w:p>
    <w:p>
      <w:pPr>
        <w:spacing w:after="0" w:line="139" w:lineRule="exact"/>
        <w:rPr>
          <w:rFonts w:ascii="Times New Roman" w:cs="Times New Roman" w:eastAsia="Times New Roman" w:hAnsi="Times New Roman"/>
          <w:sz w:val="24"/>
          <w:szCs w:val="24"/>
          <w:color w:val="auto"/>
        </w:rPr>
      </w:pPr>
    </w:p>
    <w:p>
      <w:pPr>
        <w:ind w:left="1160" w:hanging="368"/>
        <w:spacing w:after="0"/>
        <w:tabs>
          <w:tab w:leader="none" w:pos="1160" w:val="left"/>
        </w:tabs>
        <w:numPr>
          <w:ilvl w:val="2"/>
          <w:numId w:val="100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Brokerage, selling commission and upload fees</w:t>
      </w:r>
    </w:p>
    <w:p>
      <w:pPr>
        <w:spacing w:after="0" w:line="137" w:lineRule="exact"/>
        <w:rPr>
          <w:rFonts w:ascii="Times New Roman" w:cs="Times New Roman" w:eastAsia="Times New Roman" w:hAnsi="Times New Roman"/>
          <w:sz w:val="24"/>
          <w:szCs w:val="24"/>
          <w:color w:val="auto"/>
        </w:rPr>
      </w:pPr>
    </w:p>
    <w:p>
      <w:pPr>
        <w:ind w:left="1160" w:hanging="368"/>
        <w:spacing w:after="0"/>
        <w:tabs>
          <w:tab w:leader="none" w:pos="1160" w:val="left"/>
        </w:tabs>
        <w:numPr>
          <w:ilvl w:val="2"/>
          <w:numId w:val="100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Registrars to the issue</w:t>
      </w:r>
    </w:p>
    <w:p>
      <w:pPr>
        <w:spacing w:after="0" w:line="139" w:lineRule="exact"/>
        <w:rPr>
          <w:rFonts w:ascii="Times New Roman" w:cs="Times New Roman" w:eastAsia="Times New Roman" w:hAnsi="Times New Roman"/>
          <w:sz w:val="24"/>
          <w:szCs w:val="24"/>
          <w:color w:val="auto"/>
        </w:rPr>
      </w:pPr>
    </w:p>
    <w:p>
      <w:pPr>
        <w:ind w:left="1160" w:hanging="368"/>
        <w:spacing w:after="0"/>
        <w:tabs>
          <w:tab w:leader="none" w:pos="1160" w:val="left"/>
        </w:tabs>
        <w:numPr>
          <w:ilvl w:val="2"/>
          <w:numId w:val="100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Legal Advisors</w:t>
      </w:r>
    </w:p>
    <w:p>
      <w:pPr>
        <w:spacing w:after="0" w:line="136" w:lineRule="exact"/>
        <w:rPr>
          <w:rFonts w:ascii="Times New Roman" w:cs="Times New Roman" w:eastAsia="Times New Roman" w:hAnsi="Times New Roman"/>
          <w:sz w:val="24"/>
          <w:szCs w:val="24"/>
          <w:color w:val="auto"/>
        </w:rPr>
      </w:pPr>
    </w:p>
    <w:p>
      <w:pPr>
        <w:ind w:left="1160" w:hanging="368"/>
        <w:spacing w:after="0"/>
        <w:tabs>
          <w:tab w:leader="none" w:pos="1160" w:val="left"/>
        </w:tabs>
        <w:numPr>
          <w:ilvl w:val="2"/>
          <w:numId w:val="100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Advertising and marketing expenses</w:t>
      </w:r>
    </w:p>
    <w:p>
      <w:pPr>
        <w:spacing w:after="0" w:line="139" w:lineRule="exact"/>
        <w:rPr>
          <w:rFonts w:ascii="Times New Roman" w:cs="Times New Roman" w:eastAsia="Times New Roman" w:hAnsi="Times New Roman"/>
          <w:sz w:val="24"/>
          <w:szCs w:val="24"/>
          <w:color w:val="auto"/>
        </w:rPr>
      </w:pPr>
    </w:p>
    <w:p>
      <w:pPr>
        <w:ind w:left="1160" w:hanging="368"/>
        <w:spacing w:after="0"/>
        <w:tabs>
          <w:tab w:leader="none" w:pos="1160" w:val="left"/>
        </w:tabs>
        <w:numPr>
          <w:ilvl w:val="2"/>
          <w:numId w:val="100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Regulators including stock exchanges</w:t>
      </w:r>
    </w:p>
    <w:p>
      <w:pPr>
        <w:spacing w:after="0" w:line="394"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4"/>
          <w:szCs w:val="24"/>
          <w:color w:val="auto"/>
        </w:rPr>
        <w:t>304</w:t>
      </w:r>
    </w:p>
    <w:p>
      <w:pPr>
        <w:sectPr>
          <w:pgSz w:w="11900" w:h="16836" w:orient="portrait"/>
          <w:cols w:equalWidth="0" w:num="1">
            <w:col w:w="9180"/>
          </w:cols>
          <w:pgMar w:left="1440" w:top="1156" w:right="1284" w:bottom="103" w:gutter="0" w:footer="0" w:header="0"/>
        </w:sectPr>
      </w:pPr>
    </w:p>
    <w:bookmarkStart w:id="304" w:name="page305"/>
    <w:bookmarkEnd w:id="304"/>
    <w:p>
      <w:pPr>
        <w:ind w:left="1164" w:hanging="368"/>
        <w:spacing w:after="0"/>
        <w:tabs>
          <w:tab w:leader="none" w:pos="1164" w:val="left"/>
        </w:tabs>
        <w:numPr>
          <w:ilvl w:val="1"/>
          <w:numId w:val="100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Printing and distribution of issue stationary</w:t>
      </w:r>
    </w:p>
    <w:p>
      <w:pPr>
        <w:spacing w:after="0" w:line="137" w:lineRule="exact"/>
        <w:rPr>
          <w:rFonts w:ascii="Times New Roman" w:cs="Times New Roman" w:eastAsia="Times New Roman" w:hAnsi="Times New Roman"/>
          <w:sz w:val="24"/>
          <w:szCs w:val="24"/>
          <w:color w:val="auto"/>
        </w:rPr>
      </w:pPr>
    </w:p>
    <w:p>
      <w:pPr>
        <w:ind w:left="1164" w:hanging="368"/>
        <w:spacing w:after="0"/>
        <w:tabs>
          <w:tab w:leader="none" w:pos="1164" w:val="left"/>
        </w:tabs>
        <w:numPr>
          <w:ilvl w:val="1"/>
          <w:numId w:val="100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Others, if any (to be specified).</w:t>
      </w:r>
    </w:p>
    <w:p>
      <w:pPr>
        <w:spacing w:after="0" w:line="200" w:lineRule="exact"/>
        <w:rPr>
          <w:rFonts w:ascii="Times New Roman" w:cs="Times New Roman" w:eastAsia="Times New Roman" w:hAnsi="Times New Roman"/>
          <w:sz w:val="24"/>
          <w:szCs w:val="24"/>
          <w:color w:val="auto"/>
        </w:rPr>
      </w:pPr>
    </w:p>
    <w:p>
      <w:pPr>
        <w:spacing w:after="0" w:line="369" w:lineRule="exact"/>
        <w:rPr>
          <w:rFonts w:ascii="Times New Roman" w:cs="Times New Roman" w:eastAsia="Times New Roman" w:hAnsi="Times New Roman"/>
          <w:sz w:val="24"/>
          <w:szCs w:val="24"/>
          <w:color w:val="auto"/>
        </w:rPr>
      </w:pPr>
    </w:p>
    <w:p>
      <w:pPr>
        <w:ind w:left="704" w:hanging="656"/>
        <w:spacing w:after="0" w:line="350" w:lineRule="auto"/>
        <w:tabs>
          <w:tab w:leader="none" w:pos="431" w:val="left"/>
        </w:tabs>
        <w:numPr>
          <w:ilvl w:val="0"/>
          <w:numId w:val="101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Interest of promoters, promoter group and directors, as applicable to the project or objects of the issue.</w:t>
      </w:r>
    </w:p>
    <w:p>
      <w:pPr>
        <w:spacing w:after="0" w:line="200" w:lineRule="exact"/>
        <w:rPr>
          <w:sz w:val="20"/>
          <w:szCs w:val="20"/>
          <w:color w:val="auto"/>
        </w:rPr>
      </w:pPr>
    </w:p>
    <w:p>
      <w:pPr>
        <w:spacing w:after="0" w:line="233" w:lineRule="exact"/>
        <w:rPr>
          <w:sz w:val="20"/>
          <w:szCs w:val="20"/>
          <w:color w:val="auto"/>
        </w:rPr>
      </w:pPr>
    </w:p>
    <w:p>
      <w:pPr>
        <w:ind w:left="844" w:hanging="844"/>
        <w:spacing w:after="0" w:line="356" w:lineRule="auto"/>
        <w:tabs>
          <w:tab w:leader="none" w:pos="432" w:val="left"/>
        </w:tabs>
        <w:numPr>
          <w:ilvl w:val="0"/>
          <w:numId w:val="101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Tax Benefits: </w:t>
      </w:r>
      <w:r>
        <w:rPr>
          <w:rFonts w:ascii="Times New Roman" w:cs="Times New Roman" w:eastAsia="Times New Roman" w:hAnsi="Times New Roman"/>
          <w:sz w:val="24"/>
          <w:szCs w:val="24"/>
          <w:color w:val="auto"/>
        </w:rPr>
        <w:t>Any special tax benefits (under direct and indirect tax laws) for the issuer</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and its shareholders and its material subsidiaries identified in accordance with the Securities and Exchange Board of India (Listing Obligations and Disclosure Requirements) Regulations, 2015.</w:t>
      </w:r>
    </w:p>
    <w:p>
      <w:pPr>
        <w:spacing w:after="0" w:line="11" w:lineRule="exact"/>
        <w:rPr>
          <w:rFonts w:ascii="Times New Roman" w:cs="Times New Roman" w:eastAsia="Times New Roman" w:hAnsi="Times New Roman"/>
          <w:sz w:val="24"/>
          <w:szCs w:val="24"/>
          <w:b w:val="1"/>
          <w:bCs w:val="1"/>
          <w:color w:val="auto"/>
        </w:rPr>
      </w:pPr>
    </w:p>
    <w:p>
      <w:pPr>
        <w:ind w:left="444" w:hanging="444"/>
        <w:spacing w:after="0"/>
        <w:tabs>
          <w:tab w:leader="none" w:pos="444" w:val="left"/>
        </w:tabs>
        <w:numPr>
          <w:ilvl w:val="0"/>
          <w:numId w:val="101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About the Issuer:</w:t>
      </w:r>
    </w:p>
    <w:p>
      <w:pPr>
        <w:spacing w:after="0" w:line="136" w:lineRule="exact"/>
        <w:rPr>
          <w:rFonts w:ascii="Times New Roman" w:cs="Times New Roman" w:eastAsia="Times New Roman" w:hAnsi="Times New Roman"/>
          <w:sz w:val="24"/>
          <w:szCs w:val="24"/>
          <w:b w:val="1"/>
          <w:bCs w:val="1"/>
          <w:color w:val="auto"/>
        </w:rPr>
      </w:pPr>
    </w:p>
    <w:p>
      <w:pPr>
        <w:ind w:left="764" w:hanging="356"/>
        <w:spacing w:after="0"/>
        <w:tabs>
          <w:tab w:leader="none" w:pos="764" w:val="left"/>
        </w:tabs>
        <w:numPr>
          <w:ilvl w:val="1"/>
          <w:numId w:val="101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Industry Overview</w:t>
      </w:r>
    </w:p>
    <w:p>
      <w:pPr>
        <w:spacing w:after="0" w:line="139" w:lineRule="exact"/>
        <w:rPr>
          <w:rFonts w:ascii="Times New Roman" w:cs="Times New Roman" w:eastAsia="Times New Roman" w:hAnsi="Times New Roman"/>
          <w:sz w:val="24"/>
          <w:szCs w:val="24"/>
          <w:b w:val="1"/>
          <w:bCs w:val="1"/>
          <w:color w:val="auto"/>
        </w:rPr>
      </w:pPr>
    </w:p>
    <w:p>
      <w:pPr>
        <w:ind w:left="764" w:hanging="356"/>
        <w:spacing w:after="0"/>
        <w:tabs>
          <w:tab w:leader="none" w:pos="764" w:val="left"/>
        </w:tabs>
        <w:numPr>
          <w:ilvl w:val="1"/>
          <w:numId w:val="101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Business Overview</w:t>
      </w:r>
    </w:p>
    <w:p>
      <w:pPr>
        <w:spacing w:after="0" w:line="136" w:lineRule="exact"/>
        <w:rPr>
          <w:rFonts w:ascii="Times New Roman" w:cs="Times New Roman" w:eastAsia="Times New Roman" w:hAnsi="Times New Roman"/>
          <w:sz w:val="24"/>
          <w:szCs w:val="24"/>
          <w:b w:val="1"/>
          <w:bCs w:val="1"/>
          <w:color w:val="auto"/>
        </w:rPr>
      </w:pPr>
    </w:p>
    <w:p>
      <w:pPr>
        <w:ind w:left="1164" w:hanging="396"/>
        <w:spacing w:after="0"/>
        <w:tabs>
          <w:tab w:leader="none" w:pos="1164" w:val="left"/>
        </w:tabs>
        <w:numPr>
          <w:ilvl w:val="2"/>
          <w:numId w:val="101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Details of the business of the issuer:</w:t>
      </w:r>
    </w:p>
    <w:p>
      <w:pPr>
        <w:spacing w:after="0" w:line="134" w:lineRule="exact"/>
        <w:rPr>
          <w:rFonts w:ascii="Times New Roman" w:cs="Times New Roman" w:eastAsia="Times New Roman" w:hAnsi="Times New Roman"/>
          <w:sz w:val="24"/>
          <w:szCs w:val="24"/>
          <w:b w:val="1"/>
          <w:bCs w:val="1"/>
          <w:color w:val="auto"/>
        </w:rPr>
      </w:pPr>
    </w:p>
    <w:p>
      <w:pPr>
        <w:ind w:left="1884" w:hanging="540"/>
        <w:spacing w:after="0"/>
        <w:tabs>
          <w:tab w:leader="none" w:pos="1884" w:val="left"/>
        </w:tabs>
        <w:numPr>
          <w:ilvl w:val="3"/>
          <w:numId w:val="10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Primary business of the Issuer;</w:t>
      </w:r>
    </w:p>
    <w:p>
      <w:pPr>
        <w:spacing w:after="0" w:line="136" w:lineRule="exact"/>
        <w:rPr>
          <w:rFonts w:ascii="Times New Roman" w:cs="Times New Roman" w:eastAsia="Times New Roman" w:hAnsi="Times New Roman"/>
          <w:sz w:val="24"/>
          <w:szCs w:val="24"/>
          <w:color w:val="auto"/>
        </w:rPr>
      </w:pPr>
    </w:p>
    <w:p>
      <w:pPr>
        <w:ind w:left="1884" w:hanging="540"/>
        <w:spacing w:after="0"/>
        <w:tabs>
          <w:tab w:leader="none" w:pos="1884" w:val="left"/>
        </w:tabs>
        <w:numPr>
          <w:ilvl w:val="3"/>
          <w:numId w:val="10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Plant, machinery, technology, process, etc.</w:t>
      </w:r>
    </w:p>
    <w:p>
      <w:pPr>
        <w:spacing w:after="0" w:line="151" w:lineRule="exact"/>
        <w:rPr>
          <w:rFonts w:ascii="Times New Roman" w:cs="Times New Roman" w:eastAsia="Times New Roman" w:hAnsi="Times New Roman"/>
          <w:sz w:val="24"/>
          <w:szCs w:val="24"/>
          <w:color w:val="auto"/>
        </w:rPr>
      </w:pPr>
    </w:p>
    <w:p>
      <w:pPr>
        <w:ind w:left="2064" w:hanging="720"/>
        <w:spacing w:after="0" w:line="356" w:lineRule="auto"/>
        <w:tabs>
          <w:tab w:leader="none" w:pos="1877" w:val="left"/>
        </w:tabs>
        <w:numPr>
          <w:ilvl w:val="3"/>
          <w:numId w:val="10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Description of subsisting collaborations, any performance guarantee or assistance in marketing by the collaborators, infrastructure facilities for raw materials and utilities like water, electricity, etc. Products or services of the issuer:</w:t>
      </w:r>
    </w:p>
    <w:p>
      <w:pPr>
        <w:spacing w:after="0" w:line="6" w:lineRule="exact"/>
        <w:rPr>
          <w:rFonts w:ascii="Times New Roman" w:cs="Times New Roman" w:eastAsia="Times New Roman" w:hAnsi="Times New Roman"/>
          <w:sz w:val="24"/>
          <w:szCs w:val="24"/>
          <w:color w:val="auto"/>
        </w:rPr>
      </w:pPr>
    </w:p>
    <w:p>
      <w:pPr>
        <w:ind w:left="2604" w:hanging="321"/>
        <w:spacing w:after="0"/>
        <w:tabs>
          <w:tab w:leader="none" w:pos="2604" w:val="left"/>
        </w:tabs>
        <w:numPr>
          <w:ilvl w:val="4"/>
          <w:numId w:val="10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Nature of the product(s)/services, and the end users.</w:t>
      </w:r>
    </w:p>
    <w:p>
      <w:pPr>
        <w:spacing w:after="0" w:line="136" w:lineRule="exact"/>
        <w:rPr>
          <w:rFonts w:ascii="Times New Roman" w:cs="Times New Roman" w:eastAsia="Times New Roman" w:hAnsi="Times New Roman"/>
          <w:sz w:val="24"/>
          <w:szCs w:val="24"/>
          <w:color w:val="auto"/>
        </w:rPr>
      </w:pPr>
    </w:p>
    <w:p>
      <w:pPr>
        <w:ind w:left="2604" w:hanging="321"/>
        <w:spacing w:after="0"/>
        <w:tabs>
          <w:tab w:leader="none" w:pos="2604" w:val="left"/>
        </w:tabs>
        <w:numPr>
          <w:ilvl w:val="4"/>
          <w:numId w:val="10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Approach to marketing of products and services.</w:t>
      </w:r>
    </w:p>
    <w:p>
      <w:pPr>
        <w:spacing w:after="0" w:line="151" w:lineRule="exact"/>
        <w:rPr>
          <w:rFonts w:ascii="Times New Roman" w:cs="Times New Roman" w:eastAsia="Times New Roman" w:hAnsi="Times New Roman"/>
          <w:sz w:val="24"/>
          <w:szCs w:val="24"/>
          <w:color w:val="auto"/>
        </w:rPr>
      </w:pPr>
    </w:p>
    <w:p>
      <w:pPr>
        <w:ind w:left="1484" w:hanging="716"/>
        <w:spacing w:after="0" w:line="348" w:lineRule="auto"/>
        <w:tabs>
          <w:tab w:leader="none" w:pos="1153" w:val="left"/>
        </w:tabs>
        <w:numPr>
          <w:ilvl w:val="2"/>
          <w:numId w:val="101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Business Strategy: </w:t>
      </w:r>
      <w:r>
        <w:rPr>
          <w:rFonts w:ascii="Times New Roman" w:cs="Times New Roman" w:eastAsia="Times New Roman" w:hAnsi="Times New Roman"/>
          <w:sz w:val="24"/>
          <w:szCs w:val="24"/>
          <w:color w:val="auto"/>
        </w:rPr>
        <w:t>Description of the business strategy of the issuer, without any</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forecast of projections relating to the financial performance of the issuer.</w:t>
      </w:r>
    </w:p>
    <w:p>
      <w:pPr>
        <w:spacing w:after="0" w:line="28" w:lineRule="exact"/>
        <w:rPr>
          <w:rFonts w:ascii="Times New Roman" w:cs="Times New Roman" w:eastAsia="Times New Roman" w:hAnsi="Times New Roman"/>
          <w:sz w:val="24"/>
          <w:szCs w:val="24"/>
          <w:b w:val="1"/>
          <w:bCs w:val="1"/>
          <w:color w:val="auto"/>
        </w:rPr>
      </w:pPr>
    </w:p>
    <w:p>
      <w:pPr>
        <w:ind w:left="1484" w:hanging="716"/>
        <w:spacing w:after="0" w:line="354" w:lineRule="auto"/>
        <w:tabs>
          <w:tab w:leader="none" w:pos="1153" w:val="left"/>
        </w:tabs>
        <w:numPr>
          <w:ilvl w:val="2"/>
          <w:numId w:val="101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Capacity and Capacity Utilisation</w:t>
      </w:r>
      <w:r>
        <w:rPr>
          <w:rFonts w:ascii="Times New Roman" w:cs="Times New Roman" w:eastAsia="Times New Roman" w:hAnsi="Times New Roman"/>
          <w:sz w:val="24"/>
          <w:szCs w:val="24"/>
          <w:color w:val="auto"/>
        </w:rPr>
        <w:t>: A table shall be incorporated giving the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existing installed capacities for each product, capacity utilisation for such products in the previous three years.</w:t>
      </w:r>
    </w:p>
    <w:p>
      <w:pPr>
        <w:spacing w:after="0" w:line="12" w:lineRule="exact"/>
        <w:rPr>
          <w:rFonts w:ascii="Times New Roman" w:cs="Times New Roman" w:eastAsia="Times New Roman" w:hAnsi="Times New Roman"/>
          <w:sz w:val="24"/>
          <w:szCs w:val="24"/>
          <w:b w:val="1"/>
          <w:bCs w:val="1"/>
          <w:color w:val="auto"/>
        </w:rPr>
      </w:pPr>
    </w:p>
    <w:p>
      <w:pPr>
        <w:ind w:left="1164" w:hanging="396"/>
        <w:spacing w:after="0"/>
        <w:tabs>
          <w:tab w:leader="none" w:pos="1164" w:val="left"/>
        </w:tabs>
        <w:numPr>
          <w:ilvl w:val="2"/>
          <w:numId w:val="101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Intellectual Property Rights:</w:t>
      </w:r>
    </w:p>
    <w:p>
      <w:pPr>
        <w:spacing w:after="0" w:line="146" w:lineRule="exact"/>
        <w:rPr>
          <w:rFonts w:ascii="Times New Roman" w:cs="Times New Roman" w:eastAsia="Times New Roman" w:hAnsi="Times New Roman"/>
          <w:sz w:val="24"/>
          <w:szCs w:val="24"/>
          <w:b w:val="1"/>
          <w:bCs w:val="1"/>
          <w:color w:val="auto"/>
        </w:rPr>
      </w:pPr>
    </w:p>
    <w:p>
      <w:pPr>
        <w:ind w:left="2064" w:hanging="720"/>
        <w:spacing w:after="0" w:line="354" w:lineRule="auto"/>
        <w:tabs>
          <w:tab w:leader="none" w:pos="1877" w:val="left"/>
        </w:tabs>
        <w:numPr>
          <w:ilvl w:val="3"/>
          <w:numId w:val="10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issuer is entitled to certain intellectual property rights such as trademarks, brand names, etc. whether the same are legally held by the issuer and whether all formalities in this regard have been complied with.</w:t>
      </w:r>
    </w:p>
    <w:p>
      <w:pPr>
        <w:spacing w:after="0" w:line="20" w:lineRule="exact"/>
        <w:rPr>
          <w:rFonts w:ascii="Times New Roman" w:cs="Times New Roman" w:eastAsia="Times New Roman" w:hAnsi="Times New Roman"/>
          <w:sz w:val="24"/>
          <w:szCs w:val="24"/>
          <w:color w:val="auto"/>
        </w:rPr>
      </w:pPr>
    </w:p>
    <w:p>
      <w:pPr>
        <w:ind w:left="2064" w:hanging="720"/>
        <w:spacing w:after="0" w:line="354" w:lineRule="auto"/>
        <w:tabs>
          <w:tab w:leader="none" w:pos="1877" w:val="left"/>
        </w:tabs>
        <w:numPr>
          <w:ilvl w:val="3"/>
          <w:numId w:val="10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any of the material intellectual property rights are not registered in the name of the issuer, the name of the entity with which these are registered.</w:t>
      </w: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jc w:val="center"/>
        <w:ind w:right="276"/>
        <w:spacing w:after="0"/>
        <w:rPr>
          <w:sz w:val="20"/>
          <w:szCs w:val="20"/>
          <w:color w:val="auto"/>
        </w:rPr>
      </w:pPr>
      <w:r>
        <w:rPr>
          <w:rFonts w:ascii="Times New Roman" w:cs="Times New Roman" w:eastAsia="Times New Roman" w:hAnsi="Times New Roman"/>
          <w:sz w:val="24"/>
          <w:szCs w:val="24"/>
          <w:color w:val="auto"/>
        </w:rPr>
        <w:t>305</w:t>
      </w:r>
    </w:p>
    <w:p>
      <w:pPr>
        <w:sectPr>
          <w:pgSz w:w="11900" w:h="16836" w:orient="portrait"/>
          <w:cols w:equalWidth="0" w:num="1">
            <w:col w:w="9184"/>
          </w:cols>
          <w:pgMar w:left="1436" w:top="1144" w:right="1284" w:bottom="103" w:gutter="0" w:footer="0" w:header="0"/>
        </w:sectPr>
      </w:pPr>
    </w:p>
    <w:bookmarkStart w:id="305" w:name="page306"/>
    <w:bookmarkEnd w:id="305"/>
    <w:p>
      <w:pPr>
        <w:ind w:left="2060" w:hanging="720"/>
        <w:spacing w:after="0" w:line="356" w:lineRule="auto"/>
        <w:tabs>
          <w:tab w:leader="none" w:pos="1873" w:val="left"/>
        </w:tabs>
        <w:numPr>
          <w:ilvl w:val="2"/>
          <w:numId w:val="10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the intellectual property rights are registered in the name of an entity in which the promoters are interested, the salient features of the agreement entered into for the use of the intellectual property rights by the issuer.</w:t>
      </w:r>
    </w:p>
    <w:p>
      <w:pPr>
        <w:spacing w:after="0" w:line="6" w:lineRule="exact"/>
        <w:rPr>
          <w:rFonts w:ascii="Times New Roman" w:cs="Times New Roman" w:eastAsia="Times New Roman" w:hAnsi="Times New Roman"/>
          <w:sz w:val="24"/>
          <w:szCs w:val="24"/>
          <w:color w:val="auto"/>
        </w:rPr>
      </w:pPr>
    </w:p>
    <w:p>
      <w:pPr>
        <w:ind w:left="1160" w:hanging="396"/>
        <w:spacing w:after="0"/>
        <w:tabs>
          <w:tab w:leader="none" w:pos="1160" w:val="left"/>
        </w:tabs>
        <w:numPr>
          <w:ilvl w:val="1"/>
          <w:numId w:val="101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Property: </w:t>
      </w:r>
      <w:r>
        <w:rPr>
          <w:rFonts w:ascii="Times New Roman" w:cs="Times New Roman" w:eastAsia="Times New Roman" w:hAnsi="Times New Roman"/>
          <w:sz w:val="24"/>
          <w:szCs w:val="24"/>
          <w:color w:val="auto"/>
        </w:rPr>
        <w:t>Details of its material properties.</w:t>
      </w:r>
    </w:p>
    <w:p>
      <w:pPr>
        <w:spacing w:after="0" w:line="141" w:lineRule="exact"/>
        <w:rPr>
          <w:rFonts w:ascii="Times New Roman" w:cs="Times New Roman" w:eastAsia="Times New Roman" w:hAnsi="Times New Roman"/>
          <w:sz w:val="24"/>
          <w:szCs w:val="24"/>
          <w:b w:val="1"/>
          <w:bCs w:val="1"/>
          <w:color w:val="auto"/>
        </w:rPr>
      </w:pPr>
    </w:p>
    <w:p>
      <w:pPr>
        <w:ind w:left="760" w:hanging="356"/>
        <w:spacing w:after="0"/>
        <w:tabs>
          <w:tab w:leader="none" w:pos="760" w:val="left"/>
        </w:tabs>
        <w:numPr>
          <w:ilvl w:val="0"/>
          <w:numId w:val="101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Management:</w:t>
      </w:r>
    </w:p>
    <w:p>
      <w:pPr>
        <w:spacing w:after="0" w:line="139" w:lineRule="exact"/>
        <w:rPr>
          <w:rFonts w:ascii="Times New Roman" w:cs="Times New Roman" w:eastAsia="Times New Roman" w:hAnsi="Times New Roman"/>
          <w:sz w:val="24"/>
          <w:szCs w:val="24"/>
          <w:b w:val="1"/>
          <w:bCs w:val="1"/>
          <w:color w:val="auto"/>
        </w:rPr>
      </w:pPr>
    </w:p>
    <w:p>
      <w:pPr>
        <w:ind w:left="760"/>
        <w:spacing w:after="0"/>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2"/>
          <w:szCs w:val="22"/>
          <w:b w:val="1"/>
          <w:bCs w:val="1"/>
          <w:color w:val="auto"/>
        </w:rPr>
        <w:t xml:space="preserve">(a)  </w:t>
      </w:r>
      <w:r>
        <w:rPr>
          <w:rFonts w:ascii="Times New Roman" w:cs="Times New Roman" w:eastAsia="Times New Roman" w:hAnsi="Times New Roman"/>
          <w:sz w:val="24"/>
          <w:szCs w:val="24"/>
          <w:b w:val="1"/>
          <w:bCs w:val="1"/>
          <w:color w:val="auto"/>
        </w:rPr>
        <w:t>Board of Directors:</w:t>
      </w:r>
    </w:p>
    <w:p>
      <w:pPr>
        <w:spacing w:after="0" w:line="144" w:lineRule="exact"/>
        <w:rPr>
          <w:rFonts w:ascii="Times New Roman" w:cs="Times New Roman" w:eastAsia="Times New Roman" w:hAnsi="Times New Roman"/>
          <w:sz w:val="24"/>
          <w:szCs w:val="24"/>
          <w:b w:val="1"/>
          <w:bCs w:val="1"/>
          <w:color w:val="auto"/>
        </w:rPr>
      </w:pPr>
    </w:p>
    <w:p>
      <w:pPr>
        <w:ind w:left="2060" w:hanging="576"/>
        <w:spacing w:after="0" w:line="357" w:lineRule="auto"/>
        <w:tabs>
          <w:tab w:leader="none" w:pos="1873" w:val="left"/>
        </w:tabs>
        <w:numPr>
          <w:ilvl w:val="3"/>
          <w:numId w:val="1014"/>
        </w:numPr>
        <w:rPr>
          <w:rFonts w:ascii="Arial" w:cs="Arial" w:eastAsia="Arial" w:hAnsi="Arial"/>
          <w:sz w:val="22"/>
          <w:szCs w:val="22"/>
          <w:color w:val="auto"/>
        </w:rPr>
      </w:pPr>
      <w:r>
        <w:rPr>
          <w:rFonts w:ascii="Times New Roman" w:cs="Times New Roman" w:eastAsia="Times New Roman" w:hAnsi="Times New Roman"/>
          <w:sz w:val="24"/>
          <w:szCs w:val="24"/>
          <w:color w:val="auto"/>
        </w:rPr>
        <w:t>Name, Director Identification Number, date of birth, age, qualifications, experience, address, occupation and date of expiration of the current term of office of manager, managing director, and other directors (including nominee directors and, whole-time directors), period of directorship, and their directorships in other companies.</w:t>
      </w:r>
    </w:p>
    <w:p>
      <w:pPr>
        <w:spacing w:after="0" w:line="200" w:lineRule="exact"/>
        <w:rPr>
          <w:rFonts w:ascii="Arial" w:cs="Arial" w:eastAsia="Arial" w:hAnsi="Arial"/>
          <w:sz w:val="22"/>
          <w:szCs w:val="22"/>
          <w:color w:val="auto"/>
        </w:rPr>
      </w:pPr>
    </w:p>
    <w:p>
      <w:pPr>
        <w:spacing w:after="0" w:line="232" w:lineRule="exact"/>
        <w:rPr>
          <w:rFonts w:ascii="Arial" w:cs="Arial" w:eastAsia="Arial" w:hAnsi="Arial"/>
          <w:sz w:val="22"/>
          <w:szCs w:val="22"/>
          <w:color w:val="auto"/>
        </w:rPr>
      </w:pPr>
    </w:p>
    <w:p>
      <w:pPr>
        <w:ind w:left="2060" w:hanging="576"/>
        <w:spacing w:after="0" w:line="354" w:lineRule="auto"/>
        <w:tabs>
          <w:tab w:leader="none" w:pos="1873" w:val="left"/>
        </w:tabs>
        <w:numPr>
          <w:ilvl w:val="3"/>
          <w:numId w:val="1014"/>
        </w:numPr>
        <w:rPr>
          <w:rFonts w:ascii="Arial" w:cs="Arial" w:eastAsia="Arial" w:hAnsi="Arial"/>
          <w:sz w:val="22"/>
          <w:szCs w:val="22"/>
          <w:color w:val="auto"/>
        </w:rPr>
      </w:pPr>
      <w:r>
        <w:rPr>
          <w:rFonts w:ascii="Times New Roman" w:cs="Times New Roman" w:eastAsia="Times New Roman" w:hAnsi="Times New Roman"/>
          <w:sz w:val="24"/>
          <w:szCs w:val="24"/>
          <w:color w:val="auto"/>
        </w:rPr>
        <w:t>For each person, details of current and past directorship(s) in listed companies whose shares have been/were suspended from being traded on any of the stock exchanges, during his/her tenure, as follows:</w:t>
      </w:r>
    </w:p>
    <w:p>
      <w:pPr>
        <w:spacing w:after="0" w:line="8" w:lineRule="exact"/>
        <w:rPr>
          <w:rFonts w:ascii="Arial" w:cs="Arial" w:eastAsia="Arial" w:hAnsi="Arial"/>
          <w:sz w:val="22"/>
          <w:szCs w:val="22"/>
          <w:color w:val="auto"/>
        </w:rPr>
      </w:pPr>
    </w:p>
    <w:p>
      <w:pPr>
        <w:ind w:left="2420" w:hanging="360"/>
        <w:spacing w:after="0"/>
        <w:tabs>
          <w:tab w:leader="none" w:pos="2420" w:val="left"/>
        </w:tabs>
        <w:numPr>
          <w:ilvl w:val="4"/>
          <w:numId w:val="1014"/>
        </w:numPr>
        <w:rPr>
          <w:rFonts w:ascii="Symbol" w:cs="Symbol" w:eastAsia="Symbol" w:hAnsi="Symbol"/>
          <w:sz w:val="24"/>
          <w:szCs w:val="24"/>
          <w:color w:val="auto"/>
        </w:rPr>
      </w:pPr>
      <w:r>
        <w:rPr>
          <w:rFonts w:ascii="Times New Roman" w:cs="Times New Roman" w:eastAsia="Times New Roman" w:hAnsi="Times New Roman"/>
          <w:sz w:val="24"/>
          <w:szCs w:val="24"/>
          <w:color w:val="auto"/>
        </w:rPr>
        <w:t>Name of the Company:</w:t>
      </w:r>
    </w:p>
    <w:p>
      <w:pPr>
        <w:spacing w:after="0" w:line="135" w:lineRule="exact"/>
        <w:rPr>
          <w:rFonts w:ascii="Symbol" w:cs="Symbol" w:eastAsia="Symbol" w:hAnsi="Symbol"/>
          <w:sz w:val="24"/>
          <w:szCs w:val="24"/>
          <w:color w:val="auto"/>
        </w:rPr>
      </w:pPr>
    </w:p>
    <w:p>
      <w:pPr>
        <w:ind w:left="2420" w:hanging="360"/>
        <w:spacing w:after="0"/>
        <w:tabs>
          <w:tab w:leader="none" w:pos="2420" w:val="left"/>
        </w:tabs>
        <w:numPr>
          <w:ilvl w:val="4"/>
          <w:numId w:val="1014"/>
        </w:numPr>
        <w:rPr>
          <w:rFonts w:ascii="Symbol" w:cs="Symbol" w:eastAsia="Symbol" w:hAnsi="Symbol"/>
          <w:sz w:val="24"/>
          <w:szCs w:val="24"/>
          <w:color w:val="auto"/>
        </w:rPr>
      </w:pPr>
      <w:r>
        <w:rPr>
          <w:rFonts w:ascii="Times New Roman" w:cs="Times New Roman" w:eastAsia="Times New Roman" w:hAnsi="Times New Roman"/>
          <w:sz w:val="24"/>
          <w:szCs w:val="24"/>
          <w:color w:val="auto"/>
        </w:rPr>
        <w:t>Listed on (give names of the stock exchange(s)):</w:t>
      </w:r>
    </w:p>
    <w:p>
      <w:pPr>
        <w:spacing w:after="0" w:line="137" w:lineRule="exact"/>
        <w:rPr>
          <w:rFonts w:ascii="Symbol" w:cs="Symbol" w:eastAsia="Symbol" w:hAnsi="Symbol"/>
          <w:sz w:val="24"/>
          <w:szCs w:val="24"/>
          <w:color w:val="auto"/>
        </w:rPr>
      </w:pPr>
    </w:p>
    <w:p>
      <w:pPr>
        <w:ind w:left="2420" w:hanging="360"/>
        <w:spacing w:after="0"/>
        <w:tabs>
          <w:tab w:leader="none" w:pos="2420" w:val="left"/>
        </w:tabs>
        <w:numPr>
          <w:ilvl w:val="4"/>
          <w:numId w:val="1014"/>
        </w:numPr>
        <w:rPr>
          <w:rFonts w:ascii="Symbol" w:cs="Symbol" w:eastAsia="Symbol" w:hAnsi="Symbol"/>
          <w:sz w:val="24"/>
          <w:szCs w:val="24"/>
          <w:color w:val="auto"/>
        </w:rPr>
      </w:pPr>
      <w:r>
        <w:rPr>
          <w:rFonts w:ascii="Times New Roman" w:cs="Times New Roman" w:eastAsia="Times New Roman" w:hAnsi="Times New Roman"/>
          <w:sz w:val="24"/>
          <w:szCs w:val="24"/>
          <w:color w:val="auto"/>
        </w:rPr>
        <w:t>Date of suspension on the stock exchanges:</w:t>
      </w:r>
    </w:p>
    <w:p>
      <w:pPr>
        <w:spacing w:after="0" w:line="168" w:lineRule="exact"/>
        <w:rPr>
          <w:rFonts w:ascii="Symbol" w:cs="Symbol" w:eastAsia="Symbol" w:hAnsi="Symbol"/>
          <w:sz w:val="24"/>
          <w:szCs w:val="24"/>
          <w:color w:val="auto"/>
        </w:rPr>
      </w:pPr>
    </w:p>
    <w:p>
      <w:pPr>
        <w:ind w:left="2420" w:hanging="360"/>
        <w:spacing w:after="0" w:line="332" w:lineRule="auto"/>
        <w:tabs>
          <w:tab w:leader="none" w:pos="2420" w:val="left"/>
        </w:tabs>
        <w:numPr>
          <w:ilvl w:val="4"/>
          <w:numId w:val="1014"/>
        </w:numPr>
        <w:rPr>
          <w:rFonts w:ascii="Symbol" w:cs="Symbol" w:eastAsia="Symbol" w:hAnsi="Symbol"/>
          <w:sz w:val="24"/>
          <w:szCs w:val="24"/>
          <w:color w:val="auto"/>
        </w:rPr>
      </w:pPr>
      <w:r>
        <w:rPr>
          <w:rFonts w:ascii="Times New Roman" w:cs="Times New Roman" w:eastAsia="Times New Roman" w:hAnsi="Times New Roman"/>
          <w:sz w:val="24"/>
          <w:szCs w:val="24"/>
          <w:color w:val="auto"/>
        </w:rPr>
        <w:t>If trading suspended for more than three months, reasons for suspension and period of suspension.</w:t>
      </w:r>
    </w:p>
    <w:p>
      <w:pPr>
        <w:spacing w:after="0" w:line="56" w:lineRule="exact"/>
        <w:rPr>
          <w:rFonts w:ascii="Symbol" w:cs="Symbol" w:eastAsia="Symbol" w:hAnsi="Symbol"/>
          <w:sz w:val="24"/>
          <w:szCs w:val="24"/>
          <w:color w:val="auto"/>
        </w:rPr>
      </w:pPr>
    </w:p>
    <w:p>
      <w:pPr>
        <w:ind w:left="2420" w:hanging="360"/>
        <w:spacing w:after="0" w:line="334" w:lineRule="auto"/>
        <w:tabs>
          <w:tab w:leader="none" w:pos="2420" w:val="left"/>
        </w:tabs>
        <w:numPr>
          <w:ilvl w:val="4"/>
          <w:numId w:val="1014"/>
        </w:numPr>
        <w:rPr>
          <w:rFonts w:ascii="Symbol" w:cs="Symbol" w:eastAsia="Symbol" w:hAnsi="Symbol"/>
          <w:sz w:val="24"/>
          <w:szCs w:val="24"/>
          <w:color w:val="auto"/>
        </w:rPr>
      </w:pPr>
      <w:r>
        <w:rPr>
          <w:rFonts w:ascii="Times New Roman" w:cs="Times New Roman" w:eastAsia="Times New Roman" w:hAnsi="Times New Roman"/>
          <w:sz w:val="24"/>
          <w:szCs w:val="24"/>
          <w:color w:val="auto"/>
        </w:rPr>
        <w:t>If the suspension of trading revoked, the date of revocation of suspension.</w:t>
      </w:r>
    </w:p>
    <w:p>
      <w:pPr>
        <w:spacing w:after="0" w:line="21" w:lineRule="exact"/>
        <w:rPr>
          <w:rFonts w:ascii="Symbol" w:cs="Symbol" w:eastAsia="Symbol" w:hAnsi="Symbol"/>
          <w:sz w:val="24"/>
          <w:szCs w:val="24"/>
          <w:color w:val="auto"/>
        </w:rPr>
      </w:pPr>
    </w:p>
    <w:p>
      <w:pPr>
        <w:ind w:left="2420" w:hanging="360"/>
        <w:spacing w:after="0"/>
        <w:tabs>
          <w:tab w:leader="none" w:pos="2420" w:val="left"/>
        </w:tabs>
        <w:numPr>
          <w:ilvl w:val="4"/>
          <w:numId w:val="1014"/>
        </w:numPr>
        <w:rPr>
          <w:rFonts w:ascii="Symbol" w:cs="Symbol" w:eastAsia="Symbol" w:hAnsi="Symbol"/>
          <w:sz w:val="24"/>
          <w:szCs w:val="24"/>
          <w:color w:val="auto"/>
        </w:rPr>
      </w:pPr>
      <w:r>
        <w:rPr>
          <w:rFonts w:ascii="Times New Roman" w:cs="Times New Roman" w:eastAsia="Times New Roman" w:hAnsi="Times New Roman"/>
          <w:sz w:val="24"/>
          <w:szCs w:val="24"/>
          <w:color w:val="auto"/>
        </w:rPr>
        <w:t>Term (along with relevant dates) of the director in the above company</w:t>
      </w:r>
    </w:p>
    <w:p>
      <w:pPr>
        <w:spacing w:after="0" w:line="139" w:lineRule="exact"/>
        <w:rPr>
          <w:sz w:val="20"/>
          <w:szCs w:val="20"/>
          <w:color w:val="auto"/>
        </w:rPr>
      </w:pPr>
    </w:p>
    <w:p>
      <w:pPr>
        <w:ind w:left="2420"/>
        <w:spacing w:after="0"/>
        <w:rPr>
          <w:sz w:val="20"/>
          <w:szCs w:val="20"/>
          <w:color w:val="auto"/>
        </w:rPr>
      </w:pPr>
      <w:r>
        <w:rPr>
          <w:rFonts w:ascii="Times New Roman" w:cs="Times New Roman" w:eastAsia="Times New Roman" w:hAnsi="Times New Roman"/>
          <w:sz w:val="24"/>
          <w:szCs w:val="24"/>
          <w:color w:val="auto"/>
        </w:rPr>
        <w:t>(ies).</w:t>
      </w:r>
    </w:p>
    <w:p>
      <w:pPr>
        <w:spacing w:after="0" w:line="149" w:lineRule="exact"/>
        <w:rPr>
          <w:sz w:val="20"/>
          <w:szCs w:val="20"/>
          <w:color w:val="auto"/>
        </w:rPr>
      </w:pPr>
    </w:p>
    <w:p>
      <w:pPr>
        <w:jc w:val="both"/>
        <w:ind w:left="1160" w:firstLine="721"/>
        <w:spacing w:after="0" w:line="354" w:lineRule="auto"/>
        <w:rPr>
          <w:sz w:val="20"/>
          <w:szCs w:val="20"/>
          <w:color w:val="auto"/>
        </w:rPr>
      </w:pPr>
      <w:r>
        <w:rPr>
          <w:rFonts w:ascii="Times New Roman" w:cs="Times New Roman" w:eastAsia="Times New Roman" w:hAnsi="Times New Roman"/>
          <w:sz w:val="24"/>
          <w:szCs w:val="24"/>
          <w:color w:val="auto"/>
        </w:rPr>
        <w:t>(The above details shall be given for the preceding five years. In case of fast track issues filed under the provisions of these regulations, the period of five years shall be reckoned on the date of filing of the offer document.)</w:t>
      </w:r>
    </w:p>
    <w:p>
      <w:pPr>
        <w:spacing w:after="0" w:line="200" w:lineRule="exact"/>
        <w:rPr>
          <w:sz w:val="20"/>
          <w:szCs w:val="20"/>
          <w:color w:val="auto"/>
        </w:rPr>
      </w:pPr>
    </w:p>
    <w:p>
      <w:pPr>
        <w:spacing w:after="0" w:line="235" w:lineRule="exact"/>
        <w:rPr>
          <w:sz w:val="20"/>
          <w:szCs w:val="20"/>
          <w:color w:val="auto"/>
        </w:rPr>
      </w:pPr>
    </w:p>
    <w:p>
      <w:pPr>
        <w:ind w:left="2060" w:hanging="576"/>
        <w:spacing w:after="0" w:line="354" w:lineRule="auto"/>
        <w:tabs>
          <w:tab w:leader="none" w:pos="1873" w:val="left"/>
        </w:tabs>
        <w:numPr>
          <w:ilvl w:val="0"/>
          <w:numId w:val="1015"/>
        </w:numPr>
        <w:rPr>
          <w:rFonts w:ascii="Arial" w:cs="Arial" w:eastAsia="Arial" w:hAnsi="Arial"/>
          <w:sz w:val="22"/>
          <w:szCs w:val="22"/>
          <w:color w:val="auto"/>
        </w:rPr>
      </w:pPr>
      <w:r>
        <w:rPr>
          <w:rFonts w:ascii="Times New Roman" w:cs="Times New Roman" w:eastAsia="Times New Roman" w:hAnsi="Times New Roman"/>
          <w:sz w:val="24"/>
          <w:szCs w:val="24"/>
          <w:color w:val="auto"/>
        </w:rPr>
        <w:t>For each person, details of current and past directorship(s) in listed companies which have been/were delisted from the stock exchange(s), during his/her tenure, as follows:</w:t>
      </w:r>
    </w:p>
    <w:p>
      <w:pPr>
        <w:spacing w:after="0" w:line="8" w:lineRule="exact"/>
        <w:rPr>
          <w:rFonts w:ascii="Arial" w:cs="Arial" w:eastAsia="Arial" w:hAnsi="Arial"/>
          <w:sz w:val="22"/>
          <w:szCs w:val="22"/>
          <w:color w:val="auto"/>
        </w:rPr>
      </w:pPr>
    </w:p>
    <w:p>
      <w:pPr>
        <w:ind w:left="2420" w:hanging="360"/>
        <w:spacing w:after="0"/>
        <w:tabs>
          <w:tab w:leader="none" w:pos="2420" w:val="left"/>
        </w:tabs>
        <w:numPr>
          <w:ilvl w:val="1"/>
          <w:numId w:val="1015"/>
        </w:numPr>
        <w:rPr>
          <w:rFonts w:ascii="Symbol" w:cs="Symbol" w:eastAsia="Symbol" w:hAnsi="Symbol"/>
          <w:sz w:val="24"/>
          <w:szCs w:val="24"/>
          <w:color w:val="auto"/>
        </w:rPr>
      </w:pPr>
      <w:r>
        <w:rPr>
          <w:rFonts w:ascii="Times New Roman" w:cs="Times New Roman" w:eastAsia="Times New Roman" w:hAnsi="Times New Roman"/>
          <w:sz w:val="24"/>
          <w:szCs w:val="24"/>
          <w:color w:val="auto"/>
        </w:rPr>
        <w:t>Name of the Company:</w:t>
      </w:r>
    </w:p>
    <w:p>
      <w:pPr>
        <w:spacing w:after="0" w:line="135" w:lineRule="exact"/>
        <w:rPr>
          <w:rFonts w:ascii="Symbol" w:cs="Symbol" w:eastAsia="Symbol" w:hAnsi="Symbol"/>
          <w:sz w:val="24"/>
          <w:szCs w:val="24"/>
          <w:color w:val="auto"/>
        </w:rPr>
      </w:pPr>
    </w:p>
    <w:p>
      <w:pPr>
        <w:ind w:left="2420" w:hanging="360"/>
        <w:spacing w:after="0"/>
        <w:tabs>
          <w:tab w:leader="none" w:pos="2420" w:val="left"/>
        </w:tabs>
        <w:numPr>
          <w:ilvl w:val="1"/>
          <w:numId w:val="1015"/>
        </w:numPr>
        <w:rPr>
          <w:rFonts w:ascii="Symbol" w:cs="Symbol" w:eastAsia="Symbol" w:hAnsi="Symbol"/>
          <w:sz w:val="24"/>
          <w:szCs w:val="24"/>
          <w:color w:val="auto"/>
        </w:rPr>
      </w:pPr>
      <w:r>
        <w:rPr>
          <w:rFonts w:ascii="Times New Roman" w:cs="Times New Roman" w:eastAsia="Times New Roman" w:hAnsi="Times New Roman"/>
          <w:sz w:val="24"/>
          <w:szCs w:val="24"/>
          <w:color w:val="auto"/>
        </w:rPr>
        <w:t>Listed on [give name of the stock exchange(s)]:</w:t>
      </w: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4"/>
          <w:szCs w:val="24"/>
          <w:color w:val="auto"/>
        </w:rPr>
        <w:t>306</w:t>
      </w:r>
    </w:p>
    <w:p>
      <w:pPr>
        <w:sectPr>
          <w:pgSz w:w="11900" w:h="16836" w:orient="portrait"/>
          <w:cols w:equalWidth="0" w:num="1">
            <w:col w:w="9180"/>
          </w:cols>
          <w:pgMar w:left="1440" w:top="1156" w:right="1284" w:bottom="103" w:gutter="0" w:footer="0" w:header="0"/>
        </w:sectPr>
      </w:pPr>
    </w:p>
    <w:bookmarkStart w:id="306" w:name="page307"/>
    <w:bookmarkEnd w:id="306"/>
    <w:p>
      <w:pPr>
        <w:ind w:left="2420" w:hanging="360"/>
        <w:spacing w:after="0"/>
        <w:tabs>
          <w:tab w:leader="none" w:pos="2420" w:val="left"/>
        </w:tabs>
        <w:numPr>
          <w:ilvl w:val="0"/>
          <w:numId w:val="1016"/>
        </w:numPr>
        <w:rPr>
          <w:rFonts w:ascii="Symbol" w:cs="Symbol" w:eastAsia="Symbol" w:hAnsi="Symbol"/>
          <w:sz w:val="24"/>
          <w:szCs w:val="24"/>
          <w:color w:val="auto"/>
        </w:rPr>
      </w:pPr>
      <w:r>
        <w:rPr>
          <w:rFonts w:ascii="Times New Roman" w:cs="Times New Roman" w:eastAsia="Times New Roman" w:hAnsi="Times New Roman"/>
          <w:sz w:val="24"/>
          <w:szCs w:val="24"/>
          <w:color w:val="auto"/>
        </w:rPr>
        <w:t>Date of delisting on the stock exchange(s):</w:t>
      </w:r>
    </w:p>
    <w:p>
      <w:pPr>
        <w:spacing w:after="0" w:line="138" w:lineRule="exact"/>
        <w:rPr>
          <w:rFonts w:ascii="Symbol" w:cs="Symbol" w:eastAsia="Symbol" w:hAnsi="Symbol"/>
          <w:sz w:val="24"/>
          <w:szCs w:val="24"/>
          <w:color w:val="auto"/>
        </w:rPr>
      </w:pPr>
    </w:p>
    <w:p>
      <w:pPr>
        <w:ind w:left="2420" w:hanging="360"/>
        <w:spacing w:after="0"/>
        <w:tabs>
          <w:tab w:leader="none" w:pos="2420" w:val="left"/>
        </w:tabs>
        <w:numPr>
          <w:ilvl w:val="0"/>
          <w:numId w:val="1016"/>
        </w:numPr>
        <w:rPr>
          <w:rFonts w:ascii="Symbol" w:cs="Symbol" w:eastAsia="Symbol" w:hAnsi="Symbol"/>
          <w:sz w:val="24"/>
          <w:szCs w:val="24"/>
          <w:color w:val="auto"/>
        </w:rPr>
      </w:pPr>
      <w:r>
        <w:rPr>
          <w:rFonts w:ascii="Times New Roman" w:cs="Times New Roman" w:eastAsia="Times New Roman" w:hAnsi="Times New Roman"/>
          <w:sz w:val="24"/>
          <w:szCs w:val="24"/>
          <w:color w:val="auto"/>
        </w:rPr>
        <w:t>Compulsory or voluntary delisting:</w:t>
      </w:r>
    </w:p>
    <w:p>
      <w:pPr>
        <w:spacing w:after="0" w:line="135" w:lineRule="exact"/>
        <w:rPr>
          <w:rFonts w:ascii="Symbol" w:cs="Symbol" w:eastAsia="Symbol" w:hAnsi="Symbol"/>
          <w:sz w:val="24"/>
          <w:szCs w:val="24"/>
          <w:color w:val="auto"/>
        </w:rPr>
      </w:pPr>
    </w:p>
    <w:p>
      <w:pPr>
        <w:ind w:left="2420" w:hanging="360"/>
        <w:spacing w:after="0"/>
        <w:tabs>
          <w:tab w:leader="none" w:pos="2420" w:val="left"/>
        </w:tabs>
        <w:numPr>
          <w:ilvl w:val="0"/>
          <w:numId w:val="1016"/>
        </w:numPr>
        <w:rPr>
          <w:rFonts w:ascii="Symbol" w:cs="Symbol" w:eastAsia="Symbol" w:hAnsi="Symbol"/>
          <w:sz w:val="24"/>
          <w:szCs w:val="24"/>
          <w:color w:val="auto"/>
        </w:rPr>
      </w:pPr>
      <w:r>
        <w:rPr>
          <w:rFonts w:ascii="Times New Roman" w:cs="Times New Roman" w:eastAsia="Times New Roman" w:hAnsi="Times New Roman"/>
          <w:sz w:val="24"/>
          <w:szCs w:val="24"/>
          <w:color w:val="auto"/>
        </w:rPr>
        <w:t>Reasons for delisting:</w:t>
      </w:r>
    </w:p>
    <w:p>
      <w:pPr>
        <w:spacing w:after="0" w:line="137" w:lineRule="exact"/>
        <w:rPr>
          <w:rFonts w:ascii="Symbol" w:cs="Symbol" w:eastAsia="Symbol" w:hAnsi="Symbol"/>
          <w:sz w:val="24"/>
          <w:szCs w:val="24"/>
          <w:color w:val="auto"/>
        </w:rPr>
      </w:pPr>
    </w:p>
    <w:p>
      <w:pPr>
        <w:ind w:left="2420" w:hanging="360"/>
        <w:spacing w:after="0"/>
        <w:tabs>
          <w:tab w:leader="none" w:pos="2420" w:val="left"/>
        </w:tabs>
        <w:numPr>
          <w:ilvl w:val="0"/>
          <w:numId w:val="1016"/>
        </w:numPr>
        <w:rPr>
          <w:rFonts w:ascii="Symbol" w:cs="Symbol" w:eastAsia="Symbol" w:hAnsi="Symbol"/>
          <w:sz w:val="24"/>
          <w:szCs w:val="24"/>
          <w:color w:val="auto"/>
        </w:rPr>
      </w:pPr>
      <w:r>
        <w:rPr>
          <w:rFonts w:ascii="Times New Roman" w:cs="Times New Roman" w:eastAsia="Times New Roman" w:hAnsi="Times New Roman"/>
          <w:sz w:val="24"/>
          <w:szCs w:val="24"/>
          <w:color w:val="auto"/>
        </w:rPr>
        <w:t>If relisted, date of relisting on [give name of the stock exchange(s)]</w:t>
      </w:r>
    </w:p>
    <w:p>
      <w:pPr>
        <w:spacing w:after="0" w:line="168" w:lineRule="exact"/>
        <w:rPr>
          <w:rFonts w:ascii="Symbol" w:cs="Symbol" w:eastAsia="Symbol" w:hAnsi="Symbol"/>
          <w:sz w:val="24"/>
          <w:szCs w:val="24"/>
          <w:color w:val="auto"/>
        </w:rPr>
      </w:pPr>
    </w:p>
    <w:p>
      <w:pPr>
        <w:ind w:left="2420" w:hanging="360"/>
        <w:spacing w:after="0" w:line="332" w:lineRule="auto"/>
        <w:tabs>
          <w:tab w:leader="none" w:pos="2420" w:val="left"/>
        </w:tabs>
        <w:numPr>
          <w:ilvl w:val="0"/>
          <w:numId w:val="1016"/>
        </w:numPr>
        <w:rPr>
          <w:rFonts w:ascii="Symbol" w:cs="Symbol" w:eastAsia="Symbol" w:hAnsi="Symbol"/>
          <w:sz w:val="24"/>
          <w:szCs w:val="24"/>
          <w:color w:val="auto"/>
        </w:rPr>
      </w:pPr>
      <w:r>
        <w:rPr>
          <w:rFonts w:ascii="Times New Roman" w:cs="Times New Roman" w:eastAsia="Times New Roman" w:hAnsi="Times New Roman"/>
          <w:sz w:val="24"/>
          <w:szCs w:val="24"/>
          <w:color w:val="auto"/>
        </w:rPr>
        <w:t>Term (along with relevant dates) of the director in the above company/companies.</w:t>
      </w:r>
    </w:p>
    <w:p>
      <w:pPr>
        <w:spacing w:after="0" w:line="200" w:lineRule="exact"/>
        <w:rPr>
          <w:sz w:val="20"/>
          <w:szCs w:val="20"/>
          <w:color w:val="auto"/>
        </w:rPr>
      </w:pPr>
    </w:p>
    <w:p>
      <w:pPr>
        <w:spacing w:after="0" w:line="252" w:lineRule="exact"/>
        <w:rPr>
          <w:sz w:val="20"/>
          <w:szCs w:val="20"/>
          <w:color w:val="auto"/>
        </w:rPr>
      </w:pPr>
    </w:p>
    <w:p>
      <w:pPr>
        <w:jc w:val="both"/>
        <w:ind w:left="1160" w:firstLine="721"/>
        <w:spacing w:after="0" w:line="354" w:lineRule="auto"/>
        <w:rPr>
          <w:sz w:val="20"/>
          <w:szCs w:val="20"/>
          <w:color w:val="auto"/>
        </w:rPr>
      </w:pPr>
      <w:r>
        <w:rPr>
          <w:rFonts w:ascii="Times New Roman" w:cs="Times New Roman" w:eastAsia="Times New Roman" w:hAnsi="Times New Roman"/>
          <w:sz w:val="24"/>
          <w:szCs w:val="24"/>
          <w:color w:val="auto"/>
        </w:rPr>
        <w:t>(The above details shall be given for the preceding five years. In case of fast track issues filed under the provisions of these regulations, the period of five years shall be reckoned on the date of filing of the offer document.)</w:t>
      </w:r>
    </w:p>
    <w:p>
      <w:pPr>
        <w:spacing w:after="0" w:line="200" w:lineRule="exact"/>
        <w:rPr>
          <w:sz w:val="20"/>
          <w:szCs w:val="20"/>
          <w:color w:val="auto"/>
        </w:rPr>
      </w:pPr>
    </w:p>
    <w:p>
      <w:pPr>
        <w:spacing w:after="0" w:line="223" w:lineRule="exact"/>
        <w:rPr>
          <w:sz w:val="20"/>
          <w:szCs w:val="20"/>
          <w:color w:val="auto"/>
        </w:rPr>
      </w:pPr>
    </w:p>
    <w:p>
      <w:pPr>
        <w:ind w:left="1160" w:hanging="396"/>
        <w:spacing w:after="0"/>
        <w:tabs>
          <w:tab w:leader="none" w:pos="1160" w:val="left"/>
        </w:tabs>
        <w:numPr>
          <w:ilvl w:val="0"/>
          <w:numId w:val="1017"/>
        </w:numPr>
        <w:rPr>
          <w:rFonts w:ascii="Times New Roman" w:cs="Times New Roman" w:eastAsia="Times New Roman" w:hAnsi="Times New Roman"/>
          <w:sz w:val="22"/>
          <w:szCs w:val="22"/>
          <w:b w:val="1"/>
          <w:bCs w:val="1"/>
          <w:color w:val="auto"/>
        </w:rPr>
      </w:pPr>
      <w:r>
        <w:rPr>
          <w:rFonts w:ascii="Times New Roman" w:cs="Times New Roman" w:eastAsia="Times New Roman" w:hAnsi="Times New Roman"/>
          <w:sz w:val="24"/>
          <w:szCs w:val="24"/>
          <w:b w:val="1"/>
          <w:bCs w:val="1"/>
          <w:color w:val="auto"/>
        </w:rPr>
        <w:t>Management Organisation Structure</w:t>
      </w:r>
      <w:r>
        <w:rPr>
          <w:rFonts w:ascii="Times New Roman" w:cs="Times New Roman" w:eastAsia="Times New Roman" w:hAnsi="Times New Roman"/>
          <w:sz w:val="24"/>
          <w:szCs w:val="24"/>
          <w:color w:val="auto"/>
        </w:rPr>
        <w:t>.</w:t>
      </w:r>
    </w:p>
    <w:p>
      <w:pPr>
        <w:spacing w:after="0" w:line="144" w:lineRule="exact"/>
        <w:rPr>
          <w:rFonts w:ascii="Times New Roman" w:cs="Times New Roman" w:eastAsia="Times New Roman" w:hAnsi="Times New Roman"/>
          <w:sz w:val="22"/>
          <w:szCs w:val="22"/>
          <w:b w:val="1"/>
          <w:bCs w:val="1"/>
          <w:color w:val="auto"/>
        </w:rPr>
      </w:pPr>
    </w:p>
    <w:p>
      <w:pPr>
        <w:ind w:left="1160" w:hanging="396"/>
        <w:spacing w:after="0"/>
        <w:tabs>
          <w:tab w:leader="none" w:pos="1160" w:val="left"/>
        </w:tabs>
        <w:numPr>
          <w:ilvl w:val="0"/>
          <w:numId w:val="1017"/>
        </w:numPr>
        <w:rPr>
          <w:rFonts w:ascii="Times New Roman" w:cs="Times New Roman" w:eastAsia="Times New Roman" w:hAnsi="Times New Roman"/>
          <w:sz w:val="22"/>
          <w:szCs w:val="22"/>
          <w:b w:val="1"/>
          <w:bCs w:val="1"/>
          <w:color w:val="auto"/>
        </w:rPr>
      </w:pPr>
      <w:r>
        <w:rPr>
          <w:rFonts w:ascii="Times New Roman" w:cs="Times New Roman" w:eastAsia="Times New Roman" w:hAnsi="Times New Roman"/>
          <w:sz w:val="24"/>
          <w:szCs w:val="24"/>
          <w:b w:val="1"/>
          <w:bCs w:val="1"/>
          <w:color w:val="auto"/>
        </w:rPr>
        <w:t>Corporate Governance:</w:t>
      </w:r>
    </w:p>
    <w:p>
      <w:pPr>
        <w:spacing w:after="0" w:line="144" w:lineRule="exact"/>
        <w:rPr>
          <w:rFonts w:ascii="Times New Roman" w:cs="Times New Roman" w:eastAsia="Times New Roman" w:hAnsi="Times New Roman"/>
          <w:sz w:val="22"/>
          <w:szCs w:val="22"/>
          <w:b w:val="1"/>
          <w:bCs w:val="1"/>
          <w:color w:val="auto"/>
        </w:rPr>
      </w:pPr>
    </w:p>
    <w:p>
      <w:pPr>
        <w:ind w:left="2060" w:hanging="576"/>
        <w:spacing w:after="0" w:line="358" w:lineRule="auto"/>
        <w:tabs>
          <w:tab w:leader="none" w:pos="1873" w:val="left"/>
        </w:tabs>
        <w:numPr>
          <w:ilvl w:val="2"/>
          <w:numId w:val="1017"/>
        </w:numPr>
        <w:rPr>
          <w:rFonts w:ascii="Arial" w:cs="Arial" w:eastAsia="Arial" w:hAnsi="Arial"/>
          <w:sz w:val="22"/>
          <w:szCs w:val="22"/>
          <w:color w:val="auto"/>
        </w:rPr>
      </w:pPr>
      <w:r>
        <w:rPr>
          <w:rFonts w:ascii="Times New Roman" w:cs="Times New Roman" w:eastAsia="Times New Roman" w:hAnsi="Times New Roman"/>
          <w:sz w:val="24"/>
          <w:szCs w:val="24"/>
          <w:color w:val="auto"/>
        </w:rPr>
        <w:t>A statement that the issuer has complied with the requirements of corporate governance relating to the composition of its board of directors, constitution of committees such as audit committee, nomination and remuneration committee, stakeholders relationship committee, etc., as provided under Securities and Exchange Board of India (Listing Obligations and Disclosure Requirements) Regulations, 2015.</w:t>
      </w:r>
    </w:p>
    <w:p>
      <w:pPr>
        <w:spacing w:after="0" w:line="14" w:lineRule="exact"/>
        <w:rPr>
          <w:rFonts w:ascii="Arial" w:cs="Arial" w:eastAsia="Arial" w:hAnsi="Arial"/>
          <w:sz w:val="22"/>
          <w:szCs w:val="22"/>
          <w:color w:val="auto"/>
        </w:rPr>
      </w:pPr>
    </w:p>
    <w:p>
      <w:pPr>
        <w:ind w:left="2060" w:hanging="576"/>
        <w:spacing w:after="0" w:line="356" w:lineRule="auto"/>
        <w:tabs>
          <w:tab w:leader="none" w:pos="1873" w:val="left"/>
        </w:tabs>
        <w:numPr>
          <w:ilvl w:val="2"/>
          <w:numId w:val="1017"/>
        </w:numPr>
        <w:rPr>
          <w:rFonts w:ascii="Arial" w:cs="Arial" w:eastAsia="Arial" w:hAnsi="Arial"/>
          <w:sz w:val="22"/>
          <w:szCs w:val="22"/>
          <w:color w:val="auto"/>
        </w:rPr>
      </w:pPr>
      <w:r>
        <w:rPr>
          <w:rFonts w:ascii="Times New Roman" w:cs="Times New Roman" w:eastAsia="Times New Roman" w:hAnsi="Times New Roman"/>
          <w:sz w:val="24"/>
          <w:szCs w:val="24"/>
          <w:color w:val="auto"/>
        </w:rPr>
        <w:t>Details relating to the issuer's audit committee, nomination and remuneration committee, stakeholders’ relationship committee and risk management committee (if applicable) including the names of committee members and the terms of reference under which the committees operate.</w:t>
      </w:r>
    </w:p>
    <w:p>
      <w:pPr>
        <w:spacing w:after="0" w:line="11" w:lineRule="exact"/>
        <w:rPr>
          <w:rFonts w:ascii="Arial" w:cs="Arial" w:eastAsia="Arial" w:hAnsi="Arial"/>
          <w:sz w:val="22"/>
          <w:szCs w:val="22"/>
          <w:color w:val="auto"/>
        </w:rPr>
      </w:pPr>
    </w:p>
    <w:p>
      <w:pPr>
        <w:ind w:left="1160" w:hanging="396"/>
        <w:spacing w:after="0"/>
        <w:tabs>
          <w:tab w:leader="none" w:pos="1160" w:val="left"/>
        </w:tabs>
        <w:numPr>
          <w:ilvl w:val="0"/>
          <w:numId w:val="1017"/>
        </w:numPr>
        <w:rPr>
          <w:rFonts w:ascii="Times New Roman" w:cs="Times New Roman" w:eastAsia="Times New Roman" w:hAnsi="Times New Roman"/>
          <w:sz w:val="22"/>
          <w:szCs w:val="22"/>
          <w:b w:val="1"/>
          <w:bCs w:val="1"/>
          <w:color w:val="auto"/>
        </w:rPr>
      </w:pPr>
      <w:r>
        <w:rPr>
          <w:rFonts w:ascii="Times New Roman" w:cs="Times New Roman" w:eastAsia="Times New Roman" w:hAnsi="Times New Roman"/>
          <w:sz w:val="24"/>
          <w:szCs w:val="24"/>
          <w:b w:val="1"/>
          <w:bCs w:val="1"/>
          <w:color w:val="auto"/>
        </w:rPr>
        <w:t>Key Managerial Personnel:</w:t>
      </w:r>
    </w:p>
    <w:p>
      <w:pPr>
        <w:spacing w:after="0" w:line="146" w:lineRule="exact"/>
        <w:rPr>
          <w:rFonts w:ascii="Times New Roman" w:cs="Times New Roman" w:eastAsia="Times New Roman" w:hAnsi="Times New Roman"/>
          <w:sz w:val="22"/>
          <w:szCs w:val="22"/>
          <w:b w:val="1"/>
          <w:bCs w:val="1"/>
          <w:color w:val="auto"/>
        </w:rPr>
      </w:pPr>
    </w:p>
    <w:p>
      <w:pPr>
        <w:jc w:val="both"/>
        <w:ind w:left="1160" w:hanging="368"/>
        <w:spacing w:after="0" w:line="356" w:lineRule="auto"/>
        <w:tabs>
          <w:tab w:leader="none" w:pos="1160" w:val="left"/>
        </w:tabs>
        <w:numPr>
          <w:ilvl w:val="1"/>
          <w:numId w:val="10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the key managerial personnel indicating name, date of joining, qualification, term of office with date of expiration of term and details of service contracts including termination/retirement benefits, if any, details of previous employment, etc.</w:t>
      </w:r>
    </w:p>
    <w:p>
      <w:pPr>
        <w:spacing w:after="0" w:line="16" w:lineRule="exact"/>
        <w:rPr>
          <w:rFonts w:ascii="Times New Roman" w:cs="Times New Roman" w:eastAsia="Times New Roman" w:hAnsi="Times New Roman"/>
          <w:sz w:val="24"/>
          <w:szCs w:val="24"/>
          <w:color w:val="auto"/>
        </w:rPr>
      </w:pPr>
    </w:p>
    <w:p>
      <w:pPr>
        <w:ind w:left="1160" w:hanging="368"/>
        <w:spacing w:after="0" w:line="350" w:lineRule="auto"/>
        <w:tabs>
          <w:tab w:leader="none" w:pos="1160" w:val="left"/>
        </w:tabs>
        <w:numPr>
          <w:ilvl w:val="1"/>
          <w:numId w:val="10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Past business experience, and functions and areas of experience in the issuer. Nature of any family relationship between any of the key managerial personnel.</w:t>
      </w:r>
    </w:p>
    <w:p>
      <w:pPr>
        <w:spacing w:after="0" w:line="10" w:lineRule="exact"/>
        <w:rPr>
          <w:rFonts w:ascii="Times New Roman" w:cs="Times New Roman" w:eastAsia="Times New Roman" w:hAnsi="Times New Roman"/>
          <w:sz w:val="24"/>
          <w:szCs w:val="24"/>
          <w:color w:val="auto"/>
        </w:rPr>
      </w:pPr>
    </w:p>
    <w:p>
      <w:pPr>
        <w:ind w:left="1160" w:hanging="368"/>
        <w:spacing w:after="0"/>
        <w:tabs>
          <w:tab w:leader="none" w:pos="1160" w:val="left"/>
        </w:tabs>
        <w:numPr>
          <w:ilvl w:val="1"/>
          <w:numId w:val="10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Status of each key managerial personnel, as a permanent employee or otherwise.</w:t>
      </w:r>
    </w:p>
    <w:p>
      <w:pPr>
        <w:spacing w:after="0" w:line="152" w:lineRule="exact"/>
        <w:rPr>
          <w:sz w:val="20"/>
          <w:szCs w:val="20"/>
          <w:color w:val="auto"/>
        </w:rPr>
      </w:pPr>
    </w:p>
    <w:p>
      <w:pPr>
        <w:jc w:val="both"/>
        <w:ind w:left="400" w:hanging="356"/>
        <w:spacing w:after="0" w:line="348" w:lineRule="auto"/>
        <w:tabs>
          <w:tab w:leader="none" w:pos="1149" w:val="left"/>
        </w:tabs>
        <w:numPr>
          <w:ilvl w:val="0"/>
          <w:numId w:val="101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Promoters/ principal shareholders: </w:t>
      </w:r>
      <w:r>
        <w:rPr>
          <w:rFonts w:ascii="Times New Roman" w:cs="Times New Roman" w:eastAsia="Times New Roman" w:hAnsi="Times New Roman"/>
          <w:sz w:val="24"/>
          <w:szCs w:val="24"/>
          <w:color w:val="auto"/>
        </w:rPr>
        <w:t>Brief profile of promoters including name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and experience in the business, other directorships held in other companies. In case of</w:t>
      </w:r>
    </w:p>
    <w:p>
      <w:pPr>
        <w:spacing w:after="0" w:line="28" w:lineRule="exact"/>
        <w:rPr>
          <w:sz w:val="20"/>
          <w:szCs w:val="20"/>
          <w:color w:val="auto"/>
        </w:rPr>
      </w:pPr>
    </w:p>
    <w:p>
      <w:pPr>
        <w:ind w:left="400"/>
        <w:spacing w:after="0" w:line="348" w:lineRule="auto"/>
        <w:rPr>
          <w:sz w:val="20"/>
          <w:szCs w:val="20"/>
          <w:color w:val="auto"/>
        </w:rPr>
      </w:pPr>
      <w:r>
        <w:rPr>
          <w:rFonts w:ascii="Times New Roman" w:cs="Times New Roman" w:eastAsia="Times New Roman" w:hAnsi="Times New Roman"/>
          <w:sz w:val="24"/>
          <w:szCs w:val="24"/>
          <w:color w:val="auto"/>
        </w:rPr>
        <w:t>corporate promoters’ details including name, date of incorporation, brief financial details and market capitalization if such promoter is a listed entity. In case of AIF or venture</w:t>
      </w:r>
    </w:p>
    <w:p>
      <w:pPr>
        <w:spacing w:after="0" w:line="186"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4"/>
          <w:szCs w:val="24"/>
          <w:color w:val="auto"/>
        </w:rPr>
        <w:t>307</w:t>
      </w:r>
    </w:p>
    <w:p>
      <w:pPr>
        <w:sectPr>
          <w:pgSz w:w="11900" w:h="16836" w:orient="portrait"/>
          <w:cols w:equalWidth="0" w:num="1">
            <w:col w:w="9180"/>
          </w:cols>
          <w:pgMar w:left="1440" w:top="1143" w:right="1284" w:bottom="103" w:gutter="0" w:footer="0" w:header="0"/>
        </w:sectPr>
      </w:pPr>
    </w:p>
    <w:bookmarkStart w:id="307" w:name="page308"/>
    <w:bookmarkEnd w:id="307"/>
    <w:p>
      <w:pPr>
        <w:ind w:left="400"/>
        <w:spacing w:after="0" w:line="348" w:lineRule="auto"/>
        <w:rPr>
          <w:sz w:val="20"/>
          <w:szCs w:val="20"/>
          <w:color w:val="auto"/>
        </w:rPr>
      </w:pPr>
      <w:r>
        <w:rPr>
          <w:rFonts w:ascii="Times New Roman" w:cs="Times New Roman" w:eastAsia="Times New Roman" w:hAnsi="Times New Roman"/>
          <w:sz w:val="24"/>
          <w:szCs w:val="24"/>
          <w:color w:val="auto"/>
        </w:rPr>
        <w:t>capital fund is a promoter, name of the entity, date of incorporation, name of the fund manager and generic details of the fund.</w:t>
      </w:r>
    </w:p>
    <w:p>
      <w:pPr>
        <w:spacing w:after="0" w:line="28" w:lineRule="exact"/>
        <w:rPr>
          <w:sz w:val="20"/>
          <w:szCs w:val="20"/>
          <w:color w:val="auto"/>
        </w:rPr>
      </w:pPr>
    </w:p>
    <w:p>
      <w:pPr>
        <w:jc w:val="both"/>
        <w:ind w:left="400" w:hanging="356"/>
        <w:spacing w:after="0" w:line="356" w:lineRule="auto"/>
        <w:tabs>
          <w:tab w:leader="none" w:pos="1149" w:val="left"/>
        </w:tabs>
        <w:numPr>
          <w:ilvl w:val="0"/>
          <w:numId w:val="101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Dividend policy: </w:t>
      </w:r>
      <w:r>
        <w:rPr>
          <w:rFonts w:ascii="Times New Roman" w:cs="Times New Roman" w:eastAsia="Times New Roman" w:hAnsi="Times New Roman"/>
          <w:sz w:val="24"/>
          <w:szCs w:val="24"/>
          <w:color w:val="auto"/>
        </w:rPr>
        <w:t>Dividend policy and mode of payment of dividend, details of</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dividend paid in the last three financial years and the stub period, as applicable, and the period between last audited period and the date of the filing the draft letter of offer/ letter of offer.</w:t>
      </w:r>
    </w:p>
    <w:p>
      <w:pPr>
        <w:spacing w:after="0" w:line="11" w:lineRule="exact"/>
        <w:rPr>
          <w:rFonts w:ascii="Times New Roman" w:cs="Times New Roman" w:eastAsia="Times New Roman" w:hAnsi="Times New Roman"/>
          <w:sz w:val="24"/>
          <w:szCs w:val="24"/>
          <w:b w:val="1"/>
          <w:bCs w:val="1"/>
          <w:color w:val="auto"/>
        </w:rPr>
      </w:pPr>
    </w:p>
    <w:p>
      <w:pPr>
        <w:ind w:left="1160" w:hanging="1116"/>
        <w:spacing w:after="0"/>
        <w:tabs>
          <w:tab w:leader="none" w:pos="1160" w:val="left"/>
        </w:tabs>
        <w:numPr>
          <w:ilvl w:val="0"/>
          <w:numId w:val="101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Financial Statements:</w:t>
      </w:r>
    </w:p>
    <w:p>
      <w:pPr>
        <w:spacing w:after="0" w:line="136" w:lineRule="exact"/>
        <w:rPr>
          <w:rFonts w:ascii="Times New Roman" w:cs="Times New Roman" w:eastAsia="Times New Roman" w:hAnsi="Times New Roman"/>
          <w:sz w:val="24"/>
          <w:szCs w:val="24"/>
          <w:b w:val="1"/>
          <w:bCs w:val="1"/>
          <w:color w:val="auto"/>
        </w:rPr>
      </w:pPr>
    </w:p>
    <w:p>
      <w:pPr>
        <w:ind w:left="760" w:hanging="356"/>
        <w:spacing w:after="0"/>
        <w:tabs>
          <w:tab w:leader="none" w:pos="760" w:val="left"/>
        </w:tabs>
        <w:numPr>
          <w:ilvl w:val="1"/>
          <w:numId w:val="101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Restated Consolidated financial statements of the issuer:</w:t>
      </w:r>
    </w:p>
    <w:p>
      <w:pPr>
        <w:spacing w:after="0" w:line="147" w:lineRule="exact"/>
        <w:rPr>
          <w:sz w:val="20"/>
          <w:szCs w:val="20"/>
          <w:color w:val="auto"/>
        </w:rPr>
      </w:pPr>
    </w:p>
    <w:p>
      <w:pPr>
        <w:jc w:val="both"/>
        <w:ind w:left="1160"/>
        <w:spacing w:after="0" w:line="357" w:lineRule="auto"/>
        <w:rPr>
          <w:sz w:val="20"/>
          <w:szCs w:val="20"/>
          <w:color w:val="auto"/>
        </w:rPr>
      </w:pPr>
      <w:r>
        <w:rPr>
          <w:rFonts w:ascii="Times New Roman" w:cs="Times New Roman" w:eastAsia="Times New Roman" w:hAnsi="Times New Roman"/>
          <w:sz w:val="24"/>
          <w:szCs w:val="24"/>
          <w:color w:val="auto"/>
        </w:rPr>
        <w:t>The audited and restated consolidated financial statements (CFS) prepared in accordance with applicable accounting standards for the last three financial years. In addition, latest limited review financial statements disclosed to the stock exchange with the comparative prior year period (this information should not be earlier than six months prior to the date of the opening of the issue).</w:t>
      </w:r>
    </w:p>
    <w:p>
      <w:pPr>
        <w:spacing w:after="0" w:line="200" w:lineRule="exact"/>
        <w:rPr>
          <w:sz w:val="20"/>
          <w:szCs w:val="20"/>
          <w:color w:val="auto"/>
        </w:rPr>
      </w:pPr>
    </w:p>
    <w:p>
      <w:pPr>
        <w:spacing w:after="0" w:line="219"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24"/>
          <w:szCs w:val="24"/>
          <w:color w:val="auto"/>
        </w:rPr>
        <w:t>The following shall be included in the letter of offer:</w:t>
      </w:r>
    </w:p>
    <w:p>
      <w:pPr>
        <w:spacing w:after="0" w:line="137" w:lineRule="exact"/>
        <w:rPr>
          <w:sz w:val="20"/>
          <w:szCs w:val="20"/>
          <w:color w:val="auto"/>
        </w:rPr>
      </w:pPr>
    </w:p>
    <w:p>
      <w:pPr>
        <w:ind w:left="1880" w:hanging="452"/>
        <w:spacing w:after="0"/>
        <w:tabs>
          <w:tab w:leader="none" w:pos="1880" w:val="left"/>
        </w:tabs>
        <w:numPr>
          <w:ilvl w:val="3"/>
          <w:numId w:val="10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Report of statutory auditors on the financial statements.</w:t>
      </w:r>
    </w:p>
    <w:p>
      <w:pPr>
        <w:spacing w:after="0" w:line="139" w:lineRule="exact"/>
        <w:rPr>
          <w:rFonts w:ascii="Times New Roman" w:cs="Times New Roman" w:eastAsia="Times New Roman" w:hAnsi="Times New Roman"/>
          <w:sz w:val="24"/>
          <w:szCs w:val="24"/>
          <w:color w:val="auto"/>
        </w:rPr>
      </w:pPr>
    </w:p>
    <w:p>
      <w:pPr>
        <w:ind w:left="1880" w:hanging="519"/>
        <w:spacing w:after="0"/>
        <w:tabs>
          <w:tab w:leader="none" w:pos="1880" w:val="left"/>
        </w:tabs>
        <w:numPr>
          <w:ilvl w:val="3"/>
          <w:numId w:val="10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Balance sheets</w:t>
      </w:r>
    </w:p>
    <w:p>
      <w:pPr>
        <w:spacing w:after="0" w:line="136" w:lineRule="exact"/>
        <w:rPr>
          <w:rFonts w:ascii="Times New Roman" w:cs="Times New Roman" w:eastAsia="Times New Roman" w:hAnsi="Times New Roman"/>
          <w:sz w:val="24"/>
          <w:szCs w:val="24"/>
          <w:color w:val="auto"/>
        </w:rPr>
      </w:pPr>
    </w:p>
    <w:p>
      <w:pPr>
        <w:ind w:left="1880" w:hanging="584"/>
        <w:spacing w:after="0"/>
        <w:tabs>
          <w:tab w:leader="none" w:pos="1880" w:val="left"/>
        </w:tabs>
        <w:numPr>
          <w:ilvl w:val="3"/>
          <w:numId w:val="10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Statements of income</w:t>
      </w:r>
    </w:p>
    <w:p>
      <w:pPr>
        <w:spacing w:after="0" w:line="139" w:lineRule="exact"/>
        <w:rPr>
          <w:rFonts w:ascii="Times New Roman" w:cs="Times New Roman" w:eastAsia="Times New Roman" w:hAnsi="Times New Roman"/>
          <w:sz w:val="24"/>
          <w:szCs w:val="24"/>
          <w:color w:val="auto"/>
        </w:rPr>
      </w:pPr>
    </w:p>
    <w:p>
      <w:pPr>
        <w:ind w:left="1880" w:hanging="572"/>
        <w:spacing w:after="0"/>
        <w:tabs>
          <w:tab w:leader="none" w:pos="1880" w:val="left"/>
        </w:tabs>
        <w:numPr>
          <w:ilvl w:val="3"/>
          <w:numId w:val="10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Schedules to accounts</w:t>
      </w:r>
    </w:p>
    <w:p>
      <w:pPr>
        <w:spacing w:after="0" w:line="136" w:lineRule="exact"/>
        <w:rPr>
          <w:rFonts w:ascii="Times New Roman" w:cs="Times New Roman" w:eastAsia="Times New Roman" w:hAnsi="Times New Roman"/>
          <w:sz w:val="24"/>
          <w:szCs w:val="24"/>
          <w:color w:val="auto"/>
        </w:rPr>
      </w:pPr>
    </w:p>
    <w:p>
      <w:pPr>
        <w:ind w:left="1880" w:hanging="504"/>
        <w:spacing w:after="0"/>
        <w:tabs>
          <w:tab w:leader="none" w:pos="1880" w:val="left"/>
        </w:tabs>
        <w:numPr>
          <w:ilvl w:val="3"/>
          <w:numId w:val="10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Statements of changes in stockholders’ equity</w:t>
      </w:r>
    </w:p>
    <w:p>
      <w:pPr>
        <w:spacing w:after="0" w:line="139" w:lineRule="exact"/>
        <w:rPr>
          <w:rFonts w:ascii="Times New Roman" w:cs="Times New Roman" w:eastAsia="Times New Roman" w:hAnsi="Times New Roman"/>
          <w:sz w:val="24"/>
          <w:szCs w:val="24"/>
          <w:color w:val="auto"/>
        </w:rPr>
      </w:pPr>
    </w:p>
    <w:p>
      <w:pPr>
        <w:ind w:left="1880" w:hanging="572"/>
        <w:spacing w:after="0"/>
        <w:tabs>
          <w:tab w:leader="none" w:pos="1880" w:val="left"/>
        </w:tabs>
        <w:numPr>
          <w:ilvl w:val="3"/>
          <w:numId w:val="10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Statements of cash flows</w:t>
      </w:r>
    </w:p>
    <w:p>
      <w:pPr>
        <w:spacing w:after="0" w:line="136" w:lineRule="exact"/>
        <w:rPr>
          <w:rFonts w:ascii="Times New Roman" w:cs="Times New Roman" w:eastAsia="Times New Roman" w:hAnsi="Times New Roman"/>
          <w:sz w:val="24"/>
          <w:szCs w:val="24"/>
          <w:color w:val="auto"/>
        </w:rPr>
      </w:pPr>
    </w:p>
    <w:p>
      <w:pPr>
        <w:ind w:left="1880" w:hanging="639"/>
        <w:spacing w:after="0"/>
        <w:tabs>
          <w:tab w:leader="none" w:pos="1880" w:val="left"/>
        </w:tabs>
        <w:numPr>
          <w:ilvl w:val="3"/>
          <w:numId w:val="10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Statement of accounting policies</w:t>
      </w:r>
    </w:p>
    <w:p>
      <w:pPr>
        <w:spacing w:after="0" w:line="139" w:lineRule="exact"/>
        <w:rPr>
          <w:rFonts w:ascii="Times New Roman" w:cs="Times New Roman" w:eastAsia="Times New Roman" w:hAnsi="Times New Roman"/>
          <w:sz w:val="24"/>
          <w:szCs w:val="24"/>
          <w:color w:val="auto"/>
        </w:rPr>
      </w:pPr>
    </w:p>
    <w:p>
      <w:pPr>
        <w:ind w:left="1880" w:hanging="704"/>
        <w:spacing w:after="0"/>
        <w:tabs>
          <w:tab w:leader="none" w:pos="1880" w:val="left"/>
        </w:tabs>
        <w:numPr>
          <w:ilvl w:val="3"/>
          <w:numId w:val="10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Notes to financial statements</w:t>
      </w:r>
    </w:p>
    <w:p>
      <w:pPr>
        <w:spacing w:after="0" w:line="149" w:lineRule="exact"/>
        <w:rPr>
          <w:rFonts w:ascii="Times New Roman" w:cs="Times New Roman" w:eastAsia="Times New Roman" w:hAnsi="Times New Roman"/>
          <w:sz w:val="24"/>
          <w:szCs w:val="24"/>
          <w:color w:val="auto"/>
        </w:rPr>
      </w:pPr>
    </w:p>
    <w:p>
      <w:pPr>
        <w:jc w:val="both"/>
        <w:ind w:left="1840" w:hanging="532"/>
        <w:spacing w:after="0" w:line="358" w:lineRule="auto"/>
        <w:tabs>
          <w:tab w:leader="none" w:pos="1840" w:val="left"/>
        </w:tabs>
        <w:numPr>
          <w:ilvl w:val="3"/>
          <w:numId w:val="10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List of the related parties and all related party transactions of the consolidated entities (whether eliminated on consolidation or not), which require disclosure under Ind AS 24 and/ or covered under section 188(2) of the Companies Act, 2013 (as amended), as disclosed in the separate financial statement of the consolidated entities, should be disclosed in the restated financial information.</w:t>
      </w:r>
    </w:p>
    <w:p>
      <w:pPr>
        <w:spacing w:after="0" w:line="200" w:lineRule="exact"/>
        <w:rPr>
          <w:rFonts w:ascii="Times New Roman" w:cs="Times New Roman" w:eastAsia="Times New Roman" w:hAnsi="Times New Roman"/>
          <w:sz w:val="24"/>
          <w:szCs w:val="24"/>
          <w:color w:val="auto"/>
        </w:rPr>
      </w:pPr>
    </w:p>
    <w:p>
      <w:pPr>
        <w:spacing w:after="0" w:line="221" w:lineRule="exact"/>
        <w:rPr>
          <w:rFonts w:ascii="Times New Roman" w:cs="Times New Roman" w:eastAsia="Times New Roman" w:hAnsi="Times New Roman"/>
          <w:sz w:val="24"/>
          <w:szCs w:val="24"/>
          <w:color w:val="auto"/>
        </w:rPr>
      </w:pPr>
    </w:p>
    <w:p>
      <w:pPr>
        <w:ind w:left="820" w:hanging="416"/>
        <w:spacing w:after="0"/>
        <w:tabs>
          <w:tab w:leader="none" w:pos="820" w:val="left"/>
        </w:tabs>
        <w:numPr>
          <w:ilvl w:val="0"/>
          <w:numId w:val="102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Other Financial Information</w:t>
      </w:r>
    </w:p>
    <w:p>
      <w:pPr>
        <w:spacing w:after="0" w:line="144" w:lineRule="exact"/>
        <w:rPr>
          <w:rFonts w:ascii="Times New Roman" w:cs="Times New Roman" w:eastAsia="Times New Roman" w:hAnsi="Times New Roman"/>
          <w:sz w:val="24"/>
          <w:szCs w:val="24"/>
          <w:b w:val="1"/>
          <w:bCs w:val="1"/>
          <w:color w:val="auto"/>
        </w:rPr>
      </w:pPr>
    </w:p>
    <w:p>
      <w:pPr>
        <w:ind w:left="1120" w:hanging="356"/>
        <w:spacing w:after="0" w:line="350" w:lineRule="auto"/>
        <w:tabs>
          <w:tab w:leader="none" w:pos="1120" w:val="left"/>
        </w:tabs>
        <w:numPr>
          <w:ilvl w:val="1"/>
          <w:numId w:val="10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The following information shall be computed as per the </w:t>
      </w:r>
      <w:r>
        <w:rPr>
          <w:rFonts w:ascii="Times New Roman" w:cs="Times New Roman" w:eastAsia="Times New Roman" w:hAnsi="Times New Roman"/>
          <w:sz w:val="24"/>
          <w:szCs w:val="24"/>
          <w:i w:val="1"/>
          <w:iCs w:val="1"/>
          <w:color w:val="auto"/>
        </w:rPr>
        <w:t>Guidance Note</w:t>
      </w:r>
      <w:r>
        <w:rPr>
          <w:rFonts w:ascii="Times New Roman" w:cs="Times New Roman" w:eastAsia="Times New Roman" w:hAnsi="Times New Roman"/>
          <w:sz w:val="24"/>
          <w:szCs w:val="24"/>
          <w:color w:val="auto"/>
        </w:rPr>
        <w:t xml:space="preserve"> issued by the ICAI from time to time and disclosed in other financial information</w:t>
      </w:r>
    </w:p>
    <w:p>
      <w:pPr>
        <w:spacing w:after="0" w:line="9" w:lineRule="exact"/>
        <w:rPr>
          <w:rFonts w:ascii="Times New Roman" w:cs="Times New Roman" w:eastAsia="Times New Roman" w:hAnsi="Times New Roman"/>
          <w:sz w:val="24"/>
          <w:szCs w:val="24"/>
          <w:color w:val="auto"/>
        </w:rPr>
      </w:pPr>
    </w:p>
    <w:p>
      <w:pPr>
        <w:ind w:left="1480" w:hanging="280"/>
        <w:spacing w:after="0"/>
        <w:tabs>
          <w:tab w:leader="none" w:pos="1480" w:val="left"/>
        </w:tabs>
        <w:numPr>
          <w:ilvl w:val="2"/>
          <w:numId w:val="1021"/>
        </w:numPr>
        <w:rPr>
          <w:rFonts w:ascii="Symbol" w:cs="Symbol" w:eastAsia="Symbol" w:hAnsi="Symbol"/>
          <w:sz w:val="24"/>
          <w:szCs w:val="24"/>
          <w:color w:val="auto"/>
        </w:rPr>
      </w:pPr>
      <w:r>
        <w:rPr>
          <w:rFonts w:ascii="Times New Roman" w:cs="Times New Roman" w:eastAsia="Times New Roman" w:hAnsi="Times New Roman"/>
          <w:sz w:val="24"/>
          <w:szCs w:val="24"/>
          <w:color w:val="auto"/>
        </w:rPr>
        <w:t>Earnings per share (Basic and Diluted)</w:t>
      </w:r>
    </w:p>
    <w:p>
      <w:pPr>
        <w:spacing w:after="0" w:line="137" w:lineRule="exact"/>
        <w:rPr>
          <w:rFonts w:ascii="Symbol" w:cs="Symbol" w:eastAsia="Symbol" w:hAnsi="Symbol"/>
          <w:sz w:val="24"/>
          <w:szCs w:val="24"/>
          <w:color w:val="auto"/>
        </w:rPr>
      </w:pPr>
    </w:p>
    <w:p>
      <w:pPr>
        <w:ind w:left="1480" w:hanging="280"/>
        <w:spacing w:after="0"/>
        <w:tabs>
          <w:tab w:leader="none" w:pos="1480" w:val="left"/>
        </w:tabs>
        <w:numPr>
          <w:ilvl w:val="2"/>
          <w:numId w:val="1021"/>
        </w:numPr>
        <w:rPr>
          <w:rFonts w:ascii="Symbol" w:cs="Symbol" w:eastAsia="Symbol" w:hAnsi="Symbol"/>
          <w:sz w:val="24"/>
          <w:szCs w:val="24"/>
          <w:color w:val="auto"/>
        </w:rPr>
      </w:pPr>
      <w:r>
        <w:rPr>
          <w:rFonts w:ascii="Times New Roman" w:cs="Times New Roman" w:eastAsia="Times New Roman" w:hAnsi="Times New Roman"/>
          <w:sz w:val="24"/>
          <w:szCs w:val="24"/>
          <w:color w:val="auto"/>
        </w:rPr>
        <w:t>Return on net worth</w:t>
      </w:r>
    </w:p>
    <w:p>
      <w:pPr>
        <w:spacing w:after="0" w:line="360"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4"/>
          <w:szCs w:val="24"/>
          <w:color w:val="auto"/>
        </w:rPr>
        <w:t>308</w:t>
      </w:r>
    </w:p>
    <w:p>
      <w:pPr>
        <w:sectPr>
          <w:pgSz w:w="11900" w:h="16836" w:orient="portrait"/>
          <w:cols w:equalWidth="0" w:num="1">
            <w:col w:w="9180"/>
          </w:cols>
          <w:pgMar w:left="1440" w:top="1156" w:right="1284" w:bottom="103" w:gutter="0" w:footer="0" w:header="0"/>
        </w:sectPr>
      </w:pPr>
    </w:p>
    <w:bookmarkStart w:id="308" w:name="page309"/>
    <w:bookmarkEnd w:id="308"/>
    <w:p>
      <w:pPr>
        <w:ind w:left="1480" w:hanging="280"/>
        <w:spacing w:after="0"/>
        <w:tabs>
          <w:tab w:leader="none" w:pos="1480" w:val="left"/>
        </w:tabs>
        <w:numPr>
          <w:ilvl w:val="1"/>
          <w:numId w:val="1022"/>
        </w:numPr>
        <w:rPr>
          <w:rFonts w:ascii="Symbol" w:cs="Symbol" w:eastAsia="Symbol" w:hAnsi="Symbol"/>
          <w:sz w:val="24"/>
          <w:szCs w:val="24"/>
          <w:color w:val="auto"/>
        </w:rPr>
      </w:pPr>
      <w:r>
        <w:rPr>
          <w:rFonts w:ascii="Times New Roman" w:cs="Times New Roman" w:eastAsia="Times New Roman" w:hAnsi="Times New Roman"/>
          <w:sz w:val="24"/>
          <w:szCs w:val="24"/>
          <w:color w:val="auto"/>
        </w:rPr>
        <w:t>Net Asset Value per share</w:t>
      </w:r>
    </w:p>
    <w:p>
      <w:pPr>
        <w:spacing w:after="0" w:line="138" w:lineRule="exact"/>
        <w:rPr>
          <w:rFonts w:ascii="Symbol" w:cs="Symbol" w:eastAsia="Symbol" w:hAnsi="Symbol"/>
          <w:sz w:val="24"/>
          <w:szCs w:val="24"/>
          <w:color w:val="auto"/>
        </w:rPr>
      </w:pPr>
    </w:p>
    <w:p>
      <w:pPr>
        <w:ind w:left="1480" w:hanging="280"/>
        <w:spacing w:after="0"/>
        <w:tabs>
          <w:tab w:leader="none" w:pos="1480" w:val="left"/>
        </w:tabs>
        <w:numPr>
          <w:ilvl w:val="1"/>
          <w:numId w:val="1022"/>
        </w:numPr>
        <w:rPr>
          <w:rFonts w:ascii="Symbol" w:cs="Symbol" w:eastAsia="Symbol" w:hAnsi="Symbol"/>
          <w:sz w:val="24"/>
          <w:szCs w:val="24"/>
          <w:color w:val="auto"/>
        </w:rPr>
      </w:pPr>
      <w:r>
        <w:rPr>
          <w:rFonts w:ascii="Times New Roman" w:cs="Times New Roman" w:eastAsia="Times New Roman" w:hAnsi="Times New Roman"/>
          <w:sz w:val="24"/>
          <w:szCs w:val="24"/>
          <w:color w:val="auto"/>
        </w:rPr>
        <w:t>EBITDA</w:t>
      </w:r>
    </w:p>
    <w:p>
      <w:pPr>
        <w:spacing w:after="0" w:line="149" w:lineRule="exact"/>
        <w:rPr>
          <w:rFonts w:ascii="Symbol" w:cs="Symbol" w:eastAsia="Symbol" w:hAnsi="Symbol"/>
          <w:sz w:val="24"/>
          <w:szCs w:val="24"/>
          <w:color w:val="auto"/>
        </w:rPr>
      </w:pPr>
    </w:p>
    <w:p>
      <w:pPr>
        <w:jc w:val="both"/>
        <w:ind w:left="1120" w:hanging="356"/>
        <w:spacing w:after="0" w:line="359" w:lineRule="auto"/>
        <w:tabs>
          <w:tab w:leader="none" w:pos="1120" w:val="left"/>
        </w:tabs>
        <w:numPr>
          <w:ilvl w:val="0"/>
          <w:numId w:val="10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If the proceeds, fully or partly, directly or indirectly, is to be used for acquisition of one or more material businesses or entities, the audited statements of balance sheets, profit and loss, cash flow for the latest three financial years and stub period (if available) prepared as per framework applicable to the business or subsidiary proposed to be acquired shall be included in the draft letter of offer/letter of offer. For this purpose, the proposed acquisition (covering all businesses or subsidiaries proposed to be acquired) shall be considered material if it will make 20% or more contribution in aggregate to either turnover, or net worth or profit before tax in the latest annual CFS. The issuer may voluntarily choose to provide financial statements of above acquisitions out of the proceeds of the issue even if they are below the above materiality threshold. In cases where the general purpose financial statement of the businesses/entities to be acquired/divested are not available, combined/carved-out financial statements for that business/entity shall be prepared in accordance with </w:t>
      </w:r>
      <w:r>
        <w:rPr>
          <w:rFonts w:ascii="Times New Roman" w:cs="Times New Roman" w:eastAsia="Times New Roman" w:hAnsi="Times New Roman"/>
          <w:sz w:val="24"/>
          <w:szCs w:val="24"/>
          <w:i w:val="1"/>
          <w:iCs w:val="1"/>
          <w:color w:val="auto"/>
        </w:rPr>
        <w:t>Guidance Note</w:t>
      </w:r>
      <w:r>
        <w:rPr>
          <w:rFonts w:ascii="Times New Roman" w:cs="Times New Roman" w:eastAsia="Times New Roman" w:hAnsi="Times New Roman"/>
          <w:sz w:val="24"/>
          <w:szCs w:val="24"/>
          <w:color w:val="auto"/>
        </w:rPr>
        <w:t xml:space="preserve"> issued by the ICAI from time to time. The combined/carved-out financials statements shall be audited by the auditor of the seller in accordance with applicable framework.</w:t>
      </w:r>
    </w:p>
    <w:p>
      <w:pPr>
        <w:spacing w:after="0" w:line="20" w:lineRule="exact"/>
        <w:rPr>
          <w:sz w:val="20"/>
          <w:szCs w:val="20"/>
          <w:color w:val="auto"/>
        </w:rPr>
      </w:pPr>
    </w:p>
    <w:p>
      <w:pPr>
        <w:jc w:val="both"/>
        <w:ind w:left="1120" w:hanging="359"/>
        <w:spacing w:after="0" w:line="359" w:lineRule="auto"/>
        <w:rPr>
          <w:sz w:val="20"/>
          <w:szCs w:val="20"/>
          <w:color w:val="auto"/>
        </w:rPr>
      </w:pPr>
      <w:r>
        <w:rPr>
          <w:rFonts w:ascii="Times New Roman" w:cs="Times New Roman" w:eastAsia="Times New Roman" w:hAnsi="Times New Roman"/>
          <w:sz w:val="24"/>
          <w:szCs w:val="24"/>
          <w:color w:val="auto"/>
        </w:rPr>
        <w:t xml:space="preserve">(iii) </w:t>
      </w:r>
      <w:r>
        <w:rPr>
          <w:rFonts w:ascii="Times New Roman" w:cs="Times New Roman" w:eastAsia="Times New Roman" w:hAnsi="Times New Roman"/>
          <w:sz w:val="24"/>
          <w:szCs w:val="24"/>
          <w:b w:val="1"/>
          <w:bCs w:val="1"/>
          <w:color w:val="auto"/>
        </w:rPr>
        <w:t>Proforma financial statements</w:t>
      </w:r>
      <w:r>
        <w:rPr>
          <w:rFonts w:ascii="Times New Roman" w:cs="Times New Roman" w:eastAsia="Times New Roman" w:hAnsi="Times New Roman"/>
          <w:sz w:val="24"/>
          <w:szCs w:val="24"/>
          <w:color w:val="auto"/>
        </w:rPr>
        <w:t xml:space="preserve"> – The Issuer shall provide Proforma financial statements, as certified by the statutory auditor, of all the subsidiaries or businesses material to the consolidated financial statements where the issuer or its subsidiaries have made an acquisition or divestment including deemed disposal after the latest period for which financial information is disclosed in the letter of offer but before the date of filing of the letter of offer. For this purpose, the acquisition/divestment would be considered as material if acquired/ divested business or subsidiary in aggregate contributes 20% or more to turnover, net worth or profit before tax in the latest annual CFS of the issuer. The Proforma financial statements shall be prepared for the last completed financial year and the stub period (if any). The Proforma financial statements shall be prepared in accordance with Guidance Note issued by the ICAI from time to time and certified by the statutory auditor. The issuer Company may voluntarily choose to provide proforma financial statements of acquisitions even when they are below the above materiality threshold. In case of one or more acquisitions or divestments, one combined set of Proforma financial statements should be presented. Where the businesses acquired/ divested does not represent a separate entity, general purpose financial statement may not be</w:t>
      </w:r>
    </w:p>
    <w:p>
      <w:pPr>
        <w:spacing w:after="0" w:line="231"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4"/>
          <w:szCs w:val="24"/>
          <w:color w:val="auto"/>
        </w:rPr>
        <w:t>309</w:t>
      </w:r>
    </w:p>
    <w:p>
      <w:pPr>
        <w:sectPr>
          <w:pgSz w:w="11900" w:h="16836" w:orient="portrait"/>
          <w:cols w:equalWidth="0" w:num="1">
            <w:col w:w="9180"/>
          </w:cols>
          <w:pgMar w:left="1440" w:top="1143" w:right="1284" w:bottom="103" w:gutter="0" w:footer="0" w:header="0"/>
        </w:sectPr>
      </w:pPr>
    </w:p>
    <w:bookmarkStart w:id="309" w:name="page310"/>
    <w:bookmarkEnd w:id="309"/>
    <w:p>
      <w:pPr>
        <w:jc w:val="both"/>
        <w:ind w:left="1120"/>
        <w:spacing w:after="0" w:line="357" w:lineRule="auto"/>
        <w:rPr>
          <w:sz w:val="20"/>
          <w:szCs w:val="20"/>
          <w:color w:val="auto"/>
        </w:rPr>
      </w:pPr>
      <w:r>
        <w:rPr>
          <w:rFonts w:ascii="Times New Roman" w:cs="Times New Roman" w:eastAsia="Times New Roman" w:hAnsi="Times New Roman"/>
          <w:sz w:val="24"/>
          <w:szCs w:val="24"/>
          <w:color w:val="auto"/>
        </w:rPr>
        <w:t xml:space="preserve">available for such business. In such cases, combined/ carved-out financial statements for such businesses shall be prepared in accordance with </w:t>
      </w:r>
      <w:r>
        <w:rPr>
          <w:rFonts w:ascii="Times New Roman" w:cs="Times New Roman" w:eastAsia="Times New Roman" w:hAnsi="Times New Roman"/>
          <w:sz w:val="24"/>
          <w:szCs w:val="24"/>
          <w:i w:val="1"/>
          <w:iCs w:val="1"/>
          <w:color w:val="auto"/>
        </w:rPr>
        <w:t>Guidance Note</w:t>
      </w:r>
      <w:r>
        <w:rPr>
          <w:rFonts w:ascii="Times New Roman" w:cs="Times New Roman" w:eastAsia="Times New Roman" w:hAnsi="Times New Roman"/>
          <w:sz w:val="24"/>
          <w:szCs w:val="24"/>
          <w:color w:val="auto"/>
        </w:rPr>
        <w:t xml:space="preserve"> issued by the ICAI from time to time. Further, in case of non-material acquisitions/divestments disclosures in relation to the fact of the acquisition/divestment, consideration paid/received and mode of financing shall be certified by the statutory auditor of the issuer company</w:t>
      </w:r>
    </w:p>
    <w:p>
      <w:pPr>
        <w:spacing w:after="0" w:line="21" w:lineRule="exact"/>
        <w:rPr>
          <w:sz w:val="20"/>
          <w:szCs w:val="20"/>
          <w:color w:val="auto"/>
        </w:rPr>
      </w:pPr>
    </w:p>
    <w:p>
      <w:pPr>
        <w:jc w:val="both"/>
        <w:ind w:left="1120" w:hanging="356"/>
        <w:spacing w:after="0" w:line="359" w:lineRule="auto"/>
        <w:tabs>
          <w:tab w:leader="none" w:pos="1120" w:val="left"/>
        </w:tabs>
        <w:numPr>
          <w:ilvl w:val="1"/>
          <w:numId w:val="10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Audit Qualification. </w:t>
      </w:r>
      <w:r>
        <w:rPr>
          <w:rFonts w:ascii="Times New Roman" w:cs="Times New Roman" w:eastAsia="Times New Roman" w:hAnsi="Times New Roman"/>
          <w:sz w:val="24"/>
          <w:szCs w:val="24"/>
          <w:color w:val="auto"/>
        </w:rPr>
        <w:t>If the auditors’ report for the last three full years or limited</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review report for the latest stub period on the financial statements is modified, the issuer shall comply with the requirements of the Securities and Exchange Board of India (Listing Obligations and Disclosure Requirements) Regulations, 2015 in relation to audit report with modified opinion prior to issuing the final letter of offer, including issuing a Statement on Impact of Audit Qualifications in the format specified by the Board from time to time. The impact of any modification of auditors’ opinion (where quantifiable), whether such modification is included in the audited report for the last three full year or limited review report for the latest stub period, shall be shown as adjustments in the line items specified by the Board from time to time to the extent possible for all the financial periods (full-year or stub) presented in the letter of offer, including any comparative prior year periods. Any type of audit modification (qualification, disclaimer or emphasis of matter) shall also be disclosed appropriately in the letter of offer, including as risk factor.</w:t>
      </w:r>
    </w:p>
    <w:p>
      <w:pPr>
        <w:spacing w:after="0" w:line="10" w:lineRule="exact"/>
        <w:rPr>
          <w:rFonts w:ascii="Times New Roman" w:cs="Times New Roman" w:eastAsia="Times New Roman" w:hAnsi="Times New Roman"/>
          <w:sz w:val="24"/>
          <w:szCs w:val="24"/>
          <w:color w:val="auto"/>
        </w:rPr>
      </w:pPr>
    </w:p>
    <w:p>
      <w:pPr>
        <w:ind w:left="760" w:hanging="356"/>
        <w:spacing w:after="0"/>
        <w:tabs>
          <w:tab w:leader="none" w:pos="760" w:val="left"/>
        </w:tabs>
        <w:numPr>
          <w:ilvl w:val="0"/>
          <w:numId w:val="102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Management’s  Discussion  and  Analysis  of  Financial  Position  and  Results  of</w:t>
      </w:r>
    </w:p>
    <w:p>
      <w:pPr>
        <w:spacing w:after="0" w:line="149" w:lineRule="exact"/>
        <w:rPr>
          <w:rFonts w:ascii="Times New Roman" w:cs="Times New Roman" w:eastAsia="Times New Roman" w:hAnsi="Times New Roman"/>
          <w:sz w:val="24"/>
          <w:szCs w:val="24"/>
          <w:b w:val="1"/>
          <w:bCs w:val="1"/>
          <w:color w:val="auto"/>
        </w:rPr>
      </w:pPr>
    </w:p>
    <w:p>
      <w:pPr>
        <w:ind w:left="760"/>
        <w:spacing w:after="0" w:line="346"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Operations as reflected in the CFS shall be provided in other financial information</w:t>
      </w:r>
      <w:r>
        <w:rPr>
          <w:rFonts w:ascii="Times New Roman" w:cs="Times New Roman" w:eastAsia="Times New Roman" w:hAnsi="Times New Roman"/>
          <w:sz w:val="24"/>
          <w:szCs w:val="24"/>
          <w:color w:val="auto"/>
        </w:rPr>
        <w:t>.</w:t>
      </w:r>
    </w:p>
    <w:p>
      <w:pPr>
        <w:spacing w:after="0" w:line="28" w:lineRule="exact"/>
        <w:rPr>
          <w:rFonts w:ascii="Times New Roman" w:cs="Times New Roman" w:eastAsia="Times New Roman" w:hAnsi="Times New Roman"/>
          <w:sz w:val="24"/>
          <w:szCs w:val="24"/>
          <w:b w:val="1"/>
          <w:bCs w:val="1"/>
          <w:color w:val="auto"/>
        </w:rPr>
      </w:pPr>
    </w:p>
    <w:p>
      <w:pPr>
        <w:jc w:val="both"/>
        <w:ind w:left="1120" w:hanging="356"/>
        <w:spacing w:after="0" w:line="357" w:lineRule="auto"/>
        <w:tabs>
          <w:tab w:leader="none" w:pos="1120" w:val="left"/>
        </w:tabs>
        <w:numPr>
          <w:ilvl w:val="1"/>
          <w:numId w:val="102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Significant developments subsequent to the last financial year or when applicable subsequent to the stub period: A statement by the directors whether in their opinion there have arisen any circumstances since the date of the last financial statements as disclosed in the letter of offer and which materially and adversely affect or is likely to affect within the next twelve months:</w:t>
      </w:r>
    </w:p>
    <w:p>
      <w:pPr>
        <w:spacing w:after="0" w:line="6" w:lineRule="exact"/>
        <w:rPr>
          <w:rFonts w:ascii="Times New Roman" w:cs="Times New Roman" w:eastAsia="Times New Roman" w:hAnsi="Times New Roman"/>
          <w:sz w:val="24"/>
          <w:szCs w:val="24"/>
          <w:color w:val="auto"/>
        </w:rPr>
      </w:pPr>
    </w:p>
    <w:p>
      <w:pPr>
        <w:ind w:left="1880" w:hanging="233"/>
        <w:spacing w:after="0"/>
        <w:tabs>
          <w:tab w:leader="none" w:pos="1880" w:val="left"/>
        </w:tabs>
        <w:numPr>
          <w:ilvl w:val="2"/>
          <w:numId w:val="102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trading or profitability of the issuer; or</w:t>
      </w:r>
    </w:p>
    <w:p>
      <w:pPr>
        <w:spacing w:after="0" w:line="136" w:lineRule="exact"/>
        <w:rPr>
          <w:rFonts w:ascii="Times New Roman" w:cs="Times New Roman" w:eastAsia="Times New Roman" w:hAnsi="Times New Roman"/>
          <w:sz w:val="24"/>
          <w:szCs w:val="24"/>
          <w:color w:val="auto"/>
        </w:rPr>
      </w:pPr>
    </w:p>
    <w:p>
      <w:pPr>
        <w:ind w:left="1880" w:hanging="233"/>
        <w:spacing w:after="0"/>
        <w:tabs>
          <w:tab w:leader="none" w:pos="1880" w:val="left"/>
        </w:tabs>
        <w:numPr>
          <w:ilvl w:val="2"/>
          <w:numId w:val="102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value of its assets; or</w:t>
      </w:r>
    </w:p>
    <w:p>
      <w:pPr>
        <w:spacing w:after="0" w:line="139" w:lineRule="exact"/>
        <w:rPr>
          <w:rFonts w:ascii="Times New Roman" w:cs="Times New Roman" w:eastAsia="Times New Roman" w:hAnsi="Times New Roman"/>
          <w:sz w:val="24"/>
          <w:szCs w:val="24"/>
          <w:color w:val="auto"/>
        </w:rPr>
      </w:pPr>
    </w:p>
    <w:p>
      <w:pPr>
        <w:ind w:left="1880" w:hanging="233"/>
        <w:spacing w:after="0"/>
        <w:tabs>
          <w:tab w:leader="none" w:pos="1880" w:val="left"/>
        </w:tabs>
        <w:numPr>
          <w:ilvl w:val="2"/>
          <w:numId w:val="102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its ability to pay its liabilities.</w:t>
      </w:r>
    </w:p>
    <w:p>
      <w:pPr>
        <w:spacing w:after="0" w:line="137" w:lineRule="exact"/>
        <w:rPr>
          <w:rFonts w:ascii="Times New Roman" w:cs="Times New Roman" w:eastAsia="Times New Roman" w:hAnsi="Times New Roman"/>
          <w:sz w:val="24"/>
          <w:szCs w:val="24"/>
          <w:color w:val="auto"/>
        </w:rPr>
      </w:pPr>
    </w:p>
    <w:p>
      <w:pPr>
        <w:ind w:left="1120" w:hanging="356"/>
        <w:spacing w:after="0"/>
        <w:tabs>
          <w:tab w:leader="none" w:pos="1120" w:val="left"/>
        </w:tabs>
        <w:numPr>
          <w:ilvl w:val="1"/>
          <w:numId w:val="102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Factors that may affect the results of operations.</w:t>
      </w:r>
    </w:p>
    <w:p>
      <w:pPr>
        <w:spacing w:after="0" w:line="151" w:lineRule="exact"/>
        <w:rPr>
          <w:sz w:val="20"/>
          <w:szCs w:val="20"/>
          <w:color w:val="auto"/>
        </w:rPr>
      </w:pPr>
    </w:p>
    <w:p>
      <w:pPr>
        <w:ind w:left="1120" w:hanging="359"/>
        <w:spacing w:after="0" w:line="348" w:lineRule="auto"/>
        <w:rPr>
          <w:sz w:val="20"/>
          <w:szCs w:val="20"/>
          <w:color w:val="auto"/>
        </w:rPr>
      </w:pPr>
      <w:r>
        <w:rPr>
          <w:rFonts w:ascii="Times New Roman" w:cs="Times New Roman" w:eastAsia="Times New Roman" w:hAnsi="Times New Roman"/>
          <w:sz w:val="24"/>
          <w:szCs w:val="24"/>
          <w:color w:val="auto"/>
        </w:rPr>
        <w:t>(iii) Discussion on the results of operations: This information shall inter-alia contain the following:</w:t>
      </w: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4"/>
          <w:szCs w:val="24"/>
          <w:color w:val="auto"/>
        </w:rPr>
        <w:t>310</w:t>
      </w:r>
    </w:p>
    <w:p>
      <w:pPr>
        <w:sectPr>
          <w:pgSz w:w="11900" w:h="16836" w:orient="portrait"/>
          <w:cols w:equalWidth="0" w:num="1">
            <w:col w:w="9180"/>
          </w:cols>
          <w:pgMar w:left="1440" w:top="1156" w:right="1284" w:bottom="103" w:gutter="0" w:footer="0" w:header="0"/>
        </w:sectPr>
      </w:pPr>
    </w:p>
    <w:bookmarkStart w:id="310" w:name="page311"/>
    <w:bookmarkEnd w:id="310"/>
    <w:p>
      <w:pPr>
        <w:jc w:val="both"/>
        <w:ind w:left="2120" w:hanging="424"/>
        <w:spacing w:after="0" w:line="354" w:lineRule="auto"/>
        <w:rPr>
          <w:sz w:val="20"/>
          <w:szCs w:val="20"/>
          <w:color w:val="auto"/>
        </w:rPr>
      </w:pPr>
      <w:r>
        <w:rPr>
          <w:rFonts w:ascii="Times New Roman" w:cs="Times New Roman" w:eastAsia="Times New Roman" w:hAnsi="Times New Roman"/>
          <w:sz w:val="24"/>
          <w:szCs w:val="24"/>
          <w:color w:val="auto"/>
        </w:rPr>
        <w:t>a. A summary of the past financial results for the past three full financial years and the stub period (if any) containing significant items of income and expenditure shall be given.</w:t>
      </w:r>
    </w:p>
    <w:p>
      <w:pPr>
        <w:spacing w:after="0" w:line="20" w:lineRule="exact"/>
        <w:rPr>
          <w:sz w:val="20"/>
          <w:szCs w:val="20"/>
          <w:color w:val="auto"/>
        </w:rPr>
      </w:pPr>
    </w:p>
    <w:p>
      <w:pPr>
        <w:jc w:val="both"/>
        <w:ind w:left="2120" w:hanging="424"/>
        <w:spacing w:after="0" w:line="350" w:lineRule="auto"/>
        <w:rPr>
          <w:sz w:val="20"/>
          <w:szCs w:val="20"/>
          <w:color w:val="auto"/>
        </w:rPr>
      </w:pPr>
      <w:r>
        <w:rPr>
          <w:rFonts w:ascii="Times New Roman" w:cs="Times New Roman" w:eastAsia="Times New Roman" w:hAnsi="Times New Roman"/>
          <w:sz w:val="24"/>
          <w:szCs w:val="24"/>
          <w:color w:val="auto"/>
        </w:rPr>
        <w:t>b. A summary of major items of income and expenditure for the last three years and the stub period (if any).</w:t>
      </w:r>
    </w:p>
    <w:p>
      <w:pPr>
        <w:spacing w:after="0" w:line="11" w:lineRule="exact"/>
        <w:rPr>
          <w:sz w:val="20"/>
          <w:szCs w:val="20"/>
          <w:color w:val="auto"/>
        </w:rPr>
      </w:pPr>
    </w:p>
    <w:p>
      <w:pPr>
        <w:ind w:left="1700"/>
        <w:spacing w:after="0"/>
        <w:rPr>
          <w:sz w:val="20"/>
          <w:szCs w:val="20"/>
          <w:color w:val="auto"/>
        </w:rPr>
      </w:pPr>
      <w:r>
        <w:rPr>
          <w:rFonts w:ascii="Times New Roman" w:cs="Times New Roman" w:eastAsia="Times New Roman" w:hAnsi="Times New Roman"/>
          <w:sz w:val="24"/>
          <w:szCs w:val="24"/>
          <w:color w:val="auto"/>
        </w:rPr>
        <w:t>c. The income and sales on account of major product/ main activities.</w:t>
      </w:r>
    </w:p>
    <w:p>
      <w:pPr>
        <w:spacing w:after="0" w:line="151" w:lineRule="exact"/>
        <w:rPr>
          <w:sz w:val="20"/>
          <w:szCs w:val="20"/>
          <w:color w:val="auto"/>
        </w:rPr>
      </w:pPr>
    </w:p>
    <w:p>
      <w:pPr>
        <w:jc w:val="both"/>
        <w:ind w:left="2120" w:hanging="424"/>
        <w:spacing w:after="0" w:line="354" w:lineRule="auto"/>
        <w:rPr>
          <w:sz w:val="20"/>
          <w:szCs w:val="20"/>
          <w:color w:val="auto"/>
        </w:rPr>
      </w:pPr>
      <w:r>
        <w:rPr>
          <w:rFonts w:ascii="Times New Roman" w:cs="Times New Roman" w:eastAsia="Times New Roman" w:hAnsi="Times New Roman"/>
          <w:sz w:val="24"/>
          <w:szCs w:val="24"/>
          <w:color w:val="auto"/>
        </w:rPr>
        <w:t>d. In case, the other income constitutes more than 10% of the total income, the break-up of the same along with the nature of the income, i.e., recurring or non-recurring shall be stated.</w:t>
      </w:r>
    </w:p>
    <w:p>
      <w:pPr>
        <w:spacing w:after="0" w:line="20" w:lineRule="exact"/>
        <w:rPr>
          <w:sz w:val="20"/>
          <w:szCs w:val="20"/>
          <w:color w:val="auto"/>
        </w:rPr>
      </w:pPr>
    </w:p>
    <w:p>
      <w:pPr>
        <w:jc w:val="both"/>
        <w:ind w:left="2120" w:hanging="424"/>
        <w:spacing w:after="0" w:line="358" w:lineRule="auto"/>
        <w:tabs>
          <w:tab w:leader="none" w:pos="2100" w:val="left"/>
        </w:tabs>
        <w:rPr>
          <w:sz w:val="20"/>
          <w:szCs w:val="20"/>
          <w:color w:val="auto"/>
        </w:rPr>
      </w:pPr>
      <w:r>
        <w:rPr>
          <w:rFonts w:ascii="Times New Roman" w:cs="Times New Roman" w:eastAsia="Times New Roman" w:hAnsi="Times New Roman"/>
          <w:sz w:val="24"/>
          <w:szCs w:val="24"/>
          <w:color w:val="auto"/>
        </w:rPr>
        <w:t>e. If</w:t>
        <w:tab/>
        <w:t>a material part of the income is dependent upon a single customer/supplier or a few major customers/suppliers, disclosure of this fact along with relevant data. Similarly, if any foreign customer/supplier constitutes a significant portion of the issuer’s business, disclosure of the fact along with its impact on the business on account of exchange rate fluctuations.</w:t>
      </w:r>
    </w:p>
    <w:p>
      <w:pPr>
        <w:spacing w:after="0" w:line="14" w:lineRule="exact"/>
        <w:rPr>
          <w:sz w:val="20"/>
          <w:szCs w:val="20"/>
          <w:color w:val="auto"/>
        </w:rPr>
      </w:pPr>
    </w:p>
    <w:p>
      <w:pPr>
        <w:jc w:val="both"/>
        <w:ind w:left="2120" w:hanging="424"/>
        <w:spacing w:after="0" w:line="350" w:lineRule="auto"/>
        <w:rPr>
          <w:sz w:val="20"/>
          <w:szCs w:val="20"/>
          <w:color w:val="auto"/>
        </w:rPr>
      </w:pPr>
      <w:r>
        <w:rPr>
          <w:rFonts w:ascii="Times New Roman" w:cs="Times New Roman" w:eastAsia="Times New Roman" w:hAnsi="Times New Roman"/>
          <w:sz w:val="24"/>
          <w:szCs w:val="24"/>
          <w:color w:val="auto"/>
        </w:rPr>
        <w:t>f. In case the issuer has deviated from applicable accounting standards for recording sales and revenues, its impact may be analysed and disclosed.</w:t>
      </w:r>
    </w:p>
    <w:p>
      <w:pPr>
        <w:spacing w:after="0" w:line="23" w:lineRule="exact"/>
        <w:rPr>
          <w:sz w:val="20"/>
          <w:szCs w:val="20"/>
          <w:color w:val="auto"/>
        </w:rPr>
      </w:pPr>
    </w:p>
    <w:p>
      <w:pPr>
        <w:jc w:val="both"/>
        <w:ind w:left="2120" w:hanging="424"/>
        <w:spacing w:after="0" w:line="350" w:lineRule="auto"/>
        <w:rPr>
          <w:sz w:val="20"/>
          <w:szCs w:val="20"/>
          <w:color w:val="auto"/>
        </w:rPr>
      </w:pPr>
      <w:r>
        <w:rPr>
          <w:rFonts w:ascii="Times New Roman" w:cs="Times New Roman" w:eastAsia="Times New Roman" w:hAnsi="Times New Roman"/>
          <w:sz w:val="24"/>
          <w:szCs w:val="24"/>
          <w:color w:val="auto"/>
        </w:rPr>
        <w:t>g. The nature of miscellaneous income and miscellaneous expenditure for the interim period and preceding years.</w:t>
      </w:r>
    </w:p>
    <w:p>
      <w:pPr>
        <w:spacing w:after="0" w:line="23" w:lineRule="exact"/>
        <w:rPr>
          <w:sz w:val="20"/>
          <w:szCs w:val="20"/>
          <w:color w:val="auto"/>
        </w:rPr>
      </w:pPr>
    </w:p>
    <w:p>
      <w:pPr>
        <w:jc w:val="both"/>
        <w:ind w:left="1120" w:hanging="356"/>
        <w:spacing w:after="0" w:line="356" w:lineRule="auto"/>
        <w:tabs>
          <w:tab w:leader="none" w:pos="1120" w:val="left"/>
        </w:tabs>
        <w:numPr>
          <w:ilvl w:val="0"/>
          <w:numId w:val="102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Comparison of last three years and the stub period (if any) on the major heads of the profit and loss statement, including an analysis of reasons for the changes in significant items of income and expenditure shall also be given, </w:t>
      </w:r>
      <w:r>
        <w:rPr>
          <w:rFonts w:ascii="Times New Roman" w:cs="Times New Roman" w:eastAsia="Times New Roman" w:hAnsi="Times New Roman"/>
          <w:sz w:val="24"/>
          <w:szCs w:val="24"/>
          <w:i w:val="1"/>
          <w:iCs w:val="1"/>
          <w:color w:val="auto"/>
        </w:rPr>
        <w:t>inter-alia</w:t>
      </w:r>
      <w:r>
        <w:rPr>
          <w:rFonts w:ascii="Times New Roman" w:cs="Times New Roman" w:eastAsia="Times New Roman" w:hAnsi="Times New Roman"/>
          <w:sz w:val="24"/>
          <w:szCs w:val="24"/>
          <w:color w:val="auto"/>
        </w:rPr>
        <w:t>, containing the following:</w:t>
      </w:r>
    </w:p>
    <w:p>
      <w:pPr>
        <w:spacing w:after="0" w:line="19" w:lineRule="exact"/>
        <w:rPr>
          <w:rFonts w:ascii="Times New Roman" w:cs="Times New Roman" w:eastAsia="Times New Roman" w:hAnsi="Times New Roman"/>
          <w:sz w:val="24"/>
          <w:szCs w:val="24"/>
          <w:color w:val="auto"/>
        </w:rPr>
      </w:pPr>
    </w:p>
    <w:p>
      <w:pPr>
        <w:ind w:left="2000" w:hanging="353"/>
        <w:spacing w:after="0" w:line="354" w:lineRule="auto"/>
        <w:tabs>
          <w:tab w:leader="none" w:pos="1866" w:val="left"/>
        </w:tabs>
        <w:numPr>
          <w:ilvl w:val="1"/>
          <w:numId w:val="102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unusual or infrequent events or transactions including unusual trends on account of business activity, unusual items of income, change of accounting policies and discretionary reduction of expenses etc;</w:t>
      </w:r>
    </w:p>
    <w:p>
      <w:pPr>
        <w:spacing w:after="0" w:line="22" w:lineRule="exact"/>
        <w:rPr>
          <w:rFonts w:ascii="Times New Roman" w:cs="Times New Roman" w:eastAsia="Times New Roman" w:hAnsi="Times New Roman"/>
          <w:sz w:val="24"/>
          <w:szCs w:val="24"/>
          <w:color w:val="auto"/>
        </w:rPr>
      </w:pPr>
    </w:p>
    <w:p>
      <w:pPr>
        <w:ind w:left="2000" w:hanging="353"/>
        <w:spacing w:after="0" w:line="348" w:lineRule="auto"/>
        <w:tabs>
          <w:tab w:leader="none" w:pos="1866" w:val="left"/>
        </w:tabs>
        <w:numPr>
          <w:ilvl w:val="1"/>
          <w:numId w:val="102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significant economic changes that materially affected or are likely to affect income from continuing operations;</w:t>
      </w:r>
    </w:p>
    <w:p>
      <w:pPr>
        <w:spacing w:after="0" w:line="27" w:lineRule="exact"/>
        <w:rPr>
          <w:rFonts w:ascii="Times New Roman" w:cs="Times New Roman" w:eastAsia="Times New Roman" w:hAnsi="Times New Roman"/>
          <w:sz w:val="24"/>
          <w:szCs w:val="24"/>
          <w:color w:val="auto"/>
        </w:rPr>
      </w:pPr>
    </w:p>
    <w:p>
      <w:pPr>
        <w:ind w:left="2000" w:hanging="353"/>
        <w:spacing w:after="0" w:line="354" w:lineRule="auto"/>
        <w:tabs>
          <w:tab w:leader="none" w:pos="1866" w:val="left"/>
        </w:tabs>
        <w:numPr>
          <w:ilvl w:val="1"/>
          <w:numId w:val="102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known trends or uncertainties that have had or are expected to have a material adverse impact on sales, revenue or income from continuing operations;</w:t>
      </w:r>
    </w:p>
    <w:p>
      <w:pPr>
        <w:spacing w:after="0" w:line="20" w:lineRule="exact"/>
        <w:rPr>
          <w:rFonts w:ascii="Times New Roman" w:cs="Times New Roman" w:eastAsia="Times New Roman" w:hAnsi="Times New Roman"/>
          <w:sz w:val="24"/>
          <w:szCs w:val="24"/>
          <w:color w:val="auto"/>
        </w:rPr>
      </w:pPr>
    </w:p>
    <w:p>
      <w:pPr>
        <w:ind w:left="2000" w:hanging="353"/>
        <w:spacing w:after="0" w:line="354" w:lineRule="auto"/>
        <w:tabs>
          <w:tab w:leader="none" w:pos="1866" w:val="left"/>
        </w:tabs>
        <w:numPr>
          <w:ilvl w:val="1"/>
          <w:numId w:val="102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expected future changes in relationship between costs and revenues, in case of events such as future increase in labour or material costs or prices that will cause a material change are known;</w:t>
      </w: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4"/>
          <w:szCs w:val="24"/>
          <w:color w:val="auto"/>
        </w:rPr>
        <w:t>311</w:t>
      </w:r>
    </w:p>
    <w:p>
      <w:pPr>
        <w:sectPr>
          <w:pgSz w:w="11900" w:h="16836" w:orient="portrait"/>
          <w:cols w:equalWidth="0" w:num="1">
            <w:col w:w="9180"/>
          </w:cols>
          <w:pgMar w:left="1440" w:top="1156" w:right="1284" w:bottom="103" w:gutter="0" w:footer="0" w:header="0"/>
        </w:sectPr>
      </w:pPr>
    </w:p>
    <w:bookmarkStart w:id="311" w:name="page312"/>
    <w:bookmarkEnd w:id="311"/>
    <w:p>
      <w:pPr>
        <w:jc w:val="both"/>
        <w:ind w:left="2000" w:right="120" w:hanging="360"/>
        <w:spacing w:after="0" w:line="354" w:lineRule="auto"/>
        <w:rPr>
          <w:sz w:val="20"/>
          <w:szCs w:val="20"/>
          <w:color w:val="auto"/>
        </w:rPr>
      </w:pPr>
      <w:r>
        <w:rPr>
          <w:rFonts w:ascii="Times New Roman" w:cs="Times New Roman" w:eastAsia="Times New Roman" w:hAnsi="Times New Roman"/>
          <w:sz w:val="24"/>
          <w:szCs w:val="24"/>
          <w:color w:val="auto"/>
        </w:rPr>
        <w:t>e. the extent to which material increases in net sales or revenue are due to increased sales volume, introduction of new products or services or increased sales prices;</w:t>
      </w:r>
    </w:p>
    <w:p>
      <w:pPr>
        <w:spacing w:after="0" w:line="8" w:lineRule="exact"/>
        <w:rPr>
          <w:sz w:val="20"/>
          <w:szCs w:val="20"/>
          <w:color w:val="auto"/>
        </w:rPr>
      </w:pPr>
    </w:p>
    <w:p>
      <w:pPr>
        <w:ind w:left="1880" w:hanging="233"/>
        <w:spacing w:after="0"/>
        <w:tabs>
          <w:tab w:leader="none" w:pos="1880" w:val="left"/>
        </w:tabs>
        <w:numPr>
          <w:ilvl w:val="2"/>
          <w:numId w:val="10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total turnover of each major industry segment in which the issuer operated;</w:t>
      </w:r>
    </w:p>
    <w:p>
      <w:pPr>
        <w:spacing w:after="0" w:line="151" w:lineRule="exact"/>
        <w:rPr>
          <w:rFonts w:ascii="Times New Roman" w:cs="Times New Roman" w:eastAsia="Times New Roman" w:hAnsi="Times New Roman"/>
          <w:sz w:val="24"/>
          <w:szCs w:val="24"/>
          <w:color w:val="auto"/>
        </w:rPr>
      </w:pPr>
    </w:p>
    <w:p>
      <w:pPr>
        <w:ind w:left="2000" w:right="120" w:hanging="353"/>
        <w:spacing w:after="0" w:line="348" w:lineRule="auto"/>
        <w:tabs>
          <w:tab w:leader="none" w:pos="1866" w:val="left"/>
        </w:tabs>
        <w:numPr>
          <w:ilvl w:val="2"/>
          <w:numId w:val="10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status of any publicly announced new products or business segment, if applicable;</w:t>
      </w:r>
    </w:p>
    <w:p>
      <w:pPr>
        <w:spacing w:after="0" w:line="15" w:lineRule="exact"/>
        <w:rPr>
          <w:rFonts w:ascii="Times New Roman" w:cs="Times New Roman" w:eastAsia="Times New Roman" w:hAnsi="Times New Roman"/>
          <w:sz w:val="24"/>
          <w:szCs w:val="24"/>
          <w:color w:val="auto"/>
        </w:rPr>
      </w:pPr>
    </w:p>
    <w:p>
      <w:pPr>
        <w:ind w:left="1880" w:hanging="233"/>
        <w:spacing w:after="0"/>
        <w:tabs>
          <w:tab w:leader="none" w:pos="1880" w:val="left"/>
        </w:tabs>
        <w:numPr>
          <w:ilvl w:val="2"/>
          <w:numId w:val="10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extent to which business is seasonal;</w:t>
      </w:r>
    </w:p>
    <w:p>
      <w:pPr>
        <w:spacing w:after="0" w:line="136" w:lineRule="exact"/>
        <w:rPr>
          <w:rFonts w:ascii="Times New Roman" w:cs="Times New Roman" w:eastAsia="Times New Roman" w:hAnsi="Times New Roman"/>
          <w:sz w:val="24"/>
          <w:szCs w:val="24"/>
          <w:color w:val="auto"/>
        </w:rPr>
      </w:pPr>
    </w:p>
    <w:p>
      <w:pPr>
        <w:ind w:left="1880" w:hanging="233"/>
        <w:spacing w:after="0"/>
        <w:tabs>
          <w:tab w:leader="none" w:pos="1880" w:val="left"/>
        </w:tabs>
        <w:numPr>
          <w:ilvl w:val="2"/>
          <w:numId w:val="10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significant dependence on a single or few suppliers or customers;</w:t>
      </w:r>
    </w:p>
    <w:p>
      <w:pPr>
        <w:spacing w:after="0" w:line="139" w:lineRule="exact"/>
        <w:rPr>
          <w:rFonts w:ascii="Times New Roman" w:cs="Times New Roman" w:eastAsia="Times New Roman" w:hAnsi="Times New Roman"/>
          <w:sz w:val="24"/>
          <w:szCs w:val="24"/>
          <w:color w:val="auto"/>
        </w:rPr>
      </w:pPr>
    </w:p>
    <w:p>
      <w:pPr>
        <w:ind w:left="1880" w:hanging="233"/>
        <w:spacing w:after="0"/>
        <w:tabs>
          <w:tab w:leader="none" w:pos="1880" w:val="left"/>
        </w:tabs>
        <w:numPr>
          <w:ilvl w:val="2"/>
          <w:numId w:val="10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competitive conditions.</w:t>
      </w:r>
    </w:p>
    <w:p>
      <w:pPr>
        <w:spacing w:after="0" w:line="149" w:lineRule="exact"/>
        <w:rPr>
          <w:rFonts w:ascii="Times New Roman" w:cs="Times New Roman" w:eastAsia="Times New Roman" w:hAnsi="Times New Roman"/>
          <w:sz w:val="24"/>
          <w:szCs w:val="24"/>
          <w:color w:val="auto"/>
        </w:rPr>
      </w:pPr>
    </w:p>
    <w:p>
      <w:pPr>
        <w:jc w:val="both"/>
        <w:ind w:left="1120" w:right="120" w:hanging="356"/>
        <w:spacing w:after="0" w:line="354" w:lineRule="auto"/>
        <w:tabs>
          <w:tab w:leader="none" w:pos="1120" w:val="left"/>
        </w:tabs>
        <w:numPr>
          <w:ilvl w:val="1"/>
          <w:numId w:val="102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‘Management’s Discussion and Analysis shall be based on the restated financial information for the last three years and the limited review financial information for the stub period (if any).</w:t>
      </w:r>
    </w:p>
    <w:p>
      <w:pPr>
        <w:spacing w:after="0" w:line="14" w:lineRule="exact"/>
        <w:rPr>
          <w:rFonts w:ascii="Times New Roman" w:cs="Times New Roman" w:eastAsia="Times New Roman" w:hAnsi="Times New Roman"/>
          <w:sz w:val="24"/>
          <w:szCs w:val="24"/>
          <w:color w:val="auto"/>
        </w:rPr>
      </w:pPr>
    </w:p>
    <w:p>
      <w:pPr>
        <w:ind w:left="820" w:hanging="416"/>
        <w:spacing w:after="0"/>
        <w:tabs>
          <w:tab w:leader="none" w:pos="820" w:val="left"/>
        </w:tabs>
        <w:numPr>
          <w:ilvl w:val="0"/>
          <w:numId w:val="102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Capitalisation statement</w:t>
      </w:r>
    </w:p>
    <w:p>
      <w:pPr>
        <w:spacing w:after="0" w:line="144" w:lineRule="exact"/>
        <w:rPr>
          <w:rFonts w:ascii="Times New Roman" w:cs="Times New Roman" w:eastAsia="Times New Roman" w:hAnsi="Times New Roman"/>
          <w:sz w:val="24"/>
          <w:szCs w:val="24"/>
          <w:b w:val="1"/>
          <w:bCs w:val="1"/>
          <w:color w:val="auto"/>
        </w:rPr>
      </w:pPr>
    </w:p>
    <w:p>
      <w:pPr>
        <w:jc w:val="both"/>
        <w:ind w:left="1120" w:right="120" w:hanging="356"/>
        <w:spacing w:after="0" w:line="356" w:lineRule="auto"/>
        <w:tabs>
          <w:tab w:leader="none" w:pos="1120" w:val="left"/>
        </w:tabs>
        <w:numPr>
          <w:ilvl w:val="1"/>
          <w:numId w:val="102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Capitalisation Statement showing total borrowings, total equity, and the borrowing/ equity ratios before and after the issue is made shall be incorporated. It shall be prepared on the basis of the restated CFS for the latest financial year or when applicable at the end of the stub period.</w:t>
      </w:r>
    </w:p>
    <w:p>
      <w:pPr>
        <w:spacing w:after="0" w:line="6" w:lineRule="exact"/>
        <w:rPr>
          <w:rFonts w:ascii="Times New Roman" w:cs="Times New Roman" w:eastAsia="Times New Roman" w:hAnsi="Times New Roman"/>
          <w:sz w:val="24"/>
          <w:szCs w:val="24"/>
          <w:color w:val="auto"/>
        </w:rPr>
      </w:pPr>
    </w:p>
    <w:p>
      <w:pPr>
        <w:ind w:left="1120" w:hanging="356"/>
        <w:spacing w:after="0"/>
        <w:tabs>
          <w:tab w:leader="none" w:pos="1120" w:val="left"/>
        </w:tabs>
        <w:numPr>
          <w:ilvl w:val="1"/>
          <w:numId w:val="102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any change in the share capital since the date as of which the financial</w:t>
      </w:r>
    </w:p>
    <w:p>
      <w:pPr>
        <w:spacing w:after="0" w:line="151" w:lineRule="exact"/>
        <w:rPr>
          <w:sz w:val="20"/>
          <w:szCs w:val="20"/>
          <w:color w:val="auto"/>
        </w:rPr>
      </w:pPr>
    </w:p>
    <w:p>
      <w:pPr>
        <w:ind w:left="1120" w:right="120"/>
        <w:spacing w:after="0" w:line="348" w:lineRule="auto"/>
        <w:rPr>
          <w:sz w:val="20"/>
          <w:szCs w:val="20"/>
          <w:color w:val="auto"/>
        </w:rPr>
      </w:pPr>
      <w:r>
        <w:rPr>
          <w:rFonts w:ascii="Times New Roman" w:cs="Times New Roman" w:eastAsia="Times New Roman" w:hAnsi="Times New Roman"/>
          <w:sz w:val="24"/>
          <w:szCs w:val="24"/>
          <w:color w:val="auto"/>
        </w:rPr>
        <w:t>information has been disclosed in the letter of offer, a note explaining the nature of the change shall be given.</w:t>
      </w:r>
    </w:p>
    <w:p>
      <w:pPr>
        <w:spacing w:after="0" w:line="15" w:lineRule="exact"/>
        <w:rPr>
          <w:sz w:val="20"/>
          <w:szCs w:val="20"/>
          <w:color w:val="auto"/>
        </w:rPr>
      </w:pPr>
    </w:p>
    <w:p>
      <w:pPr>
        <w:ind w:left="760"/>
        <w:spacing w:after="0"/>
        <w:rPr>
          <w:sz w:val="20"/>
          <w:szCs w:val="20"/>
          <w:color w:val="auto"/>
        </w:rPr>
      </w:pPr>
      <w:r>
        <w:rPr>
          <w:rFonts w:ascii="Times New Roman" w:cs="Times New Roman" w:eastAsia="Times New Roman" w:hAnsi="Times New Roman"/>
          <w:sz w:val="24"/>
          <w:szCs w:val="24"/>
          <w:color w:val="auto"/>
        </w:rPr>
        <w:t>(iii) An illustrative format of the Capitalisation Statement is specified hereunder</w:t>
      </w:r>
    </w:p>
    <w:p>
      <w:pPr>
        <w:spacing w:after="0" w:line="200" w:lineRule="exact"/>
        <w:rPr>
          <w:sz w:val="20"/>
          <w:szCs w:val="20"/>
          <w:color w:val="auto"/>
        </w:rPr>
      </w:pPr>
    </w:p>
    <w:p>
      <w:pPr>
        <w:spacing w:after="0" w:line="340" w:lineRule="exact"/>
        <w:rPr>
          <w:sz w:val="20"/>
          <w:szCs w:val="20"/>
          <w:color w:val="auto"/>
        </w:rPr>
      </w:pPr>
    </w:p>
    <w:tbl>
      <w:tblPr>
        <w:tblLayout w:type="fixed"/>
        <w:tblInd w:w="1070" w:type="dxa"/>
        <w:tblCellMar>
          <w:top w:w="0" w:type="dxa"/>
          <w:left w:w="0" w:type="dxa"/>
          <w:bottom w:w="0" w:type="dxa"/>
          <w:right w:w="0" w:type="dxa"/>
        </w:tblCellMar>
      </w:tblPr>
      <w:tr>
        <w:trPr>
          <w:trHeight w:val="283"/>
        </w:trPr>
        <w:tc>
          <w:tcPr>
            <w:tcW w:w="1860" w:type="dxa"/>
            <w:vAlign w:val="bottom"/>
            <w:tcBorders>
              <w:top w:val="single" w:sz="8" w:color="auto"/>
              <w:left w:val="single" w:sz="8" w:color="auto"/>
            </w:tcBorders>
          </w:tcPr>
          <w:p>
            <w:pPr>
              <w:spacing w:after="0"/>
              <w:rPr>
                <w:sz w:val="20"/>
                <w:szCs w:val="20"/>
                <w:color w:val="auto"/>
              </w:rPr>
            </w:pPr>
            <w:r>
              <w:rPr>
                <w:rFonts w:ascii="Times New Roman" w:cs="Times New Roman" w:eastAsia="Times New Roman" w:hAnsi="Times New Roman"/>
                <w:sz w:val="24"/>
                <w:szCs w:val="24"/>
                <w:b w:val="1"/>
                <w:bCs w:val="1"/>
                <w:color w:val="auto"/>
              </w:rPr>
              <w:t>Particulars</w:t>
            </w:r>
          </w:p>
        </w:tc>
        <w:tc>
          <w:tcPr>
            <w:tcW w:w="1220" w:type="dxa"/>
            <w:vAlign w:val="bottom"/>
            <w:tcBorders>
              <w:top w:val="single" w:sz="8" w:color="auto"/>
              <w:right w:val="single" w:sz="8" w:color="auto"/>
            </w:tcBorders>
          </w:tcPr>
          <w:p>
            <w:pPr>
              <w:spacing w:after="0"/>
              <w:rPr>
                <w:sz w:val="24"/>
                <w:szCs w:val="24"/>
                <w:color w:val="auto"/>
              </w:rPr>
            </w:pPr>
          </w:p>
        </w:tc>
        <w:tc>
          <w:tcPr>
            <w:tcW w:w="2620" w:type="dxa"/>
            <w:vAlign w:val="bottom"/>
            <w:tcBorders>
              <w:top w:val="single" w:sz="8" w:color="auto"/>
              <w:right w:val="single" w:sz="8" w:color="auto"/>
            </w:tcBorders>
          </w:tcPr>
          <w:p>
            <w:pPr>
              <w:jc w:val="right"/>
              <w:ind w:right="1340"/>
              <w:spacing w:after="0"/>
              <w:rPr>
                <w:sz w:val="20"/>
                <w:szCs w:val="20"/>
                <w:color w:val="auto"/>
              </w:rPr>
            </w:pPr>
            <w:r>
              <w:rPr>
                <w:rFonts w:ascii="Times New Roman" w:cs="Times New Roman" w:eastAsia="Times New Roman" w:hAnsi="Times New Roman"/>
                <w:sz w:val="24"/>
                <w:szCs w:val="24"/>
                <w:b w:val="1"/>
                <w:bCs w:val="1"/>
                <w:color w:val="auto"/>
                <w:w w:val="95"/>
              </w:rPr>
              <w:t>Pre-issue at</w:t>
            </w:r>
          </w:p>
        </w:tc>
        <w:tc>
          <w:tcPr>
            <w:tcW w:w="2540" w:type="dxa"/>
            <w:vAlign w:val="bottom"/>
            <w:tcBorders>
              <w:top w:val="single" w:sz="8" w:color="auto"/>
              <w:right w:val="single" w:sz="8" w:color="auto"/>
            </w:tcBorders>
          </w:tcPr>
          <w:p>
            <w:pPr>
              <w:spacing w:after="0"/>
              <w:rPr>
                <w:sz w:val="20"/>
                <w:szCs w:val="20"/>
                <w:color w:val="auto"/>
              </w:rPr>
            </w:pPr>
            <w:r>
              <w:rPr>
                <w:rFonts w:ascii="Times New Roman" w:cs="Times New Roman" w:eastAsia="Times New Roman" w:hAnsi="Times New Roman"/>
                <w:sz w:val="24"/>
                <w:szCs w:val="24"/>
                <w:b w:val="1"/>
                <w:bCs w:val="1"/>
                <w:color w:val="auto"/>
              </w:rPr>
              <w:t>As   adjusted   for   the</w:t>
            </w:r>
          </w:p>
        </w:tc>
      </w:tr>
      <w:tr>
        <w:trPr>
          <w:trHeight w:val="413"/>
        </w:trPr>
        <w:tc>
          <w:tcPr>
            <w:tcW w:w="1860" w:type="dxa"/>
            <w:vAlign w:val="bottom"/>
            <w:tcBorders>
              <w:lef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c>
          <w:tcPr>
            <w:tcW w:w="2620" w:type="dxa"/>
            <w:vAlign w:val="bottom"/>
            <w:tcBorders>
              <w:right w:val="single" w:sz="8" w:color="auto"/>
            </w:tcBorders>
          </w:tcPr>
          <w:p>
            <w:pPr>
              <w:spacing w:after="0"/>
              <w:rPr>
                <w:sz w:val="24"/>
                <w:szCs w:val="24"/>
                <w:color w:val="auto"/>
              </w:rPr>
            </w:pPr>
          </w:p>
        </w:tc>
        <w:tc>
          <w:tcPr>
            <w:tcW w:w="2540" w:type="dxa"/>
            <w:vAlign w:val="bottom"/>
            <w:tcBorders>
              <w:right w:val="single" w:sz="8" w:color="auto"/>
            </w:tcBorders>
          </w:tcPr>
          <w:p>
            <w:pPr>
              <w:spacing w:after="0"/>
              <w:rPr>
                <w:sz w:val="20"/>
                <w:szCs w:val="20"/>
                <w:color w:val="auto"/>
              </w:rPr>
            </w:pPr>
            <w:r>
              <w:rPr>
                <w:rFonts w:ascii="Times New Roman" w:cs="Times New Roman" w:eastAsia="Times New Roman" w:hAnsi="Times New Roman"/>
                <w:sz w:val="24"/>
                <w:szCs w:val="24"/>
                <w:b w:val="1"/>
                <w:bCs w:val="1"/>
                <w:color w:val="auto"/>
              </w:rPr>
              <w:t>proposed issue</w:t>
            </w:r>
          </w:p>
        </w:tc>
      </w:tr>
      <w:tr>
        <w:trPr>
          <w:trHeight w:val="300"/>
        </w:trPr>
        <w:tc>
          <w:tcPr>
            <w:tcW w:w="1860" w:type="dxa"/>
            <w:vAlign w:val="bottom"/>
            <w:tcBorders>
              <w:left w:val="single" w:sz="8" w:color="auto"/>
              <w:bottom w:val="single" w:sz="8" w:color="auto"/>
            </w:tcBorders>
          </w:tcPr>
          <w:p>
            <w:pPr>
              <w:spacing w:after="0"/>
              <w:rPr>
                <w:sz w:val="24"/>
                <w:szCs w:val="24"/>
                <w:color w:val="auto"/>
              </w:rPr>
            </w:pPr>
          </w:p>
        </w:tc>
        <w:tc>
          <w:tcPr>
            <w:tcW w:w="1220" w:type="dxa"/>
            <w:vAlign w:val="bottom"/>
            <w:tcBorders>
              <w:bottom w:val="single" w:sz="8" w:color="auto"/>
              <w:right w:val="single" w:sz="8" w:color="auto"/>
            </w:tcBorders>
          </w:tcPr>
          <w:p>
            <w:pPr>
              <w:spacing w:after="0"/>
              <w:rPr>
                <w:sz w:val="24"/>
                <w:szCs w:val="24"/>
                <w:color w:val="auto"/>
              </w:rPr>
            </w:pPr>
          </w:p>
        </w:tc>
        <w:tc>
          <w:tcPr>
            <w:tcW w:w="2620" w:type="dxa"/>
            <w:vAlign w:val="bottom"/>
            <w:tcBorders>
              <w:bottom w:val="single" w:sz="8" w:color="auto"/>
              <w:right w:val="single" w:sz="8" w:color="auto"/>
            </w:tcBorders>
          </w:tcPr>
          <w:p>
            <w:pPr>
              <w:spacing w:after="0"/>
              <w:rPr>
                <w:sz w:val="24"/>
                <w:szCs w:val="24"/>
                <w:color w:val="auto"/>
              </w:rPr>
            </w:pPr>
          </w:p>
        </w:tc>
        <w:tc>
          <w:tcPr>
            <w:tcW w:w="2540" w:type="dxa"/>
            <w:vAlign w:val="bottom"/>
            <w:tcBorders>
              <w:bottom w:val="single" w:sz="8" w:color="auto"/>
              <w:right w:val="single" w:sz="8" w:color="auto"/>
            </w:tcBorders>
          </w:tcPr>
          <w:p>
            <w:pPr>
              <w:spacing w:after="0"/>
              <w:rPr>
                <w:sz w:val="24"/>
                <w:szCs w:val="24"/>
                <w:color w:val="auto"/>
              </w:rPr>
            </w:pPr>
          </w:p>
        </w:tc>
      </w:tr>
      <w:tr>
        <w:trPr>
          <w:trHeight w:val="260"/>
        </w:trPr>
        <w:tc>
          <w:tcPr>
            <w:tcW w:w="1860" w:type="dxa"/>
            <w:vAlign w:val="bottom"/>
            <w:tcBorders>
              <w:left w:val="single" w:sz="8" w:color="auto"/>
            </w:tcBorders>
          </w:tcPr>
          <w:p>
            <w:pPr>
              <w:spacing w:after="0" w:line="260" w:lineRule="exact"/>
              <w:rPr>
                <w:sz w:val="20"/>
                <w:szCs w:val="20"/>
                <w:color w:val="auto"/>
              </w:rPr>
            </w:pPr>
            <w:r>
              <w:rPr>
                <w:rFonts w:ascii="Times New Roman" w:cs="Times New Roman" w:eastAsia="Times New Roman" w:hAnsi="Times New Roman"/>
                <w:sz w:val="24"/>
                <w:szCs w:val="24"/>
                <w:color w:val="auto"/>
              </w:rPr>
              <w:t>(` in xxx)</w:t>
            </w:r>
          </w:p>
        </w:tc>
        <w:tc>
          <w:tcPr>
            <w:tcW w:w="1220" w:type="dxa"/>
            <w:vAlign w:val="bottom"/>
          </w:tcPr>
          <w:p>
            <w:pPr>
              <w:spacing w:after="0"/>
              <w:rPr>
                <w:sz w:val="22"/>
                <w:szCs w:val="22"/>
                <w:color w:val="auto"/>
              </w:rPr>
            </w:pPr>
          </w:p>
        </w:tc>
        <w:tc>
          <w:tcPr>
            <w:tcW w:w="2620" w:type="dxa"/>
            <w:vAlign w:val="bottom"/>
          </w:tcPr>
          <w:p>
            <w:pPr>
              <w:spacing w:after="0"/>
              <w:rPr>
                <w:sz w:val="22"/>
                <w:szCs w:val="22"/>
                <w:color w:val="auto"/>
              </w:rPr>
            </w:pPr>
          </w:p>
        </w:tc>
        <w:tc>
          <w:tcPr>
            <w:tcW w:w="2540" w:type="dxa"/>
            <w:vAlign w:val="bottom"/>
            <w:tcBorders>
              <w:right w:val="single" w:sz="8" w:color="auto"/>
            </w:tcBorders>
          </w:tcPr>
          <w:p>
            <w:pPr>
              <w:spacing w:after="0"/>
              <w:rPr>
                <w:sz w:val="22"/>
                <w:szCs w:val="22"/>
                <w:color w:val="auto"/>
              </w:rPr>
            </w:pPr>
          </w:p>
        </w:tc>
      </w:tr>
      <w:tr>
        <w:trPr>
          <w:trHeight w:val="557"/>
        </w:trPr>
        <w:tc>
          <w:tcPr>
            <w:tcW w:w="1860" w:type="dxa"/>
            <w:vAlign w:val="bottom"/>
            <w:tcBorders>
              <w:left w:val="single" w:sz="8" w:color="auto"/>
              <w:bottom w:val="single" w:sz="8" w:color="auto"/>
            </w:tcBorders>
          </w:tcPr>
          <w:p>
            <w:pPr>
              <w:spacing w:after="0"/>
              <w:rPr>
                <w:sz w:val="24"/>
                <w:szCs w:val="24"/>
                <w:color w:val="auto"/>
              </w:rPr>
            </w:pPr>
          </w:p>
        </w:tc>
        <w:tc>
          <w:tcPr>
            <w:tcW w:w="1220" w:type="dxa"/>
            <w:vAlign w:val="bottom"/>
            <w:tcBorders>
              <w:bottom w:val="single" w:sz="8" w:color="auto"/>
            </w:tcBorders>
          </w:tcPr>
          <w:p>
            <w:pPr>
              <w:spacing w:after="0"/>
              <w:rPr>
                <w:sz w:val="24"/>
                <w:szCs w:val="24"/>
                <w:color w:val="auto"/>
              </w:rPr>
            </w:pPr>
          </w:p>
        </w:tc>
        <w:tc>
          <w:tcPr>
            <w:tcW w:w="2620" w:type="dxa"/>
            <w:vAlign w:val="bottom"/>
            <w:tcBorders>
              <w:bottom w:val="single" w:sz="8" w:color="auto"/>
            </w:tcBorders>
          </w:tcPr>
          <w:p>
            <w:pPr>
              <w:spacing w:after="0"/>
              <w:rPr>
                <w:sz w:val="24"/>
                <w:szCs w:val="24"/>
                <w:color w:val="auto"/>
              </w:rPr>
            </w:pPr>
          </w:p>
        </w:tc>
        <w:tc>
          <w:tcPr>
            <w:tcW w:w="2540" w:type="dxa"/>
            <w:vAlign w:val="bottom"/>
            <w:tcBorders>
              <w:bottom w:val="single" w:sz="8" w:color="auto"/>
              <w:right w:val="single" w:sz="8" w:color="auto"/>
            </w:tcBorders>
          </w:tcPr>
          <w:p>
            <w:pPr>
              <w:spacing w:after="0"/>
              <w:rPr>
                <w:sz w:val="24"/>
                <w:szCs w:val="24"/>
                <w:color w:val="auto"/>
              </w:rPr>
            </w:pPr>
          </w:p>
        </w:tc>
      </w:tr>
      <w:tr>
        <w:trPr>
          <w:trHeight w:val="263"/>
        </w:trPr>
        <w:tc>
          <w:tcPr>
            <w:tcW w:w="1860" w:type="dxa"/>
            <w:vAlign w:val="bottom"/>
            <w:tcBorders>
              <w:left w:val="single" w:sz="8" w:color="auto"/>
            </w:tcBorders>
          </w:tcPr>
          <w:p>
            <w:pPr>
              <w:spacing w:after="0" w:line="263" w:lineRule="exact"/>
              <w:rPr>
                <w:sz w:val="20"/>
                <w:szCs w:val="20"/>
                <w:color w:val="auto"/>
              </w:rPr>
            </w:pPr>
            <w:r>
              <w:rPr>
                <w:rFonts w:ascii="Times New Roman" w:cs="Times New Roman" w:eastAsia="Times New Roman" w:hAnsi="Times New Roman"/>
                <w:sz w:val="24"/>
                <w:szCs w:val="24"/>
                <w:b w:val="1"/>
                <w:bCs w:val="1"/>
                <w:color w:val="auto"/>
              </w:rPr>
              <w:t>Total borrowings</w:t>
            </w:r>
          </w:p>
        </w:tc>
        <w:tc>
          <w:tcPr>
            <w:tcW w:w="1220" w:type="dxa"/>
            <w:vAlign w:val="bottom"/>
            <w:tcBorders>
              <w:right w:val="single" w:sz="8" w:color="auto"/>
            </w:tcBorders>
          </w:tcPr>
          <w:p>
            <w:pPr>
              <w:spacing w:after="0"/>
              <w:rPr>
                <w:sz w:val="22"/>
                <w:szCs w:val="22"/>
                <w:color w:val="auto"/>
              </w:rPr>
            </w:pPr>
          </w:p>
        </w:tc>
        <w:tc>
          <w:tcPr>
            <w:tcW w:w="2620" w:type="dxa"/>
            <w:vAlign w:val="bottom"/>
            <w:tcBorders>
              <w:right w:val="single" w:sz="8" w:color="auto"/>
            </w:tcBorders>
          </w:tcPr>
          <w:p>
            <w:pPr>
              <w:spacing w:after="0"/>
              <w:rPr>
                <w:sz w:val="22"/>
                <w:szCs w:val="22"/>
                <w:color w:val="auto"/>
              </w:rPr>
            </w:pPr>
          </w:p>
        </w:tc>
        <w:tc>
          <w:tcPr>
            <w:tcW w:w="2540" w:type="dxa"/>
            <w:vAlign w:val="bottom"/>
            <w:tcBorders>
              <w:right w:val="single" w:sz="8" w:color="auto"/>
            </w:tcBorders>
          </w:tcPr>
          <w:p>
            <w:pPr>
              <w:spacing w:after="0"/>
              <w:rPr>
                <w:sz w:val="22"/>
                <w:szCs w:val="22"/>
                <w:color w:val="auto"/>
              </w:rPr>
            </w:pPr>
          </w:p>
        </w:tc>
      </w:tr>
      <w:tr>
        <w:trPr>
          <w:trHeight w:val="303"/>
        </w:trPr>
        <w:tc>
          <w:tcPr>
            <w:tcW w:w="3080" w:type="dxa"/>
            <w:vAlign w:val="bottom"/>
            <w:tcBorders>
              <w:left w:val="single" w:sz="8" w:color="auto"/>
              <w:bottom w:val="single" w:sz="8" w:color="auto"/>
              <w:right w:val="single" w:sz="8" w:color="auto"/>
            </w:tcBorders>
            <w:gridSpan w:val="2"/>
          </w:tcPr>
          <w:p>
            <w:pPr>
              <w:spacing w:after="0"/>
              <w:rPr>
                <w:sz w:val="24"/>
                <w:szCs w:val="24"/>
                <w:color w:val="auto"/>
              </w:rPr>
            </w:pPr>
          </w:p>
        </w:tc>
        <w:tc>
          <w:tcPr>
            <w:tcW w:w="2620" w:type="dxa"/>
            <w:vAlign w:val="bottom"/>
            <w:tcBorders>
              <w:bottom w:val="single" w:sz="8" w:color="auto"/>
              <w:right w:val="single" w:sz="8" w:color="auto"/>
            </w:tcBorders>
          </w:tcPr>
          <w:p>
            <w:pPr>
              <w:spacing w:after="0"/>
              <w:rPr>
                <w:sz w:val="24"/>
                <w:szCs w:val="24"/>
                <w:color w:val="auto"/>
              </w:rPr>
            </w:pPr>
          </w:p>
        </w:tc>
        <w:tc>
          <w:tcPr>
            <w:tcW w:w="2540" w:type="dxa"/>
            <w:vAlign w:val="bottom"/>
            <w:tcBorders>
              <w:bottom w:val="single" w:sz="8" w:color="auto"/>
              <w:right w:val="single" w:sz="8" w:color="auto"/>
            </w:tcBorders>
          </w:tcPr>
          <w:p>
            <w:pPr>
              <w:spacing w:after="0"/>
              <w:rPr>
                <w:sz w:val="24"/>
                <w:szCs w:val="24"/>
                <w:color w:val="auto"/>
              </w:rPr>
            </w:pPr>
          </w:p>
        </w:tc>
      </w:tr>
      <w:tr>
        <w:trPr>
          <w:trHeight w:val="258"/>
        </w:trPr>
        <w:tc>
          <w:tcPr>
            <w:tcW w:w="3080" w:type="dxa"/>
            <w:vAlign w:val="bottom"/>
            <w:tcBorders>
              <w:left w:val="single" w:sz="8" w:color="auto"/>
              <w:right w:val="single" w:sz="8" w:color="auto"/>
            </w:tcBorders>
            <w:gridSpan w:val="2"/>
          </w:tcPr>
          <w:p>
            <w:pPr>
              <w:spacing w:after="0" w:line="258" w:lineRule="exact"/>
              <w:rPr>
                <w:sz w:val="20"/>
                <w:szCs w:val="20"/>
                <w:color w:val="auto"/>
              </w:rPr>
            </w:pPr>
            <w:r>
              <w:rPr>
                <w:rFonts w:ascii="Times New Roman" w:cs="Times New Roman" w:eastAsia="Times New Roman" w:hAnsi="Times New Roman"/>
                <w:sz w:val="24"/>
                <w:szCs w:val="24"/>
                <w:color w:val="auto"/>
              </w:rPr>
              <w:t>Current borrowings*</w:t>
            </w:r>
          </w:p>
        </w:tc>
        <w:tc>
          <w:tcPr>
            <w:tcW w:w="2620" w:type="dxa"/>
            <w:vAlign w:val="bottom"/>
            <w:tcBorders>
              <w:right w:val="single" w:sz="8" w:color="auto"/>
            </w:tcBorders>
          </w:tcPr>
          <w:p>
            <w:pPr>
              <w:spacing w:after="0"/>
              <w:rPr>
                <w:sz w:val="22"/>
                <w:szCs w:val="22"/>
                <w:color w:val="auto"/>
              </w:rPr>
            </w:pPr>
          </w:p>
        </w:tc>
        <w:tc>
          <w:tcPr>
            <w:tcW w:w="2540" w:type="dxa"/>
            <w:vAlign w:val="bottom"/>
            <w:tcBorders>
              <w:right w:val="single" w:sz="8" w:color="auto"/>
            </w:tcBorders>
          </w:tcPr>
          <w:p>
            <w:pPr>
              <w:spacing w:after="0"/>
              <w:rPr>
                <w:sz w:val="22"/>
                <w:szCs w:val="22"/>
                <w:color w:val="auto"/>
              </w:rPr>
            </w:pPr>
          </w:p>
        </w:tc>
      </w:tr>
      <w:tr>
        <w:trPr>
          <w:trHeight w:val="305"/>
        </w:trPr>
        <w:tc>
          <w:tcPr>
            <w:tcW w:w="1860" w:type="dxa"/>
            <w:vAlign w:val="bottom"/>
            <w:tcBorders>
              <w:left w:val="single" w:sz="8" w:color="auto"/>
              <w:bottom w:val="single" w:sz="8" w:color="auto"/>
            </w:tcBorders>
          </w:tcPr>
          <w:p>
            <w:pPr>
              <w:spacing w:after="0"/>
              <w:rPr>
                <w:sz w:val="24"/>
                <w:szCs w:val="24"/>
                <w:color w:val="auto"/>
              </w:rPr>
            </w:pPr>
          </w:p>
        </w:tc>
        <w:tc>
          <w:tcPr>
            <w:tcW w:w="1220" w:type="dxa"/>
            <w:vAlign w:val="bottom"/>
            <w:tcBorders>
              <w:bottom w:val="single" w:sz="8" w:color="auto"/>
              <w:right w:val="single" w:sz="8" w:color="auto"/>
            </w:tcBorders>
          </w:tcPr>
          <w:p>
            <w:pPr>
              <w:spacing w:after="0"/>
              <w:rPr>
                <w:sz w:val="24"/>
                <w:szCs w:val="24"/>
                <w:color w:val="auto"/>
              </w:rPr>
            </w:pPr>
          </w:p>
        </w:tc>
        <w:tc>
          <w:tcPr>
            <w:tcW w:w="2620" w:type="dxa"/>
            <w:vAlign w:val="bottom"/>
            <w:tcBorders>
              <w:bottom w:val="single" w:sz="8" w:color="auto"/>
              <w:right w:val="single" w:sz="8" w:color="auto"/>
            </w:tcBorders>
          </w:tcPr>
          <w:p>
            <w:pPr>
              <w:spacing w:after="0"/>
              <w:rPr>
                <w:sz w:val="24"/>
                <w:szCs w:val="24"/>
                <w:color w:val="auto"/>
              </w:rPr>
            </w:pPr>
          </w:p>
        </w:tc>
        <w:tc>
          <w:tcPr>
            <w:tcW w:w="2540" w:type="dxa"/>
            <w:vAlign w:val="bottom"/>
            <w:tcBorders>
              <w:bottom w:val="single" w:sz="8" w:color="auto"/>
              <w:right w:val="single" w:sz="8" w:color="auto"/>
            </w:tcBorders>
          </w:tcPr>
          <w:p>
            <w:pPr>
              <w:spacing w:after="0"/>
              <w:rPr>
                <w:sz w:val="24"/>
                <w:szCs w:val="24"/>
                <w:color w:val="auto"/>
              </w:rPr>
            </w:pPr>
          </w:p>
        </w:tc>
      </w:tr>
      <w:tr>
        <w:trPr>
          <w:trHeight w:val="258"/>
        </w:trPr>
        <w:tc>
          <w:tcPr>
            <w:tcW w:w="1860" w:type="dxa"/>
            <w:vAlign w:val="bottom"/>
            <w:tcBorders>
              <w:left w:val="single" w:sz="8" w:color="auto"/>
            </w:tcBorders>
          </w:tcPr>
          <w:p>
            <w:pPr>
              <w:spacing w:after="0" w:line="258" w:lineRule="exact"/>
              <w:rPr>
                <w:sz w:val="20"/>
                <w:szCs w:val="20"/>
                <w:color w:val="auto"/>
              </w:rPr>
            </w:pPr>
            <w:r>
              <w:rPr>
                <w:rFonts w:ascii="Times New Roman" w:cs="Times New Roman" w:eastAsia="Times New Roman" w:hAnsi="Times New Roman"/>
                <w:sz w:val="24"/>
                <w:szCs w:val="24"/>
                <w:color w:val="auto"/>
              </w:rPr>
              <w:t>Non-current</w:t>
            </w:r>
          </w:p>
        </w:tc>
        <w:tc>
          <w:tcPr>
            <w:tcW w:w="1220" w:type="dxa"/>
            <w:vAlign w:val="bottom"/>
            <w:tcBorders>
              <w:right w:val="single" w:sz="8" w:color="auto"/>
            </w:tcBorders>
          </w:tcPr>
          <w:p>
            <w:pPr>
              <w:ind w:left="80"/>
              <w:spacing w:after="0" w:line="258" w:lineRule="exact"/>
              <w:rPr>
                <w:sz w:val="20"/>
                <w:szCs w:val="20"/>
                <w:color w:val="auto"/>
              </w:rPr>
            </w:pPr>
            <w:r>
              <w:rPr>
                <w:rFonts w:ascii="Times New Roman" w:cs="Times New Roman" w:eastAsia="Times New Roman" w:hAnsi="Times New Roman"/>
                <w:sz w:val="24"/>
                <w:szCs w:val="24"/>
                <w:color w:val="auto"/>
              </w:rPr>
              <w:t>borrowings</w:t>
            </w:r>
          </w:p>
        </w:tc>
        <w:tc>
          <w:tcPr>
            <w:tcW w:w="2620" w:type="dxa"/>
            <w:vAlign w:val="bottom"/>
            <w:tcBorders>
              <w:right w:val="single" w:sz="8" w:color="auto"/>
            </w:tcBorders>
          </w:tcPr>
          <w:p>
            <w:pPr>
              <w:spacing w:after="0"/>
              <w:rPr>
                <w:sz w:val="22"/>
                <w:szCs w:val="22"/>
                <w:color w:val="auto"/>
              </w:rPr>
            </w:pPr>
          </w:p>
        </w:tc>
        <w:tc>
          <w:tcPr>
            <w:tcW w:w="2540" w:type="dxa"/>
            <w:vAlign w:val="bottom"/>
            <w:tcBorders>
              <w:right w:val="single" w:sz="8" w:color="auto"/>
            </w:tcBorders>
          </w:tcPr>
          <w:p>
            <w:pPr>
              <w:spacing w:after="0"/>
              <w:rPr>
                <w:sz w:val="22"/>
                <w:szCs w:val="22"/>
                <w:color w:val="auto"/>
              </w:rPr>
            </w:pPr>
          </w:p>
        </w:tc>
      </w:tr>
      <w:tr>
        <w:trPr>
          <w:trHeight w:val="415"/>
        </w:trPr>
        <w:tc>
          <w:tcPr>
            <w:tcW w:w="3080" w:type="dxa"/>
            <w:vAlign w:val="bottom"/>
            <w:tcBorders>
              <w:left w:val="single" w:sz="8" w:color="auto"/>
              <w:right w:val="single" w:sz="8" w:color="auto"/>
            </w:tcBorders>
            <w:gridSpan w:val="2"/>
          </w:tcPr>
          <w:p>
            <w:pPr>
              <w:spacing w:after="0"/>
              <w:rPr>
                <w:sz w:val="20"/>
                <w:szCs w:val="20"/>
                <w:color w:val="auto"/>
              </w:rPr>
            </w:pPr>
            <w:r>
              <w:rPr>
                <w:rFonts w:ascii="Times New Roman" w:cs="Times New Roman" w:eastAsia="Times New Roman" w:hAnsi="Times New Roman"/>
                <w:sz w:val="24"/>
                <w:szCs w:val="24"/>
                <w:color w:val="auto"/>
              </w:rPr>
              <w:t>(including current maturity)*</w:t>
            </w:r>
          </w:p>
        </w:tc>
        <w:tc>
          <w:tcPr>
            <w:tcW w:w="2620" w:type="dxa"/>
            <w:vAlign w:val="bottom"/>
            <w:tcBorders>
              <w:right w:val="single" w:sz="8" w:color="auto"/>
            </w:tcBorders>
          </w:tcPr>
          <w:p>
            <w:pPr>
              <w:spacing w:after="0"/>
              <w:rPr>
                <w:sz w:val="24"/>
                <w:szCs w:val="24"/>
                <w:color w:val="auto"/>
              </w:rPr>
            </w:pPr>
          </w:p>
        </w:tc>
        <w:tc>
          <w:tcPr>
            <w:tcW w:w="2540" w:type="dxa"/>
            <w:vAlign w:val="bottom"/>
            <w:tcBorders>
              <w:right w:val="single" w:sz="8" w:color="auto"/>
            </w:tcBorders>
          </w:tcPr>
          <w:p>
            <w:pPr>
              <w:spacing w:after="0"/>
              <w:rPr>
                <w:sz w:val="24"/>
                <w:szCs w:val="24"/>
                <w:color w:val="auto"/>
              </w:rPr>
            </w:pPr>
          </w:p>
        </w:tc>
      </w:tr>
      <w:tr>
        <w:trPr>
          <w:trHeight w:val="306"/>
        </w:trPr>
        <w:tc>
          <w:tcPr>
            <w:tcW w:w="1860" w:type="dxa"/>
            <w:vAlign w:val="bottom"/>
            <w:tcBorders>
              <w:left w:val="single" w:sz="8" w:color="auto"/>
              <w:bottom w:val="single" w:sz="8" w:color="auto"/>
            </w:tcBorders>
          </w:tcPr>
          <w:p>
            <w:pPr>
              <w:spacing w:after="0"/>
              <w:rPr>
                <w:sz w:val="24"/>
                <w:szCs w:val="24"/>
                <w:color w:val="auto"/>
              </w:rPr>
            </w:pPr>
          </w:p>
        </w:tc>
        <w:tc>
          <w:tcPr>
            <w:tcW w:w="1220" w:type="dxa"/>
            <w:vAlign w:val="bottom"/>
            <w:tcBorders>
              <w:bottom w:val="single" w:sz="8" w:color="auto"/>
              <w:right w:val="single" w:sz="8" w:color="auto"/>
            </w:tcBorders>
          </w:tcPr>
          <w:p>
            <w:pPr>
              <w:spacing w:after="0"/>
              <w:rPr>
                <w:sz w:val="24"/>
                <w:szCs w:val="24"/>
                <w:color w:val="auto"/>
              </w:rPr>
            </w:pPr>
          </w:p>
        </w:tc>
        <w:tc>
          <w:tcPr>
            <w:tcW w:w="2620" w:type="dxa"/>
            <w:vAlign w:val="bottom"/>
            <w:tcBorders>
              <w:bottom w:val="single" w:sz="8" w:color="auto"/>
              <w:right w:val="single" w:sz="8" w:color="auto"/>
            </w:tcBorders>
          </w:tcPr>
          <w:p>
            <w:pPr>
              <w:spacing w:after="0"/>
              <w:rPr>
                <w:sz w:val="24"/>
                <w:szCs w:val="24"/>
                <w:color w:val="auto"/>
              </w:rPr>
            </w:pPr>
          </w:p>
        </w:tc>
        <w:tc>
          <w:tcPr>
            <w:tcW w:w="2540" w:type="dxa"/>
            <w:vAlign w:val="bottom"/>
            <w:tcBorders>
              <w:bottom w:val="single" w:sz="8" w:color="auto"/>
              <w:right w:val="single" w:sz="8" w:color="auto"/>
            </w:tcBorders>
          </w:tcPr>
          <w:p>
            <w:pPr>
              <w:spacing w:after="0"/>
              <w:rPr>
                <w:sz w:val="24"/>
                <w:szCs w:val="24"/>
                <w:color w:val="auto"/>
              </w:rPr>
            </w:pPr>
          </w:p>
        </w:tc>
      </w:tr>
      <w:tr>
        <w:trPr>
          <w:trHeight w:val="563"/>
        </w:trPr>
        <w:tc>
          <w:tcPr>
            <w:tcW w:w="1860" w:type="dxa"/>
            <w:vAlign w:val="bottom"/>
            <w:tcBorders>
              <w:left w:val="single" w:sz="8" w:color="auto"/>
              <w:bottom w:val="single" w:sz="8" w:color="auto"/>
            </w:tcBorders>
          </w:tcPr>
          <w:p>
            <w:pPr>
              <w:spacing w:after="0"/>
              <w:rPr>
                <w:sz w:val="24"/>
                <w:szCs w:val="24"/>
                <w:color w:val="auto"/>
              </w:rPr>
            </w:pPr>
          </w:p>
        </w:tc>
        <w:tc>
          <w:tcPr>
            <w:tcW w:w="1220" w:type="dxa"/>
            <w:vAlign w:val="bottom"/>
            <w:tcBorders>
              <w:bottom w:val="single" w:sz="8" w:color="auto"/>
              <w:right w:val="single" w:sz="8" w:color="auto"/>
            </w:tcBorders>
          </w:tcPr>
          <w:p>
            <w:pPr>
              <w:spacing w:after="0"/>
              <w:rPr>
                <w:sz w:val="24"/>
                <w:szCs w:val="24"/>
                <w:color w:val="auto"/>
              </w:rPr>
            </w:pPr>
          </w:p>
        </w:tc>
        <w:tc>
          <w:tcPr>
            <w:tcW w:w="2620" w:type="dxa"/>
            <w:vAlign w:val="bottom"/>
            <w:tcBorders>
              <w:bottom w:val="single" w:sz="8" w:color="auto"/>
              <w:right w:val="single" w:sz="8" w:color="auto"/>
            </w:tcBorders>
          </w:tcPr>
          <w:p>
            <w:pPr>
              <w:spacing w:after="0"/>
              <w:rPr>
                <w:sz w:val="24"/>
                <w:szCs w:val="24"/>
                <w:color w:val="auto"/>
              </w:rPr>
            </w:pPr>
          </w:p>
        </w:tc>
        <w:tc>
          <w:tcPr>
            <w:tcW w:w="2540" w:type="dxa"/>
            <w:vAlign w:val="bottom"/>
            <w:tcBorders>
              <w:bottom w:val="single" w:sz="8" w:color="auto"/>
              <w:right w:val="single" w:sz="8" w:color="auto"/>
            </w:tcBorders>
          </w:tcPr>
          <w:p>
            <w:pPr>
              <w:spacing w:after="0"/>
              <w:rPr>
                <w:sz w:val="24"/>
                <w:szCs w:val="24"/>
                <w:color w:val="auto"/>
              </w:rPr>
            </w:pPr>
          </w:p>
        </w:tc>
      </w:tr>
      <w:tr>
        <w:trPr>
          <w:trHeight w:val="263"/>
        </w:trPr>
        <w:tc>
          <w:tcPr>
            <w:tcW w:w="1860" w:type="dxa"/>
            <w:vAlign w:val="bottom"/>
            <w:tcBorders>
              <w:left w:val="single" w:sz="8" w:color="auto"/>
            </w:tcBorders>
          </w:tcPr>
          <w:p>
            <w:pPr>
              <w:spacing w:after="0" w:line="263" w:lineRule="exact"/>
              <w:rPr>
                <w:sz w:val="20"/>
                <w:szCs w:val="20"/>
                <w:color w:val="auto"/>
              </w:rPr>
            </w:pPr>
            <w:r>
              <w:rPr>
                <w:rFonts w:ascii="Times New Roman" w:cs="Times New Roman" w:eastAsia="Times New Roman" w:hAnsi="Times New Roman"/>
                <w:sz w:val="24"/>
                <w:szCs w:val="24"/>
                <w:b w:val="1"/>
                <w:bCs w:val="1"/>
                <w:color w:val="auto"/>
              </w:rPr>
              <w:t>Total equity</w:t>
            </w:r>
          </w:p>
        </w:tc>
        <w:tc>
          <w:tcPr>
            <w:tcW w:w="1220" w:type="dxa"/>
            <w:vAlign w:val="bottom"/>
            <w:tcBorders>
              <w:right w:val="single" w:sz="8" w:color="auto"/>
            </w:tcBorders>
          </w:tcPr>
          <w:p>
            <w:pPr>
              <w:spacing w:after="0"/>
              <w:rPr>
                <w:sz w:val="22"/>
                <w:szCs w:val="22"/>
                <w:color w:val="auto"/>
              </w:rPr>
            </w:pPr>
          </w:p>
        </w:tc>
        <w:tc>
          <w:tcPr>
            <w:tcW w:w="2620" w:type="dxa"/>
            <w:vAlign w:val="bottom"/>
            <w:tcBorders>
              <w:right w:val="single" w:sz="8" w:color="auto"/>
            </w:tcBorders>
          </w:tcPr>
          <w:p>
            <w:pPr>
              <w:spacing w:after="0"/>
              <w:rPr>
                <w:sz w:val="22"/>
                <w:szCs w:val="22"/>
                <w:color w:val="auto"/>
              </w:rPr>
            </w:pPr>
          </w:p>
        </w:tc>
        <w:tc>
          <w:tcPr>
            <w:tcW w:w="2540" w:type="dxa"/>
            <w:vAlign w:val="bottom"/>
            <w:tcBorders>
              <w:right w:val="single" w:sz="8" w:color="auto"/>
            </w:tcBorders>
          </w:tcPr>
          <w:p>
            <w:pPr>
              <w:spacing w:after="0"/>
              <w:rPr>
                <w:sz w:val="22"/>
                <w:szCs w:val="22"/>
                <w:color w:val="auto"/>
              </w:rPr>
            </w:pPr>
          </w:p>
        </w:tc>
      </w:tr>
      <w:tr>
        <w:trPr>
          <w:trHeight w:val="300"/>
        </w:trPr>
        <w:tc>
          <w:tcPr>
            <w:tcW w:w="1860" w:type="dxa"/>
            <w:vAlign w:val="bottom"/>
            <w:tcBorders>
              <w:left w:val="single" w:sz="8" w:color="auto"/>
              <w:bottom w:val="single" w:sz="8" w:color="auto"/>
            </w:tcBorders>
          </w:tcPr>
          <w:p>
            <w:pPr>
              <w:spacing w:after="0"/>
              <w:rPr>
                <w:sz w:val="24"/>
                <w:szCs w:val="24"/>
                <w:color w:val="auto"/>
              </w:rPr>
            </w:pPr>
          </w:p>
        </w:tc>
        <w:tc>
          <w:tcPr>
            <w:tcW w:w="1220" w:type="dxa"/>
            <w:vAlign w:val="bottom"/>
            <w:tcBorders>
              <w:bottom w:val="single" w:sz="8" w:color="auto"/>
              <w:right w:val="single" w:sz="8" w:color="auto"/>
            </w:tcBorders>
          </w:tcPr>
          <w:p>
            <w:pPr>
              <w:spacing w:after="0"/>
              <w:rPr>
                <w:sz w:val="24"/>
                <w:szCs w:val="24"/>
                <w:color w:val="auto"/>
              </w:rPr>
            </w:pPr>
          </w:p>
        </w:tc>
        <w:tc>
          <w:tcPr>
            <w:tcW w:w="2620" w:type="dxa"/>
            <w:vAlign w:val="bottom"/>
            <w:tcBorders>
              <w:bottom w:val="single" w:sz="8" w:color="auto"/>
              <w:right w:val="single" w:sz="8" w:color="auto"/>
            </w:tcBorders>
          </w:tcPr>
          <w:p>
            <w:pPr>
              <w:spacing w:after="0"/>
              <w:rPr>
                <w:sz w:val="24"/>
                <w:szCs w:val="24"/>
                <w:color w:val="auto"/>
              </w:rPr>
            </w:pPr>
          </w:p>
        </w:tc>
        <w:tc>
          <w:tcPr>
            <w:tcW w:w="2540" w:type="dxa"/>
            <w:vAlign w:val="bottom"/>
            <w:tcBorders>
              <w:bottom w:val="single" w:sz="8" w:color="auto"/>
              <w:right w:val="single" w:sz="8" w:color="auto"/>
            </w:tcBorders>
          </w:tcPr>
          <w:p>
            <w:pPr>
              <w:spacing w:after="0"/>
              <w:rPr>
                <w:sz w:val="24"/>
                <w:szCs w:val="24"/>
                <w:color w:val="auto"/>
              </w:rPr>
            </w:pPr>
          </w:p>
        </w:tc>
      </w:tr>
      <w:tr>
        <w:trPr>
          <w:trHeight w:val="719"/>
        </w:trPr>
        <w:tc>
          <w:tcPr>
            <w:tcW w:w="1860" w:type="dxa"/>
            <w:vAlign w:val="bottom"/>
          </w:tcPr>
          <w:p>
            <w:pPr>
              <w:spacing w:after="0"/>
              <w:rPr>
                <w:sz w:val="24"/>
                <w:szCs w:val="24"/>
                <w:color w:val="auto"/>
              </w:rPr>
            </w:pPr>
          </w:p>
        </w:tc>
        <w:tc>
          <w:tcPr>
            <w:tcW w:w="3840" w:type="dxa"/>
            <w:vAlign w:val="bottom"/>
            <w:gridSpan w:val="2"/>
          </w:tcPr>
          <w:p>
            <w:pPr>
              <w:jc w:val="right"/>
              <w:ind w:right="2020"/>
              <w:spacing w:after="0"/>
              <w:rPr>
                <w:sz w:val="20"/>
                <w:szCs w:val="20"/>
                <w:color w:val="auto"/>
              </w:rPr>
            </w:pPr>
            <w:r>
              <w:rPr>
                <w:rFonts w:ascii="Times New Roman" w:cs="Times New Roman" w:eastAsia="Times New Roman" w:hAnsi="Times New Roman"/>
                <w:sz w:val="24"/>
                <w:szCs w:val="24"/>
                <w:color w:val="auto"/>
              </w:rPr>
              <w:t>312</w:t>
            </w:r>
          </w:p>
        </w:tc>
        <w:tc>
          <w:tcPr>
            <w:tcW w:w="2540" w:type="dxa"/>
            <w:vAlign w:val="bottom"/>
          </w:tcPr>
          <w:p>
            <w:pPr>
              <w:spacing w:after="0"/>
              <w:rPr>
                <w:sz w:val="24"/>
                <w:szCs w:val="24"/>
                <w:color w:val="auto"/>
              </w:rPr>
            </w:pPr>
          </w:p>
        </w:tc>
      </w:tr>
    </w:tbl>
    <w:p>
      <w:pPr>
        <w:sectPr>
          <w:pgSz w:w="11900" w:h="16836" w:orient="portrait"/>
          <w:cols w:equalWidth="0" w:num="1">
            <w:col w:w="9300"/>
          </w:cols>
          <w:pgMar w:left="1440" w:top="1156" w:right="1164" w:bottom="103" w:gutter="0" w:footer="0" w:header="0"/>
        </w:sectPr>
      </w:pPr>
    </w:p>
    <w:bookmarkStart w:id="312" w:name="page313"/>
    <w:bookmarkEnd w:id="312"/>
    <w:p>
      <w:pPr>
        <w:ind w:left="1060"/>
        <w:spacing w:after="0"/>
        <w:rPr>
          <w:sz w:val="20"/>
          <w:szCs w:val="20"/>
          <w:color w:val="auto"/>
        </w:rPr>
      </w:pPr>
      <w:r>
        <w:rPr>
          <w:rFonts w:ascii="Times New Roman" w:cs="Times New Roman" w:eastAsia="Times New Roman" w:hAnsi="Times New Roman"/>
          <w:sz w:val="24"/>
          <w:szCs w:val="24"/>
          <w:color w:val="auto"/>
        </w:rPr>
        <mc:AlternateContent>
          <mc:Choice Requires="wps">
            <w:drawing>
              <wp:anchor simplePos="0" relativeHeight="251657728" behindDoc="1" locked="0" layoutInCell="0" allowOverlap="1">
                <wp:simplePos x="0" y="0"/>
                <wp:positionH relativeFrom="page">
                  <wp:posOffset>1586230</wp:posOffset>
                </wp:positionH>
                <wp:positionV relativeFrom="page">
                  <wp:posOffset>734060</wp:posOffset>
                </wp:positionV>
                <wp:extent cx="5228590" cy="0"/>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859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02" o:spid="_x0000_s112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24.9pt,57.8pt" to="536.6pt,57.8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1586230</wp:posOffset>
                </wp:positionH>
                <wp:positionV relativeFrom="page">
                  <wp:posOffset>1104900</wp:posOffset>
                </wp:positionV>
                <wp:extent cx="5228590" cy="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859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03" o:spid="_x0000_s112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24.9pt,87pt" to="536.6pt,87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1586230</wp:posOffset>
                </wp:positionH>
                <wp:positionV relativeFrom="page">
                  <wp:posOffset>1476375</wp:posOffset>
                </wp:positionV>
                <wp:extent cx="5228590" cy="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859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04" o:spid="_x0000_s112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24.9pt,116.25pt" to="536.6pt,116.25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3516630</wp:posOffset>
                </wp:positionH>
                <wp:positionV relativeFrom="page">
                  <wp:posOffset>731520</wp:posOffset>
                </wp:positionV>
                <wp:extent cx="0" cy="175260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5260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05" o:spid="_x0000_s113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76.9pt,57.6pt" to="276.9pt,195.6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1586230</wp:posOffset>
                </wp:positionH>
                <wp:positionV relativeFrom="page">
                  <wp:posOffset>1847215</wp:posOffset>
                </wp:positionV>
                <wp:extent cx="5228590" cy="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859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06" o:spid="_x0000_s113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24.9pt,145.45pt" to="536.6pt,145.45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1589405</wp:posOffset>
                </wp:positionH>
                <wp:positionV relativeFrom="page">
                  <wp:posOffset>731520</wp:posOffset>
                </wp:positionV>
                <wp:extent cx="0" cy="175260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5260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07" o:spid="_x0000_s113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25.15pt,57.6pt" to="125.15pt,195.6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5193030</wp:posOffset>
                </wp:positionH>
                <wp:positionV relativeFrom="page">
                  <wp:posOffset>731520</wp:posOffset>
                </wp:positionV>
                <wp:extent cx="0" cy="175260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5260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08" o:spid="_x0000_s113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408.9pt,57.6pt" to="408.9pt,195.6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6811645</wp:posOffset>
                </wp:positionH>
                <wp:positionV relativeFrom="page">
                  <wp:posOffset>731520</wp:posOffset>
                </wp:positionV>
                <wp:extent cx="0" cy="175260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5260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09" o:spid="_x0000_s113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36.35pt,57.6pt" to="536.35pt,195.6pt" o:allowincell="f" strokecolor="#000000" strokeweight="0.4799pt">
                <w10:wrap anchorx="page" anchory="page"/>
              </v:line>
            </w:pict>
          </mc:Fallback>
        </mc:AlternateContent>
        <w:t>Equity share capital*</w:t>
      </w:r>
    </w:p>
    <w:p>
      <w:pPr>
        <w:spacing w:after="0" w:line="308" w:lineRule="exact"/>
        <w:rPr>
          <w:sz w:val="20"/>
          <w:szCs w:val="20"/>
          <w:color w:val="auto"/>
        </w:rPr>
      </w:pPr>
    </w:p>
    <w:p>
      <w:pPr>
        <w:ind w:left="1060"/>
        <w:spacing w:after="0"/>
        <w:rPr>
          <w:sz w:val="20"/>
          <w:szCs w:val="20"/>
          <w:color w:val="auto"/>
        </w:rPr>
      </w:pPr>
      <w:r>
        <w:rPr>
          <w:rFonts w:ascii="Times New Roman" w:cs="Times New Roman" w:eastAsia="Times New Roman" w:hAnsi="Times New Roman"/>
          <w:sz w:val="24"/>
          <w:szCs w:val="24"/>
          <w:color w:val="auto"/>
        </w:rPr>
        <w:t>Other equity*</w:t>
      </w:r>
    </w:p>
    <w:p>
      <w:pPr>
        <w:spacing w:after="0" w:line="314" w:lineRule="exact"/>
        <w:rPr>
          <w:sz w:val="20"/>
          <w:szCs w:val="20"/>
          <w:color w:val="auto"/>
        </w:rPr>
      </w:pPr>
    </w:p>
    <w:p>
      <w:pPr>
        <w:ind w:left="1060"/>
        <w:spacing w:after="0"/>
        <w:rPr>
          <w:sz w:val="20"/>
          <w:szCs w:val="20"/>
          <w:color w:val="auto"/>
        </w:rPr>
      </w:pPr>
      <w:r>
        <w:rPr>
          <w:rFonts w:ascii="Times New Roman" w:cs="Times New Roman" w:eastAsia="Times New Roman" w:hAnsi="Times New Roman"/>
          <w:sz w:val="24"/>
          <w:szCs w:val="24"/>
          <w:b w:val="1"/>
          <w:bCs w:val="1"/>
          <w:color w:val="auto"/>
        </w:rPr>
        <w:t>Total Capital</w:t>
      </w:r>
    </w:p>
    <w:p>
      <w:pPr>
        <w:spacing w:after="0" w:line="302" w:lineRule="exact"/>
        <w:rPr>
          <w:sz w:val="20"/>
          <w:szCs w:val="20"/>
          <w:color w:val="auto"/>
        </w:rPr>
      </w:pPr>
    </w:p>
    <w:p>
      <w:pPr>
        <w:ind w:left="1060"/>
        <w:spacing w:after="0"/>
        <w:tabs>
          <w:tab w:leader="none" w:pos="2900" w:val="left"/>
        </w:tabs>
        <w:rPr>
          <w:sz w:val="20"/>
          <w:szCs w:val="20"/>
          <w:color w:val="auto"/>
        </w:rPr>
      </w:pPr>
      <w:r>
        <w:rPr>
          <w:rFonts w:ascii="Times New Roman" w:cs="Times New Roman" w:eastAsia="Times New Roman" w:hAnsi="Times New Roman"/>
          <w:sz w:val="24"/>
          <w:szCs w:val="24"/>
          <w:color w:val="auto"/>
        </w:rPr>
        <w:t>Ratio:</w:t>
      </w:r>
      <w:r>
        <w:rPr>
          <w:sz w:val="20"/>
          <w:szCs w:val="20"/>
          <w:color w:val="auto"/>
        </w:rPr>
        <w:tab/>
      </w:r>
      <w:r>
        <w:rPr>
          <w:rFonts w:ascii="Times New Roman" w:cs="Times New Roman" w:eastAsia="Times New Roman" w:hAnsi="Times New Roman"/>
          <w:sz w:val="24"/>
          <w:szCs w:val="24"/>
          <w:color w:val="auto"/>
        </w:rPr>
        <w:t>Non-current</w:t>
      </w:r>
    </w:p>
    <w:p>
      <w:pPr>
        <w:spacing w:after="0" w:line="139" w:lineRule="exact"/>
        <w:rPr>
          <w:sz w:val="20"/>
          <w:szCs w:val="20"/>
          <w:color w:val="auto"/>
        </w:rPr>
      </w:pPr>
    </w:p>
    <w:p>
      <w:pPr>
        <w:ind w:left="1060"/>
        <w:spacing w:after="0"/>
        <w:rPr>
          <w:sz w:val="20"/>
          <w:szCs w:val="20"/>
          <w:color w:val="auto"/>
        </w:rPr>
      </w:pPr>
      <w:r>
        <w:rPr>
          <w:rFonts w:ascii="Times New Roman" w:cs="Times New Roman" w:eastAsia="Times New Roman" w:hAnsi="Times New Roman"/>
          <w:sz w:val="24"/>
          <w:szCs w:val="24"/>
          <w:color w:val="auto"/>
        </w:rPr>
        <w:t>borrowings/ Total equity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671830</wp:posOffset>
                </wp:positionH>
                <wp:positionV relativeFrom="paragraph">
                  <wp:posOffset>196215</wp:posOffset>
                </wp:positionV>
                <wp:extent cx="5228590" cy="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2859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10" o:spid="_x0000_s11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9pt,15.45pt" to="464.6pt,15.45pt" o:allowincell="f" strokecolor="#000000" strokeweight="0.48pt"/>
            </w:pict>
          </mc:Fallback>
        </mc:AlternateContent>
      </w:r>
    </w:p>
    <w:p>
      <w:pPr>
        <w:spacing w:after="0" w:line="299" w:lineRule="exact"/>
        <w:rPr>
          <w:sz w:val="20"/>
          <w:szCs w:val="20"/>
          <w:color w:val="auto"/>
        </w:rPr>
      </w:pPr>
    </w:p>
    <w:p>
      <w:pPr>
        <w:ind w:left="1160"/>
        <w:spacing w:after="0" w:line="348" w:lineRule="auto"/>
        <w:rPr>
          <w:sz w:val="20"/>
          <w:szCs w:val="20"/>
          <w:color w:val="auto"/>
        </w:rPr>
      </w:pPr>
      <w:r>
        <w:rPr>
          <w:rFonts w:ascii="Times New Roman" w:cs="Times New Roman" w:eastAsia="Times New Roman" w:hAnsi="Times New Roman"/>
          <w:sz w:val="24"/>
          <w:szCs w:val="24"/>
          <w:color w:val="auto"/>
        </w:rPr>
        <w:t>*These terms shall carry the meaning as per Schedule III of the Companies Act, 2013 (as amended).</w:t>
      </w:r>
    </w:p>
    <w:p>
      <w:pPr>
        <w:spacing w:after="0" w:line="21" w:lineRule="exact"/>
        <w:rPr>
          <w:sz w:val="20"/>
          <w:szCs w:val="20"/>
          <w:color w:val="auto"/>
        </w:rPr>
      </w:pPr>
    </w:p>
    <w:p>
      <w:pPr>
        <w:ind w:left="1160" w:hanging="1116"/>
        <w:spacing w:after="0"/>
        <w:tabs>
          <w:tab w:leader="none" w:pos="1160" w:val="left"/>
        </w:tabs>
        <w:numPr>
          <w:ilvl w:val="0"/>
          <w:numId w:val="102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Legal and Other Information:</w:t>
      </w:r>
    </w:p>
    <w:p>
      <w:pPr>
        <w:spacing w:after="0" w:line="137" w:lineRule="exact"/>
        <w:rPr>
          <w:sz w:val="20"/>
          <w:szCs w:val="20"/>
          <w:color w:val="auto"/>
        </w:rPr>
      </w:pPr>
    </w:p>
    <w:p>
      <w:pPr>
        <w:ind w:left="620"/>
        <w:spacing w:after="0"/>
        <w:tabs>
          <w:tab w:leader="none" w:pos="1100" w:val="left"/>
        </w:tabs>
        <w:rPr>
          <w:sz w:val="20"/>
          <w:szCs w:val="20"/>
          <w:color w:val="auto"/>
        </w:rPr>
      </w:pPr>
      <w:r>
        <w:rPr>
          <w:rFonts w:ascii="Times New Roman" w:cs="Times New Roman" w:eastAsia="Times New Roman" w:hAnsi="Times New Roman"/>
          <w:sz w:val="24"/>
          <w:szCs w:val="24"/>
          <w:b w:val="1"/>
          <w:bCs w:val="1"/>
          <w:color w:val="auto"/>
        </w:rPr>
        <w:t>(A)</w:t>
      </w:r>
      <w:r>
        <w:rPr>
          <w:sz w:val="20"/>
          <w:szCs w:val="20"/>
          <w:color w:val="auto"/>
        </w:rPr>
        <w:tab/>
      </w:r>
      <w:r>
        <w:rPr>
          <w:rFonts w:ascii="Times New Roman" w:cs="Times New Roman" w:eastAsia="Times New Roman" w:hAnsi="Times New Roman"/>
          <w:sz w:val="23"/>
          <w:szCs w:val="23"/>
          <w:b w:val="1"/>
          <w:bCs w:val="1"/>
          <w:color w:val="auto"/>
        </w:rPr>
        <w:t>Outstanding Litigations and Material Developments:</w:t>
      </w:r>
    </w:p>
    <w:p>
      <w:pPr>
        <w:spacing w:after="0" w:line="134" w:lineRule="exact"/>
        <w:rPr>
          <w:sz w:val="20"/>
          <w:szCs w:val="20"/>
          <w:color w:val="auto"/>
        </w:rPr>
      </w:pPr>
    </w:p>
    <w:p>
      <w:pPr>
        <w:ind w:left="1120" w:hanging="445"/>
        <w:spacing w:after="0"/>
        <w:tabs>
          <w:tab w:leader="none" w:pos="1120" w:val="left"/>
        </w:tabs>
        <w:numPr>
          <w:ilvl w:val="0"/>
          <w:numId w:val="103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Pending Litigations involving the issuer/ its directors/ promoters/ subsidiaries:</w:t>
      </w:r>
    </w:p>
    <w:p>
      <w:pPr>
        <w:spacing w:after="0" w:line="136" w:lineRule="exact"/>
        <w:rPr>
          <w:rFonts w:ascii="Times New Roman" w:cs="Times New Roman" w:eastAsia="Times New Roman" w:hAnsi="Times New Roman"/>
          <w:sz w:val="24"/>
          <w:szCs w:val="24"/>
          <w:color w:val="auto"/>
        </w:rPr>
      </w:pPr>
    </w:p>
    <w:p>
      <w:pPr>
        <w:ind w:left="2200" w:hanging="536"/>
        <w:spacing w:after="0"/>
        <w:tabs>
          <w:tab w:leader="none" w:pos="2200" w:val="left"/>
        </w:tabs>
        <w:numPr>
          <w:ilvl w:val="2"/>
          <w:numId w:val="103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All criminal proceedings;</w:t>
      </w:r>
    </w:p>
    <w:p>
      <w:pPr>
        <w:spacing w:after="0" w:line="139" w:lineRule="exact"/>
        <w:rPr>
          <w:rFonts w:ascii="Times New Roman" w:cs="Times New Roman" w:eastAsia="Times New Roman" w:hAnsi="Times New Roman"/>
          <w:sz w:val="24"/>
          <w:szCs w:val="24"/>
          <w:color w:val="auto"/>
        </w:rPr>
      </w:pPr>
    </w:p>
    <w:p>
      <w:pPr>
        <w:ind w:left="2200" w:hanging="536"/>
        <w:spacing w:after="0"/>
        <w:tabs>
          <w:tab w:leader="none" w:pos="2200" w:val="left"/>
        </w:tabs>
        <w:numPr>
          <w:ilvl w:val="2"/>
          <w:numId w:val="103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All actions by regulatory authorities and statutory authorities;</w:t>
      </w:r>
    </w:p>
    <w:p>
      <w:pPr>
        <w:spacing w:after="0" w:line="149" w:lineRule="exact"/>
        <w:rPr>
          <w:rFonts w:ascii="Times New Roman" w:cs="Times New Roman" w:eastAsia="Times New Roman" w:hAnsi="Times New Roman"/>
          <w:sz w:val="24"/>
          <w:szCs w:val="24"/>
          <w:color w:val="auto"/>
        </w:rPr>
      </w:pPr>
    </w:p>
    <w:p>
      <w:pPr>
        <w:jc w:val="both"/>
        <w:ind w:left="2200" w:hanging="536"/>
        <w:spacing w:after="0" w:line="354" w:lineRule="auto"/>
        <w:tabs>
          <w:tab w:leader="none" w:pos="2200" w:val="left"/>
        </w:tabs>
        <w:numPr>
          <w:ilvl w:val="2"/>
          <w:numId w:val="103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Disciplinary action including penalty imposed by SEBI or stock exchanges against the promoters in the last five financial years including outstanding action;</w:t>
      </w:r>
    </w:p>
    <w:p>
      <w:pPr>
        <w:spacing w:after="0" w:line="22" w:lineRule="exact"/>
        <w:rPr>
          <w:rFonts w:ascii="Times New Roman" w:cs="Times New Roman" w:eastAsia="Times New Roman" w:hAnsi="Times New Roman"/>
          <w:sz w:val="24"/>
          <w:szCs w:val="24"/>
          <w:color w:val="auto"/>
        </w:rPr>
      </w:pPr>
    </w:p>
    <w:p>
      <w:pPr>
        <w:ind w:left="2200" w:hanging="536"/>
        <w:spacing w:after="0" w:line="348" w:lineRule="auto"/>
        <w:tabs>
          <w:tab w:leader="none" w:pos="2200" w:val="left"/>
        </w:tabs>
        <w:numPr>
          <w:ilvl w:val="2"/>
          <w:numId w:val="103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Claims related to direct and indirect taxes, in a consolidated manner, giving the number of cases and total amount;</w:t>
      </w:r>
    </w:p>
    <w:p>
      <w:pPr>
        <w:spacing w:after="0" w:line="27" w:lineRule="exact"/>
        <w:rPr>
          <w:rFonts w:ascii="Times New Roman" w:cs="Times New Roman" w:eastAsia="Times New Roman" w:hAnsi="Times New Roman"/>
          <w:sz w:val="24"/>
          <w:szCs w:val="24"/>
          <w:color w:val="auto"/>
        </w:rPr>
      </w:pPr>
    </w:p>
    <w:p>
      <w:pPr>
        <w:jc w:val="both"/>
        <w:ind w:left="2200" w:hanging="536"/>
        <w:spacing w:after="0" w:line="357" w:lineRule="auto"/>
        <w:tabs>
          <w:tab w:leader="none" w:pos="2200" w:val="left"/>
        </w:tabs>
        <w:numPr>
          <w:ilvl w:val="2"/>
          <w:numId w:val="103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Other pending litigations - As per the policy of materiality defined by the board of directors of the issuer and disclosed in the letter of offer and/or in accordance with the materiality policy framed under the Securities and Exchange Board of India (Listing Obligations and Disclosure Requirements) Regulations, 2015.</w:t>
      </w:r>
    </w:p>
    <w:p>
      <w:pPr>
        <w:spacing w:after="0" w:line="16" w:lineRule="exact"/>
        <w:rPr>
          <w:rFonts w:ascii="Times New Roman" w:cs="Times New Roman" w:eastAsia="Times New Roman" w:hAnsi="Times New Roman"/>
          <w:sz w:val="24"/>
          <w:szCs w:val="24"/>
          <w:color w:val="auto"/>
        </w:rPr>
      </w:pPr>
    </w:p>
    <w:p>
      <w:pPr>
        <w:jc w:val="both"/>
        <w:ind w:left="1120" w:hanging="445"/>
        <w:spacing w:after="0" w:line="357" w:lineRule="auto"/>
        <w:tabs>
          <w:tab w:leader="none" w:pos="1120" w:val="left"/>
        </w:tabs>
        <w:numPr>
          <w:ilvl w:val="0"/>
          <w:numId w:val="103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any of the above mentioned litigations, material developments, dues to creditors etc., arise after the filing the draft letter of offer, the facts shall be incorporated appropriately in the letter of offer. In case there are no such cases, a distinct negative statement is required to be made in this regard in the letter of offer. Material developments since the date of the last balance sheet.</w:t>
      </w:r>
    </w:p>
    <w:p>
      <w:pPr>
        <w:spacing w:after="0" w:line="18" w:lineRule="exact"/>
        <w:rPr>
          <w:rFonts w:ascii="Times New Roman" w:cs="Times New Roman" w:eastAsia="Times New Roman" w:hAnsi="Times New Roman"/>
          <w:sz w:val="24"/>
          <w:szCs w:val="24"/>
          <w:color w:val="auto"/>
        </w:rPr>
      </w:pPr>
    </w:p>
    <w:p>
      <w:pPr>
        <w:jc w:val="both"/>
        <w:ind w:left="1120" w:hanging="445"/>
        <w:spacing w:after="0" w:line="354" w:lineRule="auto"/>
        <w:tabs>
          <w:tab w:leader="none" w:pos="1120" w:val="left"/>
        </w:tabs>
        <w:numPr>
          <w:ilvl w:val="0"/>
          <w:numId w:val="103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Disclosures pertaining to wilful defaulters in case of a rights issue</w:t>
      </w:r>
      <w:r>
        <w:rPr>
          <w:rFonts w:ascii="Times New Roman" w:cs="Times New Roman" w:eastAsia="Times New Roman" w:hAnsi="Times New Roman"/>
          <w:sz w:val="24"/>
          <w:szCs w:val="24"/>
          <w:color w:val="auto"/>
        </w:rPr>
        <w:t>: If the issuer</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or any of its promoter or director has been declared as a wilful defaulter, it shall make the following disclosures with respect to each such person separately:</w:t>
      </w:r>
    </w:p>
    <w:p>
      <w:pPr>
        <w:spacing w:after="0" w:line="7" w:lineRule="exact"/>
        <w:rPr>
          <w:rFonts w:ascii="Times New Roman" w:cs="Times New Roman" w:eastAsia="Times New Roman" w:hAnsi="Times New Roman"/>
          <w:sz w:val="24"/>
          <w:szCs w:val="24"/>
          <w:color w:val="auto"/>
        </w:rPr>
      </w:pPr>
    </w:p>
    <w:p>
      <w:pPr>
        <w:ind w:left="1820" w:hanging="336"/>
        <w:spacing w:after="0"/>
        <w:tabs>
          <w:tab w:leader="none" w:pos="1820" w:val="left"/>
        </w:tabs>
        <w:numPr>
          <w:ilvl w:val="1"/>
          <w:numId w:val="103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 of the person declared as a wilful defaulter;</w:t>
      </w:r>
    </w:p>
    <w:p>
      <w:pPr>
        <w:spacing w:after="0" w:line="139" w:lineRule="exact"/>
        <w:rPr>
          <w:rFonts w:ascii="Times New Roman" w:cs="Times New Roman" w:eastAsia="Times New Roman" w:hAnsi="Times New Roman"/>
          <w:sz w:val="24"/>
          <w:szCs w:val="24"/>
          <w:color w:val="auto"/>
        </w:rPr>
      </w:pPr>
    </w:p>
    <w:p>
      <w:pPr>
        <w:ind w:left="1820" w:hanging="336"/>
        <w:spacing w:after="0"/>
        <w:tabs>
          <w:tab w:leader="none" w:pos="1820" w:val="left"/>
        </w:tabs>
        <w:numPr>
          <w:ilvl w:val="1"/>
          <w:numId w:val="103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 of the Bank declaring the person as a wilful defaulter;</w:t>
      </w:r>
    </w:p>
    <w:p>
      <w:pPr>
        <w:spacing w:after="0" w:line="136" w:lineRule="exact"/>
        <w:rPr>
          <w:rFonts w:ascii="Times New Roman" w:cs="Times New Roman" w:eastAsia="Times New Roman" w:hAnsi="Times New Roman"/>
          <w:sz w:val="24"/>
          <w:szCs w:val="24"/>
          <w:color w:val="auto"/>
        </w:rPr>
      </w:pPr>
    </w:p>
    <w:p>
      <w:pPr>
        <w:ind w:left="1820" w:hanging="336"/>
        <w:spacing w:after="0"/>
        <w:tabs>
          <w:tab w:leader="none" w:pos="1820" w:val="left"/>
        </w:tabs>
        <w:numPr>
          <w:ilvl w:val="1"/>
          <w:numId w:val="103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Year in which the person was declared as a wilful defaulter;</w:t>
      </w:r>
    </w:p>
    <w:p>
      <w:pPr>
        <w:spacing w:after="0" w:line="200" w:lineRule="exact"/>
        <w:rPr>
          <w:sz w:val="20"/>
          <w:szCs w:val="20"/>
          <w:color w:val="auto"/>
        </w:rPr>
      </w:pPr>
    </w:p>
    <w:p>
      <w:pPr>
        <w:spacing w:after="0" w:line="333"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4"/>
          <w:szCs w:val="24"/>
          <w:color w:val="auto"/>
        </w:rPr>
        <w:t>313</w:t>
      </w:r>
    </w:p>
    <w:p>
      <w:pPr>
        <w:sectPr>
          <w:pgSz w:w="11900" w:h="16836" w:orient="portrait"/>
          <w:cols w:equalWidth="0" w:num="1">
            <w:col w:w="9180"/>
          </w:cols>
          <w:pgMar w:left="1440" w:top="1154" w:right="1284" w:bottom="103" w:gutter="0" w:footer="0" w:header="0"/>
        </w:sectPr>
      </w:pPr>
    </w:p>
    <w:bookmarkStart w:id="313" w:name="page314"/>
    <w:bookmarkEnd w:id="313"/>
    <w:p>
      <w:pPr>
        <w:ind w:left="1824" w:hanging="336"/>
        <w:spacing w:after="0"/>
        <w:tabs>
          <w:tab w:leader="none" w:pos="1824" w:val="left"/>
        </w:tabs>
        <w:numPr>
          <w:ilvl w:val="3"/>
          <w:numId w:val="103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Outstanding amount when the person was declared as a wilful defaulter;</w:t>
      </w:r>
    </w:p>
    <w:p>
      <w:pPr>
        <w:spacing w:after="0" w:line="149" w:lineRule="exact"/>
        <w:rPr>
          <w:rFonts w:ascii="Times New Roman" w:cs="Times New Roman" w:eastAsia="Times New Roman" w:hAnsi="Times New Roman"/>
          <w:sz w:val="24"/>
          <w:szCs w:val="24"/>
          <w:color w:val="auto"/>
        </w:rPr>
      </w:pPr>
    </w:p>
    <w:p>
      <w:pPr>
        <w:ind w:left="1824" w:hanging="336"/>
        <w:spacing w:after="0" w:line="350" w:lineRule="auto"/>
        <w:tabs>
          <w:tab w:leader="none" w:pos="1824" w:val="left"/>
        </w:tabs>
        <w:numPr>
          <w:ilvl w:val="3"/>
          <w:numId w:val="103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Steps taken, if any, by the person for removal of its name from the list of wilful defaulters;</w:t>
      </w:r>
    </w:p>
    <w:p>
      <w:pPr>
        <w:spacing w:after="0" w:line="23" w:lineRule="exact"/>
        <w:rPr>
          <w:rFonts w:ascii="Times New Roman" w:cs="Times New Roman" w:eastAsia="Times New Roman" w:hAnsi="Times New Roman"/>
          <w:sz w:val="24"/>
          <w:szCs w:val="24"/>
          <w:color w:val="auto"/>
        </w:rPr>
      </w:pPr>
    </w:p>
    <w:p>
      <w:pPr>
        <w:ind w:left="1824" w:hanging="336"/>
        <w:spacing w:after="0" w:line="350" w:lineRule="auto"/>
        <w:tabs>
          <w:tab w:leader="none" w:pos="1887" w:val="left"/>
        </w:tabs>
        <w:numPr>
          <w:ilvl w:val="3"/>
          <w:numId w:val="103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Other disclosures, as deemed fit by the issuer, in order to enable investors to take an informed decision;</w:t>
      </w:r>
    </w:p>
    <w:p>
      <w:pPr>
        <w:spacing w:after="0" w:line="10" w:lineRule="exact"/>
        <w:rPr>
          <w:rFonts w:ascii="Times New Roman" w:cs="Times New Roman" w:eastAsia="Times New Roman" w:hAnsi="Times New Roman"/>
          <w:sz w:val="24"/>
          <w:szCs w:val="24"/>
          <w:color w:val="auto"/>
        </w:rPr>
      </w:pPr>
    </w:p>
    <w:p>
      <w:pPr>
        <w:ind w:left="1824" w:hanging="336"/>
        <w:spacing w:after="0"/>
        <w:tabs>
          <w:tab w:leader="none" w:pos="1824" w:val="left"/>
        </w:tabs>
        <w:numPr>
          <w:ilvl w:val="3"/>
          <w:numId w:val="103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other disclosure as specified by the Board.</w:t>
      </w:r>
    </w:p>
    <w:p>
      <w:pPr>
        <w:spacing w:after="0" w:line="151" w:lineRule="exact"/>
        <w:rPr>
          <w:rFonts w:ascii="Times New Roman" w:cs="Times New Roman" w:eastAsia="Times New Roman" w:hAnsi="Times New Roman"/>
          <w:sz w:val="24"/>
          <w:szCs w:val="24"/>
          <w:color w:val="auto"/>
        </w:rPr>
      </w:pPr>
    </w:p>
    <w:p>
      <w:pPr>
        <w:ind w:left="1144" w:hanging="1144"/>
        <w:spacing w:after="0" w:line="348" w:lineRule="auto"/>
        <w:tabs>
          <w:tab w:leader="none" w:pos="446" w:val="left"/>
        </w:tabs>
        <w:numPr>
          <w:ilvl w:val="0"/>
          <w:numId w:val="103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Government approvals: </w:t>
      </w:r>
      <w:r>
        <w:rPr>
          <w:rFonts w:ascii="Times New Roman" w:cs="Times New Roman" w:eastAsia="Times New Roman" w:hAnsi="Times New Roman"/>
          <w:sz w:val="24"/>
          <w:szCs w:val="24"/>
          <w:color w:val="auto"/>
        </w:rPr>
        <w:t>All material pending government and regulatory approvals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pertaining to the objects of the issue.</w:t>
      </w:r>
    </w:p>
    <w:p>
      <w:pPr>
        <w:spacing w:after="0" w:line="20" w:lineRule="exact"/>
        <w:rPr>
          <w:rFonts w:ascii="Times New Roman" w:cs="Times New Roman" w:eastAsia="Times New Roman" w:hAnsi="Times New Roman"/>
          <w:sz w:val="24"/>
          <w:szCs w:val="24"/>
          <w:b w:val="1"/>
          <w:bCs w:val="1"/>
          <w:color w:val="auto"/>
        </w:rPr>
      </w:pPr>
    </w:p>
    <w:p>
      <w:pPr>
        <w:ind w:left="1164" w:hanging="1116"/>
        <w:spacing w:after="0"/>
        <w:tabs>
          <w:tab w:leader="none" w:pos="1164" w:val="left"/>
        </w:tabs>
        <w:numPr>
          <w:ilvl w:val="1"/>
          <w:numId w:val="103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Other Regulatory and Statutory Disclosures:</w:t>
      </w:r>
    </w:p>
    <w:p>
      <w:pPr>
        <w:spacing w:after="0" w:line="132" w:lineRule="exact"/>
        <w:rPr>
          <w:rFonts w:ascii="Times New Roman" w:cs="Times New Roman" w:eastAsia="Times New Roman" w:hAnsi="Times New Roman"/>
          <w:sz w:val="24"/>
          <w:szCs w:val="24"/>
          <w:b w:val="1"/>
          <w:bCs w:val="1"/>
          <w:color w:val="auto"/>
        </w:rPr>
      </w:pPr>
    </w:p>
    <w:p>
      <w:pPr>
        <w:ind w:left="1764" w:hanging="428"/>
        <w:spacing w:after="0"/>
        <w:tabs>
          <w:tab w:leader="none" w:pos="1764" w:val="left"/>
        </w:tabs>
        <w:numPr>
          <w:ilvl w:val="2"/>
          <w:numId w:val="103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Authority for the issue and details of resolution(s) passed for the issue.</w:t>
      </w:r>
    </w:p>
    <w:p>
      <w:pPr>
        <w:spacing w:after="0" w:line="151" w:lineRule="exact"/>
        <w:rPr>
          <w:rFonts w:ascii="Times New Roman" w:cs="Times New Roman" w:eastAsia="Times New Roman" w:hAnsi="Times New Roman"/>
          <w:sz w:val="24"/>
          <w:szCs w:val="24"/>
          <w:b w:val="1"/>
          <w:bCs w:val="1"/>
          <w:color w:val="auto"/>
        </w:rPr>
      </w:pPr>
    </w:p>
    <w:p>
      <w:pPr>
        <w:jc w:val="both"/>
        <w:ind w:left="1764" w:hanging="428"/>
        <w:spacing w:after="0" w:line="357" w:lineRule="auto"/>
        <w:tabs>
          <w:tab w:leader="none" w:pos="1764" w:val="left"/>
        </w:tabs>
        <w:numPr>
          <w:ilvl w:val="2"/>
          <w:numId w:val="103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 statement by the issuer that the issuer, promoters, promoter group, directors, person(s) in control of the promoter or issuer, if applicable, are not prohibited from accessing the capital market or debarred from buying, selling or dealing in securities under any order or direction passed by the Board or any securities market regulator in any other jurisdiction or any other authority/court.</w:t>
      </w:r>
    </w:p>
    <w:p>
      <w:pPr>
        <w:spacing w:after="0" w:line="21" w:lineRule="exact"/>
        <w:rPr>
          <w:rFonts w:ascii="Times New Roman" w:cs="Times New Roman" w:eastAsia="Times New Roman" w:hAnsi="Times New Roman"/>
          <w:sz w:val="24"/>
          <w:szCs w:val="24"/>
          <w:b w:val="1"/>
          <w:bCs w:val="1"/>
          <w:color w:val="auto"/>
        </w:rPr>
      </w:pPr>
    </w:p>
    <w:p>
      <w:pPr>
        <w:jc w:val="both"/>
        <w:ind w:left="1764" w:hanging="428"/>
        <w:spacing w:after="0" w:line="354" w:lineRule="auto"/>
        <w:tabs>
          <w:tab w:leader="none" w:pos="1764" w:val="left"/>
        </w:tabs>
        <w:numPr>
          <w:ilvl w:val="2"/>
          <w:numId w:val="103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 confirmation that the issuer, its promoters, promoter group is in compliance with the Companies (Significant Beneficial Ownership) Rules, 2018.</w:t>
      </w:r>
    </w:p>
    <w:p>
      <w:pPr>
        <w:spacing w:after="0" w:line="19" w:lineRule="exact"/>
        <w:rPr>
          <w:rFonts w:ascii="Times New Roman" w:cs="Times New Roman" w:eastAsia="Times New Roman" w:hAnsi="Times New Roman"/>
          <w:sz w:val="24"/>
          <w:szCs w:val="24"/>
          <w:b w:val="1"/>
          <w:bCs w:val="1"/>
          <w:color w:val="auto"/>
        </w:rPr>
      </w:pPr>
    </w:p>
    <w:p>
      <w:pPr>
        <w:jc w:val="both"/>
        <w:ind w:left="1764" w:hanging="428"/>
        <w:spacing w:after="0" w:line="354" w:lineRule="auto"/>
        <w:tabs>
          <w:tab w:leader="none" w:pos="1764" w:val="left"/>
        </w:tabs>
        <w:numPr>
          <w:ilvl w:val="2"/>
          <w:numId w:val="103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 confirmation whether any of the directors of the issuer are associated with the securities market in any manner, and if yes, any outstanding action against them initiated by the Board in the past five years.</w:t>
      </w:r>
    </w:p>
    <w:p>
      <w:pPr>
        <w:spacing w:after="0" w:line="9" w:lineRule="exact"/>
        <w:rPr>
          <w:rFonts w:ascii="Times New Roman" w:cs="Times New Roman" w:eastAsia="Times New Roman" w:hAnsi="Times New Roman"/>
          <w:sz w:val="24"/>
          <w:szCs w:val="24"/>
          <w:b w:val="1"/>
          <w:bCs w:val="1"/>
          <w:color w:val="auto"/>
        </w:rPr>
      </w:pPr>
    </w:p>
    <w:p>
      <w:pPr>
        <w:ind w:left="1764" w:hanging="428"/>
        <w:spacing w:after="0"/>
        <w:tabs>
          <w:tab w:leader="none" w:pos="1764" w:val="left"/>
        </w:tabs>
        <w:numPr>
          <w:ilvl w:val="2"/>
          <w:numId w:val="103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For a fast track issue, details of compliance with the eligibility requirements.</w:t>
      </w:r>
    </w:p>
    <w:p>
      <w:pPr>
        <w:spacing w:after="0" w:line="137" w:lineRule="exact"/>
        <w:rPr>
          <w:rFonts w:ascii="Times New Roman" w:cs="Times New Roman" w:eastAsia="Times New Roman" w:hAnsi="Times New Roman"/>
          <w:sz w:val="24"/>
          <w:szCs w:val="24"/>
          <w:b w:val="1"/>
          <w:bCs w:val="1"/>
          <w:color w:val="auto"/>
        </w:rPr>
      </w:pPr>
    </w:p>
    <w:p>
      <w:pPr>
        <w:ind w:left="1764" w:hanging="428"/>
        <w:spacing w:after="0"/>
        <w:tabs>
          <w:tab w:leader="none" w:pos="1764" w:val="left"/>
        </w:tabs>
        <w:numPr>
          <w:ilvl w:val="2"/>
          <w:numId w:val="103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Disclaimer clauses:</w:t>
      </w:r>
    </w:p>
    <w:p>
      <w:pPr>
        <w:spacing w:after="0" w:line="151" w:lineRule="exact"/>
        <w:rPr>
          <w:sz w:val="20"/>
          <w:szCs w:val="20"/>
          <w:color w:val="auto"/>
        </w:rPr>
      </w:pPr>
    </w:p>
    <w:p>
      <w:pPr>
        <w:ind w:left="2284" w:hanging="508"/>
        <w:spacing w:after="0" w:line="348" w:lineRule="auto"/>
        <w:tabs>
          <w:tab w:leader="none" w:pos="2284" w:val="left"/>
        </w:tabs>
        <w:numPr>
          <w:ilvl w:val="0"/>
          <w:numId w:val="103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letter of offer shall contain the following disclaimer clause in bold capital letters:</w:t>
      </w:r>
    </w:p>
    <w:p>
      <w:pPr>
        <w:spacing w:after="0" w:line="28" w:lineRule="exact"/>
        <w:rPr>
          <w:sz w:val="20"/>
          <w:szCs w:val="20"/>
          <w:color w:val="auto"/>
        </w:rPr>
      </w:pPr>
    </w:p>
    <w:p>
      <w:pPr>
        <w:jc w:val="both"/>
        <w:ind w:left="1164"/>
        <w:spacing w:after="0" w:line="358" w:lineRule="auto"/>
        <w:rPr>
          <w:sz w:val="20"/>
          <w:szCs w:val="20"/>
          <w:color w:val="auto"/>
        </w:rPr>
      </w:pPr>
      <w:r>
        <w:rPr>
          <w:rFonts w:ascii="Times New Roman" w:cs="Times New Roman" w:eastAsia="Times New Roman" w:hAnsi="Times New Roman"/>
          <w:sz w:val="24"/>
          <w:szCs w:val="24"/>
          <w:color w:val="auto"/>
        </w:rPr>
        <w:t>"It is to be distinctly understood that submission of the letter of offer to the Securities and Exchange Board of India (SEBI) should not in any way be deemed or construed that the same has been cleared or approved by SEBI. SEBI does not take any responsibility either for the financial soundness of any scheme or the project for which the issue is proposed to be made or for the correctness of the statements made or opinions expressed in the letter of offer. The lead manager(s), has certified that the disclosures made in the letter of offer are generally adequate and are in conformity with the Regulations. This requirement is to facilitate</w:t>
      </w: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jc w:val="center"/>
        <w:ind w:right="276"/>
        <w:spacing w:after="0"/>
        <w:rPr>
          <w:sz w:val="20"/>
          <w:szCs w:val="20"/>
          <w:color w:val="auto"/>
        </w:rPr>
      </w:pPr>
      <w:r>
        <w:rPr>
          <w:rFonts w:ascii="Times New Roman" w:cs="Times New Roman" w:eastAsia="Times New Roman" w:hAnsi="Times New Roman"/>
          <w:sz w:val="24"/>
          <w:szCs w:val="24"/>
          <w:color w:val="auto"/>
        </w:rPr>
        <w:t>314</w:t>
      </w:r>
    </w:p>
    <w:p>
      <w:pPr>
        <w:sectPr>
          <w:pgSz w:w="11900" w:h="16836" w:orient="portrait"/>
          <w:cols w:equalWidth="0" w:num="1">
            <w:col w:w="9184"/>
          </w:cols>
          <w:pgMar w:left="1436" w:top="1144" w:right="1284" w:bottom="103" w:gutter="0" w:footer="0" w:header="0"/>
        </w:sectPr>
      </w:pPr>
    </w:p>
    <w:bookmarkStart w:id="314" w:name="page315"/>
    <w:bookmarkEnd w:id="314"/>
    <w:p>
      <w:pPr>
        <w:jc w:val="both"/>
        <w:ind w:left="1160"/>
        <w:spacing w:after="0" w:line="348" w:lineRule="auto"/>
        <w:rPr>
          <w:sz w:val="20"/>
          <w:szCs w:val="20"/>
          <w:color w:val="auto"/>
        </w:rPr>
      </w:pPr>
      <w:r>
        <w:rPr>
          <w:rFonts w:ascii="Times New Roman" w:cs="Times New Roman" w:eastAsia="Times New Roman" w:hAnsi="Times New Roman"/>
          <w:sz w:val="24"/>
          <w:szCs w:val="24"/>
          <w:color w:val="auto"/>
        </w:rPr>
        <w:t>investors to take an informed decision for making investment in the proposed issue.</w:t>
      </w:r>
    </w:p>
    <w:p>
      <w:pPr>
        <w:spacing w:after="0" w:line="200" w:lineRule="exact"/>
        <w:rPr>
          <w:sz w:val="20"/>
          <w:szCs w:val="20"/>
          <w:color w:val="auto"/>
        </w:rPr>
      </w:pPr>
    </w:p>
    <w:p>
      <w:pPr>
        <w:spacing w:after="0" w:line="241" w:lineRule="exact"/>
        <w:rPr>
          <w:sz w:val="20"/>
          <w:szCs w:val="20"/>
          <w:color w:val="auto"/>
        </w:rPr>
      </w:pPr>
    </w:p>
    <w:p>
      <w:pPr>
        <w:jc w:val="both"/>
        <w:ind w:left="1160"/>
        <w:spacing w:after="0" w:line="356" w:lineRule="auto"/>
        <w:rPr>
          <w:sz w:val="20"/>
          <w:szCs w:val="20"/>
          <w:color w:val="auto"/>
        </w:rPr>
      </w:pPr>
      <w:r>
        <w:rPr>
          <w:rFonts w:ascii="Times New Roman" w:cs="Times New Roman" w:eastAsia="Times New Roman" w:hAnsi="Times New Roman"/>
          <w:sz w:val="24"/>
          <w:szCs w:val="24"/>
          <w:color w:val="auto"/>
        </w:rPr>
        <w:t>It should also be clearly understood that while the issuer is primarily responsible for the correctness, adequacy and disclosure of all relevant information in the letter of offer, the lead manager(s) is expected to exercise due diligence to ensure that the issuer discharges its responsibility adequately in this behalf and towards this</w:t>
      </w:r>
    </w:p>
    <w:p>
      <w:pPr>
        <w:spacing w:after="0" w:line="6" w:lineRule="exact"/>
        <w:rPr>
          <w:sz w:val="20"/>
          <w:szCs w:val="20"/>
          <w:color w:val="auto"/>
        </w:rPr>
      </w:pPr>
    </w:p>
    <w:p>
      <w:pPr>
        <w:ind w:left="1160"/>
        <w:spacing w:after="0"/>
        <w:tabs>
          <w:tab w:leader="none" w:pos="4740" w:val="left"/>
          <w:tab w:leader="none" w:pos="5240" w:val="left"/>
          <w:tab w:leader="none" w:pos="6340" w:val="left"/>
          <w:tab w:leader="none" w:pos="6720" w:val="left"/>
          <w:tab w:leader="none" w:pos="7440" w:val="left"/>
          <w:tab w:leader="none" w:pos="7740" w:val="left"/>
          <w:tab w:leader="none" w:pos="8280" w:val="left"/>
        </w:tabs>
        <w:rPr>
          <w:sz w:val="20"/>
          <w:szCs w:val="20"/>
          <w:color w:val="auto"/>
        </w:rPr>
      </w:pPr>
      <w:r>
        <w:rPr>
          <w:rFonts w:ascii="Times New Roman" w:cs="Times New Roman" w:eastAsia="Times New Roman" w:hAnsi="Times New Roman"/>
          <w:sz w:val="24"/>
          <w:szCs w:val="24"/>
          <w:color w:val="auto"/>
        </w:rPr>
        <w:t>purpose, the lead manager(s)</w:t>
      </w:r>
      <w:r>
        <w:rPr>
          <w:sz w:val="20"/>
          <w:szCs w:val="20"/>
          <w:color w:val="auto"/>
        </w:rPr>
        <w:tab/>
      </w:r>
      <w:r>
        <w:rPr>
          <w:rFonts w:ascii="Times New Roman" w:cs="Times New Roman" w:eastAsia="Times New Roman" w:hAnsi="Times New Roman"/>
          <w:sz w:val="24"/>
          <w:szCs w:val="24"/>
          <w:color w:val="auto"/>
        </w:rPr>
        <w:t>has</w:t>
        <w:tab/>
        <w:t>furnished</w:t>
        <w:tab/>
        <w:t>to</w:t>
        <w:tab/>
        <w:t>SEBI</w:t>
        <w:tab/>
        <w:t>a</w:t>
        <w:tab/>
        <w:t>due</w:t>
        <w:tab/>
        <w:t>diligence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2490470</wp:posOffset>
                </wp:positionH>
                <wp:positionV relativeFrom="paragraph">
                  <wp:posOffset>-10795</wp:posOffset>
                </wp:positionV>
                <wp:extent cx="527685" cy="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7685" cy="4763"/>
                        </a:xfrm>
                        <a:prstGeom prst="line">
                          <a:avLst/>
                        </a:prstGeom>
                        <a:solidFill>
                          <a:srgbClr val="FFFFFF"/>
                        </a:solidFill>
                        <a:ln w="7620">
                          <a:solidFill>
                            <a:srgbClr val="000000"/>
                          </a:solidFill>
                          <a:miter lim="800000"/>
                          <a:headEnd/>
                          <a:tailEnd/>
                        </a:ln>
                      </wps:spPr>
                      <wps:bodyPr/>
                    </wps:wsp>
                  </a:graphicData>
                </a:graphic>
              </wp:anchor>
            </w:drawing>
          </mc:Choice>
          <mc:Fallback>
            <w:pict>
              <v:line id="Shape 111" o:spid="_x0000_s11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6.1pt,-0.8499pt" to="237.65pt,-0.8499pt" o:allowincell="f" strokecolor="#000000" strokeweight="0.6pt"/>
            </w:pict>
          </mc:Fallback>
        </mc:AlternateContent>
      </w:r>
    </w:p>
    <w:p>
      <w:pPr>
        <w:spacing w:after="0" w:line="120"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24"/>
          <w:szCs w:val="24"/>
          <w:color w:val="auto"/>
        </w:rPr>
        <w:t>certificate dated_____which reads as follows:</w:t>
      </w:r>
    </w:p>
    <w:p>
      <w:pPr>
        <w:spacing w:after="0" w:line="200" w:lineRule="exact"/>
        <w:rPr>
          <w:sz w:val="20"/>
          <w:szCs w:val="20"/>
          <w:color w:val="auto"/>
        </w:rPr>
      </w:pPr>
    </w:p>
    <w:p>
      <w:pPr>
        <w:spacing w:after="0" w:line="352"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24"/>
          <w:szCs w:val="24"/>
          <w:i w:val="1"/>
          <w:iCs w:val="1"/>
          <w:color w:val="auto"/>
        </w:rPr>
        <w:t>(due diligence certificate submitted to the Board to be reproduced here)</w:t>
      </w:r>
    </w:p>
    <w:p>
      <w:pPr>
        <w:spacing w:after="0" w:line="149" w:lineRule="exact"/>
        <w:rPr>
          <w:sz w:val="20"/>
          <w:szCs w:val="20"/>
          <w:color w:val="auto"/>
        </w:rPr>
      </w:pPr>
    </w:p>
    <w:p>
      <w:pPr>
        <w:jc w:val="both"/>
        <w:ind w:left="1160"/>
        <w:spacing w:after="0" w:line="357" w:lineRule="auto"/>
        <w:rPr>
          <w:sz w:val="20"/>
          <w:szCs w:val="20"/>
          <w:color w:val="auto"/>
        </w:rPr>
      </w:pPr>
      <w:r>
        <w:rPr>
          <w:rFonts w:ascii="Times New Roman" w:cs="Times New Roman" w:eastAsia="Times New Roman" w:hAnsi="Times New Roman"/>
          <w:sz w:val="24"/>
          <w:szCs w:val="24"/>
          <w:color w:val="auto"/>
        </w:rPr>
        <w:t>The filing of the letter of offer does not, however, absolve the issuer from any liabilities under the Companies Act, 2013 or from the requirement of obtaining such statutory or other clearances as may be required for the purpose of the proposed issue. SEBI further reserves the right to take up, at any point of time, with the lead manager(s) any irregularities or lapses in the letter of offer."</w:t>
      </w:r>
    </w:p>
    <w:p>
      <w:pPr>
        <w:spacing w:after="0" w:line="19" w:lineRule="exact"/>
        <w:rPr>
          <w:sz w:val="20"/>
          <w:szCs w:val="20"/>
          <w:color w:val="auto"/>
        </w:rPr>
      </w:pPr>
    </w:p>
    <w:p>
      <w:pPr>
        <w:jc w:val="both"/>
        <w:ind w:left="2280" w:hanging="508"/>
        <w:spacing w:after="0" w:line="357" w:lineRule="auto"/>
        <w:tabs>
          <w:tab w:leader="none" w:pos="2280" w:val="left"/>
        </w:tabs>
        <w:numPr>
          <w:ilvl w:val="1"/>
          <w:numId w:val="103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Disclaimer Statement from the issuer and lead manager(s): A statement to the effect that the issuer and the lead manager(s) accept no responsibility for statements made otherwise than in the letter of offer or in the advertisement or any other material issued by or at the instance of the issuer and that anyone placing reliance on any other source of information would be doing so at their own risk.</w:t>
      </w:r>
    </w:p>
    <w:p>
      <w:pPr>
        <w:spacing w:after="0" w:line="20" w:lineRule="exact"/>
        <w:rPr>
          <w:rFonts w:ascii="Times New Roman" w:cs="Times New Roman" w:eastAsia="Times New Roman" w:hAnsi="Times New Roman"/>
          <w:sz w:val="24"/>
          <w:szCs w:val="24"/>
          <w:color w:val="auto"/>
        </w:rPr>
      </w:pPr>
    </w:p>
    <w:p>
      <w:pPr>
        <w:jc w:val="both"/>
        <w:ind w:left="2280" w:hanging="508"/>
        <w:spacing w:after="0" w:line="354" w:lineRule="auto"/>
        <w:tabs>
          <w:tab w:leader="none" w:pos="2280" w:val="left"/>
        </w:tabs>
        <w:numPr>
          <w:ilvl w:val="1"/>
          <w:numId w:val="103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Disclaimer in respect of jurisdiction: A brief paragraph mentioning the jurisdiction under which the provisions of law and the rules and regulations are applicable to the letter of offer.</w:t>
      </w:r>
    </w:p>
    <w:p>
      <w:pPr>
        <w:spacing w:after="0" w:line="7" w:lineRule="exact"/>
        <w:rPr>
          <w:rFonts w:ascii="Times New Roman" w:cs="Times New Roman" w:eastAsia="Times New Roman" w:hAnsi="Times New Roman"/>
          <w:sz w:val="24"/>
          <w:szCs w:val="24"/>
          <w:color w:val="auto"/>
        </w:rPr>
      </w:pPr>
    </w:p>
    <w:p>
      <w:pPr>
        <w:ind w:left="2280" w:hanging="508"/>
        <w:spacing w:after="0"/>
        <w:tabs>
          <w:tab w:leader="none" w:pos="2280" w:val="left"/>
        </w:tabs>
        <w:numPr>
          <w:ilvl w:val="1"/>
          <w:numId w:val="103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Disclaimer clause of the stock exchanges.</w:t>
      </w:r>
    </w:p>
    <w:p>
      <w:pPr>
        <w:spacing w:after="0" w:line="151" w:lineRule="exact"/>
        <w:rPr>
          <w:rFonts w:ascii="Times New Roman" w:cs="Times New Roman" w:eastAsia="Times New Roman" w:hAnsi="Times New Roman"/>
          <w:sz w:val="24"/>
          <w:szCs w:val="24"/>
          <w:color w:val="auto"/>
        </w:rPr>
      </w:pPr>
    </w:p>
    <w:p>
      <w:pPr>
        <w:jc w:val="both"/>
        <w:ind w:left="2280" w:hanging="508"/>
        <w:spacing w:after="0" w:line="354" w:lineRule="auto"/>
        <w:tabs>
          <w:tab w:leader="none" w:pos="2280" w:val="left"/>
        </w:tabs>
        <w:numPr>
          <w:ilvl w:val="1"/>
          <w:numId w:val="103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Disclaimer clause of the Reserve Bank of India, the Insurance Regulatory and Development Authority of India or of any other relevant regulatory authority.</w:t>
      </w:r>
    </w:p>
    <w:p>
      <w:pPr>
        <w:spacing w:after="0" w:line="19" w:lineRule="exact"/>
        <w:rPr>
          <w:rFonts w:ascii="Times New Roman" w:cs="Times New Roman" w:eastAsia="Times New Roman" w:hAnsi="Times New Roman"/>
          <w:sz w:val="24"/>
          <w:szCs w:val="24"/>
          <w:color w:val="auto"/>
        </w:rPr>
      </w:pPr>
    </w:p>
    <w:p>
      <w:pPr>
        <w:jc w:val="both"/>
        <w:ind w:left="1760" w:hanging="428"/>
        <w:spacing w:after="0" w:line="354" w:lineRule="auto"/>
        <w:tabs>
          <w:tab w:leader="none" w:pos="1760" w:val="left"/>
        </w:tabs>
        <w:numPr>
          <w:ilvl w:val="0"/>
          <w:numId w:val="103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Listing: Names of the designated stock exchange and other stock exchanges to which application has been made for listing of the specified securities offered in the present issue.</w:t>
      </w:r>
    </w:p>
    <w:p>
      <w:pPr>
        <w:spacing w:after="0" w:line="22" w:lineRule="exact"/>
        <w:rPr>
          <w:rFonts w:ascii="Times New Roman" w:cs="Times New Roman" w:eastAsia="Times New Roman" w:hAnsi="Times New Roman"/>
          <w:sz w:val="24"/>
          <w:szCs w:val="24"/>
          <w:b w:val="1"/>
          <w:bCs w:val="1"/>
          <w:color w:val="auto"/>
        </w:rPr>
      </w:pPr>
    </w:p>
    <w:p>
      <w:pPr>
        <w:ind w:left="1760" w:hanging="428"/>
        <w:spacing w:after="0" w:line="348" w:lineRule="auto"/>
        <w:tabs>
          <w:tab w:leader="none" w:pos="1760" w:val="left"/>
        </w:tabs>
        <w:numPr>
          <w:ilvl w:val="0"/>
          <w:numId w:val="103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Consent of the directors, auditors, solicitors or advocates, lead manager(s), registrar to the issue, bankers to the issuer and experts.</w:t>
      </w:r>
    </w:p>
    <w:p>
      <w:pPr>
        <w:spacing w:after="0" w:line="15" w:lineRule="exact"/>
        <w:rPr>
          <w:rFonts w:ascii="Times New Roman" w:cs="Times New Roman" w:eastAsia="Times New Roman" w:hAnsi="Times New Roman"/>
          <w:sz w:val="24"/>
          <w:szCs w:val="24"/>
          <w:b w:val="1"/>
          <w:bCs w:val="1"/>
          <w:color w:val="auto"/>
        </w:rPr>
      </w:pPr>
    </w:p>
    <w:p>
      <w:pPr>
        <w:ind w:left="1760" w:hanging="428"/>
        <w:spacing w:after="0"/>
        <w:tabs>
          <w:tab w:leader="none" w:pos="1760" w:val="left"/>
        </w:tabs>
        <w:numPr>
          <w:ilvl w:val="0"/>
          <w:numId w:val="103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Expert opinion obtained, if any.</w:t>
      </w:r>
    </w:p>
    <w:p>
      <w:pPr>
        <w:spacing w:after="0" w:line="394"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315</w:t>
      </w:r>
    </w:p>
    <w:p>
      <w:pPr>
        <w:sectPr>
          <w:pgSz w:w="11900" w:h="16836" w:orient="portrait"/>
          <w:cols w:equalWidth="0" w:num="1">
            <w:col w:w="9180"/>
          </w:cols>
          <w:pgMar w:left="1440" w:top="1156" w:right="1284" w:bottom="103" w:gutter="0" w:footer="0" w:header="0"/>
        </w:sectPr>
      </w:pPr>
    </w:p>
    <w:bookmarkStart w:id="315" w:name="page316"/>
    <w:bookmarkEnd w:id="315"/>
    <w:p>
      <w:pPr>
        <w:ind w:left="1760" w:hanging="428"/>
        <w:spacing w:after="0"/>
        <w:tabs>
          <w:tab w:leader="none" w:pos="1760" w:val="left"/>
        </w:tabs>
        <w:numPr>
          <w:ilvl w:val="0"/>
          <w:numId w:val="103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Performance vis-à-vis objects:</w:t>
      </w:r>
    </w:p>
    <w:p>
      <w:pPr>
        <w:spacing w:after="0" w:line="137" w:lineRule="exact"/>
        <w:rPr>
          <w:sz w:val="20"/>
          <w:szCs w:val="20"/>
          <w:color w:val="auto"/>
        </w:rPr>
      </w:pPr>
    </w:p>
    <w:p>
      <w:pPr>
        <w:ind w:left="1880" w:hanging="497"/>
        <w:spacing w:after="0"/>
        <w:tabs>
          <w:tab w:leader="none" w:pos="1880" w:val="left"/>
        </w:tabs>
        <w:numPr>
          <w:ilvl w:val="0"/>
          <w:numId w:val="103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Issuer:</w:t>
      </w:r>
    </w:p>
    <w:p>
      <w:pPr>
        <w:spacing w:after="0" w:line="151" w:lineRule="exact"/>
        <w:rPr>
          <w:rFonts w:ascii="Times New Roman" w:cs="Times New Roman" w:eastAsia="Times New Roman" w:hAnsi="Times New Roman"/>
          <w:sz w:val="24"/>
          <w:szCs w:val="24"/>
          <w:color w:val="auto"/>
        </w:rPr>
      </w:pPr>
    </w:p>
    <w:p>
      <w:pPr>
        <w:ind w:left="2520" w:hanging="441"/>
        <w:spacing w:after="0" w:line="348" w:lineRule="auto"/>
        <w:tabs>
          <w:tab w:leader="none" w:pos="2520" w:val="left"/>
        </w:tabs>
        <w:numPr>
          <w:ilvl w:val="1"/>
          <w:numId w:val="103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list of all the public/rights issues made during the preceding five years, along with the year of issue.</w:t>
      </w:r>
    </w:p>
    <w:p>
      <w:pPr>
        <w:spacing w:after="0" w:line="27" w:lineRule="exact"/>
        <w:rPr>
          <w:rFonts w:ascii="Times New Roman" w:cs="Times New Roman" w:eastAsia="Times New Roman" w:hAnsi="Times New Roman"/>
          <w:sz w:val="24"/>
          <w:szCs w:val="24"/>
          <w:color w:val="auto"/>
        </w:rPr>
      </w:pPr>
    </w:p>
    <w:p>
      <w:pPr>
        <w:ind w:left="2520" w:hanging="441"/>
        <w:spacing w:after="0" w:line="348" w:lineRule="auto"/>
        <w:tabs>
          <w:tab w:leader="none" w:pos="2520" w:val="left"/>
        </w:tabs>
        <w:numPr>
          <w:ilvl w:val="1"/>
          <w:numId w:val="103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non-achievement of objects, with quantification of shortfall and delays for such public/rights issues.</w:t>
      </w:r>
    </w:p>
    <w:p>
      <w:pPr>
        <w:spacing w:after="0" w:line="20"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4"/>
          <w:szCs w:val="24"/>
          <w:b w:val="1"/>
          <w:bCs w:val="1"/>
          <w:color w:val="auto"/>
        </w:rPr>
        <w:t>(K) Stock market data for equity shares of the issuer, if listed:</w:t>
      </w:r>
    </w:p>
    <w:p>
      <w:pPr>
        <w:spacing w:after="0" w:line="132"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24"/>
          <w:szCs w:val="24"/>
          <w:color w:val="auto"/>
        </w:rPr>
        <w:t>Particulars of:</w:t>
      </w:r>
    </w:p>
    <w:p>
      <w:pPr>
        <w:spacing w:after="0" w:line="152" w:lineRule="exact"/>
        <w:rPr>
          <w:sz w:val="20"/>
          <w:szCs w:val="20"/>
          <w:color w:val="auto"/>
        </w:rPr>
      </w:pPr>
    </w:p>
    <w:p>
      <w:pPr>
        <w:ind w:left="1700" w:hanging="576"/>
        <w:spacing w:after="0" w:line="348" w:lineRule="auto"/>
        <w:tabs>
          <w:tab w:leader="none" w:pos="1700" w:val="left"/>
        </w:tabs>
        <w:numPr>
          <w:ilvl w:val="0"/>
          <w:numId w:val="103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high, low and average market prices of the equity shares of the issuer during the preceding three years;</w:t>
      </w:r>
    </w:p>
    <w:p>
      <w:pPr>
        <w:spacing w:after="0" w:line="27" w:lineRule="exact"/>
        <w:rPr>
          <w:rFonts w:ascii="Times New Roman" w:cs="Times New Roman" w:eastAsia="Times New Roman" w:hAnsi="Times New Roman"/>
          <w:sz w:val="24"/>
          <w:szCs w:val="24"/>
          <w:color w:val="auto"/>
        </w:rPr>
      </w:pPr>
    </w:p>
    <w:p>
      <w:pPr>
        <w:jc w:val="both"/>
        <w:ind w:left="1700" w:hanging="576"/>
        <w:spacing w:after="0" w:line="354" w:lineRule="auto"/>
        <w:tabs>
          <w:tab w:leader="none" w:pos="1700" w:val="left"/>
        </w:tabs>
        <w:numPr>
          <w:ilvl w:val="0"/>
          <w:numId w:val="103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monthly high and low prices for the six months preceding the date of filing the draft letter of offer with the Board which shall be updated till the time of filing the letter of offer with the designated stock exchange;</w:t>
      </w:r>
    </w:p>
    <w:p>
      <w:pPr>
        <w:spacing w:after="0" w:line="19" w:lineRule="exact"/>
        <w:rPr>
          <w:rFonts w:ascii="Times New Roman" w:cs="Times New Roman" w:eastAsia="Times New Roman" w:hAnsi="Times New Roman"/>
          <w:sz w:val="24"/>
          <w:szCs w:val="24"/>
          <w:color w:val="auto"/>
        </w:rPr>
      </w:pPr>
    </w:p>
    <w:p>
      <w:pPr>
        <w:jc w:val="both"/>
        <w:ind w:left="1700" w:hanging="576"/>
        <w:spacing w:after="0" w:line="357" w:lineRule="auto"/>
        <w:tabs>
          <w:tab w:leader="none" w:pos="1700" w:val="left"/>
        </w:tabs>
        <w:numPr>
          <w:ilvl w:val="0"/>
          <w:numId w:val="103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number of shares traded on the days when high and low prices were recorded in the relevant stock exchange(s) during the said period of (a) and (b) above and indicating the total number of days of trading during the preceding six months and the average volume of equity shares traded during that period and a statement if the equity shares were not actively traded;</w:t>
      </w:r>
    </w:p>
    <w:p>
      <w:pPr>
        <w:spacing w:after="0" w:line="19" w:lineRule="exact"/>
        <w:rPr>
          <w:rFonts w:ascii="Times New Roman" w:cs="Times New Roman" w:eastAsia="Times New Roman" w:hAnsi="Times New Roman"/>
          <w:sz w:val="24"/>
          <w:szCs w:val="24"/>
          <w:color w:val="auto"/>
        </w:rPr>
      </w:pPr>
    </w:p>
    <w:p>
      <w:pPr>
        <w:jc w:val="both"/>
        <w:ind w:left="1700" w:hanging="576"/>
        <w:spacing w:after="0" w:line="356" w:lineRule="auto"/>
        <w:tabs>
          <w:tab w:leader="none" w:pos="1700" w:val="left"/>
        </w:tabs>
        <w:numPr>
          <w:ilvl w:val="0"/>
          <w:numId w:val="103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stock market data referred to above shall be shown separately for periods marked by a change in capital structure, with such period commencing from the date the relevant stock exchange recognises the change in the capital structure (e.g. when the shares have become ex-rights or ex-bonus);</w:t>
      </w:r>
    </w:p>
    <w:p>
      <w:pPr>
        <w:spacing w:after="0" w:line="18" w:lineRule="exact"/>
        <w:rPr>
          <w:rFonts w:ascii="Times New Roman" w:cs="Times New Roman" w:eastAsia="Times New Roman" w:hAnsi="Times New Roman"/>
          <w:sz w:val="24"/>
          <w:szCs w:val="24"/>
          <w:color w:val="auto"/>
        </w:rPr>
      </w:pPr>
    </w:p>
    <w:p>
      <w:pPr>
        <w:ind w:left="1700" w:hanging="576"/>
        <w:spacing w:after="0" w:line="348" w:lineRule="auto"/>
        <w:tabs>
          <w:tab w:leader="none" w:pos="1700" w:val="left"/>
        </w:tabs>
        <w:numPr>
          <w:ilvl w:val="0"/>
          <w:numId w:val="103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market price of equity shares immediately after the date on which the resolution of the board of directors approving the issue;</w:t>
      </w:r>
    </w:p>
    <w:p>
      <w:pPr>
        <w:spacing w:after="0" w:line="28" w:lineRule="exact"/>
        <w:rPr>
          <w:rFonts w:ascii="Times New Roman" w:cs="Times New Roman" w:eastAsia="Times New Roman" w:hAnsi="Times New Roman"/>
          <w:sz w:val="24"/>
          <w:szCs w:val="24"/>
          <w:color w:val="auto"/>
        </w:rPr>
      </w:pPr>
    </w:p>
    <w:p>
      <w:pPr>
        <w:ind w:left="1700" w:hanging="576"/>
        <w:spacing w:after="0" w:line="348" w:lineRule="auto"/>
        <w:tabs>
          <w:tab w:leader="none" w:pos="1700" w:val="left"/>
        </w:tabs>
        <w:numPr>
          <w:ilvl w:val="0"/>
          <w:numId w:val="103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volume of securities traded in each month during the six months preceding the date on which the letter of offer with the designated stock exchange; and</w:t>
      </w:r>
    </w:p>
    <w:p>
      <w:pPr>
        <w:spacing w:after="0" w:line="27" w:lineRule="exact"/>
        <w:rPr>
          <w:rFonts w:ascii="Times New Roman" w:cs="Times New Roman" w:eastAsia="Times New Roman" w:hAnsi="Times New Roman"/>
          <w:sz w:val="24"/>
          <w:szCs w:val="24"/>
          <w:color w:val="auto"/>
        </w:rPr>
      </w:pPr>
    </w:p>
    <w:p>
      <w:pPr>
        <w:ind w:left="1700" w:hanging="576"/>
        <w:spacing w:after="0" w:line="348" w:lineRule="auto"/>
        <w:tabs>
          <w:tab w:leader="none" w:pos="1700" w:val="left"/>
        </w:tabs>
        <w:numPr>
          <w:ilvl w:val="0"/>
          <w:numId w:val="103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volume of shares traded along with high, low and average prices of shares of the issuer shall also be stated for respective periods.</w:t>
      </w:r>
    </w:p>
    <w:p>
      <w:pPr>
        <w:spacing w:after="0" w:line="28" w:lineRule="exact"/>
        <w:rPr>
          <w:sz w:val="20"/>
          <w:szCs w:val="20"/>
          <w:color w:val="auto"/>
        </w:rPr>
      </w:pPr>
    </w:p>
    <w:p>
      <w:pPr>
        <w:jc w:val="both"/>
        <w:ind w:left="1160"/>
        <w:spacing w:after="0" w:line="356" w:lineRule="auto"/>
        <w:rPr>
          <w:sz w:val="20"/>
          <w:szCs w:val="20"/>
          <w:color w:val="auto"/>
        </w:rPr>
      </w:pPr>
      <w:r>
        <w:rPr>
          <w:rFonts w:ascii="Times New Roman" w:cs="Times New Roman" w:eastAsia="Times New Roman" w:hAnsi="Times New Roman"/>
          <w:sz w:val="24"/>
          <w:szCs w:val="24"/>
          <w:b w:val="1"/>
          <w:bCs w:val="1"/>
          <w:i w:val="1"/>
          <w:iCs w:val="1"/>
          <w:color w:val="auto"/>
        </w:rPr>
        <w:t>Explanation</w:t>
      </w:r>
      <w:r>
        <w:rPr>
          <w:rFonts w:ascii="Times New Roman" w:cs="Times New Roman" w:eastAsia="Times New Roman" w:hAnsi="Times New Roman"/>
          <w:sz w:val="24"/>
          <w:szCs w:val="24"/>
          <w:color w:val="auto"/>
        </w:rPr>
        <w:t>: If the equity shares of the issuer are listed on more than one stock</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exchange, the above information shall be provided for each stock exchange separately. Average market prices in point (1) above should be calculated on closing price on the stock exchange.</w:t>
      </w:r>
    </w:p>
    <w:p>
      <w:pPr>
        <w:spacing w:after="0" w:line="19" w:lineRule="exact"/>
        <w:rPr>
          <w:sz w:val="20"/>
          <w:szCs w:val="20"/>
          <w:color w:val="auto"/>
        </w:rPr>
      </w:pPr>
    </w:p>
    <w:p>
      <w:pPr>
        <w:ind w:left="1760" w:hanging="428"/>
        <w:spacing w:after="0" w:line="348" w:lineRule="auto"/>
        <w:tabs>
          <w:tab w:leader="none" w:pos="1760" w:val="left"/>
        </w:tabs>
        <w:numPr>
          <w:ilvl w:val="0"/>
          <w:numId w:val="103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fact of filing the letter of offer with the Board and the stock exchange(s) and the office of the Board where the letter of offer has been filed.</w:t>
      </w: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4"/>
          <w:szCs w:val="24"/>
          <w:color w:val="auto"/>
        </w:rPr>
        <w:t>316</w:t>
      </w:r>
    </w:p>
    <w:p>
      <w:pPr>
        <w:sectPr>
          <w:pgSz w:w="11900" w:h="16836" w:orient="portrait"/>
          <w:cols w:equalWidth="0" w:num="1">
            <w:col w:w="9180"/>
          </w:cols>
          <w:pgMar w:left="1440" w:top="1144" w:right="1284" w:bottom="103" w:gutter="0" w:footer="0" w:header="0"/>
        </w:sectPr>
      </w:pPr>
    </w:p>
    <w:bookmarkStart w:id="316" w:name="page317"/>
    <w:bookmarkEnd w:id="316"/>
    <w:p>
      <w:pPr>
        <w:jc w:val="both"/>
        <w:ind w:left="1760" w:hanging="428"/>
        <w:spacing w:after="0" w:line="354" w:lineRule="auto"/>
        <w:tabs>
          <w:tab w:leader="none" w:pos="1760" w:val="left"/>
        </w:tabs>
        <w:numPr>
          <w:ilvl w:val="2"/>
          <w:numId w:val="104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Arrangements or any mechanism evolved by the issuer for redressal of investor grievances and the time normally taken by it for disposal of various types of investor grievances.</w:t>
      </w:r>
    </w:p>
    <w:p>
      <w:pPr>
        <w:spacing w:after="0" w:line="12" w:lineRule="exact"/>
        <w:rPr>
          <w:rFonts w:ascii="Times New Roman" w:cs="Times New Roman" w:eastAsia="Times New Roman" w:hAnsi="Times New Roman"/>
          <w:sz w:val="24"/>
          <w:szCs w:val="24"/>
          <w:b w:val="1"/>
          <w:bCs w:val="1"/>
          <w:color w:val="auto"/>
        </w:rPr>
      </w:pPr>
    </w:p>
    <w:p>
      <w:pPr>
        <w:ind w:left="1160" w:hanging="1116"/>
        <w:spacing w:after="0"/>
        <w:tabs>
          <w:tab w:leader="none" w:pos="1160" w:val="left"/>
        </w:tabs>
        <w:numPr>
          <w:ilvl w:val="0"/>
          <w:numId w:val="104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Offering Information:</w:t>
      </w:r>
    </w:p>
    <w:p>
      <w:pPr>
        <w:spacing w:after="0" w:line="146" w:lineRule="exact"/>
        <w:rPr>
          <w:rFonts w:ascii="Times New Roman" w:cs="Times New Roman" w:eastAsia="Times New Roman" w:hAnsi="Times New Roman"/>
          <w:sz w:val="24"/>
          <w:szCs w:val="24"/>
          <w:b w:val="1"/>
          <w:bCs w:val="1"/>
          <w:color w:val="auto"/>
        </w:rPr>
      </w:pPr>
    </w:p>
    <w:p>
      <w:pPr>
        <w:ind w:left="1840" w:hanging="572"/>
        <w:spacing w:after="0" w:line="348" w:lineRule="auto"/>
        <w:tabs>
          <w:tab w:leader="none" w:pos="1840" w:val="left"/>
        </w:tabs>
        <w:numPr>
          <w:ilvl w:val="1"/>
          <w:numId w:val="1041"/>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Terms of payments and procedure and time schedule for allotment and demat credit of securities.</w:t>
      </w:r>
    </w:p>
    <w:p>
      <w:pPr>
        <w:spacing w:after="0" w:line="27" w:lineRule="exact"/>
        <w:rPr>
          <w:rFonts w:ascii="Times New Roman" w:cs="Times New Roman" w:eastAsia="Times New Roman" w:hAnsi="Times New Roman"/>
          <w:sz w:val="22"/>
          <w:szCs w:val="22"/>
          <w:color w:val="auto"/>
        </w:rPr>
      </w:pPr>
    </w:p>
    <w:p>
      <w:pPr>
        <w:ind w:left="1840" w:hanging="572"/>
        <w:spacing w:after="0" w:line="348" w:lineRule="auto"/>
        <w:tabs>
          <w:tab w:leader="none" w:pos="1840" w:val="left"/>
        </w:tabs>
        <w:numPr>
          <w:ilvl w:val="1"/>
          <w:numId w:val="1041"/>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How to apply, availability of application forms and letter of offer and mode of payment, including the following:</w:t>
      </w:r>
    </w:p>
    <w:p>
      <w:pPr>
        <w:spacing w:after="0" w:line="16" w:lineRule="exact"/>
        <w:rPr>
          <w:rFonts w:ascii="Times New Roman" w:cs="Times New Roman" w:eastAsia="Times New Roman" w:hAnsi="Times New Roman"/>
          <w:sz w:val="22"/>
          <w:szCs w:val="22"/>
          <w:color w:val="auto"/>
        </w:rPr>
      </w:pPr>
    </w:p>
    <w:p>
      <w:pPr>
        <w:ind w:left="2200" w:hanging="356"/>
        <w:spacing w:after="0"/>
        <w:tabs>
          <w:tab w:leader="none" w:pos="2200" w:val="left"/>
        </w:tabs>
        <w:numPr>
          <w:ilvl w:val="3"/>
          <w:numId w:val="104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Applications by mutual funds:</w:t>
      </w:r>
    </w:p>
    <w:p>
      <w:pPr>
        <w:spacing w:after="0" w:line="149" w:lineRule="exact"/>
        <w:rPr>
          <w:rFonts w:ascii="Times New Roman" w:cs="Times New Roman" w:eastAsia="Times New Roman" w:hAnsi="Times New Roman"/>
          <w:sz w:val="24"/>
          <w:szCs w:val="24"/>
          <w:color w:val="auto"/>
        </w:rPr>
      </w:pPr>
    </w:p>
    <w:p>
      <w:pPr>
        <w:ind w:left="2920" w:hanging="533"/>
        <w:spacing w:after="0" w:line="357" w:lineRule="auto"/>
        <w:tabs>
          <w:tab w:leader="none" w:pos="2586" w:val="left"/>
        </w:tabs>
        <w:numPr>
          <w:ilvl w:val="4"/>
          <w:numId w:val="104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statement under the heads "Procedure for applications by mutual funds" and "Multiple Applications" to indicate that a separate application can be made in respect of each scheme of an Indian mutual fund registered with the Board and that such applications shall not be treated as multiple applications.</w:t>
      </w:r>
    </w:p>
    <w:p>
      <w:pPr>
        <w:spacing w:after="0" w:line="18" w:lineRule="exact"/>
        <w:rPr>
          <w:rFonts w:ascii="Times New Roman" w:cs="Times New Roman" w:eastAsia="Times New Roman" w:hAnsi="Times New Roman"/>
          <w:sz w:val="24"/>
          <w:szCs w:val="24"/>
          <w:color w:val="auto"/>
        </w:rPr>
      </w:pPr>
    </w:p>
    <w:p>
      <w:pPr>
        <w:ind w:left="2920" w:hanging="533"/>
        <w:spacing w:after="0" w:line="356" w:lineRule="auto"/>
        <w:tabs>
          <w:tab w:leader="none" w:pos="2586" w:val="left"/>
        </w:tabs>
        <w:numPr>
          <w:ilvl w:val="4"/>
          <w:numId w:val="104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statement that the application made by an asset management company or by custodian of a mutual fund shall clearly indicate the name of the concerned scheme for which the application is being made.</w:t>
      </w:r>
    </w:p>
    <w:p>
      <w:pPr>
        <w:spacing w:after="0" w:line="6" w:lineRule="exact"/>
        <w:rPr>
          <w:rFonts w:ascii="Times New Roman" w:cs="Times New Roman" w:eastAsia="Times New Roman" w:hAnsi="Times New Roman"/>
          <w:sz w:val="24"/>
          <w:szCs w:val="24"/>
          <w:color w:val="auto"/>
        </w:rPr>
      </w:pPr>
    </w:p>
    <w:p>
      <w:pPr>
        <w:ind w:left="2200" w:hanging="356"/>
        <w:spacing w:after="0"/>
        <w:tabs>
          <w:tab w:leader="none" w:pos="2200" w:val="left"/>
        </w:tabs>
        <w:numPr>
          <w:ilvl w:val="3"/>
          <w:numId w:val="104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Applications by non-resident Indians:</w:t>
      </w:r>
    </w:p>
    <w:p>
      <w:pPr>
        <w:spacing w:after="0" w:line="149" w:lineRule="exact"/>
        <w:rPr>
          <w:rFonts w:ascii="Times New Roman" w:cs="Times New Roman" w:eastAsia="Times New Roman" w:hAnsi="Times New Roman"/>
          <w:sz w:val="24"/>
          <w:szCs w:val="24"/>
          <w:color w:val="auto"/>
        </w:rPr>
      </w:pPr>
    </w:p>
    <w:p>
      <w:pPr>
        <w:ind w:left="2920" w:hanging="533"/>
        <w:spacing w:after="0" w:line="354" w:lineRule="auto"/>
        <w:tabs>
          <w:tab w:leader="none" w:pos="2586" w:val="left"/>
        </w:tabs>
        <w:numPr>
          <w:ilvl w:val="4"/>
          <w:numId w:val="104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name and address of at least one place in India from where individual non-resident Indian applicants can obtain the application forms.</w:t>
      </w:r>
    </w:p>
    <w:p>
      <w:pPr>
        <w:spacing w:after="0" w:line="22" w:lineRule="exact"/>
        <w:rPr>
          <w:rFonts w:ascii="Times New Roman" w:cs="Times New Roman" w:eastAsia="Times New Roman" w:hAnsi="Times New Roman"/>
          <w:sz w:val="24"/>
          <w:szCs w:val="24"/>
          <w:color w:val="auto"/>
        </w:rPr>
      </w:pPr>
    </w:p>
    <w:p>
      <w:pPr>
        <w:jc w:val="both"/>
        <w:ind w:left="2200" w:hanging="356"/>
        <w:spacing w:after="0" w:line="354" w:lineRule="auto"/>
        <w:tabs>
          <w:tab w:leader="none" w:pos="2200" w:val="left"/>
        </w:tabs>
        <w:numPr>
          <w:ilvl w:val="3"/>
          <w:numId w:val="104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Application by ASBA investors: Details of Application Supported by Blocked Amount process including specific instructions for submitting Application Supported by Blocked Amount.</w:t>
      </w:r>
    </w:p>
    <w:p>
      <w:pPr>
        <w:spacing w:after="0" w:line="20" w:lineRule="exact"/>
        <w:rPr>
          <w:rFonts w:ascii="Times New Roman" w:cs="Times New Roman" w:eastAsia="Times New Roman" w:hAnsi="Times New Roman"/>
          <w:sz w:val="24"/>
          <w:szCs w:val="24"/>
          <w:color w:val="auto"/>
        </w:rPr>
      </w:pPr>
    </w:p>
    <w:p>
      <w:pPr>
        <w:jc w:val="both"/>
        <w:ind w:left="2200" w:hanging="356"/>
        <w:spacing w:after="0" w:line="357" w:lineRule="auto"/>
        <w:tabs>
          <w:tab w:leader="none" w:pos="2200" w:val="left"/>
        </w:tabs>
        <w:numPr>
          <w:ilvl w:val="3"/>
          <w:numId w:val="104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statement that the shareholders who have not received the application form can apply, along with the requisite application money, by making an application that is available on the website of registrar, stock exchanges, lead managers or on a plain paper with same details as per application form available online.</w:t>
      </w:r>
    </w:p>
    <w:p>
      <w:pPr>
        <w:spacing w:after="0" w:line="18" w:lineRule="exact"/>
        <w:rPr>
          <w:rFonts w:ascii="Times New Roman" w:cs="Times New Roman" w:eastAsia="Times New Roman" w:hAnsi="Times New Roman"/>
          <w:sz w:val="24"/>
          <w:szCs w:val="24"/>
          <w:color w:val="auto"/>
        </w:rPr>
      </w:pPr>
    </w:p>
    <w:p>
      <w:pPr>
        <w:jc w:val="both"/>
        <w:ind w:left="2200" w:hanging="356"/>
        <w:spacing w:after="0" w:line="357" w:lineRule="auto"/>
        <w:tabs>
          <w:tab w:leader="none" w:pos="2200" w:val="left"/>
        </w:tabs>
        <w:numPr>
          <w:ilvl w:val="3"/>
          <w:numId w:val="104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format to enable shareholders to make an application on a plain paper specifying therein necessary particulars such as name, address, ratio of rights issue, issue price, number of equity shares held, depository participant ID, client ID, number of equity shares applied for, amount to be blocked with SCSB for using ASBA facility.</w:t>
      </w:r>
    </w:p>
    <w:p>
      <w:pPr>
        <w:spacing w:after="0" w:line="261"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4"/>
          <w:szCs w:val="24"/>
          <w:color w:val="auto"/>
        </w:rPr>
        <w:t>317</w:t>
      </w:r>
    </w:p>
    <w:p>
      <w:pPr>
        <w:sectPr>
          <w:pgSz w:w="11900" w:h="16836" w:orient="portrait"/>
          <w:cols w:equalWidth="0" w:num="1">
            <w:col w:w="9180"/>
          </w:cols>
          <w:pgMar w:left="1440" w:top="1156" w:right="1284" w:bottom="103" w:gutter="0" w:footer="0" w:header="0"/>
        </w:sectPr>
      </w:pPr>
    </w:p>
    <w:bookmarkStart w:id="317" w:name="page318"/>
    <w:bookmarkEnd w:id="317"/>
    <w:p>
      <w:pPr>
        <w:ind w:left="2200"/>
        <w:spacing w:after="0" w:line="348" w:lineRule="auto"/>
        <w:rPr>
          <w:sz w:val="20"/>
          <w:szCs w:val="20"/>
          <w:color w:val="auto"/>
        </w:rPr>
      </w:pPr>
      <w:r>
        <w:rPr>
          <w:rFonts w:ascii="Times New Roman" w:cs="Times New Roman" w:eastAsia="Times New Roman" w:hAnsi="Times New Roman"/>
          <w:sz w:val="24"/>
          <w:szCs w:val="24"/>
          <w:color w:val="auto"/>
        </w:rPr>
        <w:t>Application form available online on the website of registrar, stock exchanges, lead managers may be used for providing requisite details;</w:t>
      </w:r>
    </w:p>
    <w:p>
      <w:pPr>
        <w:spacing w:after="0" w:line="28" w:lineRule="exact"/>
        <w:rPr>
          <w:sz w:val="20"/>
          <w:szCs w:val="20"/>
          <w:color w:val="auto"/>
        </w:rPr>
      </w:pPr>
    </w:p>
    <w:p>
      <w:pPr>
        <w:jc w:val="both"/>
        <w:ind w:left="2200" w:hanging="356"/>
        <w:spacing w:after="0" w:line="354" w:lineRule="auto"/>
        <w:tabs>
          <w:tab w:leader="none" w:pos="2200" w:val="left"/>
        </w:tabs>
        <w:numPr>
          <w:ilvl w:val="1"/>
          <w:numId w:val="104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statement that shareholders making an application on a plain paper cannot renounce their rights and shall not utilise the application form for any purpose including renunciation even if it is received subsequently.</w:t>
      </w:r>
    </w:p>
    <w:p>
      <w:pPr>
        <w:spacing w:after="0" w:line="19" w:lineRule="exact"/>
        <w:rPr>
          <w:rFonts w:ascii="Times New Roman" w:cs="Times New Roman" w:eastAsia="Times New Roman" w:hAnsi="Times New Roman"/>
          <w:sz w:val="24"/>
          <w:szCs w:val="24"/>
          <w:color w:val="auto"/>
        </w:rPr>
      </w:pPr>
    </w:p>
    <w:p>
      <w:pPr>
        <w:jc w:val="both"/>
        <w:ind w:left="1840" w:hanging="572"/>
        <w:spacing w:after="0" w:line="354" w:lineRule="auto"/>
        <w:tabs>
          <w:tab w:leader="none" w:pos="1840" w:val="left"/>
        </w:tabs>
        <w:numPr>
          <w:ilvl w:val="0"/>
          <w:numId w:val="1043"/>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Dealing with Fractional Entitlement: Manner of dealing with fractional entitlement viz. payment of the equivalent of the value, if any, of the fractional rights in cash etc.</w:t>
      </w:r>
    </w:p>
    <w:p>
      <w:pPr>
        <w:spacing w:after="0" w:line="22" w:lineRule="exact"/>
        <w:rPr>
          <w:rFonts w:ascii="Times New Roman" w:cs="Times New Roman" w:eastAsia="Times New Roman" w:hAnsi="Times New Roman"/>
          <w:sz w:val="22"/>
          <w:szCs w:val="22"/>
          <w:color w:val="auto"/>
        </w:rPr>
      </w:pPr>
    </w:p>
    <w:p>
      <w:pPr>
        <w:ind w:left="1840" w:hanging="572"/>
        <w:spacing w:after="0" w:line="348" w:lineRule="auto"/>
        <w:tabs>
          <w:tab w:leader="none" w:pos="1840" w:val="left"/>
        </w:tabs>
        <w:numPr>
          <w:ilvl w:val="0"/>
          <w:numId w:val="1043"/>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Provisions of the Companies Act, 2013, as relating to punishment for fictitious applications, including the disclosures that any person who:</w:t>
      </w:r>
    </w:p>
    <w:p>
      <w:pPr>
        <w:spacing w:after="0" w:line="28" w:lineRule="exact"/>
        <w:rPr>
          <w:sz w:val="20"/>
          <w:szCs w:val="20"/>
          <w:color w:val="auto"/>
        </w:rPr>
      </w:pPr>
    </w:p>
    <w:p>
      <w:pPr>
        <w:ind w:left="2200" w:hanging="356"/>
        <w:spacing w:after="0" w:line="348" w:lineRule="auto"/>
        <w:tabs>
          <w:tab w:leader="none" w:pos="2200" w:val="left"/>
        </w:tabs>
        <w:numPr>
          <w:ilvl w:val="0"/>
          <w:numId w:val="104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makes or abets making of an application in a fictitious name to a company for acquiring, or subscribing for, its securities; or</w:t>
      </w:r>
    </w:p>
    <w:p>
      <w:pPr>
        <w:spacing w:after="0" w:line="27" w:lineRule="exact"/>
        <w:rPr>
          <w:rFonts w:ascii="Times New Roman" w:cs="Times New Roman" w:eastAsia="Times New Roman" w:hAnsi="Times New Roman"/>
          <w:sz w:val="24"/>
          <w:szCs w:val="24"/>
          <w:color w:val="auto"/>
        </w:rPr>
      </w:pPr>
    </w:p>
    <w:p>
      <w:pPr>
        <w:jc w:val="both"/>
        <w:ind w:left="2200" w:hanging="356"/>
        <w:spacing w:after="0" w:line="354" w:lineRule="auto"/>
        <w:tabs>
          <w:tab w:leader="none" w:pos="2200" w:val="left"/>
        </w:tabs>
        <w:numPr>
          <w:ilvl w:val="0"/>
          <w:numId w:val="104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makes or abets making of multiple applications to a company in different names or in different combinations of his/her name or surname for acquiring or subscribing for its securities; or</w:t>
      </w:r>
    </w:p>
    <w:p>
      <w:pPr>
        <w:spacing w:after="0" w:line="7" w:lineRule="exact"/>
        <w:rPr>
          <w:rFonts w:ascii="Times New Roman" w:cs="Times New Roman" w:eastAsia="Times New Roman" w:hAnsi="Times New Roman"/>
          <w:sz w:val="24"/>
          <w:szCs w:val="24"/>
          <w:color w:val="auto"/>
        </w:rPr>
      </w:pPr>
    </w:p>
    <w:p>
      <w:pPr>
        <w:ind w:left="2200" w:hanging="356"/>
        <w:spacing w:after="0"/>
        <w:tabs>
          <w:tab w:leader="none" w:pos="2200" w:val="left"/>
        </w:tabs>
        <w:numPr>
          <w:ilvl w:val="0"/>
          <w:numId w:val="104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otherwise induces directly or indirectly a company to allot, or register</w:t>
      </w:r>
    </w:p>
    <w:p>
      <w:pPr>
        <w:spacing w:after="0" w:line="152" w:lineRule="exact"/>
        <w:rPr>
          <w:sz w:val="20"/>
          <w:szCs w:val="20"/>
          <w:color w:val="auto"/>
        </w:rPr>
      </w:pPr>
    </w:p>
    <w:p>
      <w:pPr>
        <w:ind w:left="2200"/>
        <w:spacing w:after="0" w:line="348" w:lineRule="auto"/>
        <w:rPr>
          <w:sz w:val="20"/>
          <w:szCs w:val="20"/>
          <w:color w:val="auto"/>
        </w:rPr>
      </w:pPr>
      <w:r>
        <w:rPr>
          <w:rFonts w:ascii="Times New Roman" w:cs="Times New Roman" w:eastAsia="Times New Roman" w:hAnsi="Times New Roman"/>
          <w:sz w:val="24"/>
          <w:szCs w:val="24"/>
          <w:color w:val="auto"/>
        </w:rPr>
        <w:t>any transfer of, securities to such person, or to any other person in a fictitious name.</w:t>
      </w:r>
    </w:p>
    <w:p>
      <w:pPr>
        <w:spacing w:after="0" w:line="28" w:lineRule="exact"/>
        <w:rPr>
          <w:sz w:val="20"/>
          <w:szCs w:val="20"/>
          <w:color w:val="auto"/>
        </w:rPr>
      </w:pPr>
    </w:p>
    <w:p>
      <w:pPr>
        <w:ind w:left="1160"/>
        <w:spacing w:after="0" w:line="348" w:lineRule="auto"/>
        <w:rPr>
          <w:sz w:val="20"/>
          <w:szCs w:val="20"/>
          <w:color w:val="auto"/>
        </w:rPr>
      </w:pPr>
      <w:r>
        <w:rPr>
          <w:rFonts w:ascii="Times New Roman" w:cs="Times New Roman" w:eastAsia="Times New Roman" w:hAnsi="Times New Roman"/>
          <w:sz w:val="24"/>
          <w:szCs w:val="24"/>
          <w:color w:val="auto"/>
        </w:rPr>
        <w:t>Provided that any penalty imposed pursuant to Companies Act, 2013 shall also be disclosed.</w:t>
      </w:r>
    </w:p>
    <w:p>
      <w:pPr>
        <w:spacing w:after="0" w:line="28" w:lineRule="exact"/>
        <w:rPr>
          <w:sz w:val="20"/>
          <w:szCs w:val="20"/>
          <w:color w:val="auto"/>
        </w:rPr>
      </w:pPr>
    </w:p>
    <w:p>
      <w:pPr>
        <w:jc w:val="both"/>
        <w:ind w:left="1840" w:hanging="572"/>
        <w:spacing w:after="0" w:line="358" w:lineRule="auto"/>
        <w:tabs>
          <w:tab w:leader="none" w:pos="1840" w:val="left"/>
        </w:tabs>
        <w:numPr>
          <w:ilvl w:val="0"/>
          <w:numId w:val="1045"/>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A statement that credit of specified securities to the demat account/ issuing instructions for un- blocking of ASBA shall be done within a period of fifteen days and interest shall be payable in case of delay in issuing instructions for un-blocking of ASBA at the prescribed rate. In cases where refunds are applicable, such refunds shall be made within a period of fifteen days and interest shall be payable in case of delay. Liability of issuer and its directors (who are officers in default) to issue instructions for unblocking/ make refunds along with specified rate of interest shall also be mentioned, in case refunds not made within the specified timeline.</w:t>
      </w:r>
    </w:p>
    <w:p>
      <w:pPr>
        <w:spacing w:after="0" w:line="8" w:lineRule="exact"/>
        <w:rPr>
          <w:rFonts w:ascii="Times New Roman" w:cs="Times New Roman" w:eastAsia="Times New Roman" w:hAnsi="Times New Roman"/>
          <w:sz w:val="22"/>
          <w:szCs w:val="22"/>
          <w:color w:val="auto"/>
        </w:rPr>
      </w:pPr>
    </w:p>
    <w:p>
      <w:pPr>
        <w:ind w:left="1840" w:hanging="572"/>
        <w:spacing w:after="0"/>
        <w:tabs>
          <w:tab w:leader="none" w:pos="1840" w:val="left"/>
        </w:tabs>
        <w:numPr>
          <w:ilvl w:val="0"/>
          <w:numId w:val="1045"/>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Mode of making refunds:</w:t>
      </w:r>
    </w:p>
    <w:p>
      <w:pPr>
        <w:spacing w:after="0" w:line="151" w:lineRule="exact"/>
        <w:rPr>
          <w:rFonts w:ascii="Times New Roman" w:cs="Times New Roman" w:eastAsia="Times New Roman" w:hAnsi="Times New Roman"/>
          <w:sz w:val="22"/>
          <w:szCs w:val="22"/>
          <w:color w:val="auto"/>
        </w:rPr>
      </w:pPr>
    </w:p>
    <w:p>
      <w:pPr>
        <w:ind w:left="2200" w:hanging="356"/>
        <w:spacing w:after="0" w:line="348" w:lineRule="auto"/>
        <w:tabs>
          <w:tab w:leader="none" w:pos="2200" w:val="left"/>
        </w:tabs>
        <w:numPr>
          <w:ilvl w:val="1"/>
          <w:numId w:val="104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mode in which the issuer shall make refunds to applicants in case of an oversubscription or failure to list or otherwise.</w:t>
      </w:r>
    </w:p>
    <w:p>
      <w:pPr>
        <w:spacing w:after="0" w:line="28" w:lineRule="exact"/>
        <w:rPr>
          <w:rFonts w:ascii="Times New Roman" w:cs="Times New Roman" w:eastAsia="Times New Roman" w:hAnsi="Times New Roman"/>
          <w:sz w:val="24"/>
          <w:szCs w:val="24"/>
          <w:color w:val="auto"/>
        </w:rPr>
      </w:pPr>
    </w:p>
    <w:p>
      <w:pPr>
        <w:jc w:val="both"/>
        <w:ind w:left="2200" w:hanging="356"/>
        <w:spacing w:after="0" w:line="354" w:lineRule="auto"/>
        <w:tabs>
          <w:tab w:leader="none" w:pos="2200" w:val="left"/>
        </w:tabs>
        <w:numPr>
          <w:ilvl w:val="1"/>
          <w:numId w:val="104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issuer proposes to use more than one mode of making refunds to applicants, the respective cases where each such mode will be adopted shall be disclosed.</w:t>
      </w:r>
    </w:p>
    <w:p>
      <w:pPr>
        <w:spacing w:after="0" w:line="264"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318</w:t>
      </w:r>
    </w:p>
    <w:p>
      <w:pPr>
        <w:sectPr>
          <w:pgSz w:w="11900" w:h="16836" w:orient="portrait"/>
          <w:cols w:equalWidth="0" w:num="1">
            <w:col w:w="9180"/>
          </w:cols>
          <w:pgMar w:left="1440" w:top="1156" w:right="1284" w:bottom="103" w:gutter="0" w:footer="0" w:header="0"/>
        </w:sectPr>
      </w:pPr>
    </w:p>
    <w:bookmarkStart w:id="318" w:name="page319"/>
    <w:bookmarkEnd w:id="318"/>
    <w:p>
      <w:pPr>
        <w:ind w:left="2200" w:hanging="356"/>
        <w:spacing w:after="0"/>
        <w:tabs>
          <w:tab w:leader="none" w:pos="2200" w:val="left"/>
        </w:tabs>
        <w:numPr>
          <w:ilvl w:val="3"/>
          <w:numId w:val="104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permissible modes of making refunds are as follows:</w:t>
      </w:r>
    </w:p>
    <w:p>
      <w:pPr>
        <w:spacing w:after="0" w:line="137" w:lineRule="exact"/>
        <w:rPr>
          <w:rFonts w:ascii="Times New Roman" w:cs="Times New Roman" w:eastAsia="Times New Roman" w:hAnsi="Times New Roman"/>
          <w:sz w:val="24"/>
          <w:szCs w:val="24"/>
          <w:color w:val="auto"/>
        </w:rPr>
      </w:pPr>
    </w:p>
    <w:p>
      <w:pPr>
        <w:ind w:left="1440" w:hanging="288"/>
        <w:spacing w:after="0"/>
        <w:tabs>
          <w:tab w:leader="none" w:pos="1440" w:val="left"/>
        </w:tabs>
        <w:numPr>
          <w:ilvl w:val="1"/>
          <w:numId w:val="10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Unblocking amounts blocked using ASBA facility</w:t>
      </w:r>
    </w:p>
    <w:p>
      <w:pPr>
        <w:spacing w:after="0" w:line="151" w:lineRule="exact"/>
        <w:rPr>
          <w:rFonts w:ascii="Times New Roman" w:cs="Times New Roman" w:eastAsia="Times New Roman" w:hAnsi="Times New Roman"/>
          <w:sz w:val="24"/>
          <w:szCs w:val="24"/>
          <w:color w:val="auto"/>
        </w:rPr>
      </w:pPr>
    </w:p>
    <w:p>
      <w:pPr>
        <w:jc w:val="both"/>
        <w:ind w:left="1160" w:hanging="8"/>
        <w:spacing w:after="0" w:line="357" w:lineRule="auto"/>
        <w:tabs>
          <w:tab w:leader="none" w:pos="1534" w:val="left"/>
        </w:tabs>
        <w:numPr>
          <w:ilvl w:val="1"/>
          <w:numId w:val="10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applicants residing in any of the centres specified by the Board: by crediting of refunds to the bank accounts of applicants through electronic transfer of funds by using Direct Credit, RTGS (Real Time Gross Settlement) or NEFT (National Electronic Funds Transfer) or NACH (National Automated Clearing House), as applicable, as is for the time being permitted by the Reserve Bank of India;</w:t>
      </w:r>
    </w:p>
    <w:p>
      <w:pPr>
        <w:spacing w:after="0" w:line="21" w:lineRule="exact"/>
        <w:rPr>
          <w:rFonts w:ascii="Times New Roman" w:cs="Times New Roman" w:eastAsia="Times New Roman" w:hAnsi="Times New Roman"/>
          <w:sz w:val="24"/>
          <w:szCs w:val="24"/>
          <w:color w:val="auto"/>
        </w:rPr>
      </w:pPr>
    </w:p>
    <w:p>
      <w:pPr>
        <w:jc w:val="both"/>
        <w:ind w:left="1160" w:hanging="8"/>
        <w:spacing w:after="0" w:line="354" w:lineRule="auto"/>
        <w:tabs>
          <w:tab w:leader="none" w:pos="1616" w:val="left"/>
        </w:tabs>
        <w:numPr>
          <w:ilvl w:val="1"/>
          <w:numId w:val="10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other applicants: by dispatch of refund orders by registered post, where the value is `1500/- or more, or under certificate of posting in other cases, (subject however to postal rules); and</w:t>
      </w:r>
    </w:p>
    <w:p>
      <w:pPr>
        <w:spacing w:after="0" w:line="19" w:lineRule="exact"/>
        <w:rPr>
          <w:rFonts w:ascii="Times New Roman" w:cs="Times New Roman" w:eastAsia="Times New Roman" w:hAnsi="Times New Roman"/>
          <w:sz w:val="24"/>
          <w:szCs w:val="24"/>
          <w:color w:val="auto"/>
        </w:rPr>
      </w:pPr>
    </w:p>
    <w:p>
      <w:pPr>
        <w:ind w:left="1160" w:hanging="8"/>
        <w:spacing w:after="0" w:line="350" w:lineRule="auto"/>
        <w:tabs>
          <w:tab w:leader="none" w:pos="1616" w:val="left"/>
        </w:tabs>
        <w:numPr>
          <w:ilvl w:val="1"/>
          <w:numId w:val="10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any category of applicants specified by the Board: crediting of refunds to the applicants in any electronic manner permissible by the Board.</w:t>
      </w:r>
    </w:p>
    <w:p>
      <w:pPr>
        <w:spacing w:after="0" w:line="15" w:lineRule="exact"/>
        <w:rPr>
          <w:rFonts w:ascii="Times New Roman" w:cs="Times New Roman" w:eastAsia="Times New Roman" w:hAnsi="Times New Roman"/>
          <w:sz w:val="24"/>
          <w:szCs w:val="24"/>
          <w:color w:val="auto"/>
        </w:rPr>
      </w:pPr>
    </w:p>
    <w:p>
      <w:pPr>
        <w:ind w:left="1160" w:hanging="1116"/>
        <w:spacing w:after="0"/>
        <w:tabs>
          <w:tab w:leader="none" w:pos="1160" w:val="left"/>
        </w:tabs>
        <w:numPr>
          <w:ilvl w:val="0"/>
          <w:numId w:val="104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Undertaking by the issuer:</w:t>
      </w:r>
    </w:p>
    <w:p>
      <w:pPr>
        <w:spacing w:after="0" w:line="134" w:lineRule="exact"/>
        <w:rPr>
          <w:rFonts w:ascii="Times New Roman" w:cs="Times New Roman" w:eastAsia="Times New Roman" w:hAnsi="Times New Roman"/>
          <w:sz w:val="24"/>
          <w:szCs w:val="24"/>
          <w:b w:val="1"/>
          <w:bCs w:val="1"/>
          <w:color w:val="auto"/>
        </w:rPr>
      </w:pPr>
    </w:p>
    <w:p>
      <w:pPr>
        <w:ind w:left="1880" w:hanging="216"/>
        <w:spacing w:after="0"/>
        <w:tabs>
          <w:tab w:leader="none" w:pos="1880" w:val="left"/>
        </w:tabs>
        <w:numPr>
          <w:ilvl w:val="2"/>
          <w:numId w:val="104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following undertaking by the issuer shall be disclosed:</w:t>
      </w:r>
    </w:p>
    <w:p>
      <w:pPr>
        <w:spacing w:after="0" w:line="149" w:lineRule="exact"/>
        <w:rPr>
          <w:rFonts w:ascii="Times New Roman" w:cs="Times New Roman" w:eastAsia="Times New Roman" w:hAnsi="Times New Roman"/>
          <w:sz w:val="24"/>
          <w:szCs w:val="24"/>
          <w:color w:val="auto"/>
        </w:rPr>
      </w:pPr>
    </w:p>
    <w:p>
      <w:pPr>
        <w:ind w:left="3000" w:hanging="721"/>
        <w:spacing w:after="0" w:line="350" w:lineRule="auto"/>
        <w:tabs>
          <w:tab w:leader="none" w:pos="2594" w:val="left"/>
        </w:tabs>
        <w:numPr>
          <w:ilvl w:val="4"/>
          <w:numId w:val="104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that the complaints received in respect of the issue shall be attended to by the issuer expeditiously and satisfactorily;</w:t>
      </w:r>
    </w:p>
    <w:p>
      <w:pPr>
        <w:spacing w:after="0" w:line="23" w:lineRule="exact"/>
        <w:rPr>
          <w:rFonts w:ascii="Times New Roman" w:cs="Times New Roman" w:eastAsia="Times New Roman" w:hAnsi="Times New Roman"/>
          <w:sz w:val="24"/>
          <w:szCs w:val="24"/>
          <w:color w:val="auto"/>
        </w:rPr>
      </w:pPr>
    </w:p>
    <w:p>
      <w:pPr>
        <w:ind w:left="3000" w:hanging="721"/>
        <w:spacing w:after="0" w:line="356" w:lineRule="auto"/>
        <w:tabs>
          <w:tab w:leader="none" w:pos="2594" w:val="left"/>
        </w:tabs>
        <w:numPr>
          <w:ilvl w:val="4"/>
          <w:numId w:val="104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that all steps for completion of the necessary formalities for listing and commencement of trading at all stock exchanges where the securities are to be listed are taken within the period prescribed by the Board;</w:t>
      </w:r>
    </w:p>
    <w:p>
      <w:pPr>
        <w:spacing w:after="0" w:line="18" w:lineRule="exact"/>
        <w:rPr>
          <w:rFonts w:ascii="Times New Roman" w:cs="Times New Roman" w:eastAsia="Times New Roman" w:hAnsi="Times New Roman"/>
          <w:sz w:val="24"/>
          <w:szCs w:val="24"/>
          <w:color w:val="auto"/>
        </w:rPr>
      </w:pPr>
    </w:p>
    <w:p>
      <w:pPr>
        <w:jc w:val="both"/>
        <w:ind w:left="3000" w:hanging="721"/>
        <w:spacing w:after="0" w:line="354" w:lineRule="auto"/>
        <w:tabs>
          <w:tab w:leader="none" w:pos="3000" w:val="left"/>
        </w:tabs>
        <w:numPr>
          <w:ilvl w:val="4"/>
          <w:numId w:val="104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that the funds required for unblocking to unsuccessful applicants as per the mode(s) disclosed shall be made available to the registrar to the issue by the issuer;</w:t>
      </w:r>
    </w:p>
    <w:p>
      <w:pPr>
        <w:spacing w:after="0" w:line="22" w:lineRule="exact"/>
        <w:rPr>
          <w:rFonts w:ascii="Times New Roman" w:cs="Times New Roman" w:eastAsia="Times New Roman" w:hAnsi="Times New Roman"/>
          <w:sz w:val="24"/>
          <w:szCs w:val="24"/>
          <w:color w:val="auto"/>
        </w:rPr>
      </w:pPr>
    </w:p>
    <w:p>
      <w:pPr>
        <w:jc w:val="both"/>
        <w:ind w:left="3000" w:hanging="721"/>
        <w:spacing w:after="0" w:line="357" w:lineRule="auto"/>
        <w:tabs>
          <w:tab w:leader="none" w:pos="3000" w:val="left"/>
        </w:tabs>
        <w:numPr>
          <w:ilvl w:val="4"/>
          <w:numId w:val="104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that no further issue of securities shall be made till the securities offered through the letter of offer are listed or till the application monies are refunded on account of non-listing, under subscription, etc., other than as disclosed in accordance with Regulation 56;</w:t>
      </w:r>
    </w:p>
    <w:p>
      <w:pPr>
        <w:spacing w:after="0" w:line="16" w:lineRule="exact"/>
        <w:rPr>
          <w:rFonts w:ascii="Times New Roman" w:cs="Times New Roman" w:eastAsia="Times New Roman" w:hAnsi="Times New Roman"/>
          <w:sz w:val="24"/>
          <w:szCs w:val="24"/>
          <w:color w:val="auto"/>
        </w:rPr>
      </w:pPr>
    </w:p>
    <w:p>
      <w:pPr>
        <w:ind w:left="3000" w:hanging="721"/>
        <w:spacing w:after="0" w:line="357" w:lineRule="auto"/>
        <w:tabs>
          <w:tab w:leader="none" w:pos="2594" w:val="left"/>
        </w:tabs>
        <w:numPr>
          <w:ilvl w:val="4"/>
          <w:numId w:val="104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where refunds are made through electronic transfer of funds, a suitable communication shall be sent to the applicant within 15 days of closure of the issue giving details of the bank where refunds shall be credited along with amount and expected date of electronic credit of refund.</w:t>
      </w: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4"/>
          <w:szCs w:val="24"/>
          <w:color w:val="auto"/>
        </w:rPr>
        <w:t>319</w:t>
      </w:r>
    </w:p>
    <w:p>
      <w:pPr>
        <w:sectPr>
          <w:pgSz w:w="11900" w:h="16836" w:orient="portrait"/>
          <w:cols w:equalWidth="0" w:num="1">
            <w:col w:w="9180"/>
          </w:cols>
          <w:pgMar w:left="1440" w:top="1144" w:right="1284" w:bottom="103" w:gutter="0" w:footer="0" w:header="0"/>
        </w:sectPr>
      </w:pPr>
    </w:p>
    <w:bookmarkStart w:id="319" w:name="page320"/>
    <w:bookmarkEnd w:id="319"/>
    <w:p>
      <w:pPr>
        <w:jc w:val="both"/>
        <w:ind w:left="3000" w:hanging="721"/>
        <w:spacing w:after="0" w:line="356" w:lineRule="auto"/>
        <w:tabs>
          <w:tab w:leader="none" w:pos="3000" w:val="left"/>
        </w:tabs>
        <w:numPr>
          <w:ilvl w:val="2"/>
          <w:numId w:val="104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where release of block on the application amount for unsuccessful bidders or part of the application amount in case of proportionate allotment, a suitable communication shall be sent to the applicants.</w:t>
      </w:r>
    </w:p>
    <w:p>
      <w:pPr>
        <w:spacing w:after="0" w:line="18" w:lineRule="exact"/>
        <w:rPr>
          <w:rFonts w:ascii="Times New Roman" w:cs="Times New Roman" w:eastAsia="Times New Roman" w:hAnsi="Times New Roman"/>
          <w:sz w:val="24"/>
          <w:szCs w:val="24"/>
          <w:color w:val="auto"/>
        </w:rPr>
      </w:pPr>
    </w:p>
    <w:p>
      <w:pPr>
        <w:ind w:left="3000" w:hanging="721"/>
        <w:spacing w:after="0" w:line="348" w:lineRule="auto"/>
        <w:tabs>
          <w:tab w:leader="none" w:pos="3000" w:val="left"/>
        </w:tabs>
        <w:numPr>
          <w:ilvl w:val="2"/>
          <w:numId w:val="104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adequate arrangements shall be made to collect all ASBA applications.</w:t>
      </w:r>
    </w:p>
    <w:p>
      <w:pPr>
        <w:spacing w:after="0" w:line="27" w:lineRule="exact"/>
        <w:rPr>
          <w:rFonts w:ascii="Times New Roman" w:cs="Times New Roman" w:eastAsia="Times New Roman" w:hAnsi="Times New Roman"/>
          <w:sz w:val="24"/>
          <w:szCs w:val="24"/>
          <w:color w:val="auto"/>
        </w:rPr>
      </w:pPr>
    </w:p>
    <w:p>
      <w:pPr>
        <w:ind w:left="3000" w:hanging="721"/>
        <w:spacing w:after="0" w:line="348" w:lineRule="auto"/>
        <w:tabs>
          <w:tab w:leader="none" w:pos="3000" w:val="left"/>
        </w:tabs>
        <w:numPr>
          <w:ilvl w:val="2"/>
          <w:numId w:val="104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convertible debt instruments, the issuer shall additionally undertake that:</w:t>
      </w:r>
    </w:p>
    <w:p>
      <w:pPr>
        <w:spacing w:after="0" w:line="28" w:lineRule="exact"/>
        <w:rPr>
          <w:rFonts w:ascii="Times New Roman" w:cs="Times New Roman" w:eastAsia="Times New Roman" w:hAnsi="Times New Roman"/>
          <w:sz w:val="24"/>
          <w:szCs w:val="24"/>
          <w:color w:val="auto"/>
        </w:rPr>
      </w:pPr>
    </w:p>
    <w:p>
      <w:pPr>
        <w:jc w:val="both"/>
        <w:ind w:left="1120" w:hanging="356"/>
        <w:spacing w:after="0" w:line="354" w:lineRule="auto"/>
        <w:tabs>
          <w:tab w:leader="none" w:pos="1120" w:val="left"/>
        </w:tabs>
        <w:numPr>
          <w:ilvl w:val="1"/>
          <w:numId w:val="105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 shall forward the details of utilisation of the funds raised through the convertible debt instruments, duly certified by the statutory auditors of the issuer, to the debenture trustee at the end of each half-year.</w:t>
      </w:r>
    </w:p>
    <w:p>
      <w:pPr>
        <w:spacing w:after="0" w:line="7" w:lineRule="exact"/>
        <w:rPr>
          <w:rFonts w:ascii="Times New Roman" w:cs="Times New Roman" w:eastAsia="Times New Roman" w:hAnsi="Times New Roman"/>
          <w:sz w:val="24"/>
          <w:szCs w:val="24"/>
          <w:color w:val="auto"/>
        </w:rPr>
      </w:pPr>
    </w:p>
    <w:p>
      <w:pPr>
        <w:ind w:left="1120" w:hanging="356"/>
        <w:spacing w:after="0"/>
        <w:tabs>
          <w:tab w:leader="none" w:pos="1120" w:val="left"/>
        </w:tabs>
        <w:numPr>
          <w:ilvl w:val="1"/>
          <w:numId w:val="105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 shall disclose the name and address of the debenture trustee in the annual report.</w:t>
      </w:r>
    </w:p>
    <w:p>
      <w:pPr>
        <w:spacing w:after="0" w:line="151" w:lineRule="exact"/>
        <w:rPr>
          <w:rFonts w:ascii="Times New Roman" w:cs="Times New Roman" w:eastAsia="Times New Roman" w:hAnsi="Times New Roman"/>
          <w:sz w:val="24"/>
          <w:szCs w:val="24"/>
          <w:color w:val="auto"/>
        </w:rPr>
      </w:pPr>
    </w:p>
    <w:p>
      <w:pPr>
        <w:jc w:val="both"/>
        <w:ind w:left="1120" w:hanging="356"/>
        <w:spacing w:after="0" w:line="356" w:lineRule="auto"/>
        <w:tabs>
          <w:tab w:leader="none" w:pos="1120" w:val="left"/>
        </w:tabs>
        <w:numPr>
          <w:ilvl w:val="1"/>
          <w:numId w:val="105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 shall provide a compliance certificate to the convertible debt instrument holders on a yearly basis in respect of compliance with the terms and conditions of issue of debentures as contained in the Letter of Offer, duly certified by the debenture trustee.</w:t>
      </w:r>
    </w:p>
    <w:p>
      <w:pPr>
        <w:spacing w:after="0" w:line="18" w:lineRule="exact"/>
        <w:rPr>
          <w:rFonts w:ascii="Times New Roman" w:cs="Times New Roman" w:eastAsia="Times New Roman" w:hAnsi="Times New Roman"/>
          <w:sz w:val="24"/>
          <w:szCs w:val="24"/>
          <w:color w:val="auto"/>
        </w:rPr>
      </w:pPr>
    </w:p>
    <w:p>
      <w:pPr>
        <w:jc w:val="both"/>
        <w:ind w:left="1120" w:hanging="356"/>
        <w:spacing w:after="0" w:line="356" w:lineRule="auto"/>
        <w:tabs>
          <w:tab w:leader="none" w:pos="1120" w:val="left"/>
        </w:tabs>
        <w:numPr>
          <w:ilvl w:val="1"/>
          <w:numId w:val="105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 shall furnish a confirmation certificate that the security created by the issuer in favour of the convertible debt instrument holders is properly maintained and is adequate to meet the payment obligations towards the convertible debt instrument holders in the event of a default.</w:t>
      </w:r>
    </w:p>
    <w:p>
      <w:pPr>
        <w:spacing w:after="0" w:line="18" w:lineRule="exact"/>
        <w:rPr>
          <w:rFonts w:ascii="Times New Roman" w:cs="Times New Roman" w:eastAsia="Times New Roman" w:hAnsi="Times New Roman"/>
          <w:sz w:val="24"/>
          <w:szCs w:val="24"/>
          <w:color w:val="auto"/>
        </w:rPr>
      </w:pPr>
    </w:p>
    <w:p>
      <w:pPr>
        <w:jc w:val="both"/>
        <w:ind w:left="1120" w:hanging="356"/>
        <w:spacing w:after="0" w:line="354" w:lineRule="auto"/>
        <w:tabs>
          <w:tab w:leader="none" w:pos="1120" w:val="left"/>
        </w:tabs>
        <w:numPr>
          <w:ilvl w:val="1"/>
          <w:numId w:val="105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 shall extend necessary cooperation to the credit rating agency(ies) in providing the requisite information in a true and adequate manner till the debt obligations in respect of the instrument are outstanding.</w:t>
      </w:r>
    </w:p>
    <w:p>
      <w:pPr>
        <w:spacing w:after="0" w:line="20" w:lineRule="exact"/>
        <w:rPr>
          <w:rFonts w:ascii="Times New Roman" w:cs="Times New Roman" w:eastAsia="Times New Roman" w:hAnsi="Times New Roman"/>
          <w:sz w:val="24"/>
          <w:szCs w:val="24"/>
          <w:color w:val="auto"/>
        </w:rPr>
      </w:pPr>
    </w:p>
    <w:p>
      <w:pPr>
        <w:jc w:val="both"/>
        <w:ind w:left="400" w:hanging="356"/>
        <w:spacing w:after="0" w:line="354" w:lineRule="auto"/>
        <w:tabs>
          <w:tab w:leader="none" w:pos="1149" w:val="left"/>
        </w:tabs>
        <w:numPr>
          <w:ilvl w:val="0"/>
          <w:numId w:val="105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Utilisation of Issue Proceeds: </w:t>
      </w:r>
      <w:r>
        <w:rPr>
          <w:rFonts w:ascii="Times New Roman" w:cs="Times New Roman" w:eastAsia="Times New Roman" w:hAnsi="Times New Roman"/>
          <w:sz w:val="24"/>
          <w:szCs w:val="24"/>
          <w:color w:val="auto"/>
        </w:rPr>
        <w:t>The letter of offer, other than for an issue made by</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 scheduled commercial bank or a public financial institution, shall contain a statement of the board of directors of the issuer to the effect that:</w:t>
      </w:r>
    </w:p>
    <w:p>
      <w:pPr>
        <w:spacing w:after="0" w:line="22" w:lineRule="exact"/>
        <w:rPr>
          <w:rFonts w:ascii="Times New Roman" w:cs="Times New Roman" w:eastAsia="Times New Roman" w:hAnsi="Times New Roman"/>
          <w:sz w:val="24"/>
          <w:szCs w:val="24"/>
          <w:b w:val="1"/>
          <w:bCs w:val="1"/>
          <w:color w:val="auto"/>
        </w:rPr>
      </w:pPr>
    </w:p>
    <w:p>
      <w:pPr>
        <w:ind w:left="1120" w:hanging="356"/>
        <w:spacing w:after="0" w:line="348" w:lineRule="auto"/>
        <w:tabs>
          <w:tab w:leader="none" w:pos="1120" w:val="left"/>
        </w:tabs>
        <w:numPr>
          <w:ilvl w:val="1"/>
          <w:numId w:val="105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all monies received out of issue of shares or specified securities to the public shall be transferred to a separate bank account.</w:t>
      </w:r>
    </w:p>
    <w:p>
      <w:pPr>
        <w:spacing w:after="0" w:line="27" w:lineRule="exact"/>
        <w:rPr>
          <w:rFonts w:ascii="Times New Roman" w:cs="Times New Roman" w:eastAsia="Times New Roman" w:hAnsi="Times New Roman"/>
          <w:sz w:val="24"/>
          <w:szCs w:val="24"/>
          <w:color w:val="auto"/>
        </w:rPr>
      </w:pPr>
    </w:p>
    <w:p>
      <w:pPr>
        <w:jc w:val="both"/>
        <w:ind w:left="1120" w:hanging="356"/>
        <w:spacing w:after="0" w:line="354" w:lineRule="auto"/>
        <w:tabs>
          <w:tab w:leader="none" w:pos="1120" w:val="left"/>
        </w:tabs>
        <w:numPr>
          <w:ilvl w:val="1"/>
          <w:numId w:val="105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all monies utilised out of the issue referred to in clause (A) shall be disclosed under an appropriate separate head in the balance sheet of the issuer indicating the purpose for which such monies had been utilised; and</w:t>
      </w:r>
    </w:p>
    <w:p>
      <w:pPr>
        <w:spacing w:after="0" w:line="20" w:lineRule="exact"/>
        <w:rPr>
          <w:rFonts w:ascii="Times New Roman" w:cs="Times New Roman" w:eastAsia="Times New Roman" w:hAnsi="Times New Roman"/>
          <w:sz w:val="24"/>
          <w:szCs w:val="24"/>
          <w:color w:val="auto"/>
        </w:rPr>
      </w:pPr>
    </w:p>
    <w:p>
      <w:pPr>
        <w:jc w:val="both"/>
        <w:ind w:left="1120" w:hanging="356"/>
        <w:spacing w:after="0" w:line="356" w:lineRule="auto"/>
        <w:tabs>
          <w:tab w:leader="none" w:pos="1120" w:val="left"/>
        </w:tabs>
        <w:numPr>
          <w:ilvl w:val="1"/>
          <w:numId w:val="105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all unutilised monies out of the issue of specified securities referred to in clause (A) shall be disclosed under an appropriate separate head in the balance sheet of the issuer indicating the form in which such unutilised monies have been invested.</w:t>
      </w:r>
    </w:p>
    <w:p>
      <w:pPr>
        <w:spacing w:after="0" w:line="263"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4"/>
          <w:szCs w:val="24"/>
          <w:color w:val="auto"/>
        </w:rPr>
        <w:t>320</w:t>
      </w:r>
    </w:p>
    <w:p>
      <w:pPr>
        <w:sectPr>
          <w:pgSz w:w="11900" w:h="16836" w:orient="portrait"/>
          <w:cols w:equalWidth="0" w:num="1">
            <w:col w:w="9180"/>
          </w:cols>
          <w:pgMar w:left="1440" w:top="1156" w:right="1284" w:bottom="103" w:gutter="0" w:footer="0" w:header="0"/>
        </w:sectPr>
      </w:pPr>
    </w:p>
    <w:bookmarkStart w:id="320" w:name="page321"/>
    <w:bookmarkEnd w:id="320"/>
    <w:p>
      <w:pPr>
        <w:ind w:left="1160" w:hanging="1116"/>
        <w:spacing w:after="0"/>
        <w:tabs>
          <w:tab w:leader="none" w:pos="1160" w:val="left"/>
        </w:tabs>
        <w:numPr>
          <w:ilvl w:val="0"/>
          <w:numId w:val="105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Restrictions on foreign ownership of Indian securities, if any:</w:t>
      </w:r>
    </w:p>
    <w:p>
      <w:pPr>
        <w:spacing w:after="0" w:line="132" w:lineRule="exact"/>
        <w:rPr>
          <w:rFonts w:ascii="Times New Roman" w:cs="Times New Roman" w:eastAsia="Times New Roman" w:hAnsi="Times New Roman"/>
          <w:sz w:val="24"/>
          <w:szCs w:val="24"/>
          <w:b w:val="1"/>
          <w:bCs w:val="1"/>
          <w:color w:val="auto"/>
        </w:rPr>
      </w:pPr>
    </w:p>
    <w:p>
      <w:pPr>
        <w:ind w:left="1120" w:hanging="356"/>
        <w:spacing w:after="0"/>
        <w:tabs>
          <w:tab w:leader="none" w:pos="1120" w:val="left"/>
        </w:tabs>
        <w:numPr>
          <w:ilvl w:val="1"/>
          <w:numId w:val="105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Investment by NRIs.</w:t>
      </w:r>
    </w:p>
    <w:p>
      <w:pPr>
        <w:spacing w:after="0" w:line="139" w:lineRule="exact"/>
        <w:rPr>
          <w:rFonts w:ascii="Times New Roman" w:cs="Times New Roman" w:eastAsia="Times New Roman" w:hAnsi="Times New Roman"/>
          <w:sz w:val="24"/>
          <w:szCs w:val="24"/>
          <w:color w:val="auto"/>
        </w:rPr>
      </w:pPr>
    </w:p>
    <w:p>
      <w:pPr>
        <w:ind w:left="1120" w:hanging="356"/>
        <w:spacing w:after="0"/>
        <w:tabs>
          <w:tab w:leader="none" w:pos="1120" w:val="left"/>
        </w:tabs>
        <w:numPr>
          <w:ilvl w:val="1"/>
          <w:numId w:val="105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Investment by foreign portfolio investors and foreign venture capital investors.</w:t>
      </w:r>
    </w:p>
    <w:p>
      <w:pPr>
        <w:spacing w:after="0" w:line="136" w:lineRule="exact"/>
        <w:rPr>
          <w:rFonts w:ascii="Times New Roman" w:cs="Times New Roman" w:eastAsia="Times New Roman" w:hAnsi="Times New Roman"/>
          <w:sz w:val="24"/>
          <w:szCs w:val="24"/>
          <w:color w:val="auto"/>
        </w:rPr>
      </w:pPr>
    </w:p>
    <w:p>
      <w:pPr>
        <w:ind w:left="1120" w:hanging="356"/>
        <w:spacing w:after="0"/>
        <w:tabs>
          <w:tab w:leader="none" w:pos="1120" w:val="left"/>
        </w:tabs>
        <w:numPr>
          <w:ilvl w:val="1"/>
          <w:numId w:val="105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Investment by other non-residents.</w:t>
      </w:r>
    </w:p>
    <w:p>
      <w:pPr>
        <w:spacing w:after="0" w:line="144" w:lineRule="exact"/>
        <w:rPr>
          <w:rFonts w:ascii="Times New Roman" w:cs="Times New Roman" w:eastAsia="Times New Roman" w:hAnsi="Times New Roman"/>
          <w:sz w:val="24"/>
          <w:szCs w:val="24"/>
          <w:color w:val="auto"/>
        </w:rPr>
      </w:pPr>
    </w:p>
    <w:p>
      <w:pPr>
        <w:ind w:left="1160" w:hanging="1116"/>
        <w:spacing w:after="0"/>
        <w:tabs>
          <w:tab w:leader="none" w:pos="1160" w:val="left"/>
        </w:tabs>
        <w:numPr>
          <w:ilvl w:val="0"/>
          <w:numId w:val="105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Statutory and other information:</w:t>
      </w:r>
    </w:p>
    <w:p>
      <w:pPr>
        <w:spacing w:after="0" w:line="132" w:lineRule="exact"/>
        <w:rPr>
          <w:rFonts w:ascii="Times New Roman" w:cs="Times New Roman" w:eastAsia="Times New Roman" w:hAnsi="Times New Roman"/>
          <w:sz w:val="24"/>
          <w:szCs w:val="24"/>
          <w:b w:val="1"/>
          <w:bCs w:val="1"/>
          <w:color w:val="auto"/>
        </w:rPr>
      </w:pPr>
    </w:p>
    <w:p>
      <w:pPr>
        <w:ind w:left="2080" w:hanging="388"/>
        <w:spacing w:after="0"/>
        <w:tabs>
          <w:tab w:leader="none" w:pos="2080" w:val="left"/>
        </w:tabs>
        <w:numPr>
          <w:ilvl w:val="2"/>
          <w:numId w:val="105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Allotment of specified securities shall be in the demateralised form.</w:t>
      </w:r>
    </w:p>
    <w:p>
      <w:pPr>
        <w:spacing w:after="0" w:line="151" w:lineRule="exact"/>
        <w:rPr>
          <w:rFonts w:ascii="Times New Roman" w:cs="Times New Roman" w:eastAsia="Times New Roman" w:hAnsi="Times New Roman"/>
          <w:sz w:val="24"/>
          <w:szCs w:val="24"/>
          <w:color w:val="auto"/>
        </w:rPr>
      </w:pPr>
    </w:p>
    <w:p>
      <w:pPr>
        <w:ind w:left="2080" w:hanging="388"/>
        <w:spacing w:after="0" w:line="348" w:lineRule="auto"/>
        <w:tabs>
          <w:tab w:leader="none" w:pos="2080" w:val="left"/>
        </w:tabs>
        <w:numPr>
          <w:ilvl w:val="2"/>
          <w:numId w:val="105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Material contracts and time and place of inspection which shall include copies of the Annual Reports of the issuer for the last five years.</w:t>
      </w:r>
    </w:p>
    <w:p>
      <w:pPr>
        <w:spacing w:after="0" w:line="20" w:lineRule="exact"/>
        <w:rPr>
          <w:rFonts w:ascii="Times New Roman" w:cs="Times New Roman" w:eastAsia="Times New Roman" w:hAnsi="Times New Roman"/>
          <w:sz w:val="24"/>
          <w:szCs w:val="24"/>
          <w:color w:val="auto"/>
        </w:rPr>
      </w:pPr>
    </w:p>
    <w:p>
      <w:pPr>
        <w:ind w:left="1160" w:hanging="1116"/>
        <w:spacing w:after="0"/>
        <w:tabs>
          <w:tab w:leader="none" w:pos="1160" w:val="left"/>
        </w:tabs>
        <w:numPr>
          <w:ilvl w:val="0"/>
          <w:numId w:val="105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Any other material disclosures, as deemed necessary.</w:t>
      </w:r>
    </w:p>
    <w:p>
      <w:pPr>
        <w:spacing w:after="0" w:line="136" w:lineRule="exact"/>
        <w:rPr>
          <w:rFonts w:ascii="Times New Roman" w:cs="Times New Roman" w:eastAsia="Times New Roman" w:hAnsi="Times New Roman"/>
          <w:sz w:val="24"/>
          <w:szCs w:val="24"/>
          <w:b w:val="1"/>
          <w:bCs w:val="1"/>
          <w:color w:val="auto"/>
        </w:rPr>
      </w:pPr>
    </w:p>
    <w:p>
      <w:pPr>
        <w:ind w:left="1160" w:hanging="1116"/>
        <w:spacing w:after="0"/>
        <w:tabs>
          <w:tab w:leader="none" w:pos="1160" w:val="left"/>
        </w:tabs>
        <w:numPr>
          <w:ilvl w:val="0"/>
          <w:numId w:val="105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Other Information:</w:t>
      </w:r>
    </w:p>
    <w:p>
      <w:pPr>
        <w:spacing w:after="0" w:line="146" w:lineRule="exact"/>
        <w:rPr>
          <w:rFonts w:ascii="Times New Roman" w:cs="Times New Roman" w:eastAsia="Times New Roman" w:hAnsi="Times New Roman"/>
          <w:sz w:val="24"/>
          <w:szCs w:val="24"/>
          <w:b w:val="1"/>
          <w:bCs w:val="1"/>
          <w:color w:val="auto"/>
        </w:rPr>
      </w:pPr>
    </w:p>
    <w:p>
      <w:pPr>
        <w:jc w:val="both"/>
        <w:ind w:left="1160"/>
        <w:spacing w:after="0" w:line="35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draft letter of offer (in case of issues other than fast track issues) and the letter of offer shall be approved by the Board of Directors of the issuer and shall be signed by all directors including the Managing Director within the meaning of the Companies Act, 2013 or Manager, within the meaning of the Companies Act, 2013 and the Chief Financial Officer or any other person heading the finance function and discharging that function. The signatories shall further certify that all disclosures are true and correct.</w:t>
      </w:r>
    </w:p>
    <w:p>
      <w:pPr>
        <w:spacing w:after="0" w:line="15" w:lineRule="exact"/>
        <w:rPr>
          <w:rFonts w:ascii="Times New Roman" w:cs="Times New Roman" w:eastAsia="Times New Roman" w:hAnsi="Times New Roman"/>
          <w:sz w:val="24"/>
          <w:szCs w:val="24"/>
          <w:b w:val="1"/>
          <w:bCs w:val="1"/>
          <w:color w:val="auto"/>
        </w:rPr>
      </w:pPr>
    </w:p>
    <w:p>
      <w:pPr>
        <w:jc w:val="both"/>
        <w:ind w:left="1160"/>
        <w:spacing w:after="0" w:line="354"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An issuer shall make a copy of the offer document of the immediately preceding public issue or rights issue available to the public in the manner specified in these regulations and shall also make such document available as a material document</w:t>
      </w:r>
    </w:p>
    <w:p>
      <w:pPr>
        <w:spacing w:after="0" w:line="10"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24"/>
          <w:szCs w:val="24"/>
          <w:color w:val="auto"/>
        </w:rPr>
        <w:t>for inspection.</w:t>
      </w:r>
    </w:p>
    <w:p>
      <w:pPr>
        <w:spacing w:after="0" w:line="149" w:lineRule="exact"/>
        <w:rPr>
          <w:sz w:val="20"/>
          <w:szCs w:val="20"/>
          <w:color w:val="auto"/>
        </w:rPr>
      </w:pPr>
    </w:p>
    <w:p>
      <w:pPr>
        <w:ind w:left="140" w:right="20"/>
        <w:spacing w:after="0" w:line="358" w:lineRule="auto"/>
        <w:rPr>
          <w:sz w:val="20"/>
          <w:szCs w:val="20"/>
          <w:color w:val="auto"/>
        </w:rPr>
      </w:pPr>
      <w:r>
        <w:rPr>
          <w:rFonts w:ascii="Times New Roman" w:cs="Times New Roman" w:eastAsia="Times New Roman" w:hAnsi="Times New Roman"/>
          <w:sz w:val="24"/>
          <w:szCs w:val="24"/>
          <w:b w:val="1"/>
          <w:bCs w:val="1"/>
          <w:color w:val="auto"/>
        </w:rPr>
        <w:t xml:space="preserve">DECLARATION BY THE ISSUER: </w:t>
      </w:r>
      <w:r>
        <w:rPr>
          <w:rFonts w:ascii="Times New Roman" w:cs="Times New Roman" w:eastAsia="Times New Roman" w:hAnsi="Times New Roman"/>
          <w:sz w:val="24"/>
          <w:szCs w:val="24"/>
          <w:color w:val="auto"/>
        </w:rPr>
        <w:t>We hereby declare that all relevant provisions of the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Companies Act, 2013 and the guidelines/regulations issued by the Government of India or the guidelines/regulations issued by the Securities and Exchange Board of India, established under section 3 of the Securities and Exchange Board of India Act, 1992, as the case may be, have been complied with and no statement made in the letter of offer is contrary to the provisions of the Companies Act, 2013, the Securities and Exchange Board of India Act,</w:t>
      </w:r>
    </w:p>
    <w:p>
      <w:pPr>
        <w:spacing w:after="0" w:line="15" w:lineRule="exact"/>
        <w:rPr>
          <w:sz w:val="20"/>
          <w:szCs w:val="20"/>
          <w:color w:val="auto"/>
        </w:rPr>
      </w:pPr>
    </w:p>
    <w:p>
      <w:pPr>
        <w:ind w:left="140" w:right="340"/>
        <w:spacing w:after="0" w:line="350" w:lineRule="auto"/>
        <w:rPr>
          <w:sz w:val="20"/>
          <w:szCs w:val="20"/>
          <w:color w:val="auto"/>
        </w:rPr>
      </w:pPr>
      <w:r>
        <w:rPr>
          <w:rFonts w:ascii="Times New Roman" w:cs="Times New Roman" w:eastAsia="Times New Roman" w:hAnsi="Times New Roman"/>
          <w:sz w:val="24"/>
          <w:szCs w:val="24"/>
          <w:color w:val="auto"/>
        </w:rPr>
        <w:t>1992 or rules made or guidelines or regulations issued there under, as the case may be. We further certify that all statements are true and correct.</w:t>
      </w:r>
      <w:r>
        <w:rPr>
          <w:rFonts w:ascii="Times New Roman" w:cs="Times New Roman" w:eastAsia="Times New Roman" w:hAnsi="Times New Roman"/>
          <w:sz w:val="24"/>
          <w:szCs w:val="24"/>
          <w:b w:val="1"/>
          <w:bCs w:val="1"/>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jc w:val="center"/>
        <w:ind w:left="40" w:right="340"/>
        <w:spacing w:after="0" w:line="350" w:lineRule="auto"/>
        <w:rPr>
          <w:sz w:val="20"/>
          <w:szCs w:val="20"/>
          <w:color w:val="auto"/>
        </w:rPr>
      </w:pPr>
      <w:r>
        <w:rPr>
          <w:rFonts w:ascii="Times New Roman" w:cs="Times New Roman" w:eastAsia="Times New Roman" w:hAnsi="Times New Roman"/>
          <w:sz w:val="24"/>
          <w:szCs w:val="24"/>
          <w:b w:val="1"/>
          <w:bCs w:val="1"/>
          <w:color w:val="auto"/>
        </w:rPr>
        <w:t>Part C - Certain disclosures not mandatory in case of a further public offer [See regulation 123(2)(d), 186(3)(d), 218(2), 220(1)]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4"/>
          <w:szCs w:val="24"/>
          <w:color w:val="auto"/>
        </w:rPr>
        <w:t>321</w:t>
      </w:r>
    </w:p>
    <w:p>
      <w:pPr>
        <w:sectPr>
          <w:pgSz w:w="11900" w:h="16836" w:orient="portrait"/>
          <w:cols w:equalWidth="0" w:num="1">
            <w:col w:w="9180"/>
          </w:cols>
          <w:pgMar w:left="1440" w:top="1149" w:right="1284" w:bottom="103" w:gutter="0" w:footer="0" w:header="0"/>
        </w:sectPr>
      </w:pPr>
    </w:p>
    <w:bookmarkStart w:id="321" w:name="page322"/>
    <w:bookmarkEnd w:id="321"/>
    <w:p>
      <w:pPr>
        <w:jc w:val="both"/>
        <w:ind w:left="508" w:hanging="508"/>
        <w:spacing w:after="0" w:line="354" w:lineRule="auto"/>
        <w:tabs>
          <w:tab w:leader="none" w:pos="508" w:val="left"/>
        </w:tabs>
        <w:numPr>
          <w:ilvl w:val="0"/>
          <w:numId w:val="105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 issuer making a further public offer of specified securities may not make the disclosures indicated hereunder and specified in Part A of this Schedule, subject to fulfilment of the conditions specified in para 2:</w:t>
      </w:r>
    </w:p>
    <w:p>
      <w:pPr>
        <w:spacing w:after="0" w:line="7" w:lineRule="exact"/>
        <w:rPr>
          <w:rFonts w:ascii="Times New Roman" w:cs="Times New Roman" w:eastAsia="Times New Roman" w:hAnsi="Times New Roman"/>
          <w:sz w:val="24"/>
          <w:szCs w:val="24"/>
          <w:color w:val="auto"/>
        </w:rPr>
      </w:pPr>
    </w:p>
    <w:p>
      <w:pPr>
        <w:ind w:left="1448" w:hanging="728"/>
        <w:spacing w:after="0"/>
        <w:tabs>
          <w:tab w:leader="none" w:pos="1448" w:val="left"/>
        </w:tabs>
        <w:numPr>
          <w:ilvl w:val="2"/>
          <w:numId w:val="105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Para (a) of sub-item (B) of item (8) under capital structure section;</w:t>
      </w:r>
    </w:p>
    <w:p>
      <w:pPr>
        <w:spacing w:after="0" w:line="139" w:lineRule="exact"/>
        <w:rPr>
          <w:rFonts w:ascii="Times New Roman" w:cs="Times New Roman" w:eastAsia="Times New Roman" w:hAnsi="Times New Roman"/>
          <w:sz w:val="24"/>
          <w:szCs w:val="24"/>
          <w:color w:val="auto"/>
        </w:rPr>
      </w:pPr>
    </w:p>
    <w:p>
      <w:pPr>
        <w:ind w:left="1448" w:hanging="728"/>
        <w:spacing w:after="0"/>
        <w:tabs>
          <w:tab w:leader="none" w:pos="1448" w:val="left"/>
        </w:tabs>
        <w:numPr>
          <w:ilvl w:val="2"/>
          <w:numId w:val="105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Para (f) of sub-item (B) of item (8) under capital structure section;</w:t>
      </w:r>
    </w:p>
    <w:p>
      <w:pPr>
        <w:spacing w:after="0" w:line="136" w:lineRule="exact"/>
        <w:rPr>
          <w:rFonts w:ascii="Times New Roman" w:cs="Times New Roman" w:eastAsia="Times New Roman" w:hAnsi="Times New Roman"/>
          <w:sz w:val="24"/>
          <w:szCs w:val="24"/>
          <w:color w:val="auto"/>
        </w:rPr>
      </w:pPr>
    </w:p>
    <w:p>
      <w:pPr>
        <w:ind w:left="1448" w:hanging="728"/>
        <w:spacing w:after="0"/>
        <w:tabs>
          <w:tab w:leader="none" w:pos="1448" w:val="left"/>
        </w:tabs>
        <w:numPr>
          <w:ilvl w:val="2"/>
          <w:numId w:val="105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Para (h) of sub-item (F) of item (10) under management section;</w:t>
      </w:r>
    </w:p>
    <w:p>
      <w:pPr>
        <w:spacing w:after="0" w:line="139" w:lineRule="exact"/>
        <w:rPr>
          <w:rFonts w:ascii="Times New Roman" w:cs="Times New Roman" w:eastAsia="Times New Roman" w:hAnsi="Times New Roman"/>
          <w:sz w:val="24"/>
          <w:szCs w:val="24"/>
          <w:color w:val="auto"/>
        </w:rPr>
      </w:pPr>
    </w:p>
    <w:p>
      <w:pPr>
        <w:ind w:left="508" w:hanging="508"/>
        <w:spacing w:after="0"/>
        <w:tabs>
          <w:tab w:leader="none" w:pos="508" w:val="left"/>
        </w:tabs>
        <w:numPr>
          <w:ilvl w:val="0"/>
          <w:numId w:val="105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conditions referred to in para (1) above are as follows:</w:t>
      </w:r>
    </w:p>
    <w:p>
      <w:pPr>
        <w:spacing w:after="0" w:line="149" w:lineRule="exact"/>
        <w:rPr>
          <w:rFonts w:ascii="Times New Roman" w:cs="Times New Roman" w:eastAsia="Times New Roman" w:hAnsi="Times New Roman"/>
          <w:sz w:val="24"/>
          <w:szCs w:val="24"/>
          <w:color w:val="auto"/>
        </w:rPr>
      </w:pPr>
    </w:p>
    <w:p>
      <w:pPr>
        <w:jc w:val="both"/>
        <w:ind w:left="1008" w:hanging="504"/>
        <w:spacing w:after="0" w:line="357" w:lineRule="auto"/>
        <w:tabs>
          <w:tab w:leader="none" w:pos="1008" w:val="left"/>
        </w:tabs>
        <w:numPr>
          <w:ilvl w:val="1"/>
          <w:numId w:val="105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has been filing periodic statements in regard to financial results and shareholding pattern with the designated stock exchange and also with the Registrar of Companies (in case of a public issue), for the last three years and such statements are available on the website of the designated stock exchange or on a common e-filing platform;</w:t>
      </w:r>
    </w:p>
    <w:p>
      <w:pPr>
        <w:spacing w:after="0" w:line="19" w:lineRule="exact"/>
        <w:rPr>
          <w:rFonts w:ascii="Times New Roman" w:cs="Times New Roman" w:eastAsia="Times New Roman" w:hAnsi="Times New Roman"/>
          <w:sz w:val="24"/>
          <w:szCs w:val="24"/>
          <w:color w:val="auto"/>
        </w:rPr>
      </w:pPr>
    </w:p>
    <w:p>
      <w:pPr>
        <w:jc w:val="both"/>
        <w:ind w:left="1008" w:hanging="504"/>
        <w:spacing w:after="0" w:line="357" w:lineRule="auto"/>
        <w:tabs>
          <w:tab w:leader="none" w:pos="1008" w:val="left"/>
        </w:tabs>
        <w:numPr>
          <w:ilvl w:val="1"/>
          <w:numId w:val="105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has in place an investor grievance handling mechanism, which includes meeting of the Shareholders/Investors’ Grievance Committee at frequent intervals, appropriate delegation of power by the board of directors of the issuer with regard to share transfer and clearly laid out systems and procedures for timely and satisfactory redressal of investor grievances;</w:t>
      </w:r>
    </w:p>
    <w:p>
      <w:pPr>
        <w:spacing w:after="0" w:line="16" w:lineRule="exact"/>
        <w:rPr>
          <w:rFonts w:ascii="Times New Roman" w:cs="Times New Roman" w:eastAsia="Times New Roman" w:hAnsi="Times New Roman"/>
          <w:sz w:val="24"/>
          <w:szCs w:val="24"/>
          <w:color w:val="auto"/>
        </w:rPr>
      </w:pPr>
    </w:p>
    <w:p>
      <w:pPr>
        <w:ind w:left="1008" w:hanging="504"/>
        <w:spacing w:after="0" w:line="350" w:lineRule="auto"/>
        <w:tabs>
          <w:tab w:leader="none" w:pos="1008" w:val="left"/>
        </w:tabs>
        <w:numPr>
          <w:ilvl w:val="1"/>
          <w:numId w:val="105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 has certified that the conditions specified at (a) and (b) above have been complied with;</w:t>
      </w:r>
    </w:p>
    <w:p>
      <w:pPr>
        <w:spacing w:after="0" w:line="23" w:lineRule="exact"/>
        <w:rPr>
          <w:rFonts w:ascii="Times New Roman" w:cs="Times New Roman" w:eastAsia="Times New Roman" w:hAnsi="Times New Roman"/>
          <w:sz w:val="24"/>
          <w:szCs w:val="24"/>
          <w:color w:val="auto"/>
        </w:rPr>
      </w:pPr>
    </w:p>
    <w:p>
      <w:pPr>
        <w:ind w:left="1008" w:hanging="504"/>
        <w:spacing w:after="0" w:line="350" w:lineRule="auto"/>
        <w:tabs>
          <w:tab w:leader="none" w:pos="1008" w:val="left"/>
        </w:tabs>
        <w:numPr>
          <w:ilvl w:val="1"/>
          <w:numId w:val="105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has furnished to the Board the following undertaking along with the draft offer document, which shall also be incorporated in the offer document:</w:t>
      </w:r>
    </w:p>
    <w:p>
      <w:pPr>
        <w:spacing w:after="0" w:line="23" w:lineRule="exact"/>
        <w:rPr>
          <w:rFonts w:ascii="Times New Roman" w:cs="Times New Roman" w:eastAsia="Times New Roman" w:hAnsi="Times New Roman"/>
          <w:sz w:val="24"/>
          <w:szCs w:val="24"/>
          <w:color w:val="auto"/>
        </w:rPr>
      </w:pPr>
    </w:p>
    <w:p>
      <w:pPr>
        <w:jc w:val="both"/>
        <w:ind w:left="988"/>
        <w:spacing w:after="0" w:line="35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“We confirm that other than the disclosures made in this offer document, nothing material has changed in respect of disclosures made by us at the time of our previous issue made on ……….”</w:t>
      </w:r>
    </w:p>
    <w:p>
      <w:pPr>
        <w:spacing w:after="0" w:line="22" w:lineRule="exact"/>
        <w:rPr>
          <w:rFonts w:ascii="Times New Roman" w:cs="Times New Roman" w:eastAsia="Times New Roman" w:hAnsi="Times New Roman"/>
          <w:sz w:val="24"/>
          <w:szCs w:val="24"/>
          <w:color w:val="auto"/>
        </w:rPr>
      </w:pPr>
    </w:p>
    <w:p>
      <w:pPr>
        <w:jc w:val="both"/>
        <w:ind w:left="1008" w:hanging="504"/>
        <w:spacing w:after="0" w:line="357" w:lineRule="auto"/>
        <w:tabs>
          <w:tab w:leader="none" w:pos="1008" w:val="left"/>
        </w:tabs>
        <w:numPr>
          <w:ilvl w:val="1"/>
          <w:numId w:val="105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has made the offer document of its immediately preceding public or rights issue public in the manner specified in sub-regulation (4) of regulation 26 and/or sub-regulation (4) of regulation 72, as applicable, and has also kept this document for public inspection in the manner specified in para (e) of sub-item (E) of Item (10) of Part A of this Schedule.</w:t>
      </w:r>
    </w:p>
    <w:p>
      <w:pPr>
        <w:spacing w:after="0" w:line="200" w:lineRule="exact"/>
        <w:rPr>
          <w:sz w:val="20"/>
          <w:szCs w:val="20"/>
          <w:color w:val="auto"/>
        </w:rPr>
      </w:pPr>
    </w:p>
    <w:p>
      <w:pPr>
        <w:spacing w:after="0" w:line="224"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Part D - Certain disclosures not mandatory in case of a fast track public issue</w:t>
      </w:r>
    </w:p>
    <w:p>
      <w:pPr>
        <w:spacing w:after="0" w:line="200" w:lineRule="exact"/>
        <w:rPr>
          <w:sz w:val="20"/>
          <w:szCs w:val="20"/>
          <w:color w:val="auto"/>
        </w:rPr>
      </w:pPr>
    </w:p>
    <w:p>
      <w:pPr>
        <w:spacing w:after="0" w:line="360" w:lineRule="exact"/>
        <w:rPr>
          <w:sz w:val="20"/>
          <w:szCs w:val="20"/>
          <w:color w:val="auto"/>
        </w:rPr>
      </w:pPr>
    </w:p>
    <w:p>
      <w:pPr>
        <w:ind w:left="8"/>
        <w:spacing w:after="0" w:line="348" w:lineRule="auto"/>
        <w:rPr>
          <w:sz w:val="20"/>
          <w:szCs w:val="20"/>
          <w:color w:val="auto"/>
        </w:rPr>
      </w:pPr>
      <w:r>
        <w:rPr>
          <w:rFonts w:ascii="Times New Roman" w:cs="Times New Roman" w:eastAsia="Times New Roman" w:hAnsi="Times New Roman"/>
          <w:sz w:val="24"/>
          <w:szCs w:val="24"/>
          <w:color w:val="auto"/>
        </w:rPr>
        <w:t>An issuer making a fast track public issue of specified securities may not make the disclosures indicated hereunder and specified in Part A of this Schedule:</w:t>
      </w:r>
    </w:p>
    <w:p>
      <w:pPr>
        <w:spacing w:after="0" w:line="28" w:lineRule="exact"/>
        <w:rPr>
          <w:sz w:val="20"/>
          <w:szCs w:val="20"/>
          <w:color w:val="auto"/>
        </w:rPr>
      </w:pPr>
    </w:p>
    <w:p>
      <w:pPr>
        <w:ind w:left="4548" w:right="2580" w:hanging="4548"/>
        <w:spacing w:after="0" w:line="571" w:lineRule="auto"/>
        <w:tabs>
          <w:tab w:leader="none" w:pos="498" w:val="left"/>
        </w:tabs>
        <w:numPr>
          <w:ilvl w:val="0"/>
          <w:numId w:val="105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Para (a) of sub-item (B) of item (8) under capital structure section; 322</w:t>
      </w:r>
    </w:p>
    <w:p>
      <w:pPr>
        <w:sectPr>
          <w:pgSz w:w="11900" w:h="16836" w:orient="portrait"/>
          <w:cols w:equalWidth="0" w:num="1">
            <w:col w:w="9468"/>
          </w:cols>
          <w:pgMar w:left="1152" w:top="1156" w:right="1284" w:bottom="0" w:gutter="0" w:footer="0" w:header="0"/>
        </w:sectPr>
      </w:pPr>
    </w:p>
    <w:bookmarkStart w:id="322" w:name="page323"/>
    <w:bookmarkEnd w:id="322"/>
    <w:p>
      <w:pPr>
        <w:ind w:left="508" w:hanging="508"/>
        <w:spacing w:after="0"/>
        <w:tabs>
          <w:tab w:leader="none" w:pos="508" w:val="left"/>
        </w:tabs>
        <w:numPr>
          <w:ilvl w:val="0"/>
          <w:numId w:val="105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Para (f) of sub-item (B) of item (8) under capital structure section;</w:t>
      </w:r>
    </w:p>
    <w:p>
      <w:pPr>
        <w:spacing w:after="0" w:line="137" w:lineRule="exact"/>
        <w:rPr>
          <w:rFonts w:ascii="Times New Roman" w:cs="Times New Roman" w:eastAsia="Times New Roman" w:hAnsi="Times New Roman"/>
          <w:sz w:val="24"/>
          <w:szCs w:val="24"/>
          <w:color w:val="auto"/>
        </w:rPr>
      </w:pPr>
    </w:p>
    <w:p>
      <w:pPr>
        <w:ind w:left="508" w:hanging="508"/>
        <w:spacing w:after="0"/>
        <w:tabs>
          <w:tab w:leader="none" w:pos="508" w:val="left"/>
        </w:tabs>
        <w:numPr>
          <w:ilvl w:val="0"/>
          <w:numId w:val="105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Para (h) of sub-item (F) of item (10) under management section;</w:t>
      </w:r>
    </w:p>
    <w:p>
      <w:pPr>
        <w:spacing w:after="0" w:line="151" w:lineRule="exact"/>
        <w:rPr>
          <w:rFonts w:ascii="Times New Roman" w:cs="Times New Roman" w:eastAsia="Times New Roman" w:hAnsi="Times New Roman"/>
          <w:sz w:val="24"/>
          <w:szCs w:val="24"/>
          <w:color w:val="auto"/>
        </w:rPr>
      </w:pPr>
    </w:p>
    <w:p>
      <w:pPr>
        <w:ind w:left="508" w:hanging="508"/>
        <w:spacing w:after="0" w:line="348" w:lineRule="auto"/>
        <w:tabs>
          <w:tab w:leader="none" w:pos="508" w:val="left"/>
        </w:tabs>
        <w:numPr>
          <w:ilvl w:val="0"/>
          <w:numId w:val="105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Sub-para (ii) of para (a) of sub-item (G) of item (10) under promoter/ principle shareholder section;</w:t>
      </w:r>
    </w:p>
    <w:p>
      <w:pPr>
        <w:spacing w:after="0" w:line="27" w:lineRule="exact"/>
        <w:rPr>
          <w:rFonts w:ascii="Times New Roman" w:cs="Times New Roman" w:eastAsia="Times New Roman" w:hAnsi="Times New Roman"/>
          <w:sz w:val="24"/>
          <w:szCs w:val="24"/>
          <w:color w:val="auto"/>
        </w:rPr>
      </w:pPr>
    </w:p>
    <w:p>
      <w:pPr>
        <w:ind w:left="508" w:hanging="508"/>
        <w:spacing w:after="0" w:line="348" w:lineRule="auto"/>
        <w:tabs>
          <w:tab w:leader="none" w:pos="508" w:val="left"/>
        </w:tabs>
        <w:numPr>
          <w:ilvl w:val="0"/>
          <w:numId w:val="105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Sub-para (iv) of para (b) of sub-item (G) of item (10) under promoter/ principle shareholder section</w:t>
      </w:r>
    </w:p>
    <w:p>
      <w:pPr>
        <w:spacing w:after="0" w:line="200" w:lineRule="exact"/>
        <w:rPr>
          <w:sz w:val="20"/>
          <w:szCs w:val="20"/>
          <w:color w:val="auto"/>
        </w:rPr>
      </w:pPr>
    </w:p>
    <w:p>
      <w:pPr>
        <w:spacing w:after="0" w:line="245" w:lineRule="exact"/>
        <w:rPr>
          <w:sz w:val="20"/>
          <w:szCs w:val="20"/>
          <w:color w:val="auto"/>
        </w:rPr>
      </w:pPr>
    </w:p>
    <w:p>
      <w:pPr>
        <w:ind w:left="2828" w:right="2360" w:hanging="469"/>
        <w:spacing w:after="0" w:line="353" w:lineRule="auto"/>
        <w:rPr>
          <w:sz w:val="20"/>
          <w:szCs w:val="20"/>
          <w:color w:val="auto"/>
        </w:rPr>
      </w:pPr>
      <w:r>
        <w:rPr>
          <w:rFonts w:ascii="Times New Roman" w:cs="Times New Roman" w:eastAsia="Times New Roman" w:hAnsi="Times New Roman"/>
          <w:sz w:val="23"/>
          <w:szCs w:val="23"/>
          <w:b w:val="1"/>
          <w:bCs w:val="1"/>
          <w:color w:val="auto"/>
        </w:rPr>
        <w:t xml:space="preserve">Part E - Disclosures in an abridged prospectus [See regulation 34(1) </w:t>
      </w:r>
      <w:r>
        <w:rPr>
          <w:rFonts w:ascii="Times New Roman" w:cs="Times New Roman" w:eastAsia="Times New Roman" w:hAnsi="Times New Roman"/>
          <w:sz w:val="31"/>
          <w:szCs w:val="31"/>
          <w:b w:val="1"/>
          <w:bCs w:val="1"/>
          <w:color w:val="auto"/>
          <w:vertAlign w:val="superscript"/>
        </w:rPr>
        <w:t>119</w:t>
      </w:r>
      <w:r>
        <w:rPr>
          <w:rFonts w:ascii="Times New Roman" w:cs="Times New Roman" w:eastAsia="Times New Roman" w:hAnsi="Times New Roman"/>
          <w:sz w:val="23"/>
          <w:szCs w:val="23"/>
          <w:b w:val="1"/>
          <w:bCs w:val="1"/>
          <w:color w:val="auto"/>
        </w:rPr>
        <w:t>[***] and 131(1)]</w:t>
      </w:r>
    </w:p>
    <w:p>
      <w:pPr>
        <w:spacing w:after="0" w:line="326" w:lineRule="exact"/>
        <w:rPr>
          <w:sz w:val="20"/>
          <w:szCs w:val="20"/>
          <w:color w:val="auto"/>
        </w:rPr>
      </w:pPr>
    </w:p>
    <w:p>
      <w:pPr>
        <w:jc w:val="both"/>
        <w:ind w:left="8"/>
        <w:spacing w:after="0" w:line="354" w:lineRule="auto"/>
        <w:rPr>
          <w:sz w:val="20"/>
          <w:szCs w:val="20"/>
          <w:color w:val="auto"/>
        </w:rPr>
      </w:pPr>
      <w:r>
        <w:rPr>
          <w:rFonts w:ascii="Times New Roman" w:cs="Times New Roman" w:eastAsia="Times New Roman" w:hAnsi="Times New Roman"/>
          <w:sz w:val="24"/>
          <w:szCs w:val="24"/>
          <w:color w:val="auto"/>
        </w:rPr>
        <w:t>An abridged prospectus shall contain information as is material and appropriate to enable investors to make an informed decision, and shall be as per the format and order specified by the Board in Annexure I.</w:t>
      </w:r>
    </w:p>
    <w:p>
      <w:pPr>
        <w:spacing w:after="0" w:line="1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General Instructions:</w:t>
      </w:r>
    </w:p>
    <w:p>
      <w:pPr>
        <w:spacing w:after="0" w:line="127" w:lineRule="exact"/>
        <w:rPr>
          <w:sz w:val="20"/>
          <w:szCs w:val="20"/>
          <w:color w:val="auto"/>
        </w:rPr>
      </w:pPr>
    </w:p>
    <w:p>
      <w:pPr>
        <w:ind w:left="788" w:hanging="788"/>
        <w:spacing w:after="0"/>
        <w:tabs>
          <w:tab w:leader="none" w:pos="788" w:val="left"/>
        </w:tabs>
        <w:numPr>
          <w:ilvl w:val="0"/>
          <w:numId w:val="1056"/>
        </w:numPr>
        <w:rPr>
          <w:rFonts w:ascii="Calibri" w:cs="Calibri" w:eastAsia="Calibri" w:hAnsi="Calibri"/>
          <w:sz w:val="22"/>
          <w:szCs w:val="22"/>
          <w:color w:val="auto"/>
        </w:rPr>
      </w:pPr>
      <w:r>
        <w:rPr>
          <w:rFonts w:ascii="Times New Roman" w:cs="Times New Roman" w:eastAsia="Times New Roman" w:hAnsi="Times New Roman"/>
          <w:sz w:val="24"/>
          <w:szCs w:val="24"/>
          <w:color w:val="auto"/>
        </w:rPr>
        <w:t>A copy of the abridged prospectus shall be submitted to the Board.</w:t>
      </w:r>
    </w:p>
    <w:p>
      <w:pPr>
        <w:spacing w:after="0" w:line="149" w:lineRule="exact"/>
        <w:rPr>
          <w:sz w:val="20"/>
          <w:szCs w:val="20"/>
          <w:color w:val="auto"/>
        </w:rPr>
      </w:pPr>
    </w:p>
    <w:p>
      <w:pPr>
        <w:jc w:val="both"/>
        <w:ind w:left="788" w:hanging="788"/>
        <w:spacing w:after="0" w:line="350" w:lineRule="auto"/>
        <w:tabs>
          <w:tab w:leader="none" w:pos="788" w:val="left"/>
        </w:tabs>
        <w:numPr>
          <w:ilvl w:val="0"/>
          <w:numId w:val="1057"/>
        </w:numPr>
        <w:rPr>
          <w:rFonts w:ascii="Calibri" w:cs="Calibri" w:eastAsia="Calibri" w:hAnsi="Calibri"/>
          <w:sz w:val="22"/>
          <w:szCs w:val="22"/>
          <w:color w:val="auto"/>
        </w:rPr>
      </w:pPr>
      <w:r>
        <w:rPr>
          <w:rFonts w:ascii="Times New Roman" w:cs="Times New Roman" w:eastAsia="Times New Roman" w:hAnsi="Times New Roman"/>
          <w:sz w:val="24"/>
          <w:szCs w:val="24"/>
          <w:color w:val="auto"/>
        </w:rPr>
        <w:t>Information which is of a generic nature and not specific to the issuer shall be provided in the form of a General Information Document (GID) as specified by the Board and which shall be available separately and not be included in the draft offer document and offer</w:t>
      </w:r>
    </w:p>
    <w:p>
      <w:pPr>
        <w:spacing w:after="0" w:line="14" w:lineRule="exact"/>
        <w:rPr>
          <w:sz w:val="20"/>
          <w:szCs w:val="20"/>
          <w:color w:val="auto"/>
        </w:rPr>
      </w:pPr>
    </w:p>
    <w:p>
      <w:pPr>
        <w:ind w:left="788"/>
        <w:spacing w:after="0"/>
        <w:rPr>
          <w:sz w:val="20"/>
          <w:szCs w:val="20"/>
          <w:color w:val="auto"/>
        </w:rPr>
      </w:pPr>
      <w:r>
        <w:rPr>
          <w:rFonts w:ascii="Times New Roman" w:cs="Times New Roman" w:eastAsia="Times New Roman" w:hAnsi="Times New Roman"/>
          <w:sz w:val="24"/>
          <w:szCs w:val="24"/>
          <w:color w:val="auto"/>
        </w:rPr>
        <w:t>document.</w:t>
      </w:r>
    </w:p>
    <w:p>
      <w:pPr>
        <w:spacing w:after="0" w:line="130" w:lineRule="exact"/>
        <w:rPr>
          <w:sz w:val="20"/>
          <w:szCs w:val="20"/>
          <w:color w:val="auto"/>
        </w:rPr>
      </w:pPr>
    </w:p>
    <w:p>
      <w:pPr>
        <w:ind w:left="788" w:hanging="788"/>
        <w:spacing w:after="0"/>
        <w:tabs>
          <w:tab w:leader="none" w:pos="788" w:val="left"/>
        </w:tabs>
        <w:numPr>
          <w:ilvl w:val="0"/>
          <w:numId w:val="1058"/>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abridged prospectus shall be printed in a booklet form of A4 size paper and, along</w:t>
      </w:r>
    </w:p>
    <w:p>
      <w:pPr>
        <w:spacing w:after="0" w:line="151" w:lineRule="exact"/>
        <w:rPr>
          <w:sz w:val="20"/>
          <w:szCs w:val="20"/>
          <w:color w:val="auto"/>
        </w:rPr>
      </w:pPr>
    </w:p>
    <w:p>
      <w:pPr>
        <w:ind w:left="788"/>
        <w:spacing w:after="0" w:line="348" w:lineRule="auto"/>
        <w:rPr>
          <w:sz w:val="20"/>
          <w:szCs w:val="20"/>
          <w:color w:val="auto"/>
        </w:rPr>
      </w:pPr>
      <w:r>
        <w:rPr>
          <w:rFonts w:ascii="Times New Roman" w:cs="Times New Roman" w:eastAsia="Times New Roman" w:hAnsi="Times New Roman"/>
          <w:sz w:val="24"/>
          <w:szCs w:val="24"/>
          <w:color w:val="auto"/>
        </w:rPr>
        <w:t>with the application form and revision form, shall not exceed five sheets, printed both sides. Additional sheets may be appended for bidding centres.</w:t>
      </w:r>
    </w:p>
    <w:p>
      <w:pPr>
        <w:spacing w:after="0" w:line="28" w:lineRule="exact"/>
        <w:rPr>
          <w:sz w:val="20"/>
          <w:szCs w:val="20"/>
          <w:color w:val="auto"/>
        </w:rPr>
      </w:pPr>
    </w:p>
    <w:p>
      <w:pPr>
        <w:ind w:left="788" w:hanging="779"/>
        <w:spacing w:after="0" w:line="342" w:lineRule="auto"/>
        <w:tabs>
          <w:tab w:leader="none" w:pos="767" w:val="left"/>
        </w:tabs>
        <w:rPr>
          <w:sz w:val="20"/>
          <w:szCs w:val="20"/>
          <w:color w:val="auto"/>
        </w:rPr>
      </w:pPr>
      <w:r>
        <w:rPr>
          <w:rFonts w:ascii="Calibri" w:cs="Calibri" w:eastAsia="Calibri" w:hAnsi="Calibri"/>
          <w:sz w:val="22"/>
          <w:szCs w:val="22"/>
          <w:color w:val="auto"/>
        </w:rPr>
        <w:t>(IV)</w:t>
      </w:r>
      <w:r>
        <w:rPr>
          <w:sz w:val="20"/>
          <w:szCs w:val="20"/>
          <w:color w:val="auto"/>
        </w:rPr>
        <w:tab/>
      </w:r>
      <w:r>
        <w:rPr>
          <w:rFonts w:ascii="Times New Roman" w:cs="Times New Roman" w:eastAsia="Times New Roman" w:hAnsi="Times New Roman"/>
          <w:sz w:val="24"/>
          <w:szCs w:val="24"/>
          <w:color w:val="auto"/>
        </w:rPr>
        <w:t>The abridged prospectus shall be printed in a font size which shall not be visually smaller than Times New Roman size 11 (or equivalent) with 1.0 line spacing.</w:t>
      </w:r>
    </w:p>
    <w:p>
      <w:pPr>
        <w:spacing w:after="0" w:line="32" w:lineRule="exact"/>
        <w:rPr>
          <w:sz w:val="20"/>
          <w:szCs w:val="20"/>
          <w:color w:val="auto"/>
        </w:rPr>
      </w:pPr>
    </w:p>
    <w:p>
      <w:pPr>
        <w:ind w:left="788" w:hanging="788"/>
        <w:spacing w:after="0" w:line="342" w:lineRule="auto"/>
        <w:tabs>
          <w:tab w:leader="none" w:pos="788" w:val="left"/>
        </w:tabs>
        <w:numPr>
          <w:ilvl w:val="0"/>
          <w:numId w:val="1059"/>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application form shall be so positioned that on the tearing-off of the application form, no part of the abridged prospectus is mutilated.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ind w:left="8" w:right="440" w:hanging="8"/>
        <w:spacing w:after="0" w:line="213" w:lineRule="auto"/>
        <w:tabs>
          <w:tab w:leader="none" w:pos="252" w:val="left"/>
        </w:tabs>
        <w:numPr>
          <w:ilvl w:val="0"/>
          <w:numId w:val="1060"/>
        </w:numPr>
        <w:rPr>
          <w:rFonts w:ascii="Times New Roman" w:cs="Times New Roman" w:eastAsia="Times New Roman" w:hAnsi="Times New Roman"/>
          <w:sz w:val="25"/>
          <w:szCs w:val="25"/>
          <w:color w:val="auto"/>
          <w:vertAlign w:val="superscript"/>
        </w:rPr>
      </w:pPr>
      <w:r>
        <w:rPr>
          <w:rFonts w:ascii="Times New Roman" w:cs="Times New Roman" w:eastAsia="Times New Roman" w:hAnsi="Times New Roman"/>
          <w:sz w:val="19"/>
          <w:szCs w:val="19"/>
          <w:color w:val="auto"/>
        </w:rPr>
        <w:t>Omitted by the SEBI (Issue of Capital and Disclosure Requirements) (Fourth Amendment) Regulations, 2020 w.e.f. 28.09.2020. Prior to omission it read as “, 71(2)(d)”.</w:t>
      </w:r>
    </w:p>
    <w:p>
      <w:pPr>
        <w:spacing w:after="0" w:line="29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323</w:t>
      </w:r>
    </w:p>
    <w:p>
      <w:pPr>
        <w:sectPr>
          <w:pgSz w:w="11900" w:h="16836" w:orient="portrait"/>
          <w:cols w:equalWidth="0" w:num="1">
            <w:col w:w="9468"/>
          </w:cols>
          <w:pgMar w:left="1152" w:top="1144" w:right="1284" w:bottom="103" w:gutter="0" w:footer="0" w:header="0"/>
        </w:sectPr>
      </w:pPr>
    </w:p>
    <w:bookmarkStart w:id="323" w:name="page324"/>
    <w:bookmarkEnd w:id="32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731520</wp:posOffset>
            </wp:positionH>
            <wp:positionV relativeFrom="page">
              <wp:posOffset>731520</wp:posOffset>
            </wp:positionV>
            <wp:extent cx="5942330" cy="781939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0">
                      <a:extLst>
                        <a:ext uri="{28A0092B-C50C-407E-A947-70E740481C1C}"/>
                      </a:extLst>
                    </a:blip>
                    <a:srcRect/>
                    <a:stretch>
                      <a:fillRect/>
                    </a:stretch>
                  </pic:blipFill>
                  <pic:spPr bwMode="auto">
                    <a:xfrm>
                      <a:off x="0" y="0"/>
                      <a:ext cx="5942330" cy="78193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jc w:val="center"/>
        <w:ind w:right="144"/>
        <w:spacing w:after="0"/>
        <w:rPr>
          <w:sz w:val="20"/>
          <w:szCs w:val="20"/>
          <w:color w:val="auto"/>
        </w:rPr>
      </w:pPr>
      <w:r>
        <w:rPr>
          <w:rFonts w:ascii="Times New Roman" w:cs="Times New Roman" w:eastAsia="Times New Roman" w:hAnsi="Times New Roman"/>
          <w:sz w:val="24"/>
          <w:szCs w:val="24"/>
          <w:color w:val="auto"/>
        </w:rPr>
        <w:t>324</w:t>
      </w:r>
    </w:p>
    <w:p>
      <w:pPr>
        <w:sectPr>
          <w:pgSz w:w="11900" w:h="16836" w:orient="portrait"/>
          <w:cols w:equalWidth="0" w:num="1">
            <w:col w:w="9024"/>
          </w:cols>
          <w:pgMar w:left="1440" w:top="1440" w:right="1440" w:bottom="103" w:gutter="0" w:footer="0" w:header="0"/>
        </w:sectPr>
      </w:pPr>
    </w:p>
    <w:bookmarkStart w:id="324" w:name="page325"/>
    <w:bookmarkEnd w:id="32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731520</wp:posOffset>
            </wp:positionH>
            <wp:positionV relativeFrom="page">
              <wp:posOffset>993775</wp:posOffset>
            </wp:positionV>
            <wp:extent cx="5942330" cy="448945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1">
                      <a:clrChange>
                        <a:clrFrom>
                          <a:srgbClr val="FFFFFF"/>
                        </a:clrFrom>
                        <a:clrTo>
                          <a:srgbClr val="FFFFFF">
                            <a:alpha val="0"/>
                          </a:srgbClr>
                        </a:clrTo>
                      </a:clrChange>
                      <a:extLst>
                        <a:ext uri="{28A0092B-C50C-407E-A947-70E740481C1C}"/>
                      </a:extLst>
                    </a:blip>
                    <a:srcRect/>
                    <a:stretch>
                      <a:fillRect/>
                    </a:stretch>
                  </pic:blipFill>
                  <pic:spPr bwMode="auto">
                    <a:xfrm>
                      <a:off x="0" y="0"/>
                      <a:ext cx="5942330" cy="44894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spacing w:after="0" w:line="350" w:lineRule="auto"/>
        <w:rPr>
          <w:sz w:val="20"/>
          <w:szCs w:val="20"/>
          <w:color w:val="auto"/>
        </w:rPr>
      </w:pPr>
      <w:r>
        <w:rPr>
          <w:rFonts w:ascii="Times New Roman" w:cs="Times New Roman" w:eastAsia="Times New Roman" w:hAnsi="Times New Roman"/>
          <w:sz w:val="24"/>
          <w:szCs w:val="24"/>
          <w:color w:val="auto"/>
        </w:rPr>
        <w:t>In case of issues by Small and Medium Enterprises under Chapter IX, details of the market maker to be included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10795</wp:posOffset>
            </wp:positionV>
            <wp:extent cx="5940425" cy="332740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
                      <a:extLst>
                        <a:ext uri="{28A0092B-C50C-407E-A947-70E740481C1C}"/>
                      </a:extLst>
                    </a:blip>
                    <a:srcRect/>
                    <a:stretch>
                      <a:fillRect/>
                    </a:stretch>
                  </pic:blipFill>
                  <pic:spPr bwMode="auto">
                    <a:xfrm>
                      <a:off x="0" y="0"/>
                      <a:ext cx="5940425" cy="33274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jc w:val="center"/>
        <w:ind w:right="-79"/>
        <w:spacing w:after="0"/>
        <w:rPr>
          <w:sz w:val="20"/>
          <w:szCs w:val="20"/>
          <w:color w:val="auto"/>
        </w:rPr>
      </w:pPr>
      <w:r>
        <w:rPr>
          <w:rFonts w:ascii="Times New Roman" w:cs="Times New Roman" w:eastAsia="Times New Roman" w:hAnsi="Times New Roman"/>
          <w:sz w:val="24"/>
          <w:szCs w:val="24"/>
          <w:color w:val="auto"/>
        </w:rPr>
        <w:t>325</w:t>
      </w:r>
    </w:p>
    <w:p>
      <w:pPr>
        <w:sectPr>
          <w:pgSz w:w="11900" w:h="16836" w:orient="portrait"/>
          <w:cols w:equalWidth="0" w:num="1">
            <w:col w:w="9380"/>
          </w:cols>
          <w:pgMar w:left="1160" w:top="1440" w:right="1364" w:bottom="103" w:gutter="0" w:footer="0" w:header="0"/>
        </w:sectPr>
      </w:pPr>
    </w:p>
    <w:bookmarkStart w:id="325" w:name="page326"/>
    <w:bookmarkEnd w:id="32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731520</wp:posOffset>
            </wp:positionH>
            <wp:positionV relativeFrom="page">
              <wp:posOffset>731520</wp:posOffset>
            </wp:positionV>
            <wp:extent cx="5942330" cy="711708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3">
                      <a:extLst>
                        <a:ext uri="{28A0092B-C50C-407E-A947-70E740481C1C}"/>
                      </a:extLst>
                    </a:blip>
                    <a:srcRect/>
                    <a:stretch>
                      <a:fillRect/>
                    </a:stretch>
                  </pic:blipFill>
                  <pic:spPr bwMode="auto">
                    <a:xfrm>
                      <a:off x="0" y="0"/>
                      <a:ext cx="5942330" cy="71170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jc w:val="center"/>
        <w:ind w:right="144"/>
        <w:spacing w:after="0"/>
        <w:rPr>
          <w:sz w:val="20"/>
          <w:szCs w:val="20"/>
          <w:color w:val="auto"/>
        </w:rPr>
      </w:pPr>
      <w:r>
        <w:rPr>
          <w:rFonts w:ascii="Times New Roman" w:cs="Times New Roman" w:eastAsia="Times New Roman" w:hAnsi="Times New Roman"/>
          <w:sz w:val="24"/>
          <w:szCs w:val="24"/>
          <w:color w:val="auto"/>
        </w:rPr>
        <w:t>326</w:t>
      </w:r>
    </w:p>
    <w:p>
      <w:pPr>
        <w:sectPr>
          <w:pgSz w:w="11900" w:h="16836" w:orient="portrait"/>
          <w:cols w:equalWidth="0" w:num="1">
            <w:col w:w="9024"/>
          </w:cols>
          <w:pgMar w:left="1440" w:top="1440" w:right="1440" w:bottom="103" w:gutter="0" w:footer="0" w:header="0"/>
        </w:sectPr>
      </w:pPr>
    </w:p>
    <w:bookmarkStart w:id="326" w:name="page327"/>
    <w:bookmarkEnd w:id="32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731520</wp:posOffset>
            </wp:positionH>
            <wp:positionV relativeFrom="page">
              <wp:posOffset>731520</wp:posOffset>
            </wp:positionV>
            <wp:extent cx="5944870" cy="609600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4">
                      <a:extLst>
                        <a:ext uri="{28A0092B-C50C-407E-A947-70E740481C1C}"/>
                      </a:extLst>
                    </a:blip>
                    <a:srcRect/>
                    <a:stretch>
                      <a:fillRect/>
                    </a:stretch>
                  </pic:blipFill>
                  <pic:spPr bwMode="auto">
                    <a:xfrm>
                      <a:off x="0" y="0"/>
                      <a:ext cx="5944870" cy="6096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jc w:val="center"/>
        <w:ind w:right="144"/>
        <w:spacing w:after="0"/>
        <w:rPr>
          <w:sz w:val="20"/>
          <w:szCs w:val="20"/>
          <w:color w:val="auto"/>
        </w:rPr>
      </w:pPr>
      <w:r>
        <w:rPr>
          <w:rFonts w:ascii="Times New Roman" w:cs="Times New Roman" w:eastAsia="Times New Roman" w:hAnsi="Times New Roman"/>
          <w:sz w:val="24"/>
          <w:szCs w:val="24"/>
          <w:color w:val="auto"/>
        </w:rPr>
        <w:t>327</w:t>
      </w:r>
    </w:p>
    <w:p>
      <w:pPr>
        <w:sectPr>
          <w:pgSz w:w="11900" w:h="16836" w:orient="portrait"/>
          <w:cols w:equalWidth="0" w:num="1">
            <w:col w:w="9024"/>
          </w:cols>
          <w:pgMar w:left="1440" w:top="1440" w:right="1440" w:bottom="103" w:gutter="0" w:footer="0" w:header="0"/>
        </w:sectPr>
      </w:pPr>
    </w:p>
    <w:bookmarkStart w:id="327" w:name="page328"/>
    <w:bookmarkEnd w:id="32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731520</wp:posOffset>
            </wp:positionH>
            <wp:positionV relativeFrom="page">
              <wp:posOffset>731520</wp:posOffset>
            </wp:positionV>
            <wp:extent cx="5946775" cy="758952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5">
                      <a:extLst>
                        <a:ext uri="{28A0092B-C50C-407E-A947-70E740481C1C}"/>
                      </a:extLst>
                    </a:blip>
                    <a:srcRect/>
                    <a:stretch>
                      <a:fillRect/>
                    </a:stretch>
                  </pic:blipFill>
                  <pic:spPr bwMode="auto">
                    <a:xfrm>
                      <a:off x="0" y="0"/>
                      <a:ext cx="5946775" cy="75895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jc w:val="center"/>
        <w:ind w:right="144"/>
        <w:spacing w:after="0"/>
        <w:rPr>
          <w:sz w:val="20"/>
          <w:szCs w:val="20"/>
          <w:color w:val="auto"/>
        </w:rPr>
      </w:pPr>
      <w:r>
        <w:rPr>
          <w:rFonts w:ascii="Times New Roman" w:cs="Times New Roman" w:eastAsia="Times New Roman" w:hAnsi="Times New Roman"/>
          <w:sz w:val="24"/>
          <w:szCs w:val="24"/>
          <w:color w:val="auto"/>
        </w:rPr>
        <w:t>328</w:t>
      </w:r>
    </w:p>
    <w:p>
      <w:pPr>
        <w:sectPr>
          <w:pgSz w:w="11900" w:h="16836" w:orient="portrait"/>
          <w:cols w:equalWidth="0" w:num="1">
            <w:col w:w="9024"/>
          </w:cols>
          <w:pgMar w:left="1440" w:top="1440" w:right="1440" w:bottom="103" w:gutter="0" w:footer="0" w:header="0"/>
        </w:sectPr>
      </w:pPr>
    </w:p>
    <w:bookmarkStart w:id="328" w:name="page329"/>
    <w:bookmarkEnd w:id="32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731520</wp:posOffset>
            </wp:positionH>
            <wp:positionV relativeFrom="page">
              <wp:posOffset>731520</wp:posOffset>
            </wp:positionV>
            <wp:extent cx="5946775" cy="792607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6">
                      <a:extLst>
                        <a:ext uri="{28A0092B-C50C-407E-A947-70E740481C1C}"/>
                      </a:extLst>
                    </a:blip>
                    <a:srcRect/>
                    <a:stretch>
                      <a:fillRect/>
                    </a:stretch>
                  </pic:blipFill>
                  <pic:spPr bwMode="auto">
                    <a:xfrm>
                      <a:off x="0" y="0"/>
                      <a:ext cx="5946775" cy="79260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jc w:val="center"/>
        <w:ind w:right="144"/>
        <w:spacing w:after="0"/>
        <w:rPr>
          <w:sz w:val="20"/>
          <w:szCs w:val="20"/>
          <w:color w:val="auto"/>
        </w:rPr>
      </w:pPr>
      <w:r>
        <w:rPr>
          <w:rFonts w:ascii="Times New Roman" w:cs="Times New Roman" w:eastAsia="Times New Roman" w:hAnsi="Times New Roman"/>
          <w:sz w:val="24"/>
          <w:szCs w:val="24"/>
          <w:color w:val="auto"/>
        </w:rPr>
        <w:t>329</w:t>
      </w:r>
    </w:p>
    <w:p>
      <w:pPr>
        <w:sectPr>
          <w:pgSz w:w="11900" w:h="16836" w:orient="portrait"/>
          <w:cols w:equalWidth="0" w:num="1">
            <w:col w:w="9024"/>
          </w:cols>
          <w:pgMar w:left="1440" w:top="1440" w:right="1440" w:bottom="103" w:gutter="0" w:footer="0" w:header="0"/>
        </w:sectPr>
      </w:pPr>
    </w:p>
    <w:bookmarkStart w:id="329" w:name="page330"/>
    <w:bookmarkEnd w:id="32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731520</wp:posOffset>
            </wp:positionH>
            <wp:positionV relativeFrom="page">
              <wp:posOffset>731520</wp:posOffset>
            </wp:positionV>
            <wp:extent cx="5944870" cy="849185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7">
                      <a:extLst>
                        <a:ext uri="{28A0092B-C50C-407E-A947-70E740481C1C}"/>
                      </a:extLst>
                    </a:blip>
                    <a:srcRect/>
                    <a:stretch>
                      <a:fillRect/>
                    </a:stretch>
                  </pic:blipFill>
                  <pic:spPr bwMode="auto">
                    <a:xfrm>
                      <a:off x="0" y="0"/>
                      <a:ext cx="5944870" cy="84918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jc w:val="center"/>
        <w:ind w:right="144"/>
        <w:spacing w:after="0"/>
        <w:rPr>
          <w:sz w:val="20"/>
          <w:szCs w:val="20"/>
          <w:color w:val="auto"/>
        </w:rPr>
      </w:pPr>
      <w:r>
        <w:rPr>
          <w:rFonts w:ascii="Times New Roman" w:cs="Times New Roman" w:eastAsia="Times New Roman" w:hAnsi="Times New Roman"/>
          <w:sz w:val="24"/>
          <w:szCs w:val="24"/>
          <w:color w:val="auto"/>
        </w:rPr>
        <w:t>330</w:t>
      </w:r>
    </w:p>
    <w:p>
      <w:pPr>
        <w:sectPr>
          <w:pgSz w:w="11900" w:h="16836" w:orient="portrait"/>
          <w:cols w:equalWidth="0" w:num="1">
            <w:col w:w="9024"/>
          </w:cols>
          <w:pgMar w:left="1440" w:top="1440" w:right="1440" w:bottom="103" w:gutter="0" w:footer="0" w:header="0"/>
        </w:sectPr>
      </w:pPr>
    </w:p>
    <w:bookmarkStart w:id="330" w:name="page331"/>
    <w:bookmarkEnd w:id="330"/>
    <w:p>
      <w:pPr>
        <w:jc w:val="center"/>
        <w:ind w:right="-7"/>
        <w:spacing w:after="0"/>
        <w:rPr>
          <w:sz w:val="20"/>
          <w:szCs w:val="20"/>
          <w:color w:val="auto"/>
        </w:rPr>
      </w:pPr>
      <w:r>
        <w:rPr>
          <w:rFonts w:ascii="Times New Roman" w:cs="Times New Roman" w:eastAsia="Times New Roman" w:hAnsi="Times New Roman"/>
          <w:sz w:val="32"/>
          <w:szCs w:val="32"/>
          <w:color w:val="auto"/>
          <w:vertAlign w:val="superscript"/>
        </w:rPr>
        <w:t>120</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b w:val="1"/>
          <w:bCs w:val="1"/>
          <w:color w:val="auto"/>
        </w:rPr>
        <w:t>Part F - Disclosures in an abridged letter of offer</w:t>
      </w:r>
    </w:p>
    <w:p>
      <w:pPr>
        <w:spacing w:after="0" w:line="58"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[See regulation [71(2)(d) and 75]</w:t>
      </w:r>
    </w:p>
    <w:p>
      <w:pPr>
        <w:spacing w:after="0" w:line="200" w:lineRule="exact"/>
        <w:rPr>
          <w:sz w:val="20"/>
          <w:szCs w:val="20"/>
          <w:color w:val="auto"/>
        </w:rPr>
      </w:pPr>
    </w:p>
    <w:p>
      <w:pPr>
        <w:spacing w:after="0" w:line="359" w:lineRule="exact"/>
        <w:rPr>
          <w:sz w:val="20"/>
          <w:szCs w:val="20"/>
          <w:color w:val="auto"/>
        </w:rPr>
      </w:pPr>
    </w:p>
    <w:p>
      <w:pPr>
        <w:jc w:val="both"/>
        <w:ind w:left="8"/>
        <w:spacing w:after="0" w:line="354" w:lineRule="auto"/>
        <w:rPr>
          <w:sz w:val="20"/>
          <w:szCs w:val="20"/>
          <w:color w:val="auto"/>
        </w:rPr>
      </w:pPr>
      <w:r>
        <w:rPr>
          <w:rFonts w:ascii="Times New Roman" w:cs="Times New Roman" w:eastAsia="Times New Roman" w:hAnsi="Times New Roman"/>
          <w:sz w:val="24"/>
          <w:szCs w:val="24"/>
          <w:color w:val="auto"/>
        </w:rPr>
        <w:t>An abridged letter of offer (“</w:t>
      </w:r>
      <w:r>
        <w:rPr>
          <w:rFonts w:ascii="Times New Roman" w:cs="Times New Roman" w:eastAsia="Times New Roman" w:hAnsi="Times New Roman"/>
          <w:sz w:val="24"/>
          <w:szCs w:val="24"/>
          <w:b w:val="1"/>
          <w:bCs w:val="1"/>
          <w:color w:val="auto"/>
        </w:rPr>
        <w:t>ALOF</w:t>
      </w:r>
      <w:r>
        <w:rPr>
          <w:rFonts w:ascii="Times New Roman" w:cs="Times New Roman" w:eastAsia="Times New Roman" w:hAnsi="Times New Roman"/>
          <w:sz w:val="24"/>
          <w:szCs w:val="24"/>
          <w:color w:val="auto"/>
        </w:rPr>
        <w:t>”) shall contain information as is material and appropriate to enable investors to make an informed decision. This Part F shall apply to issuers making rights issues with disclosures in the letter of offer specified under Part B or Part B-1 of this Schedule.</w:t>
      </w:r>
    </w:p>
    <w:p>
      <w:pPr>
        <w:spacing w:after="0" w:line="200" w:lineRule="exact"/>
        <w:rPr>
          <w:sz w:val="20"/>
          <w:szCs w:val="20"/>
          <w:color w:val="auto"/>
        </w:rPr>
      </w:pPr>
    </w:p>
    <w:p>
      <w:pPr>
        <w:spacing w:after="0" w:line="22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General Instructions:</w:t>
      </w:r>
    </w:p>
    <w:p>
      <w:pPr>
        <w:spacing w:after="0" w:line="267" w:lineRule="exact"/>
        <w:rPr>
          <w:sz w:val="20"/>
          <w:szCs w:val="20"/>
          <w:color w:val="auto"/>
        </w:rPr>
      </w:pPr>
    </w:p>
    <w:p>
      <w:pPr>
        <w:ind w:left="788" w:hanging="788"/>
        <w:spacing w:after="0" w:line="348" w:lineRule="auto"/>
        <w:tabs>
          <w:tab w:leader="none" w:pos="788" w:val="left"/>
        </w:tabs>
        <w:numPr>
          <w:ilvl w:val="0"/>
          <w:numId w:val="106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ALOF shall be printed in a booklet form of A4 size paper and, along with the application form.</w:t>
      </w:r>
    </w:p>
    <w:p>
      <w:pPr>
        <w:spacing w:after="0" w:line="148" w:lineRule="exact"/>
        <w:rPr>
          <w:sz w:val="20"/>
          <w:szCs w:val="20"/>
          <w:color w:val="auto"/>
        </w:rPr>
      </w:pPr>
    </w:p>
    <w:p>
      <w:pPr>
        <w:ind w:left="788" w:hanging="788"/>
        <w:spacing w:after="0" w:line="348" w:lineRule="auto"/>
        <w:tabs>
          <w:tab w:leader="none" w:pos="788" w:val="left"/>
        </w:tabs>
        <w:numPr>
          <w:ilvl w:val="0"/>
          <w:numId w:val="106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ALOF shall be printed in a font size which shall not be visually smaller than Times New Roman size 11 (or equivalent) with 1.0 line spacing.</w:t>
      </w:r>
    </w:p>
    <w:p>
      <w:pPr>
        <w:spacing w:after="0" w:line="148" w:lineRule="exact"/>
        <w:rPr>
          <w:sz w:val="20"/>
          <w:szCs w:val="20"/>
          <w:color w:val="auto"/>
        </w:rPr>
      </w:pPr>
    </w:p>
    <w:p>
      <w:pPr>
        <w:ind w:left="788" w:hanging="788"/>
        <w:spacing w:after="0" w:line="348" w:lineRule="auto"/>
        <w:tabs>
          <w:tab w:leader="none" w:pos="788" w:val="left"/>
        </w:tabs>
        <w:numPr>
          <w:ilvl w:val="0"/>
          <w:numId w:val="10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application form shall be so positioned that on the tearing-off of the application form, no part of the ALOF is mutilated.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-71120</wp:posOffset>
                </wp:positionH>
                <wp:positionV relativeFrom="paragraph">
                  <wp:posOffset>356235</wp:posOffset>
                </wp:positionV>
                <wp:extent cx="6087110" cy="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8711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20" o:spid="_x0000_s11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5999pt,28.05pt" to="473.7pt,28.0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-71120</wp:posOffset>
                </wp:positionH>
                <wp:positionV relativeFrom="paragraph">
                  <wp:posOffset>625475</wp:posOffset>
                </wp:positionV>
                <wp:extent cx="6087110" cy="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8711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21" o:spid="_x0000_s11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5999pt,49.25pt" to="473.7pt,49.2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-71120</wp:posOffset>
                </wp:positionH>
                <wp:positionV relativeFrom="paragraph">
                  <wp:posOffset>2471420</wp:posOffset>
                </wp:positionV>
                <wp:extent cx="6087110" cy="0"/>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8711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22" o:spid="_x0000_s11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5999pt,194.6pt" to="473.7pt,194.6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-71120</wp:posOffset>
                </wp:positionH>
                <wp:positionV relativeFrom="paragraph">
                  <wp:posOffset>3004820</wp:posOffset>
                </wp:positionV>
                <wp:extent cx="6087110" cy="0"/>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8711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23" o:spid="_x0000_s11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5999pt,236.6pt" to="473.7pt,236.6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-67945</wp:posOffset>
                </wp:positionH>
                <wp:positionV relativeFrom="paragraph">
                  <wp:posOffset>353060</wp:posOffset>
                </wp:positionV>
                <wp:extent cx="0" cy="397510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97510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24" o:spid="_x0000_s11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3499pt,27.8pt" to="-5.3499pt,340.8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6013450</wp:posOffset>
                </wp:positionH>
                <wp:positionV relativeFrom="paragraph">
                  <wp:posOffset>353060</wp:posOffset>
                </wp:positionV>
                <wp:extent cx="0" cy="397510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97510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25" o:spid="_x0000_s11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73.5pt,27.8pt" to="473.5pt,340.8pt" o:allowincell="f" strokecolor="#000000" strokeweight="0.4799pt"/>
            </w:pict>
          </mc:Fallback>
        </mc:AlternateContent>
      </w:r>
    </w:p>
    <w:p>
      <w:pPr>
        <w:spacing w:after="0" w:line="200" w:lineRule="exact"/>
        <w:rPr>
          <w:sz w:val="20"/>
          <w:szCs w:val="20"/>
          <w:color w:val="auto"/>
        </w:rPr>
      </w:pPr>
    </w:p>
    <w:p>
      <w:pPr>
        <w:spacing w:after="0" w:line="34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FOR THE ELIGIBLE EQUITY SHAREHOLDERS OF THE COMPANY ONLY</w:t>
      </w:r>
    </w:p>
    <w:p>
      <w:pPr>
        <w:spacing w:after="0" w:line="156" w:lineRule="exact"/>
        <w:rPr>
          <w:sz w:val="20"/>
          <w:szCs w:val="20"/>
          <w:color w:val="auto"/>
        </w:rPr>
      </w:pPr>
    </w:p>
    <w:p>
      <w:pPr>
        <w:jc w:val="both"/>
        <w:ind w:left="8" w:right="100"/>
        <w:spacing w:after="0" w:line="358" w:lineRule="auto"/>
        <w:rPr>
          <w:sz w:val="20"/>
          <w:szCs w:val="20"/>
          <w:color w:val="auto"/>
        </w:rPr>
      </w:pPr>
      <w:r>
        <w:rPr>
          <w:rFonts w:ascii="Times New Roman" w:cs="Times New Roman" w:eastAsia="Times New Roman" w:hAnsi="Times New Roman"/>
          <w:sz w:val="24"/>
          <w:szCs w:val="24"/>
          <w:color w:val="auto"/>
        </w:rPr>
        <w:t>This is an Abridged Letter of Offer containing salient features of the Letter of Offer dated XXX (“</w:t>
      </w:r>
      <w:r>
        <w:rPr>
          <w:rFonts w:ascii="Times New Roman" w:cs="Times New Roman" w:eastAsia="Times New Roman" w:hAnsi="Times New Roman"/>
          <w:sz w:val="24"/>
          <w:szCs w:val="24"/>
          <w:b w:val="1"/>
          <w:bCs w:val="1"/>
          <w:color w:val="auto"/>
        </w:rPr>
        <w:t>Letter of Offer</w:t>
      </w:r>
      <w:r>
        <w:rPr>
          <w:rFonts w:ascii="Times New Roman" w:cs="Times New Roman" w:eastAsia="Times New Roman" w:hAnsi="Times New Roman"/>
          <w:sz w:val="24"/>
          <w:szCs w:val="24"/>
          <w:color w:val="auto"/>
        </w:rPr>
        <w:t xml:space="preserve">”) which is available on the websites of the Registrar, our Company, the Lead Managers and the stock exchanges where the Equity Shares of our Company are listed, </w:t>
      </w:r>
      <w:r>
        <w:rPr>
          <w:rFonts w:ascii="Times New Roman" w:cs="Times New Roman" w:eastAsia="Times New Roman" w:hAnsi="Times New Roman"/>
          <w:sz w:val="24"/>
          <w:szCs w:val="24"/>
          <w:i w:val="1"/>
          <w:iCs w:val="1"/>
          <w:color w:val="auto"/>
        </w:rPr>
        <w:t>i.e.</w:t>
      </w:r>
      <w:r>
        <w:rPr>
          <w:rFonts w:ascii="Times New Roman" w:cs="Times New Roman" w:eastAsia="Times New Roman" w:hAnsi="Times New Roman"/>
          <w:sz w:val="24"/>
          <w:szCs w:val="24"/>
          <w:color w:val="auto"/>
        </w:rPr>
        <w:t>, BSE Limited (“</w:t>
      </w:r>
      <w:r>
        <w:rPr>
          <w:rFonts w:ascii="Times New Roman" w:cs="Times New Roman" w:eastAsia="Times New Roman" w:hAnsi="Times New Roman"/>
          <w:sz w:val="24"/>
          <w:szCs w:val="24"/>
          <w:b w:val="1"/>
          <w:bCs w:val="1"/>
          <w:color w:val="auto"/>
        </w:rPr>
        <w:t>BSE</w:t>
      </w:r>
      <w:r>
        <w:rPr>
          <w:rFonts w:ascii="Times New Roman" w:cs="Times New Roman" w:eastAsia="Times New Roman" w:hAnsi="Times New Roman"/>
          <w:sz w:val="24"/>
          <w:szCs w:val="24"/>
          <w:color w:val="auto"/>
        </w:rPr>
        <w:t>”) and National Stock Exchange of India Limited (“</w:t>
      </w:r>
      <w:r>
        <w:rPr>
          <w:rFonts w:ascii="Times New Roman" w:cs="Times New Roman" w:eastAsia="Times New Roman" w:hAnsi="Times New Roman"/>
          <w:sz w:val="24"/>
          <w:szCs w:val="24"/>
          <w:b w:val="1"/>
          <w:bCs w:val="1"/>
          <w:color w:val="auto"/>
        </w:rPr>
        <w:t>NSE</w:t>
      </w:r>
      <w:r>
        <w:rPr>
          <w:rFonts w:ascii="Times New Roman" w:cs="Times New Roman" w:eastAsia="Times New Roman" w:hAnsi="Times New Roman"/>
          <w:sz w:val="24"/>
          <w:szCs w:val="24"/>
          <w:color w:val="auto"/>
        </w:rPr>
        <w:t>”, and together with BSE, the “</w:t>
      </w:r>
      <w:r>
        <w:rPr>
          <w:rFonts w:ascii="Times New Roman" w:cs="Times New Roman" w:eastAsia="Times New Roman" w:hAnsi="Times New Roman"/>
          <w:sz w:val="24"/>
          <w:szCs w:val="24"/>
          <w:b w:val="1"/>
          <w:bCs w:val="1"/>
          <w:color w:val="auto"/>
        </w:rPr>
        <w:t>Stock Exchanges</w:t>
      </w:r>
      <w:r>
        <w:rPr>
          <w:rFonts w:ascii="Times New Roman" w:cs="Times New Roman" w:eastAsia="Times New Roman" w:hAnsi="Times New Roman"/>
          <w:sz w:val="24"/>
          <w:szCs w:val="24"/>
          <w:color w:val="auto"/>
        </w:rPr>
        <w:t>”). You are encouraged to read greater details available in the Letter of Offer. Capitalized terms not specifically defined herein shall have the meaning ascribed to them in the Letter of Offer.</w:t>
      </w:r>
    </w:p>
    <w:p>
      <w:pPr>
        <w:spacing w:after="0" w:line="33" w:lineRule="exact"/>
        <w:rPr>
          <w:sz w:val="20"/>
          <w:szCs w:val="20"/>
          <w:color w:val="auto"/>
        </w:rPr>
      </w:pPr>
    </w:p>
    <w:p>
      <w:pPr>
        <w:ind w:left="8" w:right="120"/>
        <w:spacing w:after="0" w:line="348" w:lineRule="auto"/>
        <w:rPr>
          <w:sz w:val="20"/>
          <w:szCs w:val="20"/>
          <w:color w:val="auto"/>
        </w:rPr>
      </w:pPr>
      <w:r>
        <w:rPr>
          <w:rFonts w:ascii="Times New Roman" w:cs="Times New Roman" w:eastAsia="Times New Roman" w:hAnsi="Times New Roman"/>
          <w:sz w:val="24"/>
          <w:szCs w:val="24"/>
          <w:b w:val="1"/>
          <w:bCs w:val="1"/>
          <w:color w:val="auto"/>
        </w:rPr>
        <w:t>THIS ABRIDGED LETTER OF OFFER CONTAINS XXX PAGES. PLEASE ENSURE THAT YOU HAVE RECEIVED ALL THE PAGES</w:t>
      </w:r>
    </w:p>
    <w:p>
      <w:pPr>
        <w:spacing w:after="0" w:line="32" w:lineRule="exact"/>
        <w:rPr>
          <w:sz w:val="20"/>
          <w:szCs w:val="20"/>
          <w:color w:val="auto"/>
        </w:rPr>
      </w:pPr>
    </w:p>
    <w:p>
      <w:pPr>
        <w:jc w:val="both"/>
        <w:ind w:left="8" w:right="100"/>
        <w:spacing w:after="0" w:line="357" w:lineRule="auto"/>
        <w:rPr>
          <w:sz w:val="20"/>
          <w:szCs w:val="20"/>
          <w:color w:val="auto"/>
        </w:rPr>
      </w:pPr>
      <w:r>
        <w:rPr>
          <w:rFonts w:ascii="Times New Roman" w:cs="Times New Roman" w:eastAsia="Times New Roman" w:hAnsi="Times New Roman"/>
          <w:sz w:val="24"/>
          <w:szCs w:val="24"/>
          <w:color w:val="auto"/>
        </w:rPr>
        <w:t>Our Company has made available on the Registrar’s website at xxx and the Company’s website at xxx, this Abridged Letter of Offer and the Application Form for the Eligible Equity Shareholders. You may also download the Letter of Offer from the websites of the Securities and Exchange Board of India (“</w:t>
      </w:r>
      <w:r>
        <w:rPr>
          <w:rFonts w:ascii="Times New Roman" w:cs="Times New Roman" w:eastAsia="Times New Roman" w:hAnsi="Times New Roman"/>
          <w:sz w:val="24"/>
          <w:szCs w:val="24"/>
          <w:b w:val="1"/>
          <w:bCs w:val="1"/>
          <w:color w:val="auto"/>
        </w:rPr>
        <w:t>SEBI</w:t>
      </w:r>
      <w:r>
        <w:rPr>
          <w:rFonts w:ascii="Times New Roman" w:cs="Times New Roman" w:eastAsia="Times New Roman" w:hAnsi="Times New Roman"/>
          <w:sz w:val="24"/>
          <w:szCs w:val="24"/>
          <w:color w:val="auto"/>
        </w:rPr>
        <w:t xml:space="preserve">”), the Stock Exchanges and the Lead Managers, </w:t>
      </w:r>
      <w:r>
        <w:rPr>
          <w:rFonts w:ascii="Times New Roman" w:cs="Times New Roman" w:eastAsia="Times New Roman" w:hAnsi="Times New Roman"/>
          <w:sz w:val="24"/>
          <w:szCs w:val="24"/>
          <w:i w:val="1"/>
          <w:iCs w:val="1"/>
          <w:color w:val="auto"/>
        </w:rPr>
        <w:t>i.e.,</w:t>
      </w:r>
      <w:r>
        <w:rPr>
          <w:rFonts w:ascii="Times New Roman" w:cs="Times New Roman" w:eastAsia="Times New Roman" w:hAnsi="Times New Roman"/>
          <w:sz w:val="24"/>
          <w:szCs w:val="24"/>
          <w:color w:val="auto"/>
        </w:rPr>
        <w:t xml:space="preserve"> at xxx, respectively.]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-71120</wp:posOffset>
                </wp:positionH>
                <wp:positionV relativeFrom="paragraph">
                  <wp:posOffset>10160</wp:posOffset>
                </wp:positionV>
                <wp:extent cx="6087110" cy="0"/>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8711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26" o:spid="_x0000_s11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5999pt,0.8pt" to="473.7pt,0.8pt" o:allowincell="f" strokecolor="#000000" strokeweight="0.479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ind w:left="8" w:right="200" w:hanging="8"/>
        <w:spacing w:after="0" w:line="213" w:lineRule="auto"/>
        <w:tabs>
          <w:tab w:leader="none" w:pos="252" w:val="left"/>
        </w:tabs>
        <w:numPr>
          <w:ilvl w:val="0"/>
          <w:numId w:val="1064"/>
        </w:numPr>
        <w:rPr>
          <w:rFonts w:ascii="Times New Roman" w:cs="Times New Roman" w:eastAsia="Times New Roman" w:hAnsi="Times New Roman"/>
          <w:sz w:val="25"/>
          <w:szCs w:val="25"/>
          <w:color w:val="auto"/>
          <w:vertAlign w:val="superscript"/>
        </w:rPr>
      </w:pPr>
      <w:r>
        <w:rPr>
          <w:rFonts w:ascii="Times New Roman" w:cs="Times New Roman" w:eastAsia="Times New Roman" w:hAnsi="Times New Roman"/>
          <w:sz w:val="19"/>
          <w:szCs w:val="19"/>
          <w:color w:val="auto"/>
        </w:rPr>
        <w:t>Substituted by the SEBI (Issue of Capital and Disclosure Requirements) (Fourth Amendment) Regulations, 2020 w.e.f. 28.09.2020.</w:t>
      </w:r>
    </w:p>
    <w:p>
      <w:pPr>
        <w:spacing w:after="0" w:line="29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331</w:t>
      </w:r>
    </w:p>
    <w:p>
      <w:pPr>
        <w:sectPr>
          <w:pgSz w:w="11900" w:h="16836" w:orient="portrait"/>
          <w:cols w:equalWidth="0" w:num="1">
            <w:col w:w="9468"/>
          </w:cols>
          <w:pgMar w:left="1152" w:top="1136" w:right="1284" w:bottom="103" w:gutter="0" w:footer="0" w:header="0"/>
        </w:sectPr>
      </w:pPr>
    </w:p>
    <w:bookmarkStart w:id="331" w:name="page332"/>
    <w:bookmarkEnd w:id="331"/>
    <w:p>
      <w:pPr>
        <w:ind w:left="120"/>
        <w:spacing w:after="0"/>
        <w:rPr>
          <w:sz w:val="20"/>
          <w:szCs w:val="20"/>
          <w:color w:val="auto"/>
        </w:rPr>
      </w:pPr>
      <w:r>
        <w:rPr>
          <w:rFonts w:ascii="Times New Roman" w:cs="Times New Roman" w:eastAsia="Times New Roman" w:hAnsi="Times New Roman"/>
          <w:sz w:val="24"/>
          <w:szCs w:val="24"/>
          <w:color w:val="auto"/>
        </w:rPr>
        <mc:AlternateContent>
          <mc:Choice Requires="wps">
            <w:drawing>
              <wp:anchor simplePos="0" relativeHeight="251657728" behindDoc="1" locked="0" layoutInCell="0" allowOverlap="1">
                <wp:simplePos x="0" y="0"/>
                <wp:positionH relativeFrom="page">
                  <wp:posOffset>659765</wp:posOffset>
                </wp:positionH>
                <wp:positionV relativeFrom="page">
                  <wp:posOffset>734060</wp:posOffset>
                </wp:positionV>
                <wp:extent cx="6088380" cy="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883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27" o:spid="_x0000_s115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1.95pt,57.8pt" to="531.35pt,57.8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659765</wp:posOffset>
                </wp:positionH>
                <wp:positionV relativeFrom="page">
                  <wp:posOffset>1003935</wp:posOffset>
                </wp:positionV>
                <wp:extent cx="6088380" cy="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883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28" o:spid="_x0000_s115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1.95pt,79.05pt" to="531.35pt,79.05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659765</wp:posOffset>
                </wp:positionH>
                <wp:positionV relativeFrom="page">
                  <wp:posOffset>1272540</wp:posOffset>
                </wp:positionV>
                <wp:extent cx="6088380" cy="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883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29" o:spid="_x0000_s115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1.95pt,100.2pt" to="531.35pt,100.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659765</wp:posOffset>
                </wp:positionH>
                <wp:positionV relativeFrom="page">
                  <wp:posOffset>1542415</wp:posOffset>
                </wp:positionV>
                <wp:extent cx="6088380" cy="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883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30" o:spid="_x0000_s115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1.95pt,121.45pt" to="531.35pt,121.45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659765</wp:posOffset>
                </wp:positionH>
                <wp:positionV relativeFrom="page">
                  <wp:posOffset>1812290</wp:posOffset>
                </wp:positionV>
                <wp:extent cx="6088380" cy="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883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31" o:spid="_x0000_s115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1.95pt,142.7pt" to="531.35pt,142.7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662940</wp:posOffset>
                </wp:positionH>
                <wp:positionV relativeFrom="page">
                  <wp:posOffset>730885</wp:posOffset>
                </wp:positionV>
                <wp:extent cx="0" cy="135255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35255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32" o:spid="_x0000_s115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2.2pt,57.55pt" to="52.2pt,164.05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6744970</wp:posOffset>
                </wp:positionH>
                <wp:positionV relativeFrom="page">
                  <wp:posOffset>730885</wp:posOffset>
                </wp:positionV>
                <wp:extent cx="0" cy="135255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35255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33" o:spid="_x0000_s115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31.1pt,57.55pt" to="531.1pt,164.05pt" o:allowincell="f" strokecolor="#000000" strokeweight="0.4799pt">
                <w10:wrap anchorx="page" anchory="page"/>
              </v:line>
            </w:pict>
          </mc:Fallback>
        </mc:AlternateContent>
        <w:t>Logo and Name of the Company</w:t>
      </w:r>
    </w:p>
    <w:p>
      <w:pPr>
        <w:spacing w:after="0" w:line="149"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4"/>
          <w:szCs w:val="24"/>
          <w:color w:val="auto"/>
        </w:rPr>
        <w:t>Registered and Corporate Office Address, telephone number</w:t>
      </w:r>
    </w:p>
    <w:p>
      <w:pPr>
        <w:spacing w:after="0" w:line="146"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4"/>
          <w:szCs w:val="24"/>
          <w:color w:val="auto"/>
        </w:rPr>
        <w:t>Contact Person name, designation, email address</w:t>
      </w:r>
    </w:p>
    <w:p>
      <w:pPr>
        <w:spacing w:after="0" w:line="149"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4"/>
          <w:szCs w:val="24"/>
          <w:color w:val="auto"/>
        </w:rPr>
        <w:t>Company website address</w:t>
      </w:r>
    </w:p>
    <w:p>
      <w:pPr>
        <w:spacing w:after="0" w:line="149"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4"/>
          <w:szCs w:val="24"/>
          <w:color w:val="auto"/>
        </w:rPr>
        <w:t>CIN number of the Issuer Company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94615</wp:posOffset>
                </wp:positionV>
                <wp:extent cx="6087745" cy="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8774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34" o:spid="_x0000_s11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7.45pt" to="479.35pt,7.4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0</wp:posOffset>
                </wp:positionH>
                <wp:positionV relativeFrom="paragraph">
                  <wp:posOffset>364490</wp:posOffset>
                </wp:positionV>
                <wp:extent cx="6087745" cy="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8774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35" o:spid="_x0000_s11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8.7pt" to="479.35pt,28.7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0</wp:posOffset>
                </wp:positionH>
                <wp:positionV relativeFrom="paragraph">
                  <wp:posOffset>633730</wp:posOffset>
                </wp:positionV>
                <wp:extent cx="6087745" cy="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8774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36" o:spid="_x0000_s11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9.9pt" to="479.35pt,4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0</wp:posOffset>
                </wp:positionH>
                <wp:positionV relativeFrom="paragraph">
                  <wp:posOffset>902335</wp:posOffset>
                </wp:positionV>
                <wp:extent cx="6087745" cy="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8774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37" o:spid="_x0000_s11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71.05pt" to="479.35pt,71.0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0</wp:posOffset>
                </wp:positionH>
                <wp:positionV relativeFrom="paragraph">
                  <wp:posOffset>1172210</wp:posOffset>
                </wp:positionV>
                <wp:extent cx="6087745" cy="0"/>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8774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38" o:spid="_x0000_s11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92.3pt" to="479.35pt,92.3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0</wp:posOffset>
                </wp:positionH>
                <wp:positionV relativeFrom="paragraph">
                  <wp:posOffset>1704340</wp:posOffset>
                </wp:positionV>
                <wp:extent cx="6087745" cy="0"/>
                <wp:wrapNone/>
                <wp:docPr id="139" name="Shape 1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8774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39" o:spid="_x0000_s11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34.2pt" to="479.35pt,134.2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0</wp:posOffset>
                </wp:positionH>
                <wp:positionV relativeFrom="paragraph">
                  <wp:posOffset>1974215</wp:posOffset>
                </wp:positionV>
                <wp:extent cx="6087745" cy="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8774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40" o:spid="_x0000_s11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55.45pt" to="479.35pt,155.4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2540</wp:posOffset>
                </wp:positionH>
                <wp:positionV relativeFrom="paragraph">
                  <wp:posOffset>361315</wp:posOffset>
                </wp:positionV>
                <wp:extent cx="0" cy="5584825"/>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58482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41" o:spid="_x0000_s11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pt,28.45pt" to="0.2pt,468.2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6084570</wp:posOffset>
                </wp:positionH>
                <wp:positionV relativeFrom="paragraph">
                  <wp:posOffset>361315</wp:posOffset>
                </wp:positionV>
                <wp:extent cx="0" cy="5584825"/>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58482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42" o:spid="_x0000_s11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79.1pt,28.45pt" to="479.1pt,468.2pt" o:allowincell="f" strokecolor="#000000" strokeweight="0.4799pt"/>
            </w:pict>
          </mc:Fallback>
        </mc:AlternateContent>
      </w:r>
    </w:p>
    <w:p>
      <w:pPr>
        <w:spacing w:after="0" w:line="200" w:lineRule="exact"/>
        <w:rPr>
          <w:sz w:val="20"/>
          <w:szCs w:val="20"/>
          <w:color w:val="auto"/>
        </w:rPr>
      </w:pPr>
    </w:p>
    <w:p>
      <w:pPr>
        <w:spacing w:after="0" w:line="351"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4"/>
          <w:szCs w:val="24"/>
          <w:color w:val="auto"/>
        </w:rPr>
        <w:t>Promoter(s) of the Company:</w:t>
      </w:r>
    </w:p>
    <w:p>
      <w:pPr>
        <w:spacing w:after="0" w:line="149"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4"/>
          <w:szCs w:val="24"/>
          <w:color w:val="auto"/>
        </w:rPr>
        <w:t>Issue details to be provided including ratio of rights offering.</w:t>
      </w:r>
    </w:p>
    <w:p>
      <w:pPr>
        <w:spacing w:after="0" w:line="147"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4"/>
          <w:szCs w:val="24"/>
          <w:color w:val="auto"/>
        </w:rPr>
        <w:t>Listing and details of in-principle approval from stock exchanges.</w:t>
      </w:r>
    </w:p>
    <w:p>
      <w:pPr>
        <w:spacing w:after="0" w:line="161" w:lineRule="exact"/>
        <w:rPr>
          <w:sz w:val="20"/>
          <w:szCs w:val="20"/>
          <w:color w:val="auto"/>
        </w:rPr>
      </w:pPr>
    </w:p>
    <w:p>
      <w:pPr>
        <w:ind w:left="120" w:right="120"/>
        <w:spacing w:after="0" w:line="350" w:lineRule="auto"/>
        <w:rPr>
          <w:sz w:val="20"/>
          <w:szCs w:val="20"/>
          <w:color w:val="auto"/>
        </w:rPr>
      </w:pPr>
      <w:r>
        <w:rPr>
          <w:rFonts w:ascii="Times New Roman" w:cs="Times New Roman" w:eastAsia="Times New Roman" w:hAnsi="Times New Roman"/>
          <w:sz w:val="24"/>
          <w:szCs w:val="24"/>
          <w:color w:val="auto"/>
        </w:rPr>
        <w:t>Eligibility for the Issue: State whether company is eligible for rights issue under Part B or Part B-1 of Schedule VI and Fast Track.</w:t>
      </w:r>
    </w:p>
    <w:p>
      <w:pPr>
        <w:spacing w:after="0" w:line="20"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4"/>
          <w:szCs w:val="24"/>
          <w:color w:val="auto"/>
        </w:rPr>
        <w:t>Minimum Subscription: If applicable provide details of the same.</w:t>
      </w:r>
    </w:p>
    <w:p>
      <w:pPr>
        <w:spacing w:after="0" w:line="154"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4"/>
          <w:szCs w:val="24"/>
          <w:b w:val="1"/>
          <w:bCs w:val="1"/>
          <w:color w:val="auto"/>
        </w:rPr>
        <w:t>INDICATIVE TIMETABLE</w:t>
      </w:r>
    </w:p>
    <w:p>
      <w:pPr>
        <w:spacing w:after="0" w:line="120" w:lineRule="exact"/>
        <w:rPr>
          <w:sz w:val="20"/>
          <w:szCs w:val="20"/>
          <w:color w:val="auto"/>
        </w:rPr>
      </w:pPr>
    </w:p>
    <w:tbl>
      <w:tblPr>
        <w:tblLayout w:type="fixed"/>
        <w:tblInd w:w="0" w:type="dxa"/>
        <w:tblCellMar>
          <w:top w:w="0" w:type="dxa"/>
          <w:left w:w="0" w:type="dxa"/>
          <w:bottom w:w="0" w:type="dxa"/>
          <w:right w:w="0" w:type="dxa"/>
        </w:tblCellMar>
      </w:tblPr>
      <w:tr>
        <w:trPr>
          <w:trHeight w:val="278"/>
        </w:trPr>
        <w:tc>
          <w:tcPr>
            <w:tcW w:w="2420" w:type="dxa"/>
            <w:vAlign w:val="bottom"/>
            <w:tcBorders>
              <w:top w:val="single" w:sz="8" w:color="auto"/>
              <w:right w:val="single" w:sz="8" w:color="auto"/>
            </w:tcBorders>
            <w:gridSpan w:val="3"/>
          </w:tcPr>
          <w:p>
            <w:pPr>
              <w:ind w:left="120"/>
              <w:spacing w:after="0"/>
              <w:rPr>
                <w:sz w:val="20"/>
                <w:szCs w:val="20"/>
                <w:color w:val="auto"/>
              </w:rPr>
            </w:pPr>
            <w:r>
              <w:rPr>
                <w:rFonts w:ascii="Times New Roman" w:cs="Times New Roman" w:eastAsia="Times New Roman" w:hAnsi="Times New Roman"/>
                <w:sz w:val="24"/>
                <w:szCs w:val="24"/>
                <w:color w:val="auto"/>
              </w:rPr>
              <w:t>Issue Opening Date</w:t>
            </w:r>
          </w:p>
        </w:tc>
        <w:tc>
          <w:tcPr>
            <w:tcW w:w="2380" w:type="dxa"/>
            <w:vAlign w:val="bottom"/>
            <w:tcBorders>
              <w:top w:val="single" w:sz="8" w:color="auto"/>
              <w:right w:val="single" w:sz="8" w:color="auto"/>
            </w:tcBorders>
          </w:tcPr>
          <w:p>
            <w:pPr>
              <w:spacing w:after="0"/>
              <w:rPr>
                <w:sz w:val="24"/>
                <w:szCs w:val="24"/>
                <w:color w:val="auto"/>
              </w:rPr>
            </w:pPr>
          </w:p>
        </w:tc>
        <w:tc>
          <w:tcPr>
            <w:tcW w:w="1060" w:type="dxa"/>
            <w:vAlign w:val="bottom"/>
            <w:tcBorders>
              <w:top w:val="single" w:sz="8" w:color="auto"/>
            </w:tcBorders>
            <w:gridSpan w:val="2"/>
          </w:tcPr>
          <w:p>
            <w:pPr>
              <w:ind w:left="100"/>
              <w:spacing w:after="0"/>
              <w:rPr>
                <w:sz w:val="20"/>
                <w:szCs w:val="20"/>
                <w:color w:val="auto"/>
              </w:rPr>
            </w:pPr>
            <w:r>
              <w:rPr>
                <w:rFonts w:ascii="Times New Roman" w:cs="Times New Roman" w:eastAsia="Times New Roman" w:hAnsi="Times New Roman"/>
                <w:sz w:val="24"/>
                <w:szCs w:val="24"/>
                <w:color w:val="auto"/>
              </w:rPr>
              <w:t>Date  of</w:t>
            </w:r>
          </w:p>
        </w:tc>
        <w:tc>
          <w:tcPr>
            <w:tcW w:w="1000" w:type="dxa"/>
            <w:vAlign w:val="bottom"/>
            <w:tcBorders>
              <w:top w:val="single" w:sz="8" w:color="auto"/>
            </w:tcBorders>
            <w:gridSpan w:val="2"/>
          </w:tcPr>
          <w:p>
            <w:pPr>
              <w:ind w:left="20"/>
              <w:spacing w:after="0"/>
              <w:rPr>
                <w:sz w:val="20"/>
                <w:szCs w:val="20"/>
                <w:color w:val="auto"/>
              </w:rPr>
            </w:pPr>
            <w:r>
              <w:rPr>
                <w:rFonts w:ascii="Times New Roman" w:cs="Times New Roman" w:eastAsia="Times New Roman" w:hAnsi="Times New Roman"/>
                <w:sz w:val="24"/>
                <w:szCs w:val="24"/>
                <w:color w:val="auto"/>
                <w:w w:val="98"/>
              </w:rPr>
              <w:t>Allotment</w:t>
            </w:r>
          </w:p>
        </w:tc>
        <w:tc>
          <w:tcPr>
            <w:tcW w:w="340" w:type="dxa"/>
            <w:vAlign w:val="bottom"/>
            <w:tcBorders>
              <w:top w:val="single" w:sz="8" w:color="auto"/>
              <w:right w:val="single" w:sz="8" w:color="auto"/>
            </w:tcBorders>
          </w:tcPr>
          <w:p>
            <w:pPr>
              <w:jc w:val="right"/>
              <w:spacing w:after="0"/>
              <w:rPr>
                <w:sz w:val="20"/>
                <w:szCs w:val="20"/>
                <w:color w:val="auto"/>
              </w:rPr>
            </w:pPr>
            <w:r>
              <w:rPr>
                <w:rFonts w:ascii="Times New Roman" w:cs="Times New Roman" w:eastAsia="Times New Roman" w:hAnsi="Times New Roman"/>
                <w:sz w:val="24"/>
                <w:szCs w:val="24"/>
                <w:color w:val="auto"/>
              </w:rPr>
              <w:t>/</w:t>
            </w:r>
          </w:p>
        </w:tc>
        <w:tc>
          <w:tcPr>
            <w:tcW w:w="2380" w:type="dxa"/>
            <w:vAlign w:val="bottom"/>
            <w:tcBorders>
              <w:top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415"/>
        </w:trPr>
        <w:tc>
          <w:tcPr>
            <w:tcW w:w="14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460" w:type="dxa"/>
            <w:vAlign w:val="bottom"/>
            <w:tcBorders>
              <w:right w:val="single" w:sz="8" w:color="auto"/>
            </w:tcBorders>
          </w:tcPr>
          <w:p>
            <w:pPr>
              <w:spacing w:after="0"/>
              <w:rPr>
                <w:sz w:val="24"/>
                <w:szCs w:val="24"/>
                <w:color w:val="auto"/>
              </w:rPr>
            </w:pPr>
          </w:p>
        </w:tc>
        <w:tc>
          <w:tcPr>
            <w:tcW w:w="2380" w:type="dxa"/>
            <w:vAlign w:val="bottom"/>
            <w:tcBorders>
              <w:right w:val="single" w:sz="8" w:color="auto"/>
            </w:tcBorders>
          </w:tcPr>
          <w:p>
            <w:pPr>
              <w:spacing w:after="0"/>
              <w:rPr>
                <w:sz w:val="24"/>
                <w:szCs w:val="24"/>
                <w:color w:val="auto"/>
              </w:rPr>
            </w:pPr>
          </w:p>
        </w:tc>
        <w:tc>
          <w:tcPr>
            <w:tcW w:w="1060" w:type="dxa"/>
            <w:vAlign w:val="bottom"/>
            <w:gridSpan w:val="2"/>
          </w:tcPr>
          <w:p>
            <w:pPr>
              <w:ind w:left="100"/>
              <w:spacing w:after="0"/>
              <w:rPr>
                <w:sz w:val="20"/>
                <w:szCs w:val="20"/>
                <w:color w:val="auto"/>
              </w:rPr>
            </w:pPr>
            <w:r>
              <w:rPr>
                <w:rFonts w:ascii="Times New Roman" w:cs="Times New Roman" w:eastAsia="Times New Roman" w:hAnsi="Times New Roman"/>
                <w:sz w:val="24"/>
                <w:szCs w:val="24"/>
                <w:color w:val="auto"/>
              </w:rPr>
              <w:t>Initiation</w:t>
            </w:r>
          </w:p>
        </w:tc>
        <w:tc>
          <w:tcPr>
            <w:tcW w:w="1340" w:type="dxa"/>
            <w:vAlign w:val="bottom"/>
            <w:tcBorders>
              <w:right w:val="single" w:sz="8" w:color="auto"/>
            </w:tcBorders>
            <w:gridSpan w:val="3"/>
          </w:tcPr>
          <w:p>
            <w:pPr>
              <w:jc w:val="right"/>
              <w:spacing w:after="0"/>
              <w:rPr>
                <w:sz w:val="20"/>
                <w:szCs w:val="20"/>
                <w:color w:val="auto"/>
              </w:rPr>
            </w:pPr>
            <w:r>
              <w:rPr>
                <w:rFonts w:ascii="Times New Roman" w:cs="Times New Roman" w:eastAsia="Times New Roman" w:hAnsi="Times New Roman"/>
                <w:sz w:val="24"/>
                <w:szCs w:val="24"/>
                <w:color w:val="auto"/>
              </w:rPr>
              <w:t>of  Refunds</w:t>
            </w:r>
          </w:p>
        </w:tc>
        <w:tc>
          <w:tcPr>
            <w:tcW w:w="23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13"/>
        </w:trPr>
        <w:tc>
          <w:tcPr>
            <w:tcW w:w="14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460" w:type="dxa"/>
            <w:vAlign w:val="bottom"/>
            <w:tcBorders>
              <w:right w:val="single" w:sz="8" w:color="auto"/>
            </w:tcBorders>
          </w:tcPr>
          <w:p>
            <w:pPr>
              <w:spacing w:after="0"/>
              <w:rPr>
                <w:sz w:val="24"/>
                <w:szCs w:val="24"/>
                <w:color w:val="auto"/>
              </w:rPr>
            </w:pPr>
          </w:p>
        </w:tc>
        <w:tc>
          <w:tcPr>
            <w:tcW w:w="2380" w:type="dxa"/>
            <w:vAlign w:val="bottom"/>
            <w:tcBorders>
              <w:right w:val="single" w:sz="8" w:color="auto"/>
            </w:tcBorders>
          </w:tcPr>
          <w:p>
            <w:pPr>
              <w:spacing w:after="0"/>
              <w:rPr>
                <w:sz w:val="24"/>
                <w:szCs w:val="24"/>
                <w:color w:val="auto"/>
              </w:rPr>
            </w:pPr>
          </w:p>
        </w:tc>
        <w:tc>
          <w:tcPr>
            <w:tcW w:w="2060" w:type="dxa"/>
            <w:vAlign w:val="bottom"/>
            <w:gridSpan w:val="4"/>
          </w:tcPr>
          <w:p>
            <w:pPr>
              <w:ind w:left="100"/>
              <w:spacing w:after="0"/>
              <w:rPr>
                <w:sz w:val="20"/>
                <w:szCs w:val="20"/>
                <w:color w:val="auto"/>
              </w:rPr>
            </w:pPr>
            <w:r>
              <w:rPr>
                <w:rFonts w:ascii="Times New Roman" w:cs="Times New Roman" w:eastAsia="Times New Roman" w:hAnsi="Times New Roman"/>
                <w:sz w:val="24"/>
                <w:szCs w:val="24"/>
                <w:color w:val="auto"/>
              </w:rPr>
              <w:t>(on or about)</w:t>
            </w:r>
          </w:p>
        </w:tc>
        <w:tc>
          <w:tcPr>
            <w:tcW w:w="340" w:type="dxa"/>
            <w:vAlign w:val="bottom"/>
            <w:tcBorders>
              <w:right w:val="single" w:sz="8" w:color="auto"/>
            </w:tcBorders>
          </w:tcPr>
          <w:p>
            <w:pPr>
              <w:spacing w:after="0"/>
              <w:rPr>
                <w:sz w:val="24"/>
                <w:szCs w:val="24"/>
                <w:color w:val="auto"/>
              </w:rPr>
            </w:pPr>
          </w:p>
        </w:tc>
        <w:tc>
          <w:tcPr>
            <w:tcW w:w="23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7"/>
        </w:trPr>
        <w:tc>
          <w:tcPr>
            <w:tcW w:w="1400" w:type="dxa"/>
            <w:vAlign w:val="bottom"/>
            <w:tcBorders>
              <w:bottom w:val="single" w:sz="8" w:color="auto"/>
            </w:tcBorders>
          </w:tcPr>
          <w:p>
            <w:pPr>
              <w:spacing w:after="0"/>
              <w:rPr>
                <w:sz w:val="12"/>
                <w:szCs w:val="12"/>
                <w:color w:val="auto"/>
              </w:rPr>
            </w:pPr>
          </w:p>
        </w:tc>
        <w:tc>
          <w:tcPr>
            <w:tcW w:w="560" w:type="dxa"/>
            <w:vAlign w:val="bottom"/>
            <w:tcBorders>
              <w:bottom w:val="single" w:sz="8" w:color="auto"/>
            </w:tcBorders>
          </w:tcPr>
          <w:p>
            <w:pPr>
              <w:spacing w:after="0"/>
              <w:rPr>
                <w:sz w:val="12"/>
                <w:szCs w:val="12"/>
                <w:color w:val="auto"/>
              </w:rPr>
            </w:pPr>
          </w:p>
        </w:tc>
        <w:tc>
          <w:tcPr>
            <w:tcW w:w="460" w:type="dxa"/>
            <w:vAlign w:val="bottom"/>
            <w:tcBorders>
              <w:bottom w:val="single" w:sz="8" w:color="auto"/>
              <w:right w:val="single" w:sz="8" w:color="auto"/>
            </w:tcBorders>
          </w:tcPr>
          <w:p>
            <w:pPr>
              <w:spacing w:after="0"/>
              <w:rPr>
                <w:sz w:val="12"/>
                <w:szCs w:val="12"/>
                <w:color w:val="auto"/>
              </w:rPr>
            </w:pPr>
          </w:p>
        </w:tc>
        <w:tc>
          <w:tcPr>
            <w:tcW w:w="2380" w:type="dxa"/>
            <w:vAlign w:val="bottom"/>
            <w:tcBorders>
              <w:bottom w:val="single" w:sz="8" w:color="auto"/>
              <w:right w:val="single" w:sz="8" w:color="auto"/>
            </w:tcBorders>
          </w:tcPr>
          <w:p>
            <w:pPr>
              <w:spacing w:after="0"/>
              <w:rPr>
                <w:sz w:val="12"/>
                <w:szCs w:val="12"/>
                <w:color w:val="auto"/>
              </w:rPr>
            </w:pPr>
          </w:p>
        </w:tc>
        <w:tc>
          <w:tcPr>
            <w:tcW w:w="780" w:type="dxa"/>
            <w:vAlign w:val="bottom"/>
            <w:tcBorders>
              <w:bottom w:val="single" w:sz="8" w:color="auto"/>
            </w:tcBorders>
          </w:tcPr>
          <w:p>
            <w:pPr>
              <w:spacing w:after="0"/>
              <w:rPr>
                <w:sz w:val="12"/>
                <w:szCs w:val="12"/>
                <w:color w:val="auto"/>
              </w:rPr>
            </w:pPr>
          </w:p>
        </w:tc>
        <w:tc>
          <w:tcPr>
            <w:tcW w:w="280" w:type="dxa"/>
            <w:vAlign w:val="bottom"/>
            <w:tcBorders>
              <w:bottom w:val="single" w:sz="8" w:color="auto"/>
            </w:tcBorders>
          </w:tcPr>
          <w:p>
            <w:pPr>
              <w:spacing w:after="0"/>
              <w:rPr>
                <w:sz w:val="12"/>
                <w:szCs w:val="12"/>
                <w:color w:val="auto"/>
              </w:rPr>
            </w:pPr>
          </w:p>
        </w:tc>
        <w:tc>
          <w:tcPr>
            <w:tcW w:w="140" w:type="dxa"/>
            <w:vAlign w:val="bottom"/>
            <w:tcBorders>
              <w:bottom w:val="single" w:sz="8" w:color="auto"/>
            </w:tcBorders>
          </w:tcPr>
          <w:p>
            <w:pPr>
              <w:spacing w:after="0"/>
              <w:rPr>
                <w:sz w:val="12"/>
                <w:szCs w:val="12"/>
                <w:color w:val="auto"/>
              </w:rPr>
            </w:pPr>
          </w:p>
        </w:tc>
        <w:tc>
          <w:tcPr>
            <w:tcW w:w="860" w:type="dxa"/>
            <w:vAlign w:val="bottom"/>
            <w:tcBorders>
              <w:bottom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2380" w:type="dxa"/>
            <w:vAlign w:val="bottom"/>
            <w:tcBorders>
              <w:bottom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58"/>
        </w:trPr>
        <w:tc>
          <w:tcPr>
            <w:tcW w:w="1400" w:type="dxa"/>
            <w:vAlign w:val="bottom"/>
          </w:tcPr>
          <w:p>
            <w:pPr>
              <w:ind w:left="120"/>
              <w:spacing w:after="0" w:line="258" w:lineRule="exact"/>
              <w:rPr>
                <w:sz w:val="20"/>
                <w:szCs w:val="20"/>
                <w:color w:val="auto"/>
              </w:rPr>
            </w:pPr>
            <w:r>
              <w:rPr>
                <w:rFonts w:ascii="Times New Roman" w:cs="Times New Roman" w:eastAsia="Times New Roman" w:hAnsi="Times New Roman"/>
                <w:sz w:val="24"/>
                <w:szCs w:val="24"/>
                <w:color w:val="auto"/>
              </w:rPr>
              <w:t>Last   Date</w:t>
            </w:r>
          </w:p>
        </w:tc>
        <w:tc>
          <w:tcPr>
            <w:tcW w:w="560" w:type="dxa"/>
            <w:vAlign w:val="bottom"/>
          </w:tcPr>
          <w:p>
            <w:pPr>
              <w:ind w:left="80"/>
              <w:spacing w:after="0" w:line="258" w:lineRule="exact"/>
              <w:rPr>
                <w:sz w:val="20"/>
                <w:szCs w:val="20"/>
                <w:color w:val="auto"/>
              </w:rPr>
            </w:pPr>
            <w:r>
              <w:rPr>
                <w:rFonts w:ascii="Times New Roman" w:cs="Times New Roman" w:eastAsia="Times New Roman" w:hAnsi="Times New Roman"/>
                <w:sz w:val="24"/>
                <w:szCs w:val="24"/>
                <w:color w:val="auto"/>
              </w:rPr>
              <w:t>for</w:t>
            </w:r>
          </w:p>
        </w:tc>
        <w:tc>
          <w:tcPr>
            <w:tcW w:w="460" w:type="dxa"/>
            <w:vAlign w:val="bottom"/>
            <w:tcBorders>
              <w:right w:val="single" w:sz="8" w:color="auto"/>
            </w:tcBorders>
          </w:tcPr>
          <w:p>
            <w:pPr>
              <w:jc w:val="right"/>
              <w:ind w:right="20"/>
              <w:spacing w:after="0" w:line="258" w:lineRule="exact"/>
              <w:rPr>
                <w:sz w:val="20"/>
                <w:szCs w:val="20"/>
                <w:color w:val="auto"/>
              </w:rPr>
            </w:pPr>
            <w:r>
              <w:rPr>
                <w:rFonts w:ascii="Times New Roman" w:cs="Times New Roman" w:eastAsia="Times New Roman" w:hAnsi="Times New Roman"/>
                <w:sz w:val="24"/>
                <w:szCs w:val="24"/>
                <w:color w:val="auto"/>
              </w:rPr>
              <w:t>On</w:t>
            </w:r>
          </w:p>
        </w:tc>
        <w:tc>
          <w:tcPr>
            <w:tcW w:w="2380" w:type="dxa"/>
            <w:vAlign w:val="bottom"/>
            <w:tcBorders>
              <w:right w:val="single" w:sz="8" w:color="auto"/>
            </w:tcBorders>
          </w:tcPr>
          <w:p>
            <w:pPr>
              <w:spacing w:after="0"/>
              <w:rPr>
                <w:sz w:val="22"/>
                <w:szCs w:val="22"/>
                <w:color w:val="auto"/>
              </w:rPr>
            </w:pPr>
          </w:p>
        </w:tc>
        <w:tc>
          <w:tcPr>
            <w:tcW w:w="780" w:type="dxa"/>
            <w:vAlign w:val="bottom"/>
          </w:tcPr>
          <w:p>
            <w:pPr>
              <w:ind w:left="100"/>
              <w:spacing w:after="0" w:line="258" w:lineRule="exact"/>
              <w:rPr>
                <w:sz w:val="20"/>
                <w:szCs w:val="20"/>
                <w:color w:val="auto"/>
              </w:rPr>
            </w:pPr>
            <w:r>
              <w:rPr>
                <w:rFonts w:ascii="Times New Roman" w:cs="Times New Roman" w:eastAsia="Times New Roman" w:hAnsi="Times New Roman"/>
                <w:sz w:val="24"/>
                <w:szCs w:val="24"/>
                <w:color w:val="auto"/>
              </w:rPr>
              <w:t>Date</w:t>
            </w:r>
          </w:p>
        </w:tc>
        <w:tc>
          <w:tcPr>
            <w:tcW w:w="280" w:type="dxa"/>
            <w:vAlign w:val="bottom"/>
          </w:tcPr>
          <w:p>
            <w:pPr>
              <w:ind w:left="40"/>
              <w:spacing w:after="0" w:line="258" w:lineRule="exact"/>
              <w:rPr>
                <w:sz w:val="20"/>
                <w:szCs w:val="20"/>
                <w:color w:val="auto"/>
              </w:rPr>
            </w:pPr>
            <w:r>
              <w:rPr>
                <w:rFonts w:ascii="Times New Roman" w:cs="Times New Roman" w:eastAsia="Times New Roman" w:hAnsi="Times New Roman"/>
                <w:sz w:val="24"/>
                <w:szCs w:val="24"/>
                <w:color w:val="auto"/>
              </w:rPr>
              <w:t>of</w:t>
            </w:r>
          </w:p>
        </w:tc>
        <w:tc>
          <w:tcPr>
            <w:tcW w:w="140" w:type="dxa"/>
            <w:vAlign w:val="bottom"/>
          </w:tcPr>
          <w:p>
            <w:pPr>
              <w:spacing w:after="0"/>
              <w:rPr>
                <w:sz w:val="22"/>
                <w:szCs w:val="22"/>
                <w:color w:val="auto"/>
              </w:rPr>
            </w:pPr>
          </w:p>
        </w:tc>
        <w:tc>
          <w:tcPr>
            <w:tcW w:w="860" w:type="dxa"/>
            <w:vAlign w:val="bottom"/>
          </w:tcPr>
          <w:p>
            <w:pPr>
              <w:jc w:val="center"/>
              <w:ind w:right="40"/>
              <w:spacing w:after="0" w:line="258" w:lineRule="exact"/>
              <w:rPr>
                <w:sz w:val="20"/>
                <w:szCs w:val="20"/>
                <w:color w:val="auto"/>
              </w:rPr>
            </w:pPr>
            <w:r>
              <w:rPr>
                <w:rFonts w:ascii="Times New Roman" w:cs="Times New Roman" w:eastAsia="Times New Roman" w:hAnsi="Times New Roman"/>
                <w:sz w:val="24"/>
                <w:szCs w:val="24"/>
                <w:color w:val="auto"/>
                <w:w w:val="98"/>
              </w:rPr>
              <w:t>credit</w:t>
            </w:r>
          </w:p>
        </w:tc>
        <w:tc>
          <w:tcPr>
            <w:tcW w:w="34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w w:val="99"/>
              </w:rPr>
              <w:t>of</w:t>
            </w:r>
          </w:p>
        </w:tc>
        <w:tc>
          <w:tcPr>
            <w:tcW w:w="23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415"/>
        </w:trPr>
        <w:tc>
          <w:tcPr>
            <w:tcW w:w="1400" w:type="dxa"/>
            <w:vAlign w:val="bottom"/>
          </w:tcPr>
          <w:p>
            <w:pPr>
              <w:ind w:left="120"/>
              <w:spacing w:after="0"/>
              <w:rPr>
                <w:sz w:val="20"/>
                <w:szCs w:val="20"/>
                <w:color w:val="auto"/>
              </w:rPr>
            </w:pPr>
            <w:r>
              <w:rPr>
                <w:rFonts w:ascii="Times New Roman" w:cs="Times New Roman" w:eastAsia="Times New Roman" w:hAnsi="Times New Roman"/>
                <w:sz w:val="24"/>
                <w:szCs w:val="24"/>
                <w:color w:val="auto"/>
              </w:rPr>
              <w:t>Market</w:t>
            </w:r>
          </w:p>
        </w:tc>
        <w:tc>
          <w:tcPr>
            <w:tcW w:w="560" w:type="dxa"/>
            <w:vAlign w:val="bottom"/>
          </w:tcPr>
          <w:p>
            <w:pPr>
              <w:spacing w:after="0"/>
              <w:rPr>
                <w:sz w:val="24"/>
                <w:szCs w:val="24"/>
                <w:color w:val="auto"/>
              </w:rPr>
            </w:pPr>
          </w:p>
        </w:tc>
        <w:tc>
          <w:tcPr>
            <w:tcW w:w="460" w:type="dxa"/>
            <w:vAlign w:val="bottom"/>
            <w:tcBorders>
              <w:right w:val="single" w:sz="8" w:color="auto"/>
            </w:tcBorders>
          </w:tcPr>
          <w:p>
            <w:pPr>
              <w:spacing w:after="0"/>
              <w:rPr>
                <w:sz w:val="24"/>
                <w:szCs w:val="24"/>
                <w:color w:val="auto"/>
              </w:rPr>
            </w:pPr>
          </w:p>
        </w:tc>
        <w:tc>
          <w:tcPr>
            <w:tcW w:w="2380" w:type="dxa"/>
            <w:vAlign w:val="bottom"/>
            <w:tcBorders>
              <w:right w:val="single" w:sz="8" w:color="auto"/>
            </w:tcBorders>
          </w:tcPr>
          <w:p>
            <w:pPr>
              <w:spacing w:after="0"/>
              <w:rPr>
                <w:sz w:val="24"/>
                <w:szCs w:val="24"/>
                <w:color w:val="auto"/>
              </w:rPr>
            </w:pPr>
          </w:p>
        </w:tc>
        <w:tc>
          <w:tcPr>
            <w:tcW w:w="78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Equity</w:t>
            </w:r>
          </w:p>
        </w:tc>
        <w:tc>
          <w:tcPr>
            <w:tcW w:w="280" w:type="dxa"/>
            <w:vAlign w:val="bottom"/>
          </w:tcPr>
          <w:p>
            <w:pPr>
              <w:spacing w:after="0"/>
              <w:rPr>
                <w:sz w:val="24"/>
                <w:szCs w:val="24"/>
                <w:color w:val="auto"/>
              </w:rPr>
            </w:pPr>
          </w:p>
        </w:tc>
        <w:tc>
          <w:tcPr>
            <w:tcW w:w="1000" w:type="dxa"/>
            <w:vAlign w:val="bottom"/>
            <w:gridSpan w:val="2"/>
          </w:tcPr>
          <w:p>
            <w:pPr>
              <w:ind w:left="40"/>
              <w:spacing w:after="0"/>
              <w:rPr>
                <w:sz w:val="20"/>
                <w:szCs w:val="20"/>
                <w:color w:val="auto"/>
              </w:rPr>
            </w:pPr>
            <w:r>
              <w:rPr>
                <w:rFonts w:ascii="Times New Roman" w:cs="Times New Roman" w:eastAsia="Times New Roman" w:hAnsi="Times New Roman"/>
                <w:sz w:val="24"/>
                <w:szCs w:val="24"/>
                <w:color w:val="auto"/>
              </w:rPr>
              <w:t>Shares</w:t>
            </w:r>
          </w:p>
        </w:tc>
        <w:tc>
          <w:tcPr>
            <w:tcW w:w="340" w:type="dxa"/>
            <w:vAlign w:val="bottom"/>
            <w:tcBorders>
              <w:right w:val="single" w:sz="8" w:color="auto"/>
            </w:tcBorders>
          </w:tcPr>
          <w:p>
            <w:pPr>
              <w:jc w:val="right"/>
              <w:spacing w:after="0"/>
              <w:rPr>
                <w:sz w:val="20"/>
                <w:szCs w:val="20"/>
                <w:color w:val="auto"/>
              </w:rPr>
            </w:pPr>
            <w:r>
              <w:rPr>
                <w:rFonts w:ascii="Times New Roman" w:cs="Times New Roman" w:eastAsia="Times New Roman" w:hAnsi="Times New Roman"/>
                <w:sz w:val="24"/>
                <w:szCs w:val="24"/>
                <w:color w:val="auto"/>
              </w:rPr>
              <w:t>to</w:t>
            </w:r>
          </w:p>
        </w:tc>
        <w:tc>
          <w:tcPr>
            <w:tcW w:w="23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13"/>
        </w:trPr>
        <w:tc>
          <w:tcPr>
            <w:tcW w:w="1400" w:type="dxa"/>
            <w:vAlign w:val="bottom"/>
          </w:tcPr>
          <w:p>
            <w:pPr>
              <w:ind w:left="120"/>
              <w:spacing w:after="0"/>
              <w:rPr>
                <w:sz w:val="20"/>
                <w:szCs w:val="20"/>
                <w:color w:val="auto"/>
              </w:rPr>
            </w:pPr>
            <w:r>
              <w:rPr>
                <w:rFonts w:ascii="Times New Roman" w:cs="Times New Roman" w:eastAsia="Times New Roman" w:hAnsi="Times New Roman"/>
                <w:sz w:val="24"/>
                <w:szCs w:val="24"/>
                <w:color w:val="auto"/>
                <w:w w:val="98"/>
              </w:rPr>
              <w:t>Renunciation</w:t>
            </w:r>
          </w:p>
        </w:tc>
        <w:tc>
          <w:tcPr>
            <w:tcW w:w="560" w:type="dxa"/>
            <w:vAlign w:val="bottom"/>
          </w:tcPr>
          <w:p>
            <w:pPr>
              <w:spacing w:after="0"/>
              <w:rPr>
                <w:sz w:val="24"/>
                <w:szCs w:val="24"/>
                <w:color w:val="auto"/>
              </w:rPr>
            </w:pPr>
          </w:p>
        </w:tc>
        <w:tc>
          <w:tcPr>
            <w:tcW w:w="460" w:type="dxa"/>
            <w:vAlign w:val="bottom"/>
            <w:tcBorders>
              <w:right w:val="single" w:sz="8" w:color="auto"/>
            </w:tcBorders>
          </w:tcPr>
          <w:p>
            <w:pPr>
              <w:spacing w:after="0"/>
              <w:rPr>
                <w:sz w:val="24"/>
                <w:szCs w:val="24"/>
                <w:color w:val="auto"/>
              </w:rPr>
            </w:pPr>
          </w:p>
        </w:tc>
        <w:tc>
          <w:tcPr>
            <w:tcW w:w="2380" w:type="dxa"/>
            <w:vAlign w:val="bottom"/>
            <w:tcBorders>
              <w:right w:val="single" w:sz="8" w:color="auto"/>
            </w:tcBorders>
          </w:tcPr>
          <w:p>
            <w:pPr>
              <w:spacing w:after="0"/>
              <w:rPr>
                <w:sz w:val="24"/>
                <w:szCs w:val="24"/>
                <w:color w:val="auto"/>
              </w:rPr>
            </w:pPr>
          </w:p>
        </w:tc>
        <w:tc>
          <w:tcPr>
            <w:tcW w:w="2060" w:type="dxa"/>
            <w:vAlign w:val="bottom"/>
            <w:gridSpan w:val="4"/>
          </w:tcPr>
          <w:p>
            <w:pPr>
              <w:ind w:left="100"/>
              <w:spacing w:after="0"/>
              <w:rPr>
                <w:sz w:val="20"/>
                <w:szCs w:val="20"/>
                <w:color w:val="auto"/>
              </w:rPr>
            </w:pPr>
            <w:r>
              <w:rPr>
                <w:rFonts w:ascii="Times New Roman" w:cs="Times New Roman" w:eastAsia="Times New Roman" w:hAnsi="Times New Roman"/>
                <w:sz w:val="24"/>
                <w:szCs w:val="24"/>
                <w:color w:val="auto"/>
              </w:rPr>
              <w:t>demat account of</w:t>
            </w:r>
          </w:p>
        </w:tc>
        <w:tc>
          <w:tcPr>
            <w:tcW w:w="340" w:type="dxa"/>
            <w:vAlign w:val="bottom"/>
            <w:tcBorders>
              <w:right w:val="single" w:sz="8" w:color="auto"/>
            </w:tcBorders>
          </w:tcPr>
          <w:p>
            <w:pPr>
              <w:spacing w:after="0"/>
              <w:rPr>
                <w:sz w:val="24"/>
                <w:szCs w:val="24"/>
                <w:color w:val="auto"/>
              </w:rPr>
            </w:pPr>
          </w:p>
        </w:tc>
        <w:tc>
          <w:tcPr>
            <w:tcW w:w="23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15"/>
        </w:trPr>
        <w:tc>
          <w:tcPr>
            <w:tcW w:w="14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460" w:type="dxa"/>
            <w:vAlign w:val="bottom"/>
            <w:tcBorders>
              <w:right w:val="single" w:sz="8" w:color="auto"/>
            </w:tcBorders>
          </w:tcPr>
          <w:p>
            <w:pPr>
              <w:spacing w:after="0"/>
              <w:rPr>
                <w:sz w:val="24"/>
                <w:szCs w:val="24"/>
                <w:color w:val="auto"/>
              </w:rPr>
            </w:pPr>
          </w:p>
        </w:tc>
        <w:tc>
          <w:tcPr>
            <w:tcW w:w="2380" w:type="dxa"/>
            <w:vAlign w:val="bottom"/>
            <w:tcBorders>
              <w:right w:val="single" w:sz="8" w:color="auto"/>
            </w:tcBorders>
          </w:tcPr>
          <w:p>
            <w:pPr>
              <w:spacing w:after="0"/>
              <w:rPr>
                <w:sz w:val="24"/>
                <w:szCs w:val="24"/>
                <w:color w:val="auto"/>
              </w:rPr>
            </w:pPr>
          </w:p>
        </w:tc>
        <w:tc>
          <w:tcPr>
            <w:tcW w:w="1060" w:type="dxa"/>
            <w:vAlign w:val="bottom"/>
            <w:gridSpan w:val="2"/>
          </w:tcPr>
          <w:p>
            <w:pPr>
              <w:ind w:left="100"/>
              <w:spacing w:after="0"/>
              <w:rPr>
                <w:sz w:val="20"/>
                <w:szCs w:val="20"/>
                <w:color w:val="auto"/>
              </w:rPr>
            </w:pPr>
            <w:r>
              <w:rPr>
                <w:rFonts w:ascii="Times New Roman" w:cs="Times New Roman" w:eastAsia="Times New Roman" w:hAnsi="Times New Roman"/>
                <w:sz w:val="24"/>
                <w:szCs w:val="24"/>
                <w:color w:val="auto"/>
              </w:rPr>
              <w:t>Allottees</w:t>
            </w:r>
          </w:p>
        </w:tc>
        <w:tc>
          <w:tcPr>
            <w:tcW w:w="140" w:type="dxa"/>
            <w:vAlign w:val="bottom"/>
          </w:tcPr>
          <w:p>
            <w:pPr>
              <w:spacing w:after="0"/>
              <w:rPr>
                <w:sz w:val="24"/>
                <w:szCs w:val="24"/>
                <w:color w:val="auto"/>
              </w:rPr>
            </w:pPr>
          </w:p>
        </w:tc>
        <w:tc>
          <w:tcPr>
            <w:tcW w:w="860" w:type="dxa"/>
            <w:vAlign w:val="bottom"/>
          </w:tcPr>
          <w:p>
            <w:pPr>
              <w:jc w:val="center"/>
              <w:ind w:right="100"/>
              <w:spacing w:after="0"/>
              <w:rPr>
                <w:sz w:val="20"/>
                <w:szCs w:val="20"/>
                <w:color w:val="auto"/>
              </w:rPr>
            </w:pPr>
            <w:r>
              <w:rPr>
                <w:rFonts w:ascii="Times New Roman" w:cs="Times New Roman" w:eastAsia="Times New Roman" w:hAnsi="Times New Roman"/>
                <w:sz w:val="24"/>
                <w:szCs w:val="24"/>
                <w:color w:val="auto"/>
                <w:w w:val="99"/>
              </w:rPr>
              <w:t>(on</w:t>
            </w:r>
          </w:p>
        </w:tc>
        <w:tc>
          <w:tcPr>
            <w:tcW w:w="340" w:type="dxa"/>
            <w:vAlign w:val="bottom"/>
            <w:tcBorders>
              <w:right w:val="single" w:sz="8" w:color="auto"/>
            </w:tcBorders>
          </w:tcPr>
          <w:p>
            <w:pPr>
              <w:jc w:val="right"/>
              <w:spacing w:after="0"/>
              <w:rPr>
                <w:sz w:val="20"/>
                <w:szCs w:val="20"/>
                <w:color w:val="auto"/>
              </w:rPr>
            </w:pPr>
            <w:r>
              <w:rPr>
                <w:rFonts w:ascii="Times New Roman" w:cs="Times New Roman" w:eastAsia="Times New Roman" w:hAnsi="Times New Roman"/>
                <w:sz w:val="24"/>
                <w:szCs w:val="24"/>
                <w:color w:val="auto"/>
                <w:w w:val="99"/>
              </w:rPr>
              <w:t>or</w:t>
            </w:r>
          </w:p>
        </w:tc>
        <w:tc>
          <w:tcPr>
            <w:tcW w:w="23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13"/>
        </w:trPr>
        <w:tc>
          <w:tcPr>
            <w:tcW w:w="14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460" w:type="dxa"/>
            <w:vAlign w:val="bottom"/>
            <w:tcBorders>
              <w:right w:val="single" w:sz="8" w:color="auto"/>
            </w:tcBorders>
          </w:tcPr>
          <w:p>
            <w:pPr>
              <w:spacing w:after="0"/>
              <w:rPr>
                <w:sz w:val="24"/>
                <w:szCs w:val="24"/>
                <w:color w:val="auto"/>
              </w:rPr>
            </w:pPr>
          </w:p>
        </w:tc>
        <w:tc>
          <w:tcPr>
            <w:tcW w:w="2380" w:type="dxa"/>
            <w:vAlign w:val="bottom"/>
            <w:tcBorders>
              <w:right w:val="single" w:sz="8" w:color="auto"/>
            </w:tcBorders>
          </w:tcPr>
          <w:p>
            <w:pPr>
              <w:spacing w:after="0"/>
              <w:rPr>
                <w:sz w:val="24"/>
                <w:szCs w:val="24"/>
                <w:color w:val="auto"/>
              </w:rPr>
            </w:pPr>
          </w:p>
        </w:tc>
        <w:tc>
          <w:tcPr>
            <w:tcW w:w="78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about)</w:t>
            </w:r>
          </w:p>
        </w:tc>
        <w:tc>
          <w:tcPr>
            <w:tcW w:w="2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340" w:type="dxa"/>
            <w:vAlign w:val="bottom"/>
            <w:tcBorders>
              <w:right w:val="single" w:sz="8" w:color="auto"/>
            </w:tcBorders>
          </w:tcPr>
          <w:p>
            <w:pPr>
              <w:spacing w:after="0"/>
              <w:rPr>
                <w:sz w:val="24"/>
                <w:szCs w:val="24"/>
                <w:color w:val="auto"/>
              </w:rPr>
            </w:pPr>
          </w:p>
        </w:tc>
        <w:tc>
          <w:tcPr>
            <w:tcW w:w="23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7"/>
        </w:trPr>
        <w:tc>
          <w:tcPr>
            <w:tcW w:w="1960" w:type="dxa"/>
            <w:vAlign w:val="bottom"/>
            <w:tcBorders>
              <w:bottom w:val="single" w:sz="8" w:color="auto"/>
            </w:tcBorders>
            <w:gridSpan w:val="2"/>
          </w:tcPr>
          <w:p>
            <w:pPr>
              <w:spacing w:after="0"/>
              <w:rPr>
                <w:sz w:val="12"/>
                <w:szCs w:val="12"/>
                <w:color w:val="auto"/>
              </w:rPr>
            </w:pPr>
          </w:p>
        </w:tc>
        <w:tc>
          <w:tcPr>
            <w:tcW w:w="460" w:type="dxa"/>
            <w:vAlign w:val="bottom"/>
            <w:tcBorders>
              <w:bottom w:val="single" w:sz="8" w:color="auto"/>
              <w:right w:val="single" w:sz="8" w:color="auto"/>
            </w:tcBorders>
          </w:tcPr>
          <w:p>
            <w:pPr>
              <w:spacing w:after="0"/>
              <w:rPr>
                <w:sz w:val="12"/>
                <w:szCs w:val="12"/>
                <w:color w:val="auto"/>
              </w:rPr>
            </w:pPr>
          </w:p>
        </w:tc>
        <w:tc>
          <w:tcPr>
            <w:tcW w:w="2380" w:type="dxa"/>
            <w:vAlign w:val="bottom"/>
            <w:tcBorders>
              <w:bottom w:val="single" w:sz="8" w:color="auto"/>
              <w:right w:val="single" w:sz="8" w:color="auto"/>
            </w:tcBorders>
          </w:tcPr>
          <w:p>
            <w:pPr>
              <w:spacing w:after="0"/>
              <w:rPr>
                <w:sz w:val="12"/>
                <w:szCs w:val="12"/>
                <w:color w:val="auto"/>
              </w:rPr>
            </w:pPr>
          </w:p>
        </w:tc>
        <w:tc>
          <w:tcPr>
            <w:tcW w:w="780" w:type="dxa"/>
            <w:vAlign w:val="bottom"/>
            <w:tcBorders>
              <w:bottom w:val="single" w:sz="8" w:color="auto"/>
            </w:tcBorders>
          </w:tcPr>
          <w:p>
            <w:pPr>
              <w:spacing w:after="0"/>
              <w:rPr>
                <w:sz w:val="12"/>
                <w:szCs w:val="12"/>
                <w:color w:val="auto"/>
              </w:rPr>
            </w:pPr>
          </w:p>
        </w:tc>
        <w:tc>
          <w:tcPr>
            <w:tcW w:w="280" w:type="dxa"/>
            <w:vAlign w:val="bottom"/>
            <w:tcBorders>
              <w:bottom w:val="single" w:sz="8" w:color="auto"/>
            </w:tcBorders>
          </w:tcPr>
          <w:p>
            <w:pPr>
              <w:spacing w:after="0"/>
              <w:rPr>
                <w:sz w:val="12"/>
                <w:szCs w:val="12"/>
                <w:color w:val="auto"/>
              </w:rPr>
            </w:pPr>
          </w:p>
        </w:tc>
        <w:tc>
          <w:tcPr>
            <w:tcW w:w="140" w:type="dxa"/>
            <w:vAlign w:val="bottom"/>
            <w:tcBorders>
              <w:bottom w:val="single" w:sz="8" w:color="auto"/>
            </w:tcBorders>
          </w:tcPr>
          <w:p>
            <w:pPr>
              <w:spacing w:after="0"/>
              <w:rPr>
                <w:sz w:val="12"/>
                <w:szCs w:val="12"/>
                <w:color w:val="auto"/>
              </w:rPr>
            </w:pPr>
          </w:p>
        </w:tc>
        <w:tc>
          <w:tcPr>
            <w:tcW w:w="860" w:type="dxa"/>
            <w:vAlign w:val="bottom"/>
            <w:tcBorders>
              <w:bottom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2380" w:type="dxa"/>
            <w:vAlign w:val="bottom"/>
            <w:tcBorders>
              <w:bottom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58"/>
        </w:trPr>
        <w:tc>
          <w:tcPr>
            <w:tcW w:w="1960" w:type="dxa"/>
            <w:vAlign w:val="bottom"/>
            <w:gridSpan w:val="2"/>
          </w:tcPr>
          <w:p>
            <w:pPr>
              <w:ind w:left="120"/>
              <w:spacing w:after="0" w:line="258" w:lineRule="exact"/>
              <w:rPr>
                <w:sz w:val="20"/>
                <w:szCs w:val="20"/>
                <w:color w:val="auto"/>
              </w:rPr>
            </w:pPr>
            <w:r>
              <w:rPr>
                <w:rFonts w:ascii="Times New Roman" w:cs="Times New Roman" w:eastAsia="Times New Roman" w:hAnsi="Times New Roman"/>
                <w:sz w:val="24"/>
                <w:szCs w:val="24"/>
                <w:color w:val="auto"/>
              </w:rPr>
              <w:t>Issue Closing Date</w:t>
            </w:r>
          </w:p>
        </w:tc>
        <w:tc>
          <w:tcPr>
            <w:tcW w:w="460" w:type="dxa"/>
            <w:vAlign w:val="bottom"/>
            <w:tcBorders>
              <w:right w:val="single" w:sz="8" w:color="auto"/>
            </w:tcBorders>
          </w:tcPr>
          <w:p>
            <w:pPr>
              <w:spacing w:after="0"/>
              <w:rPr>
                <w:sz w:val="22"/>
                <w:szCs w:val="22"/>
                <w:color w:val="auto"/>
              </w:rPr>
            </w:pPr>
          </w:p>
        </w:tc>
        <w:tc>
          <w:tcPr>
            <w:tcW w:w="2380" w:type="dxa"/>
            <w:vAlign w:val="bottom"/>
            <w:tcBorders>
              <w:right w:val="single" w:sz="8" w:color="auto"/>
            </w:tcBorders>
          </w:tcPr>
          <w:p>
            <w:pPr>
              <w:spacing w:after="0"/>
              <w:rPr>
                <w:sz w:val="22"/>
                <w:szCs w:val="22"/>
                <w:color w:val="auto"/>
              </w:rPr>
            </w:pPr>
          </w:p>
        </w:tc>
        <w:tc>
          <w:tcPr>
            <w:tcW w:w="780" w:type="dxa"/>
            <w:vAlign w:val="bottom"/>
          </w:tcPr>
          <w:p>
            <w:pPr>
              <w:ind w:left="100"/>
              <w:spacing w:after="0" w:line="258" w:lineRule="exact"/>
              <w:rPr>
                <w:sz w:val="20"/>
                <w:szCs w:val="20"/>
                <w:color w:val="auto"/>
              </w:rPr>
            </w:pPr>
            <w:r>
              <w:rPr>
                <w:rFonts w:ascii="Times New Roman" w:cs="Times New Roman" w:eastAsia="Times New Roman" w:hAnsi="Times New Roman"/>
                <w:sz w:val="24"/>
                <w:szCs w:val="24"/>
                <w:color w:val="auto"/>
              </w:rPr>
              <w:t>Date</w:t>
            </w:r>
          </w:p>
        </w:tc>
        <w:tc>
          <w:tcPr>
            <w:tcW w:w="280" w:type="dxa"/>
            <w:vAlign w:val="bottom"/>
          </w:tcPr>
          <w:p>
            <w:pPr>
              <w:ind w:left="60"/>
              <w:spacing w:after="0" w:line="258" w:lineRule="exact"/>
              <w:rPr>
                <w:sz w:val="20"/>
                <w:szCs w:val="20"/>
                <w:color w:val="auto"/>
              </w:rPr>
            </w:pPr>
            <w:r>
              <w:rPr>
                <w:rFonts w:ascii="Times New Roman" w:cs="Times New Roman" w:eastAsia="Times New Roman" w:hAnsi="Times New Roman"/>
                <w:sz w:val="24"/>
                <w:szCs w:val="24"/>
                <w:color w:val="auto"/>
                <w:w w:val="99"/>
              </w:rPr>
              <w:t>of</w:t>
            </w:r>
          </w:p>
        </w:tc>
        <w:tc>
          <w:tcPr>
            <w:tcW w:w="140" w:type="dxa"/>
            <w:vAlign w:val="bottom"/>
          </w:tcPr>
          <w:p>
            <w:pPr>
              <w:spacing w:after="0"/>
              <w:rPr>
                <w:sz w:val="22"/>
                <w:szCs w:val="22"/>
                <w:color w:val="auto"/>
              </w:rPr>
            </w:pPr>
          </w:p>
        </w:tc>
        <w:tc>
          <w:tcPr>
            <w:tcW w:w="860" w:type="dxa"/>
            <w:vAlign w:val="bottom"/>
          </w:tcPr>
          <w:p>
            <w:pPr>
              <w:jc w:val="center"/>
              <w:spacing w:after="0" w:line="258" w:lineRule="exact"/>
              <w:rPr>
                <w:sz w:val="20"/>
                <w:szCs w:val="20"/>
                <w:color w:val="auto"/>
              </w:rPr>
            </w:pPr>
            <w:r>
              <w:rPr>
                <w:rFonts w:ascii="Times New Roman" w:cs="Times New Roman" w:eastAsia="Times New Roman" w:hAnsi="Times New Roman"/>
                <w:sz w:val="24"/>
                <w:szCs w:val="24"/>
                <w:color w:val="auto"/>
                <w:w w:val="99"/>
              </w:rPr>
              <w:t>listing</w:t>
            </w:r>
          </w:p>
        </w:tc>
        <w:tc>
          <w:tcPr>
            <w:tcW w:w="34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w:t>
            </w:r>
          </w:p>
        </w:tc>
        <w:tc>
          <w:tcPr>
            <w:tcW w:w="23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44"/>
        </w:trPr>
        <w:tc>
          <w:tcPr>
            <w:tcW w:w="1400" w:type="dxa"/>
            <w:vAlign w:val="bottom"/>
            <w:tcBorders>
              <w:bottom w:val="single" w:sz="8" w:color="auto"/>
            </w:tcBorders>
          </w:tcPr>
          <w:p>
            <w:pPr>
              <w:spacing w:after="0"/>
              <w:rPr>
                <w:sz w:val="12"/>
                <w:szCs w:val="12"/>
                <w:color w:val="auto"/>
              </w:rPr>
            </w:pPr>
          </w:p>
        </w:tc>
        <w:tc>
          <w:tcPr>
            <w:tcW w:w="1020" w:type="dxa"/>
            <w:vAlign w:val="bottom"/>
            <w:tcBorders>
              <w:bottom w:val="single" w:sz="8" w:color="auto"/>
              <w:right w:val="single" w:sz="8" w:color="auto"/>
            </w:tcBorders>
            <w:gridSpan w:val="2"/>
          </w:tcPr>
          <w:p>
            <w:pPr>
              <w:spacing w:after="0"/>
              <w:rPr>
                <w:sz w:val="12"/>
                <w:szCs w:val="12"/>
                <w:color w:val="auto"/>
              </w:rPr>
            </w:pPr>
          </w:p>
        </w:tc>
        <w:tc>
          <w:tcPr>
            <w:tcW w:w="2380" w:type="dxa"/>
            <w:vAlign w:val="bottom"/>
            <w:tcBorders>
              <w:bottom w:val="single" w:sz="8" w:color="auto"/>
              <w:right w:val="single" w:sz="8" w:color="auto"/>
            </w:tcBorders>
          </w:tcPr>
          <w:p>
            <w:pPr>
              <w:spacing w:after="0"/>
              <w:rPr>
                <w:sz w:val="12"/>
                <w:szCs w:val="12"/>
                <w:color w:val="auto"/>
              </w:rPr>
            </w:pPr>
          </w:p>
        </w:tc>
        <w:tc>
          <w:tcPr>
            <w:tcW w:w="2060" w:type="dxa"/>
            <w:vAlign w:val="bottom"/>
            <w:gridSpan w:val="4"/>
            <w:vMerge w:val="restart"/>
          </w:tcPr>
          <w:p>
            <w:pPr>
              <w:ind w:left="100"/>
              <w:spacing w:after="0"/>
              <w:rPr>
                <w:sz w:val="20"/>
                <w:szCs w:val="20"/>
                <w:color w:val="auto"/>
              </w:rPr>
            </w:pPr>
            <w:r>
              <w:rPr>
                <w:rFonts w:ascii="Times New Roman" w:cs="Times New Roman" w:eastAsia="Times New Roman" w:hAnsi="Times New Roman"/>
                <w:sz w:val="24"/>
                <w:szCs w:val="24"/>
                <w:color w:val="auto"/>
              </w:rPr>
              <w:t>Commencement</w:t>
            </w:r>
          </w:p>
        </w:tc>
        <w:tc>
          <w:tcPr>
            <w:tcW w:w="340" w:type="dxa"/>
            <w:vAlign w:val="bottom"/>
            <w:tcBorders>
              <w:right w:val="single" w:sz="8" w:color="auto"/>
            </w:tcBorders>
            <w:vMerge w:val="restart"/>
          </w:tcPr>
          <w:p>
            <w:pPr>
              <w:jc w:val="right"/>
              <w:spacing w:after="0"/>
              <w:rPr>
                <w:sz w:val="20"/>
                <w:szCs w:val="20"/>
                <w:color w:val="auto"/>
              </w:rPr>
            </w:pPr>
            <w:r>
              <w:rPr>
                <w:rFonts w:ascii="Times New Roman" w:cs="Times New Roman" w:eastAsia="Times New Roman" w:hAnsi="Times New Roman"/>
                <w:sz w:val="24"/>
                <w:szCs w:val="24"/>
                <w:color w:val="auto"/>
                <w:w w:val="99"/>
              </w:rPr>
              <w:t>of</w:t>
            </w:r>
          </w:p>
        </w:tc>
        <w:tc>
          <w:tcPr>
            <w:tcW w:w="2380" w:type="dxa"/>
            <w:vAlign w:val="bottom"/>
            <w:tcBorders>
              <w:bottom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58"/>
        </w:trPr>
        <w:tc>
          <w:tcPr>
            <w:tcW w:w="1400" w:type="dxa"/>
            <w:vAlign w:val="bottom"/>
          </w:tcPr>
          <w:p>
            <w:pPr>
              <w:ind w:left="120"/>
              <w:spacing w:after="0" w:line="258" w:lineRule="exact"/>
              <w:rPr>
                <w:sz w:val="20"/>
                <w:szCs w:val="20"/>
                <w:color w:val="auto"/>
              </w:rPr>
            </w:pPr>
            <w:r>
              <w:rPr>
                <w:rFonts w:ascii="Times New Roman" w:cs="Times New Roman" w:eastAsia="Times New Roman" w:hAnsi="Times New Roman"/>
                <w:sz w:val="24"/>
                <w:szCs w:val="24"/>
                <w:color w:val="auto"/>
              </w:rPr>
              <w:t>Finalisation</w:t>
            </w:r>
          </w:p>
        </w:tc>
        <w:tc>
          <w:tcPr>
            <w:tcW w:w="1020" w:type="dxa"/>
            <w:vAlign w:val="bottom"/>
            <w:tcBorders>
              <w:right w:val="single" w:sz="8" w:color="auto"/>
            </w:tcBorders>
            <w:gridSpan w:val="2"/>
          </w:tcPr>
          <w:p>
            <w:pPr>
              <w:jc w:val="right"/>
              <w:ind w:right="20"/>
              <w:spacing w:after="0" w:line="258" w:lineRule="exact"/>
              <w:rPr>
                <w:sz w:val="20"/>
                <w:szCs w:val="20"/>
                <w:color w:val="auto"/>
              </w:rPr>
            </w:pPr>
            <w:r>
              <w:rPr>
                <w:rFonts w:ascii="Times New Roman" w:cs="Times New Roman" w:eastAsia="Times New Roman" w:hAnsi="Times New Roman"/>
                <w:sz w:val="24"/>
                <w:szCs w:val="24"/>
                <w:color w:val="auto"/>
              </w:rPr>
              <w:t>of  basis</w:t>
            </w:r>
          </w:p>
        </w:tc>
        <w:tc>
          <w:tcPr>
            <w:tcW w:w="2380" w:type="dxa"/>
            <w:vAlign w:val="bottom"/>
            <w:tcBorders>
              <w:right w:val="single" w:sz="8" w:color="auto"/>
            </w:tcBorders>
          </w:tcPr>
          <w:p>
            <w:pPr>
              <w:spacing w:after="0"/>
              <w:rPr>
                <w:sz w:val="22"/>
                <w:szCs w:val="22"/>
                <w:color w:val="auto"/>
              </w:rPr>
            </w:pPr>
          </w:p>
        </w:tc>
        <w:tc>
          <w:tcPr>
            <w:tcW w:w="2060" w:type="dxa"/>
            <w:vAlign w:val="bottom"/>
            <w:gridSpan w:val="4"/>
            <w:vMerge w:val="continue"/>
          </w:tcPr>
          <w:p>
            <w:pPr>
              <w:spacing w:after="0"/>
              <w:rPr>
                <w:sz w:val="22"/>
                <w:szCs w:val="22"/>
                <w:color w:val="auto"/>
              </w:rPr>
            </w:pPr>
          </w:p>
        </w:tc>
        <w:tc>
          <w:tcPr>
            <w:tcW w:w="340" w:type="dxa"/>
            <w:vAlign w:val="bottom"/>
            <w:tcBorders>
              <w:right w:val="single" w:sz="8" w:color="auto"/>
            </w:tcBorders>
            <w:vMerge w:val="continue"/>
          </w:tcPr>
          <w:p>
            <w:pPr>
              <w:spacing w:after="0"/>
              <w:rPr>
                <w:sz w:val="22"/>
                <w:szCs w:val="22"/>
                <w:color w:val="auto"/>
              </w:rPr>
            </w:pPr>
          </w:p>
        </w:tc>
        <w:tc>
          <w:tcPr>
            <w:tcW w:w="23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416"/>
        </w:trPr>
        <w:tc>
          <w:tcPr>
            <w:tcW w:w="1960" w:type="dxa"/>
            <w:vAlign w:val="bottom"/>
            <w:gridSpan w:val="2"/>
          </w:tcPr>
          <w:p>
            <w:pPr>
              <w:ind w:left="120"/>
              <w:spacing w:after="0"/>
              <w:rPr>
                <w:sz w:val="20"/>
                <w:szCs w:val="20"/>
                <w:color w:val="auto"/>
              </w:rPr>
            </w:pPr>
            <w:r>
              <w:rPr>
                <w:rFonts w:ascii="Times New Roman" w:cs="Times New Roman" w:eastAsia="Times New Roman" w:hAnsi="Times New Roman"/>
                <w:sz w:val="24"/>
                <w:szCs w:val="24"/>
                <w:color w:val="auto"/>
              </w:rPr>
              <w:t>of  Allotment  (on</w:t>
            </w:r>
          </w:p>
        </w:tc>
        <w:tc>
          <w:tcPr>
            <w:tcW w:w="460" w:type="dxa"/>
            <w:vAlign w:val="bottom"/>
            <w:tcBorders>
              <w:right w:val="single" w:sz="8" w:color="auto"/>
            </w:tcBorders>
          </w:tcPr>
          <w:p>
            <w:pPr>
              <w:jc w:val="right"/>
              <w:ind w:right="20"/>
              <w:spacing w:after="0"/>
              <w:rPr>
                <w:sz w:val="20"/>
                <w:szCs w:val="20"/>
                <w:color w:val="auto"/>
              </w:rPr>
            </w:pPr>
            <w:r>
              <w:rPr>
                <w:rFonts w:ascii="Times New Roman" w:cs="Times New Roman" w:eastAsia="Times New Roman" w:hAnsi="Times New Roman"/>
                <w:sz w:val="24"/>
                <w:szCs w:val="24"/>
                <w:color w:val="auto"/>
              </w:rPr>
              <w:t>or</w:t>
            </w:r>
          </w:p>
        </w:tc>
        <w:tc>
          <w:tcPr>
            <w:tcW w:w="2380" w:type="dxa"/>
            <w:vAlign w:val="bottom"/>
            <w:tcBorders>
              <w:right w:val="single" w:sz="8" w:color="auto"/>
            </w:tcBorders>
          </w:tcPr>
          <w:p>
            <w:pPr>
              <w:spacing w:after="0"/>
              <w:rPr>
                <w:sz w:val="24"/>
                <w:szCs w:val="24"/>
                <w:color w:val="auto"/>
              </w:rPr>
            </w:pPr>
          </w:p>
        </w:tc>
        <w:tc>
          <w:tcPr>
            <w:tcW w:w="2060" w:type="dxa"/>
            <w:vAlign w:val="bottom"/>
            <w:gridSpan w:val="4"/>
          </w:tcPr>
          <w:p>
            <w:pPr>
              <w:ind w:left="100"/>
              <w:spacing w:after="0"/>
              <w:rPr>
                <w:sz w:val="20"/>
                <w:szCs w:val="20"/>
                <w:color w:val="auto"/>
              </w:rPr>
            </w:pPr>
            <w:r>
              <w:rPr>
                <w:rFonts w:ascii="Times New Roman" w:cs="Times New Roman" w:eastAsia="Times New Roman" w:hAnsi="Times New Roman"/>
                <w:sz w:val="24"/>
                <w:szCs w:val="24"/>
                <w:color w:val="auto"/>
              </w:rPr>
              <w:t>trading of Equity</w:t>
            </w:r>
          </w:p>
        </w:tc>
        <w:tc>
          <w:tcPr>
            <w:tcW w:w="340" w:type="dxa"/>
            <w:vAlign w:val="bottom"/>
            <w:tcBorders>
              <w:right w:val="single" w:sz="8" w:color="auto"/>
            </w:tcBorders>
          </w:tcPr>
          <w:p>
            <w:pPr>
              <w:spacing w:after="0"/>
              <w:rPr>
                <w:sz w:val="24"/>
                <w:szCs w:val="24"/>
                <w:color w:val="auto"/>
              </w:rPr>
            </w:pPr>
          </w:p>
        </w:tc>
        <w:tc>
          <w:tcPr>
            <w:tcW w:w="23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13"/>
        </w:trPr>
        <w:tc>
          <w:tcPr>
            <w:tcW w:w="1400" w:type="dxa"/>
            <w:vAlign w:val="bottom"/>
          </w:tcPr>
          <w:p>
            <w:pPr>
              <w:ind w:left="120"/>
              <w:spacing w:after="0"/>
              <w:rPr>
                <w:sz w:val="20"/>
                <w:szCs w:val="20"/>
                <w:color w:val="auto"/>
              </w:rPr>
            </w:pPr>
            <w:r>
              <w:rPr>
                <w:rFonts w:ascii="Times New Roman" w:cs="Times New Roman" w:eastAsia="Times New Roman" w:hAnsi="Times New Roman"/>
                <w:sz w:val="24"/>
                <w:szCs w:val="24"/>
                <w:color w:val="auto"/>
              </w:rPr>
              <w:t>about)</w:t>
            </w:r>
          </w:p>
        </w:tc>
        <w:tc>
          <w:tcPr>
            <w:tcW w:w="560" w:type="dxa"/>
            <w:vAlign w:val="bottom"/>
          </w:tcPr>
          <w:p>
            <w:pPr>
              <w:spacing w:after="0"/>
              <w:rPr>
                <w:sz w:val="24"/>
                <w:szCs w:val="24"/>
                <w:color w:val="auto"/>
              </w:rPr>
            </w:pPr>
          </w:p>
        </w:tc>
        <w:tc>
          <w:tcPr>
            <w:tcW w:w="460" w:type="dxa"/>
            <w:vAlign w:val="bottom"/>
            <w:tcBorders>
              <w:right w:val="single" w:sz="8" w:color="auto"/>
            </w:tcBorders>
          </w:tcPr>
          <w:p>
            <w:pPr>
              <w:spacing w:after="0"/>
              <w:rPr>
                <w:sz w:val="24"/>
                <w:szCs w:val="24"/>
                <w:color w:val="auto"/>
              </w:rPr>
            </w:pPr>
          </w:p>
        </w:tc>
        <w:tc>
          <w:tcPr>
            <w:tcW w:w="2380" w:type="dxa"/>
            <w:vAlign w:val="bottom"/>
            <w:tcBorders>
              <w:right w:val="single" w:sz="8" w:color="auto"/>
            </w:tcBorders>
          </w:tcPr>
          <w:p>
            <w:pPr>
              <w:spacing w:after="0"/>
              <w:rPr>
                <w:sz w:val="24"/>
                <w:szCs w:val="24"/>
                <w:color w:val="auto"/>
              </w:rPr>
            </w:pPr>
          </w:p>
        </w:tc>
        <w:tc>
          <w:tcPr>
            <w:tcW w:w="78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Shares</w:t>
            </w:r>
          </w:p>
        </w:tc>
        <w:tc>
          <w:tcPr>
            <w:tcW w:w="420" w:type="dxa"/>
            <w:vAlign w:val="bottom"/>
            <w:gridSpan w:val="2"/>
          </w:tcPr>
          <w:p>
            <w:pPr>
              <w:ind w:left="120"/>
              <w:spacing w:after="0"/>
              <w:rPr>
                <w:sz w:val="20"/>
                <w:szCs w:val="20"/>
                <w:color w:val="auto"/>
              </w:rPr>
            </w:pPr>
            <w:r>
              <w:rPr>
                <w:rFonts w:ascii="Times New Roman" w:cs="Times New Roman" w:eastAsia="Times New Roman" w:hAnsi="Times New Roman"/>
                <w:sz w:val="24"/>
                <w:szCs w:val="24"/>
                <w:color w:val="auto"/>
              </w:rPr>
              <w:t>on</w:t>
            </w:r>
          </w:p>
        </w:tc>
        <w:tc>
          <w:tcPr>
            <w:tcW w:w="1200" w:type="dxa"/>
            <w:vAlign w:val="bottom"/>
            <w:tcBorders>
              <w:right w:val="single" w:sz="8" w:color="auto"/>
            </w:tcBorders>
            <w:gridSpan w:val="2"/>
          </w:tcPr>
          <w:p>
            <w:pPr>
              <w:jc w:val="right"/>
              <w:spacing w:after="0"/>
              <w:rPr>
                <w:sz w:val="20"/>
                <w:szCs w:val="20"/>
                <w:color w:val="auto"/>
              </w:rPr>
            </w:pPr>
            <w:r>
              <w:rPr>
                <w:rFonts w:ascii="Times New Roman" w:cs="Times New Roman" w:eastAsia="Times New Roman" w:hAnsi="Times New Roman"/>
                <w:sz w:val="24"/>
                <w:szCs w:val="24"/>
                <w:color w:val="auto"/>
              </w:rPr>
              <w:t>the  Stock</w:t>
            </w:r>
          </w:p>
        </w:tc>
        <w:tc>
          <w:tcPr>
            <w:tcW w:w="23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6"/>
        </w:trPr>
        <w:tc>
          <w:tcPr>
            <w:tcW w:w="14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460" w:type="dxa"/>
            <w:vAlign w:val="bottom"/>
            <w:tcBorders>
              <w:right w:val="single" w:sz="8" w:color="auto"/>
            </w:tcBorders>
          </w:tcPr>
          <w:p>
            <w:pPr>
              <w:spacing w:after="0"/>
              <w:rPr>
                <w:sz w:val="24"/>
                <w:szCs w:val="24"/>
                <w:color w:val="auto"/>
              </w:rPr>
            </w:pPr>
          </w:p>
        </w:tc>
        <w:tc>
          <w:tcPr>
            <w:tcW w:w="2380" w:type="dxa"/>
            <w:vAlign w:val="bottom"/>
            <w:tcBorders>
              <w:right w:val="single" w:sz="8" w:color="auto"/>
            </w:tcBorders>
          </w:tcPr>
          <w:p>
            <w:pPr>
              <w:spacing w:after="0"/>
              <w:rPr>
                <w:sz w:val="24"/>
                <w:szCs w:val="24"/>
                <w:color w:val="auto"/>
              </w:rPr>
            </w:pPr>
          </w:p>
        </w:tc>
        <w:tc>
          <w:tcPr>
            <w:tcW w:w="1200" w:type="dxa"/>
            <w:vAlign w:val="bottom"/>
            <w:gridSpan w:val="3"/>
          </w:tcPr>
          <w:p>
            <w:pPr>
              <w:ind w:left="100"/>
              <w:spacing w:after="0"/>
              <w:rPr>
                <w:sz w:val="20"/>
                <w:szCs w:val="20"/>
                <w:color w:val="auto"/>
              </w:rPr>
            </w:pPr>
            <w:r>
              <w:rPr>
                <w:rFonts w:ascii="Times New Roman" w:cs="Times New Roman" w:eastAsia="Times New Roman" w:hAnsi="Times New Roman"/>
                <w:sz w:val="24"/>
                <w:szCs w:val="24"/>
                <w:color w:val="auto"/>
              </w:rPr>
              <w:t>Exchanges</w:t>
            </w:r>
          </w:p>
        </w:tc>
        <w:tc>
          <w:tcPr>
            <w:tcW w:w="860" w:type="dxa"/>
            <w:vAlign w:val="bottom"/>
          </w:tcPr>
          <w:p>
            <w:pPr>
              <w:jc w:val="center"/>
              <w:spacing w:after="0"/>
              <w:rPr>
                <w:sz w:val="20"/>
                <w:szCs w:val="20"/>
                <w:color w:val="auto"/>
              </w:rPr>
            </w:pPr>
            <w:r>
              <w:rPr>
                <w:rFonts w:ascii="Times New Roman" w:cs="Times New Roman" w:eastAsia="Times New Roman" w:hAnsi="Times New Roman"/>
                <w:sz w:val="24"/>
                <w:szCs w:val="24"/>
                <w:color w:val="auto"/>
                <w:w w:val="99"/>
              </w:rPr>
              <w:t>(on</w:t>
            </w:r>
          </w:p>
        </w:tc>
        <w:tc>
          <w:tcPr>
            <w:tcW w:w="340" w:type="dxa"/>
            <w:vAlign w:val="bottom"/>
            <w:tcBorders>
              <w:right w:val="single" w:sz="8" w:color="auto"/>
            </w:tcBorders>
          </w:tcPr>
          <w:p>
            <w:pPr>
              <w:jc w:val="right"/>
              <w:spacing w:after="0"/>
              <w:rPr>
                <w:sz w:val="20"/>
                <w:szCs w:val="20"/>
                <w:color w:val="auto"/>
              </w:rPr>
            </w:pPr>
            <w:r>
              <w:rPr>
                <w:rFonts w:ascii="Times New Roman" w:cs="Times New Roman" w:eastAsia="Times New Roman" w:hAnsi="Times New Roman"/>
                <w:sz w:val="24"/>
                <w:szCs w:val="24"/>
                <w:color w:val="auto"/>
                <w:w w:val="99"/>
              </w:rPr>
              <w:t>or</w:t>
            </w:r>
          </w:p>
        </w:tc>
        <w:tc>
          <w:tcPr>
            <w:tcW w:w="23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13"/>
        </w:trPr>
        <w:tc>
          <w:tcPr>
            <w:tcW w:w="14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460" w:type="dxa"/>
            <w:vAlign w:val="bottom"/>
            <w:tcBorders>
              <w:right w:val="single" w:sz="8" w:color="auto"/>
            </w:tcBorders>
          </w:tcPr>
          <w:p>
            <w:pPr>
              <w:spacing w:after="0"/>
              <w:rPr>
                <w:sz w:val="24"/>
                <w:szCs w:val="24"/>
                <w:color w:val="auto"/>
              </w:rPr>
            </w:pPr>
          </w:p>
        </w:tc>
        <w:tc>
          <w:tcPr>
            <w:tcW w:w="2380" w:type="dxa"/>
            <w:vAlign w:val="bottom"/>
            <w:tcBorders>
              <w:right w:val="single" w:sz="8" w:color="auto"/>
            </w:tcBorders>
          </w:tcPr>
          <w:p>
            <w:pPr>
              <w:spacing w:after="0"/>
              <w:rPr>
                <w:sz w:val="24"/>
                <w:szCs w:val="24"/>
                <w:color w:val="auto"/>
              </w:rPr>
            </w:pPr>
          </w:p>
        </w:tc>
        <w:tc>
          <w:tcPr>
            <w:tcW w:w="78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about)</w:t>
            </w:r>
          </w:p>
        </w:tc>
        <w:tc>
          <w:tcPr>
            <w:tcW w:w="2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340" w:type="dxa"/>
            <w:vAlign w:val="bottom"/>
            <w:tcBorders>
              <w:right w:val="single" w:sz="8" w:color="auto"/>
            </w:tcBorders>
          </w:tcPr>
          <w:p>
            <w:pPr>
              <w:spacing w:after="0"/>
              <w:rPr>
                <w:sz w:val="24"/>
                <w:szCs w:val="24"/>
                <w:color w:val="auto"/>
              </w:rPr>
            </w:pPr>
          </w:p>
        </w:tc>
        <w:tc>
          <w:tcPr>
            <w:tcW w:w="23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7"/>
        </w:trPr>
        <w:tc>
          <w:tcPr>
            <w:tcW w:w="1400" w:type="dxa"/>
            <w:vAlign w:val="bottom"/>
            <w:tcBorders>
              <w:bottom w:val="single" w:sz="8" w:color="auto"/>
            </w:tcBorders>
          </w:tcPr>
          <w:p>
            <w:pPr>
              <w:spacing w:after="0"/>
              <w:rPr>
                <w:sz w:val="12"/>
                <w:szCs w:val="12"/>
                <w:color w:val="auto"/>
              </w:rPr>
            </w:pPr>
          </w:p>
        </w:tc>
        <w:tc>
          <w:tcPr>
            <w:tcW w:w="560" w:type="dxa"/>
            <w:vAlign w:val="bottom"/>
            <w:tcBorders>
              <w:bottom w:val="single" w:sz="8" w:color="auto"/>
            </w:tcBorders>
          </w:tcPr>
          <w:p>
            <w:pPr>
              <w:spacing w:after="0"/>
              <w:rPr>
                <w:sz w:val="12"/>
                <w:szCs w:val="12"/>
                <w:color w:val="auto"/>
              </w:rPr>
            </w:pPr>
          </w:p>
        </w:tc>
        <w:tc>
          <w:tcPr>
            <w:tcW w:w="460" w:type="dxa"/>
            <w:vAlign w:val="bottom"/>
            <w:tcBorders>
              <w:bottom w:val="single" w:sz="8" w:color="auto"/>
              <w:right w:val="single" w:sz="8" w:color="auto"/>
            </w:tcBorders>
          </w:tcPr>
          <w:p>
            <w:pPr>
              <w:spacing w:after="0"/>
              <w:rPr>
                <w:sz w:val="12"/>
                <w:szCs w:val="12"/>
                <w:color w:val="auto"/>
              </w:rPr>
            </w:pPr>
          </w:p>
        </w:tc>
        <w:tc>
          <w:tcPr>
            <w:tcW w:w="2380" w:type="dxa"/>
            <w:vAlign w:val="bottom"/>
            <w:tcBorders>
              <w:bottom w:val="single" w:sz="8" w:color="auto"/>
              <w:right w:val="single" w:sz="8" w:color="auto"/>
            </w:tcBorders>
          </w:tcPr>
          <w:p>
            <w:pPr>
              <w:spacing w:after="0"/>
              <w:rPr>
                <w:sz w:val="12"/>
                <w:szCs w:val="12"/>
                <w:color w:val="auto"/>
              </w:rPr>
            </w:pPr>
          </w:p>
        </w:tc>
        <w:tc>
          <w:tcPr>
            <w:tcW w:w="780" w:type="dxa"/>
            <w:vAlign w:val="bottom"/>
            <w:tcBorders>
              <w:bottom w:val="single" w:sz="8" w:color="auto"/>
            </w:tcBorders>
          </w:tcPr>
          <w:p>
            <w:pPr>
              <w:spacing w:after="0"/>
              <w:rPr>
                <w:sz w:val="12"/>
                <w:szCs w:val="12"/>
                <w:color w:val="auto"/>
              </w:rPr>
            </w:pPr>
          </w:p>
        </w:tc>
        <w:tc>
          <w:tcPr>
            <w:tcW w:w="280" w:type="dxa"/>
            <w:vAlign w:val="bottom"/>
            <w:tcBorders>
              <w:bottom w:val="single" w:sz="8" w:color="auto"/>
            </w:tcBorders>
          </w:tcPr>
          <w:p>
            <w:pPr>
              <w:spacing w:after="0"/>
              <w:rPr>
                <w:sz w:val="12"/>
                <w:szCs w:val="12"/>
                <w:color w:val="auto"/>
              </w:rPr>
            </w:pPr>
          </w:p>
        </w:tc>
        <w:tc>
          <w:tcPr>
            <w:tcW w:w="140" w:type="dxa"/>
            <w:vAlign w:val="bottom"/>
            <w:tcBorders>
              <w:bottom w:val="single" w:sz="8" w:color="auto"/>
            </w:tcBorders>
          </w:tcPr>
          <w:p>
            <w:pPr>
              <w:spacing w:after="0"/>
              <w:rPr>
                <w:sz w:val="12"/>
                <w:szCs w:val="12"/>
                <w:color w:val="auto"/>
              </w:rPr>
            </w:pPr>
          </w:p>
        </w:tc>
        <w:tc>
          <w:tcPr>
            <w:tcW w:w="860" w:type="dxa"/>
            <w:vAlign w:val="bottom"/>
            <w:tcBorders>
              <w:bottom w:val="single" w:sz="8" w:color="auto"/>
            </w:tcBorders>
          </w:tcPr>
          <w:p>
            <w:pPr>
              <w:spacing w:after="0"/>
              <w:rPr>
                <w:sz w:val="12"/>
                <w:szCs w:val="12"/>
                <w:color w:val="auto"/>
              </w:rPr>
            </w:pPr>
          </w:p>
        </w:tc>
        <w:tc>
          <w:tcPr>
            <w:tcW w:w="340" w:type="dxa"/>
            <w:vAlign w:val="bottom"/>
            <w:tcBorders>
              <w:bottom w:val="single" w:sz="8" w:color="auto"/>
              <w:right w:val="single" w:sz="8" w:color="auto"/>
            </w:tcBorders>
          </w:tcPr>
          <w:p>
            <w:pPr>
              <w:spacing w:after="0"/>
              <w:rPr>
                <w:sz w:val="12"/>
                <w:szCs w:val="12"/>
                <w:color w:val="auto"/>
              </w:rPr>
            </w:pPr>
          </w:p>
        </w:tc>
        <w:tc>
          <w:tcPr>
            <w:tcW w:w="2380" w:type="dxa"/>
            <w:vAlign w:val="bottom"/>
            <w:tcBorders>
              <w:bottom w:val="single" w:sz="8" w:color="auto"/>
            </w:tcBorders>
          </w:tcPr>
          <w:p>
            <w:pPr>
              <w:spacing w:after="0"/>
              <w:rPr>
                <w:sz w:val="12"/>
                <w:szCs w:val="12"/>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264795</wp:posOffset>
                </wp:positionV>
                <wp:extent cx="5944235" cy="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442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43" o:spid="_x0000_s11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0.85pt" to="468.05pt,20.8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0</wp:posOffset>
                </wp:positionH>
                <wp:positionV relativeFrom="paragraph">
                  <wp:posOffset>534670</wp:posOffset>
                </wp:positionV>
                <wp:extent cx="5944235" cy="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4423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44" o:spid="_x0000_s11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1pt" to="468.05pt,42.1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2540</wp:posOffset>
                </wp:positionH>
                <wp:positionV relativeFrom="paragraph">
                  <wp:posOffset>261620</wp:posOffset>
                </wp:positionV>
                <wp:extent cx="0" cy="159766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59766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45" o:spid="_x0000_s11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pt,20.6pt" to="0.2pt,146.4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5941060</wp:posOffset>
                </wp:positionH>
                <wp:positionV relativeFrom="paragraph">
                  <wp:posOffset>261620</wp:posOffset>
                </wp:positionV>
                <wp:extent cx="0" cy="159766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59766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46" o:spid="_x0000_s11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67.8pt,20.6pt" to="467.8pt,146.4pt" o:allowincell="f" strokecolor="#000000" strokeweight="0.48pt"/>
            </w:pict>
          </mc:Fallback>
        </mc:AlternateContent>
      </w:r>
    </w:p>
    <w:p>
      <w:pPr>
        <w:spacing w:after="0" w:line="400"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4"/>
          <w:szCs w:val="24"/>
          <w:b w:val="1"/>
          <w:bCs w:val="1"/>
          <w:color w:val="auto"/>
        </w:rPr>
        <w:t>GENERAL RISKS</w:t>
      </w:r>
    </w:p>
    <w:p>
      <w:pPr>
        <w:spacing w:after="0" w:line="156" w:lineRule="exact"/>
        <w:rPr>
          <w:sz w:val="20"/>
          <w:szCs w:val="20"/>
          <w:color w:val="auto"/>
        </w:rPr>
      </w:pPr>
    </w:p>
    <w:p>
      <w:pPr>
        <w:jc w:val="both"/>
        <w:ind w:left="120" w:right="340"/>
        <w:spacing w:after="0" w:line="357" w:lineRule="auto"/>
        <w:rPr>
          <w:sz w:val="20"/>
          <w:szCs w:val="20"/>
          <w:color w:val="auto"/>
        </w:rPr>
      </w:pPr>
      <w:r>
        <w:rPr>
          <w:rFonts w:ascii="Times New Roman" w:cs="Times New Roman" w:eastAsia="Times New Roman" w:hAnsi="Times New Roman"/>
          <w:sz w:val="24"/>
          <w:szCs w:val="24"/>
          <w:color w:val="auto"/>
        </w:rPr>
        <w:t>Investment in equity and equity related securities involve a degree of risk and investors should not invest any funds in the Issue unless they can afford to take the risk of losing their investment. Investors are advised to read the risk factors carefully before taking an investment decision in this Issue. For taking an investment decision, investors must rely on their own examination of our Company and this Issue including the risks involved. The Equity Shares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12065</wp:posOffset>
                </wp:positionV>
                <wp:extent cx="5944235" cy="0"/>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442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47" o:spid="_x0000_s11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0.95pt" to="468.05pt,0.95pt" o:allowincell="f" strokecolor="#000000" strokeweight="0.4799pt"/>
            </w:pict>
          </mc:Fallback>
        </mc:AlternateContent>
      </w:r>
    </w:p>
    <w:p>
      <w:pPr>
        <w:spacing w:after="0" w:line="200" w:lineRule="exact"/>
        <w:rPr>
          <w:sz w:val="20"/>
          <w:szCs w:val="20"/>
          <w:color w:val="auto"/>
        </w:rPr>
      </w:pPr>
    </w:p>
    <w:p>
      <w:pPr>
        <w:spacing w:after="0" w:line="276" w:lineRule="exact"/>
        <w:rPr>
          <w:sz w:val="20"/>
          <w:szCs w:val="20"/>
          <w:color w:val="auto"/>
        </w:rPr>
      </w:pPr>
    </w:p>
    <w:p>
      <w:pPr>
        <w:jc w:val="center"/>
        <w:ind w:right="-119"/>
        <w:spacing w:after="0"/>
        <w:rPr>
          <w:sz w:val="20"/>
          <w:szCs w:val="20"/>
          <w:color w:val="auto"/>
        </w:rPr>
      </w:pPr>
      <w:r>
        <w:rPr>
          <w:rFonts w:ascii="Times New Roman" w:cs="Times New Roman" w:eastAsia="Times New Roman" w:hAnsi="Times New Roman"/>
          <w:sz w:val="24"/>
          <w:szCs w:val="24"/>
          <w:color w:val="auto"/>
        </w:rPr>
        <w:t>332</w:t>
      </w:r>
    </w:p>
    <w:p>
      <w:pPr>
        <w:sectPr>
          <w:pgSz w:w="11900" w:h="16836" w:orient="portrait"/>
          <w:cols w:equalWidth="0" w:num="1">
            <w:col w:w="9580"/>
          </w:cols>
          <w:pgMar w:left="1040" w:top="1154" w:right="1284" w:bottom="103" w:gutter="0" w:footer="0" w:header="0"/>
        </w:sectPr>
      </w:pPr>
    </w:p>
    <w:bookmarkStart w:id="332" w:name="page333"/>
    <w:bookmarkEnd w:id="332"/>
    <w:p>
      <w:pPr>
        <w:jc w:val="both"/>
        <w:ind w:left="120" w:right="460"/>
        <w:spacing w:after="0" w:line="354" w:lineRule="auto"/>
        <w:rPr>
          <w:sz w:val="20"/>
          <w:szCs w:val="20"/>
          <w:color w:val="auto"/>
        </w:rPr>
      </w:pPr>
      <w:r>
        <w:rPr>
          <w:rFonts w:ascii="Times New Roman" w:cs="Times New Roman" w:eastAsia="Times New Roman" w:hAnsi="Times New Roman"/>
          <w:sz w:val="24"/>
          <w:szCs w:val="24"/>
          <w:color w:val="auto"/>
        </w:rPr>
        <mc:AlternateContent>
          <mc:Choice Requires="wps">
            <w:drawing>
              <wp:anchor simplePos="0" relativeHeight="251657728" behindDoc="1" locked="0" layoutInCell="0" allowOverlap="1">
                <wp:simplePos x="0" y="0"/>
                <wp:positionH relativeFrom="page">
                  <wp:posOffset>659765</wp:posOffset>
                </wp:positionH>
                <wp:positionV relativeFrom="page">
                  <wp:posOffset>734060</wp:posOffset>
                </wp:positionV>
                <wp:extent cx="5944870" cy="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4487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48" o:spid="_x0000_s117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1.95pt,57.8pt" to="520.05pt,57.8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659765</wp:posOffset>
                </wp:positionH>
                <wp:positionV relativeFrom="page">
                  <wp:posOffset>1791970</wp:posOffset>
                </wp:positionV>
                <wp:extent cx="5944870" cy="0"/>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4487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49" o:spid="_x0000_s117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1.95pt,141.1pt" to="520.05pt,141.1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3639820</wp:posOffset>
                </wp:positionH>
                <wp:positionV relativeFrom="page">
                  <wp:posOffset>1788795</wp:posOffset>
                </wp:positionV>
                <wp:extent cx="0" cy="802005"/>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0200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50" o:spid="_x0000_s117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86.6pt,140.85pt" to="286.6pt,204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5121910</wp:posOffset>
                </wp:positionH>
                <wp:positionV relativeFrom="page">
                  <wp:posOffset>1788795</wp:posOffset>
                </wp:positionV>
                <wp:extent cx="0" cy="802005"/>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0200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51" o:spid="_x0000_s117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403.3pt,140.85pt" to="403.3pt,204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659765</wp:posOffset>
                </wp:positionH>
                <wp:positionV relativeFrom="page">
                  <wp:posOffset>2587625</wp:posOffset>
                </wp:positionV>
                <wp:extent cx="5944870" cy="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4487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52" o:spid="_x0000_s117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1.95pt,203.75pt" to="520.05pt,203.75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659765</wp:posOffset>
                </wp:positionH>
                <wp:positionV relativeFrom="page">
                  <wp:posOffset>3119755</wp:posOffset>
                </wp:positionV>
                <wp:extent cx="5944870" cy="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4487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53" o:spid="_x0000_s117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1.95pt,245.65pt" to="520.05pt,245.65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659765</wp:posOffset>
                </wp:positionH>
                <wp:positionV relativeFrom="page">
                  <wp:posOffset>3651885</wp:posOffset>
                </wp:positionV>
                <wp:extent cx="5944870" cy="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4487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54" o:spid="_x0000_s117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1.95pt,287.55pt" to="520.05pt,287.55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662940</wp:posOffset>
                </wp:positionH>
                <wp:positionV relativeFrom="page">
                  <wp:posOffset>730885</wp:posOffset>
                </wp:positionV>
                <wp:extent cx="0" cy="3725545"/>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72554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55" o:spid="_x0000_s118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2.2pt,57.55pt" to="52.2pt,350.9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6601460</wp:posOffset>
                </wp:positionH>
                <wp:positionV relativeFrom="page">
                  <wp:posOffset>730885</wp:posOffset>
                </wp:positionV>
                <wp:extent cx="0" cy="3725545"/>
                <wp:wrapNone/>
                <wp:docPr id="156" name="Shape 1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72554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56" o:spid="_x0000_s118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19.8pt,57.55pt" to="519.8pt,350.9pt" o:allowincell="f" strokecolor="#000000" strokeweight="0.48pt">
                <w10:wrap anchorx="page" anchory="page"/>
              </v:line>
            </w:pict>
          </mc:Fallback>
        </mc:AlternateContent>
        <w:t>have neither been recommended nor approved by the SEBI, nor does SEBI guarantee the accuracy or adequacy of the Letter of Offer. Specific attention of the Investors is invited to the section “</w:t>
      </w:r>
      <w:r>
        <w:rPr>
          <w:rFonts w:ascii="Times New Roman" w:cs="Times New Roman" w:eastAsia="Times New Roman" w:hAnsi="Times New Roman"/>
          <w:sz w:val="24"/>
          <w:szCs w:val="24"/>
          <w:i w:val="1"/>
          <w:iCs w:val="1"/>
          <w:color w:val="auto"/>
        </w:rPr>
        <w:t>Risk Factors</w:t>
      </w:r>
      <w:r>
        <w:rPr>
          <w:rFonts w:ascii="Times New Roman" w:cs="Times New Roman" w:eastAsia="Times New Roman" w:hAnsi="Times New Roman"/>
          <w:sz w:val="24"/>
          <w:szCs w:val="24"/>
          <w:color w:val="auto"/>
        </w:rPr>
        <w:t>” on page xxx of the Letter of Offer and “</w:t>
      </w:r>
      <w:r>
        <w:rPr>
          <w:rFonts w:ascii="Times New Roman" w:cs="Times New Roman" w:eastAsia="Times New Roman" w:hAnsi="Times New Roman"/>
          <w:sz w:val="24"/>
          <w:szCs w:val="24"/>
          <w:i w:val="1"/>
          <w:iCs w:val="1"/>
          <w:color w:val="auto"/>
        </w:rPr>
        <w:t>Internal Risk factors</w:t>
      </w:r>
      <w:r>
        <w:rPr>
          <w:rFonts w:ascii="Times New Roman" w:cs="Times New Roman" w:eastAsia="Times New Roman" w:hAnsi="Times New Roman"/>
          <w:sz w:val="24"/>
          <w:szCs w:val="24"/>
          <w:color w:val="auto"/>
        </w:rPr>
        <w:t>” on page</w:t>
      </w:r>
    </w:p>
    <w:p>
      <w:pPr>
        <w:spacing w:after="0" w:line="10" w:lineRule="exact"/>
        <w:rPr>
          <w:sz w:val="20"/>
          <w:szCs w:val="20"/>
          <w:color w:val="auto"/>
        </w:rPr>
      </w:pPr>
    </w:p>
    <w:p>
      <w:pPr>
        <w:ind w:left="540" w:hanging="428"/>
        <w:spacing w:after="0"/>
        <w:tabs>
          <w:tab w:leader="none" w:pos="540" w:val="left"/>
        </w:tabs>
        <w:numPr>
          <w:ilvl w:val="0"/>
          <w:numId w:val="10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of this Abridged Letter of Offer before making an investment in the Issue.</w:t>
      </w:r>
    </w:p>
    <w:p>
      <w:pPr>
        <w:spacing w:after="0" w:line="146" w:lineRule="exact"/>
        <w:rPr>
          <w:rFonts w:ascii="Times New Roman" w:cs="Times New Roman" w:eastAsia="Times New Roman" w:hAnsi="Times New Roman"/>
          <w:sz w:val="24"/>
          <w:szCs w:val="24"/>
          <w:color w:val="auto"/>
        </w:rPr>
      </w:pPr>
    </w:p>
    <w:p>
      <w:pPr>
        <w:ind w:left="120"/>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Namesof</w:t>
      </w:r>
      <w:r>
        <w:rPr>
          <w:rFonts w:ascii="Times New Roman" w:cs="Times New Roman" w:eastAsia="Times New Roman" w:hAnsi="Times New Roman"/>
          <w:sz w:val="23"/>
          <w:szCs w:val="23"/>
          <w:color w:val="auto"/>
        </w:rPr>
        <w:t>Lead</w:t>
      </w:r>
    </w:p>
    <w:p>
      <w:pPr>
        <w:spacing w:after="0" w:line="151" w:lineRule="exact"/>
        <w:rPr>
          <w:rFonts w:ascii="Times New Roman" w:cs="Times New Roman" w:eastAsia="Times New Roman" w:hAnsi="Times New Roman"/>
          <w:sz w:val="24"/>
          <w:szCs w:val="24"/>
          <w:color w:val="auto"/>
        </w:rPr>
      </w:pPr>
    </w:p>
    <w:p>
      <w:pPr>
        <w:ind w:left="120" w:right="7460"/>
        <w:spacing w:after="0" w:line="359"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Managers and Contact Details Registrar and Contact Details</w:t>
      </w:r>
    </w:p>
    <w:p>
      <w:pPr>
        <w:spacing w:after="0" w:line="24" w:lineRule="exact"/>
        <w:rPr>
          <w:rFonts w:ascii="Times New Roman" w:cs="Times New Roman" w:eastAsia="Times New Roman" w:hAnsi="Times New Roman"/>
          <w:sz w:val="24"/>
          <w:szCs w:val="24"/>
          <w:color w:val="auto"/>
        </w:rPr>
      </w:pPr>
    </w:p>
    <w:p>
      <w:pPr>
        <w:ind w:left="120" w:right="7460"/>
        <w:spacing w:after="0" w:line="350"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Statutory Auditor(s) name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1497965</wp:posOffset>
                </wp:positionH>
                <wp:positionV relativeFrom="paragraph">
                  <wp:posOffset>-1847850</wp:posOffset>
                </wp:positionV>
                <wp:extent cx="0" cy="2667000"/>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66700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57" o:spid="_x0000_s11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7.95pt,-145.4999pt" to="117.95pt,64.5pt" o:allowincell="f" strokecolor="#000000" strokeweight="0.48pt"/>
            </w:pict>
          </mc:Fallback>
        </mc:AlternateContent>
      </w:r>
    </w:p>
    <w:tbl>
      <w:tblPr>
        <w:tblLayout w:type="fixed"/>
        <w:tblInd w:w="0" w:type="dxa"/>
        <w:tblCellMar>
          <w:top w:w="0" w:type="dxa"/>
          <w:left w:w="0" w:type="dxa"/>
          <w:bottom w:w="0" w:type="dxa"/>
          <w:right w:w="0" w:type="dxa"/>
        </w:tblCellMar>
      </w:tblPr>
      <w:tr>
        <w:trPr>
          <w:trHeight w:val="276"/>
        </w:trPr>
        <w:tc>
          <w:tcPr>
            <w:tcW w:w="2220" w:type="dxa"/>
            <w:vAlign w:val="bottom"/>
          </w:tcPr>
          <w:p>
            <w:pPr>
              <w:ind w:left="120"/>
              <w:spacing w:after="0"/>
              <w:rPr>
                <w:sz w:val="20"/>
                <w:szCs w:val="20"/>
                <w:color w:val="auto"/>
              </w:rPr>
            </w:pPr>
            <w:r>
              <w:rPr>
                <w:rFonts w:ascii="Times New Roman" w:cs="Times New Roman" w:eastAsia="Times New Roman" w:hAnsi="Times New Roman"/>
                <w:sz w:val="24"/>
                <w:szCs w:val="24"/>
                <w:color w:val="auto"/>
              </w:rPr>
              <w:t>Self-Certified</w:t>
            </w:r>
          </w:p>
        </w:tc>
        <w:tc>
          <w:tcPr>
            <w:tcW w:w="7140" w:type="dxa"/>
            <w:vAlign w:val="bottom"/>
          </w:tcPr>
          <w:p>
            <w:pPr>
              <w:ind w:left="240"/>
              <w:spacing w:after="0"/>
              <w:rPr>
                <w:sz w:val="20"/>
                <w:szCs w:val="20"/>
                <w:color w:val="auto"/>
              </w:rPr>
            </w:pPr>
            <w:r>
              <w:rPr>
                <w:rFonts w:ascii="Times New Roman" w:cs="Times New Roman" w:eastAsia="Times New Roman" w:hAnsi="Times New Roman"/>
                <w:sz w:val="24"/>
                <w:szCs w:val="24"/>
                <w:color w:val="auto"/>
              </w:rPr>
              <w:t>Details of SEBI website providing requisite details</w:t>
            </w:r>
          </w:p>
        </w:tc>
      </w:tr>
      <w:tr>
        <w:trPr>
          <w:trHeight w:val="415"/>
        </w:trPr>
        <w:tc>
          <w:tcPr>
            <w:tcW w:w="2220" w:type="dxa"/>
            <w:vAlign w:val="bottom"/>
          </w:tcPr>
          <w:p>
            <w:pPr>
              <w:ind w:left="120"/>
              <w:spacing w:after="0"/>
              <w:rPr>
                <w:sz w:val="20"/>
                <w:szCs w:val="20"/>
                <w:color w:val="auto"/>
              </w:rPr>
            </w:pPr>
            <w:r>
              <w:rPr>
                <w:rFonts w:ascii="Times New Roman" w:cs="Times New Roman" w:eastAsia="Times New Roman" w:hAnsi="Times New Roman"/>
                <w:sz w:val="24"/>
                <w:szCs w:val="24"/>
                <w:color w:val="auto"/>
              </w:rPr>
              <w:t>Syndicate Bank</w:t>
            </w:r>
          </w:p>
        </w:tc>
        <w:tc>
          <w:tcPr>
            <w:tcW w:w="7140" w:type="dxa"/>
            <w:vAlign w:val="bottom"/>
          </w:tcPr>
          <w:p>
            <w:pPr>
              <w:spacing w:after="0"/>
              <w:rPr>
                <w:sz w:val="24"/>
                <w:szCs w:val="24"/>
                <w:color w:val="auto"/>
              </w:rPr>
            </w:pPr>
          </w:p>
        </w:tc>
      </w:tr>
      <w:tr>
        <w:trPr>
          <w:trHeight w:val="144"/>
        </w:trPr>
        <w:tc>
          <w:tcPr>
            <w:tcW w:w="2220" w:type="dxa"/>
            <w:vAlign w:val="bottom"/>
            <w:tcBorders>
              <w:bottom w:val="single" w:sz="8" w:color="auto"/>
            </w:tcBorders>
          </w:tcPr>
          <w:p>
            <w:pPr>
              <w:spacing w:after="0"/>
              <w:rPr>
                <w:sz w:val="12"/>
                <w:szCs w:val="12"/>
                <w:color w:val="auto"/>
              </w:rPr>
            </w:pPr>
          </w:p>
        </w:tc>
        <w:tc>
          <w:tcPr>
            <w:tcW w:w="7140" w:type="dxa"/>
            <w:vAlign w:val="bottom"/>
            <w:tcBorders>
              <w:bottom w:val="single" w:sz="8" w:color="auto"/>
            </w:tcBorders>
          </w:tcPr>
          <w:p>
            <w:pPr>
              <w:spacing w:after="0"/>
              <w:rPr>
                <w:sz w:val="12"/>
                <w:szCs w:val="12"/>
                <w:color w:val="auto"/>
              </w:rPr>
            </w:pPr>
          </w:p>
        </w:tc>
      </w:tr>
      <w:tr>
        <w:trPr>
          <w:trHeight w:val="258"/>
        </w:trPr>
        <w:tc>
          <w:tcPr>
            <w:tcW w:w="2220" w:type="dxa"/>
            <w:vAlign w:val="bottom"/>
          </w:tcPr>
          <w:p>
            <w:pPr>
              <w:ind w:left="120"/>
              <w:spacing w:after="0" w:line="258" w:lineRule="exact"/>
              <w:rPr>
                <w:sz w:val="20"/>
                <w:szCs w:val="20"/>
                <w:color w:val="auto"/>
              </w:rPr>
            </w:pPr>
            <w:r>
              <w:rPr>
                <w:rFonts w:ascii="Times New Roman" w:cs="Times New Roman" w:eastAsia="Times New Roman" w:hAnsi="Times New Roman"/>
                <w:sz w:val="24"/>
                <w:szCs w:val="24"/>
                <w:color w:val="auto"/>
              </w:rPr>
              <w:t>Banker to the Issue</w:t>
            </w:r>
          </w:p>
        </w:tc>
        <w:tc>
          <w:tcPr>
            <w:tcW w:w="7140" w:type="dxa"/>
            <w:vAlign w:val="bottom"/>
          </w:tcPr>
          <w:p>
            <w:pPr>
              <w:spacing w:after="0"/>
              <w:rPr>
                <w:sz w:val="22"/>
                <w:szCs w:val="22"/>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95885</wp:posOffset>
                </wp:positionV>
                <wp:extent cx="5944235" cy="0"/>
                <wp:wrapNone/>
                <wp:docPr id="158" name="Shape 1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4423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58" o:spid="_x0000_s11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7.55pt" to="468.05pt,7.55pt" o:allowincell="f" strokecolor="#000000" strokeweight="0.48pt"/>
            </w:pict>
          </mc:Fallback>
        </mc:AlternateContent>
      </w:r>
    </w:p>
    <w:p>
      <w:pPr>
        <w:spacing w:after="0" w:line="200" w:lineRule="exact"/>
        <w:rPr>
          <w:sz w:val="20"/>
          <w:szCs w:val="20"/>
          <w:color w:val="auto"/>
        </w:rPr>
      </w:pPr>
    </w:p>
    <w:p>
      <w:pPr>
        <w:spacing w:after="0" w:line="342"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4"/>
          <w:szCs w:val="24"/>
          <w:color w:val="auto"/>
        </w:rPr>
        <w:t>Following information shall be provided</w:t>
      </w:r>
    </w:p>
    <w:p>
      <w:pPr>
        <w:spacing w:after="0" w:line="200" w:lineRule="exact"/>
        <w:rPr>
          <w:sz w:val="20"/>
          <w:szCs w:val="20"/>
          <w:color w:val="auto"/>
        </w:rPr>
      </w:pPr>
    </w:p>
    <w:p>
      <w:pPr>
        <w:spacing w:after="0" w:line="352" w:lineRule="exact"/>
        <w:rPr>
          <w:sz w:val="20"/>
          <w:szCs w:val="20"/>
          <w:color w:val="auto"/>
        </w:rPr>
      </w:pPr>
    </w:p>
    <w:p>
      <w:pPr>
        <w:ind w:left="740" w:hanging="448"/>
        <w:spacing w:after="0"/>
        <w:tabs>
          <w:tab w:leader="none" w:pos="740" w:val="left"/>
        </w:tabs>
        <w:numPr>
          <w:ilvl w:val="0"/>
          <w:numId w:val="10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Summary of business.</w:t>
      </w:r>
    </w:p>
    <w:p>
      <w:pPr>
        <w:spacing w:after="0" w:line="139" w:lineRule="exact"/>
        <w:rPr>
          <w:rFonts w:ascii="Times New Roman" w:cs="Times New Roman" w:eastAsia="Times New Roman" w:hAnsi="Times New Roman"/>
          <w:sz w:val="24"/>
          <w:szCs w:val="24"/>
          <w:color w:val="auto"/>
        </w:rPr>
      </w:pPr>
    </w:p>
    <w:p>
      <w:pPr>
        <w:ind w:left="740" w:hanging="448"/>
        <w:spacing w:after="0"/>
        <w:tabs>
          <w:tab w:leader="none" w:pos="740" w:val="left"/>
        </w:tabs>
        <w:numPr>
          <w:ilvl w:val="0"/>
          <w:numId w:val="10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Summary of Objects of the Issue and Means of Finance.</w:t>
      </w:r>
    </w:p>
    <w:p>
      <w:pPr>
        <w:spacing w:after="0" w:line="136" w:lineRule="exact"/>
        <w:rPr>
          <w:rFonts w:ascii="Times New Roman" w:cs="Times New Roman" w:eastAsia="Times New Roman" w:hAnsi="Times New Roman"/>
          <w:sz w:val="24"/>
          <w:szCs w:val="24"/>
          <w:color w:val="auto"/>
        </w:rPr>
      </w:pPr>
    </w:p>
    <w:p>
      <w:pPr>
        <w:ind w:left="740" w:hanging="448"/>
        <w:spacing w:after="0"/>
        <w:tabs>
          <w:tab w:leader="none" w:pos="740" w:val="left"/>
        </w:tabs>
        <w:numPr>
          <w:ilvl w:val="0"/>
          <w:numId w:val="10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 of Monitoring Agency.</w:t>
      </w:r>
    </w:p>
    <w:p>
      <w:pPr>
        <w:spacing w:after="0" w:line="151" w:lineRule="exact"/>
        <w:rPr>
          <w:rFonts w:ascii="Times New Roman" w:cs="Times New Roman" w:eastAsia="Times New Roman" w:hAnsi="Times New Roman"/>
          <w:sz w:val="24"/>
          <w:szCs w:val="24"/>
          <w:color w:val="auto"/>
        </w:rPr>
      </w:pPr>
    </w:p>
    <w:p>
      <w:pPr>
        <w:jc w:val="both"/>
        <w:ind w:left="660" w:right="120" w:hanging="368"/>
        <w:spacing w:after="0" w:line="354" w:lineRule="auto"/>
        <w:tabs>
          <w:tab w:leader="none" w:pos="751" w:val="left"/>
        </w:tabs>
        <w:numPr>
          <w:ilvl w:val="0"/>
          <w:numId w:val="10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Equity shareholding pattern: Shareholding pattern as included in Letter of Offer in summarised form giving details for categories such as Promoter and Promoter Group, Public, Non promoter-non Public and number of shares held and % holding in tabular form.</w:t>
      </w:r>
    </w:p>
    <w:p>
      <w:pPr>
        <w:spacing w:after="0" w:line="20" w:lineRule="exact"/>
        <w:rPr>
          <w:rFonts w:ascii="Times New Roman" w:cs="Times New Roman" w:eastAsia="Times New Roman" w:hAnsi="Times New Roman"/>
          <w:sz w:val="24"/>
          <w:szCs w:val="24"/>
          <w:color w:val="auto"/>
        </w:rPr>
      </w:pPr>
    </w:p>
    <w:p>
      <w:pPr>
        <w:ind w:left="660" w:right="120" w:hanging="368"/>
        <w:spacing w:after="0" w:line="350" w:lineRule="auto"/>
        <w:tabs>
          <w:tab w:leader="none" w:pos="751" w:val="left"/>
        </w:tabs>
        <w:numPr>
          <w:ilvl w:val="0"/>
          <w:numId w:val="10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Board of Directors of the Issuer: Name, designation and other directorships of the members of the Board.</w:t>
      </w:r>
    </w:p>
    <w:p>
      <w:pPr>
        <w:spacing w:after="0" w:line="10" w:lineRule="exact"/>
        <w:rPr>
          <w:rFonts w:ascii="Times New Roman" w:cs="Times New Roman" w:eastAsia="Times New Roman" w:hAnsi="Times New Roman"/>
          <w:sz w:val="24"/>
          <w:szCs w:val="24"/>
          <w:color w:val="auto"/>
        </w:rPr>
      </w:pPr>
    </w:p>
    <w:p>
      <w:pPr>
        <w:ind w:left="740" w:hanging="448"/>
        <w:spacing w:after="0"/>
        <w:tabs>
          <w:tab w:leader="none" w:pos="740" w:val="left"/>
        </w:tabs>
        <w:numPr>
          <w:ilvl w:val="0"/>
          <w:numId w:val="10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the Issuer or any of its promoters or directors being a wilful defaulter.</w:t>
      </w:r>
    </w:p>
    <w:p>
      <w:pPr>
        <w:spacing w:after="0" w:line="151" w:lineRule="exact"/>
        <w:rPr>
          <w:rFonts w:ascii="Times New Roman" w:cs="Times New Roman" w:eastAsia="Times New Roman" w:hAnsi="Times New Roman"/>
          <w:sz w:val="24"/>
          <w:szCs w:val="24"/>
          <w:color w:val="auto"/>
        </w:rPr>
      </w:pPr>
    </w:p>
    <w:p>
      <w:pPr>
        <w:jc w:val="both"/>
        <w:ind w:left="660" w:right="120" w:hanging="368"/>
        <w:spacing w:after="0" w:line="356" w:lineRule="auto"/>
        <w:tabs>
          <w:tab w:leader="none" w:pos="751" w:val="left"/>
        </w:tabs>
        <w:numPr>
          <w:ilvl w:val="0"/>
          <w:numId w:val="10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Financial Statement Summary: For last audited full year and latest limited reviewed stub period as disclosed in the Letter of Offer prepared under Part B. In case of companies who have used Part B- 1 disclosure framework financial summary for periods included in Letter of Offer shall be disclosed.</w:t>
      </w:r>
    </w:p>
    <w:p>
      <w:pPr>
        <w:spacing w:after="0" w:line="200" w:lineRule="exact"/>
        <w:rPr>
          <w:sz w:val="20"/>
          <w:szCs w:val="20"/>
          <w:color w:val="auto"/>
        </w:rPr>
      </w:pPr>
    </w:p>
    <w:p>
      <w:pPr>
        <w:spacing w:after="0" w:line="207" w:lineRule="exact"/>
        <w:rPr>
          <w:sz w:val="20"/>
          <w:szCs w:val="20"/>
          <w:color w:val="auto"/>
        </w:rPr>
      </w:pPr>
    </w:p>
    <w:tbl>
      <w:tblPr>
        <w:tblLayout w:type="fixed"/>
        <w:tblInd w:w="550" w:type="dxa"/>
        <w:tblCellMar>
          <w:top w:w="0" w:type="dxa"/>
          <w:left w:w="0" w:type="dxa"/>
          <w:bottom w:w="0" w:type="dxa"/>
          <w:right w:w="0" w:type="dxa"/>
        </w:tblCellMar>
      </w:tblPr>
      <w:tr>
        <w:trPr>
          <w:trHeight w:val="278"/>
        </w:trPr>
        <w:tc>
          <w:tcPr>
            <w:tcW w:w="1180" w:type="dxa"/>
            <w:vAlign w:val="bottom"/>
            <w:tcBorders>
              <w:top w:val="single" w:sz="8" w:color="auto"/>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Particulars</w:t>
            </w:r>
          </w:p>
        </w:tc>
        <w:tc>
          <w:tcPr>
            <w:tcW w:w="1040" w:type="dxa"/>
            <w:vAlign w:val="bottom"/>
            <w:tcBorders>
              <w:top w:val="single" w:sz="8" w:color="auto"/>
            </w:tcBorders>
          </w:tcPr>
          <w:p>
            <w:pPr>
              <w:spacing w:after="0"/>
              <w:rPr>
                <w:sz w:val="24"/>
                <w:szCs w:val="24"/>
                <w:color w:val="auto"/>
              </w:rPr>
            </w:pPr>
          </w:p>
        </w:tc>
        <w:tc>
          <w:tcPr>
            <w:tcW w:w="880" w:type="dxa"/>
            <w:vAlign w:val="bottom"/>
            <w:tcBorders>
              <w:top w:val="single" w:sz="8" w:color="auto"/>
              <w:right w:val="single" w:sz="8" w:color="auto"/>
            </w:tcBorders>
          </w:tcPr>
          <w:p>
            <w:pPr>
              <w:spacing w:after="0"/>
              <w:rPr>
                <w:sz w:val="24"/>
                <w:szCs w:val="24"/>
                <w:color w:val="auto"/>
              </w:rPr>
            </w:pPr>
          </w:p>
        </w:tc>
        <w:tc>
          <w:tcPr>
            <w:tcW w:w="3040" w:type="dxa"/>
            <w:vAlign w:val="bottom"/>
            <w:tcBorders>
              <w:top w:val="single" w:sz="8" w:color="auto"/>
              <w:right w:val="single" w:sz="8" w:color="auto"/>
            </w:tcBorders>
          </w:tcPr>
          <w:p>
            <w:pPr>
              <w:jc w:val="right"/>
              <w:ind w:right="1120"/>
              <w:spacing w:after="0"/>
              <w:rPr>
                <w:sz w:val="20"/>
                <w:szCs w:val="20"/>
                <w:color w:val="auto"/>
              </w:rPr>
            </w:pPr>
            <w:r>
              <w:rPr>
                <w:rFonts w:ascii="Times New Roman" w:cs="Times New Roman" w:eastAsia="Times New Roman" w:hAnsi="Times New Roman"/>
                <w:sz w:val="24"/>
                <w:szCs w:val="24"/>
                <w:color w:val="auto"/>
              </w:rPr>
              <w:t>Latest stub period</w:t>
            </w:r>
          </w:p>
        </w:tc>
        <w:tc>
          <w:tcPr>
            <w:tcW w:w="3020" w:type="dxa"/>
            <w:vAlign w:val="bottom"/>
            <w:tcBorders>
              <w:top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Latest full year period</w:t>
            </w:r>
          </w:p>
        </w:tc>
      </w:tr>
      <w:tr>
        <w:trPr>
          <w:trHeight w:val="147"/>
        </w:trPr>
        <w:tc>
          <w:tcPr>
            <w:tcW w:w="1180" w:type="dxa"/>
            <w:vAlign w:val="bottom"/>
            <w:tcBorders>
              <w:left w:val="single" w:sz="8" w:color="auto"/>
              <w:bottom w:val="single" w:sz="8" w:color="auto"/>
            </w:tcBorders>
          </w:tcPr>
          <w:p>
            <w:pPr>
              <w:spacing w:after="0"/>
              <w:rPr>
                <w:sz w:val="12"/>
                <w:szCs w:val="12"/>
                <w:color w:val="auto"/>
              </w:rPr>
            </w:pPr>
          </w:p>
        </w:tc>
        <w:tc>
          <w:tcPr>
            <w:tcW w:w="1040" w:type="dxa"/>
            <w:vAlign w:val="bottom"/>
            <w:tcBorders>
              <w:bottom w:val="single" w:sz="8" w:color="auto"/>
            </w:tcBorders>
          </w:tcPr>
          <w:p>
            <w:pPr>
              <w:spacing w:after="0"/>
              <w:rPr>
                <w:sz w:val="12"/>
                <w:szCs w:val="12"/>
                <w:color w:val="auto"/>
              </w:rPr>
            </w:pPr>
          </w:p>
        </w:tc>
        <w:tc>
          <w:tcPr>
            <w:tcW w:w="880" w:type="dxa"/>
            <w:vAlign w:val="bottom"/>
            <w:tcBorders>
              <w:bottom w:val="single" w:sz="8" w:color="auto"/>
              <w:right w:val="single" w:sz="8" w:color="auto"/>
            </w:tcBorders>
          </w:tcPr>
          <w:p>
            <w:pPr>
              <w:spacing w:after="0"/>
              <w:rPr>
                <w:sz w:val="12"/>
                <w:szCs w:val="12"/>
                <w:color w:val="auto"/>
              </w:rPr>
            </w:pPr>
          </w:p>
        </w:tc>
        <w:tc>
          <w:tcPr>
            <w:tcW w:w="3040" w:type="dxa"/>
            <w:vAlign w:val="bottom"/>
            <w:tcBorders>
              <w:bottom w:val="single" w:sz="8" w:color="auto"/>
              <w:right w:val="single" w:sz="8" w:color="auto"/>
            </w:tcBorders>
          </w:tcPr>
          <w:p>
            <w:pPr>
              <w:spacing w:after="0"/>
              <w:rPr>
                <w:sz w:val="12"/>
                <w:szCs w:val="12"/>
                <w:color w:val="auto"/>
              </w:rPr>
            </w:pPr>
          </w:p>
        </w:tc>
        <w:tc>
          <w:tcPr>
            <w:tcW w:w="3020" w:type="dxa"/>
            <w:vAlign w:val="bottom"/>
            <w:tcBorders>
              <w:bottom w:val="single" w:sz="8" w:color="auto"/>
              <w:right w:val="single" w:sz="8" w:color="auto"/>
            </w:tcBorders>
          </w:tcPr>
          <w:p>
            <w:pPr>
              <w:spacing w:after="0"/>
              <w:rPr>
                <w:sz w:val="12"/>
                <w:szCs w:val="12"/>
                <w:color w:val="auto"/>
              </w:rPr>
            </w:pPr>
          </w:p>
        </w:tc>
      </w:tr>
      <w:tr>
        <w:trPr>
          <w:trHeight w:val="258"/>
        </w:trPr>
        <w:tc>
          <w:tcPr>
            <w:tcW w:w="1180" w:type="dxa"/>
            <w:vAlign w:val="bottom"/>
            <w:tcBorders>
              <w:left w:val="single" w:sz="8" w:color="auto"/>
            </w:tcBorders>
          </w:tcPr>
          <w:p>
            <w:pPr>
              <w:ind w:left="120"/>
              <w:spacing w:after="0" w:line="258" w:lineRule="exact"/>
              <w:rPr>
                <w:sz w:val="20"/>
                <w:szCs w:val="20"/>
                <w:color w:val="auto"/>
              </w:rPr>
            </w:pPr>
            <w:r>
              <w:rPr>
                <w:rFonts w:ascii="Times New Roman" w:cs="Times New Roman" w:eastAsia="Times New Roman" w:hAnsi="Times New Roman"/>
                <w:sz w:val="24"/>
                <w:szCs w:val="24"/>
                <w:color w:val="auto"/>
              </w:rPr>
              <w:t>Total</w:t>
            </w:r>
          </w:p>
        </w:tc>
        <w:tc>
          <w:tcPr>
            <w:tcW w:w="1040" w:type="dxa"/>
            <w:vAlign w:val="bottom"/>
          </w:tcPr>
          <w:p>
            <w:pPr>
              <w:ind w:left="20"/>
              <w:spacing w:after="0" w:line="258" w:lineRule="exact"/>
              <w:rPr>
                <w:sz w:val="20"/>
                <w:szCs w:val="20"/>
                <w:color w:val="auto"/>
              </w:rPr>
            </w:pPr>
            <w:r>
              <w:rPr>
                <w:rFonts w:ascii="Times New Roman" w:cs="Times New Roman" w:eastAsia="Times New Roman" w:hAnsi="Times New Roman"/>
                <w:sz w:val="24"/>
                <w:szCs w:val="24"/>
                <w:color w:val="auto"/>
              </w:rPr>
              <w:t>Income</w:t>
            </w:r>
          </w:p>
        </w:tc>
        <w:tc>
          <w:tcPr>
            <w:tcW w:w="880" w:type="dxa"/>
            <w:vAlign w:val="bottom"/>
            <w:tcBorders>
              <w:right w:val="single" w:sz="8" w:color="auto"/>
            </w:tcBorders>
          </w:tcPr>
          <w:p>
            <w:pPr>
              <w:ind w:left="280"/>
              <w:spacing w:after="0" w:line="258" w:lineRule="exact"/>
              <w:rPr>
                <w:sz w:val="20"/>
                <w:szCs w:val="20"/>
                <w:color w:val="auto"/>
              </w:rPr>
            </w:pPr>
            <w:r>
              <w:rPr>
                <w:rFonts w:ascii="Times New Roman" w:cs="Times New Roman" w:eastAsia="Times New Roman" w:hAnsi="Times New Roman"/>
                <w:sz w:val="24"/>
                <w:szCs w:val="24"/>
                <w:color w:val="auto"/>
              </w:rPr>
              <w:t>from</w:t>
            </w:r>
          </w:p>
        </w:tc>
        <w:tc>
          <w:tcPr>
            <w:tcW w:w="3040" w:type="dxa"/>
            <w:vAlign w:val="bottom"/>
            <w:tcBorders>
              <w:right w:val="single" w:sz="8" w:color="auto"/>
            </w:tcBorders>
          </w:tcPr>
          <w:p>
            <w:pPr>
              <w:spacing w:after="0"/>
              <w:rPr>
                <w:sz w:val="22"/>
                <w:szCs w:val="22"/>
                <w:color w:val="auto"/>
              </w:rPr>
            </w:pPr>
          </w:p>
        </w:tc>
        <w:tc>
          <w:tcPr>
            <w:tcW w:w="3020" w:type="dxa"/>
            <w:vAlign w:val="bottom"/>
            <w:tcBorders>
              <w:right w:val="single" w:sz="8" w:color="auto"/>
            </w:tcBorders>
          </w:tcPr>
          <w:p>
            <w:pPr>
              <w:spacing w:after="0"/>
              <w:rPr>
                <w:sz w:val="22"/>
                <w:szCs w:val="22"/>
                <w:color w:val="auto"/>
              </w:rPr>
            </w:pPr>
          </w:p>
        </w:tc>
      </w:tr>
      <w:tr>
        <w:trPr>
          <w:trHeight w:val="415"/>
        </w:trPr>
        <w:tc>
          <w:tcPr>
            <w:tcW w:w="2220" w:type="dxa"/>
            <w:vAlign w:val="bottom"/>
            <w:tcBorders>
              <w:left w:val="single" w:sz="8" w:color="auto"/>
            </w:tcBorders>
            <w:gridSpan w:val="2"/>
          </w:tcPr>
          <w:p>
            <w:pPr>
              <w:ind w:left="120"/>
              <w:spacing w:after="0"/>
              <w:rPr>
                <w:sz w:val="20"/>
                <w:szCs w:val="20"/>
                <w:color w:val="auto"/>
              </w:rPr>
            </w:pPr>
            <w:r>
              <w:rPr>
                <w:rFonts w:ascii="Times New Roman" w:cs="Times New Roman" w:eastAsia="Times New Roman" w:hAnsi="Times New Roman"/>
                <w:sz w:val="24"/>
                <w:szCs w:val="24"/>
                <w:color w:val="auto"/>
              </w:rPr>
              <w:t>Operations (net)</w:t>
            </w:r>
          </w:p>
        </w:tc>
        <w:tc>
          <w:tcPr>
            <w:tcW w:w="880" w:type="dxa"/>
            <w:vAlign w:val="bottom"/>
            <w:tcBorders>
              <w:right w:val="single" w:sz="8" w:color="auto"/>
            </w:tcBorders>
          </w:tcPr>
          <w:p>
            <w:pPr>
              <w:spacing w:after="0"/>
              <w:rPr>
                <w:sz w:val="24"/>
                <w:szCs w:val="24"/>
                <w:color w:val="auto"/>
              </w:rPr>
            </w:pPr>
          </w:p>
        </w:tc>
        <w:tc>
          <w:tcPr>
            <w:tcW w:w="3040" w:type="dxa"/>
            <w:vAlign w:val="bottom"/>
            <w:tcBorders>
              <w:right w:val="single" w:sz="8" w:color="auto"/>
            </w:tcBorders>
          </w:tcPr>
          <w:p>
            <w:pPr>
              <w:spacing w:after="0"/>
              <w:rPr>
                <w:sz w:val="24"/>
                <w:szCs w:val="24"/>
                <w:color w:val="auto"/>
              </w:rPr>
            </w:pPr>
          </w:p>
        </w:tc>
        <w:tc>
          <w:tcPr>
            <w:tcW w:w="3020" w:type="dxa"/>
            <w:vAlign w:val="bottom"/>
            <w:tcBorders>
              <w:right w:val="single" w:sz="8" w:color="auto"/>
            </w:tcBorders>
          </w:tcPr>
          <w:p>
            <w:pPr>
              <w:spacing w:after="0"/>
              <w:rPr>
                <w:sz w:val="24"/>
                <w:szCs w:val="24"/>
                <w:color w:val="auto"/>
              </w:rPr>
            </w:pPr>
          </w:p>
        </w:tc>
      </w:tr>
      <w:tr>
        <w:trPr>
          <w:trHeight w:val="144"/>
        </w:trPr>
        <w:tc>
          <w:tcPr>
            <w:tcW w:w="1180" w:type="dxa"/>
            <w:vAlign w:val="bottom"/>
            <w:tcBorders>
              <w:left w:val="single" w:sz="8" w:color="auto"/>
              <w:bottom w:val="single" w:sz="8" w:color="auto"/>
            </w:tcBorders>
          </w:tcPr>
          <w:p>
            <w:pPr>
              <w:spacing w:after="0"/>
              <w:rPr>
                <w:sz w:val="12"/>
                <w:szCs w:val="12"/>
                <w:color w:val="auto"/>
              </w:rPr>
            </w:pPr>
          </w:p>
        </w:tc>
        <w:tc>
          <w:tcPr>
            <w:tcW w:w="1040" w:type="dxa"/>
            <w:vAlign w:val="bottom"/>
            <w:tcBorders>
              <w:bottom w:val="single" w:sz="8" w:color="auto"/>
            </w:tcBorders>
          </w:tcPr>
          <w:p>
            <w:pPr>
              <w:spacing w:after="0"/>
              <w:rPr>
                <w:sz w:val="12"/>
                <w:szCs w:val="12"/>
                <w:color w:val="auto"/>
              </w:rPr>
            </w:pPr>
          </w:p>
        </w:tc>
        <w:tc>
          <w:tcPr>
            <w:tcW w:w="880" w:type="dxa"/>
            <w:vAlign w:val="bottom"/>
            <w:tcBorders>
              <w:bottom w:val="single" w:sz="8" w:color="auto"/>
              <w:right w:val="single" w:sz="8" w:color="auto"/>
            </w:tcBorders>
          </w:tcPr>
          <w:p>
            <w:pPr>
              <w:spacing w:after="0"/>
              <w:rPr>
                <w:sz w:val="12"/>
                <w:szCs w:val="12"/>
                <w:color w:val="auto"/>
              </w:rPr>
            </w:pPr>
          </w:p>
        </w:tc>
        <w:tc>
          <w:tcPr>
            <w:tcW w:w="3040" w:type="dxa"/>
            <w:vAlign w:val="bottom"/>
            <w:tcBorders>
              <w:bottom w:val="single" w:sz="8" w:color="auto"/>
              <w:right w:val="single" w:sz="8" w:color="auto"/>
            </w:tcBorders>
          </w:tcPr>
          <w:p>
            <w:pPr>
              <w:spacing w:after="0"/>
              <w:rPr>
                <w:sz w:val="12"/>
                <w:szCs w:val="12"/>
                <w:color w:val="auto"/>
              </w:rPr>
            </w:pPr>
          </w:p>
        </w:tc>
        <w:tc>
          <w:tcPr>
            <w:tcW w:w="3020" w:type="dxa"/>
            <w:vAlign w:val="bottom"/>
            <w:tcBorders>
              <w:bottom w:val="single" w:sz="8" w:color="auto"/>
              <w:right w:val="single" w:sz="8" w:color="auto"/>
            </w:tcBorders>
          </w:tcPr>
          <w:p>
            <w:pPr>
              <w:spacing w:after="0"/>
              <w:rPr>
                <w:sz w:val="12"/>
                <w:szCs w:val="12"/>
                <w:color w:val="auto"/>
              </w:rPr>
            </w:pPr>
          </w:p>
        </w:tc>
      </w:tr>
      <w:tr>
        <w:trPr>
          <w:trHeight w:val="829"/>
        </w:trPr>
        <w:tc>
          <w:tcPr>
            <w:tcW w:w="118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3920" w:type="dxa"/>
            <w:vAlign w:val="bottom"/>
            <w:gridSpan w:val="2"/>
          </w:tcPr>
          <w:p>
            <w:pPr>
              <w:jc w:val="right"/>
              <w:ind w:right="1540"/>
              <w:spacing w:after="0"/>
              <w:rPr>
                <w:sz w:val="20"/>
                <w:szCs w:val="20"/>
                <w:color w:val="auto"/>
              </w:rPr>
            </w:pPr>
            <w:r>
              <w:rPr>
                <w:rFonts w:ascii="Times New Roman" w:cs="Times New Roman" w:eastAsia="Times New Roman" w:hAnsi="Times New Roman"/>
                <w:sz w:val="24"/>
                <w:szCs w:val="24"/>
                <w:color w:val="auto"/>
              </w:rPr>
              <w:t>333</w:t>
            </w:r>
          </w:p>
        </w:tc>
        <w:tc>
          <w:tcPr>
            <w:tcW w:w="3020" w:type="dxa"/>
            <w:vAlign w:val="bottom"/>
          </w:tcPr>
          <w:p>
            <w:pPr>
              <w:spacing w:after="0"/>
              <w:rPr>
                <w:sz w:val="24"/>
                <w:szCs w:val="24"/>
                <w:color w:val="auto"/>
              </w:rPr>
            </w:pPr>
          </w:p>
        </w:tc>
      </w:tr>
    </w:tbl>
    <w:p>
      <w:pPr>
        <w:sectPr>
          <w:pgSz w:w="11900" w:h="16836" w:orient="portrait"/>
          <w:cols w:equalWidth="0" w:num="1">
            <w:col w:w="9700"/>
          </w:cols>
          <w:pgMar w:left="1040" w:top="1166" w:right="1164" w:bottom="103" w:gutter="0" w:footer="0" w:header="0"/>
        </w:sectPr>
      </w:pPr>
    </w:p>
    <w:bookmarkStart w:id="333" w:name="page334"/>
    <w:bookmarkEnd w:id="333"/>
    <w:p>
      <w:pPr>
        <w:ind w:left="368"/>
        <w:spacing w:after="0"/>
        <w:rPr>
          <w:sz w:val="20"/>
          <w:szCs w:val="20"/>
          <w:color w:val="auto"/>
        </w:rPr>
      </w:pPr>
      <w:r>
        <w:rPr>
          <w:rFonts w:ascii="Times New Roman" w:cs="Times New Roman" w:eastAsia="Times New Roman" w:hAnsi="Times New Roman"/>
          <w:sz w:val="24"/>
          <w:szCs w:val="24"/>
          <w:color w:val="auto"/>
        </w:rPr>
        <mc:AlternateContent>
          <mc:Choice Requires="wps">
            <w:drawing>
              <wp:anchor simplePos="0" relativeHeight="251657728" behindDoc="1" locked="0" layoutInCell="0" allowOverlap="1">
                <wp:simplePos x="0" y="0"/>
                <wp:positionH relativeFrom="page">
                  <wp:posOffset>1002665</wp:posOffset>
                </wp:positionH>
                <wp:positionV relativeFrom="page">
                  <wp:posOffset>734060</wp:posOffset>
                </wp:positionV>
                <wp:extent cx="5814060" cy="0"/>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1406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59" o:spid="_x0000_s118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8.95pt,57.8pt" to="536.75pt,57.8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1002665</wp:posOffset>
                </wp:positionH>
                <wp:positionV relativeFrom="page">
                  <wp:posOffset>1266190</wp:posOffset>
                </wp:positionV>
                <wp:extent cx="5814060" cy="0"/>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1406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60" o:spid="_x0000_s118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8.95pt,99.7pt" to="536.75pt,99.7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1002665</wp:posOffset>
                </wp:positionH>
                <wp:positionV relativeFrom="page">
                  <wp:posOffset>1798320</wp:posOffset>
                </wp:positionV>
                <wp:extent cx="5814060" cy="0"/>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1406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61" o:spid="_x0000_s118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8.95pt,141.6pt" to="536.75pt,141.6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1002665</wp:posOffset>
                </wp:positionH>
                <wp:positionV relativeFrom="page">
                  <wp:posOffset>2068195</wp:posOffset>
                </wp:positionV>
                <wp:extent cx="5814060" cy="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1406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62" o:spid="_x0000_s118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8.95pt,162.85pt" to="536.75pt,162.85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1002665</wp:posOffset>
                </wp:positionH>
                <wp:positionV relativeFrom="page">
                  <wp:posOffset>2337435</wp:posOffset>
                </wp:positionV>
                <wp:extent cx="5814060" cy="0"/>
                <wp:wrapNone/>
                <wp:docPr id="163" name="Shape 1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1406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63" o:spid="_x0000_s118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8.95pt,184.05pt" to="536.75pt,184.05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1002665</wp:posOffset>
                </wp:positionH>
                <wp:positionV relativeFrom="page">
                  <wp:posOffset>2606040</wp:posOffset>
                </wp:positionV>
                <wp:extent cx="5814060" cy="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1406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64" o:spid="_x0000_s118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8.95pt,205.2pt" to="536.75pt,205.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1002665</wp:posOffset>
                </wp:positionH>
                <wp:positionV relativeFrom="page">
                  <wp:posOffset>2875915</wp:posOffset>
                </wp:positionV>
                <wp:extent cx="5814060" cy="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1406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65" o:spid="_x0000_s119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8.95pt,226.45pt" to="536.75pt,226.45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1002665</wp:posOffset>
                </wp:positionH>
                <wp:positionV relativeFrom="page">
                  <wp:posOffset>3145790</wp:posOffset>
                </wp:positionV>
                <wp:extent cx="5814060" cy="0"/>
                <wp:wrapNone/>
                <wp:docPr id="166" name="Shape 1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1406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66" o:spid="_x0000_s119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8.95pt,247.7pt" to="536.75pt,247.7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1002665</wp:posOffset>
                </wp:positionH>
                <wp:positionV relativeFrom="page">
                  <wp:posOffset>3413760</wp:posOffset>
                </wp:positionV>
                <wp:extent cx="5814060" cy="0"/>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1406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67" o:spid="_x0000_s119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8.95pt,268.8pt" to="536.75pt,268.8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1005840</wp:posOffset>
                </wp:positionH>
                <wp:positionV relativeFrom="page">
                  <wp:posOffset>731520</wp:posOffset>
                </wp:positionV>
                <wp:extent cx="0" cy="3217545"/>
                <wp:wrapNone/>
                <wp:docPr id="168" name="Shape 1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21754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68" o:spid="_x0000_s119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9.2pt,57.6pt" to="79.2pt,310.95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2961640</wp:posOffset>
                </wp:positionH>
                <wp:positionV relativeFrom="page">
                  <wp:posOffset>731520</wp:posOffset>
                </wp:positionV>
                <wp:extent cx="0" cy="3217545"/>
                <wp:wrapNone/>
                <wp:docPr id="169" name="Shape 1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21754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69" o:spid="_x0000_s119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33.2pt,57.6pt" to="233.2pt,310.95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4886960</wp:posOffset>
                </wp:positionH>
                <wp:positionV relativeFrom="page">
                  <wp:posOffset>731520</wp:posOffset>
                </wp:positionV>
                <wp:extent cx="0" cy="3217545"/>
                <wp:wrapNone/>
                <wp:docPr id="170" name="Shape 1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21754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70" o:spid="_x0000_s119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384.8pt,57.6pt" to="384.8pt,310.95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6813550</wp:posOffset>
                </wp:positionH>
                <wp:positionV relativeFrom="page">
                  <wp:posOffset>731520</wp:posOffset>
                </wp:positionV>
                <wp:extent cx="0" cy="3217545"/>
                <wp:wrapNone/>
                <wp:docPr id="171" name="Shape 1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21754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71" o:spid="_x0000_s119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36.5pt,57.6pt" to="536.5pt,310.95pt" o:allowincell="f" strokecolor="#000000" strokeweight="0.4799pt">
                <w10:wrap anchorx="page" anchory="page"/>
              </v:line>
            </w:pict>
          </mc:Fallback>
        </mc:AlternateContent>
        <w:t>Net Profit/(Loss) before Tax</w:t>
      </w:r>
    </w:p>
    <w:p>
      <w:pPr>
        <w:spacing w:after="0" w:line="140" w:lineRule="exact"/>
        <w:rPr>
          <w:sz w:val="20"/>
          <w:szCs w:val="20"/>
          <w:color w:val="auto"/>
        </w:rPr>
      </w:pPr>
    </w:p>
    <w:p>
      <w:pPr>
        <w:ind w:left="368"/>
        <w:spacing w:after="0"/>
        <w:rPr>
          <w:sz w:val="20"/>
          <w:szCs w:val="20"/>
          <w:color w:val="auto"/>
        </w:rPr>
      </w:pPr>
      <w:r>
        <w:rPr>
          <w:rFonts w:ascii="Times New Roman" w:cs="Times New Roman" w:eastAsia="Times New Roman" w:hAnsi="Times New Roman"/>
          <w:sz w:val="24"/>
          <w:szCs w:val="24"/>
          <w:color w:val="auto"/>
        </w:rPr>
        <w:t>and extraordinary items</w:t>
      </w:r>
    </w:p>
    <w:p>
      <w:pPr>
        <w:spacing w:after="0" w:line="146" w:lineRule="exact"/>
        <w:rPr>
          <w:sz w:val="20"/>
          <w:szCs w:val="20"/>
          <w:color w:val="auto"/>
        </w:rPr>
      </w:pPr>
    </w:p>
    <w:p>
      <w:pPr>
        <w:ind w:left="368"/>
        <w:spacing w:after="0"/>
        <w:tabs>
          <w:tab w:leader="none" w:pos="1727" w:val="left"/>
          <w:tab w:leader="none" w:pos="2327" w:val="left"/>
          <w:tab w:leader="none" w:pos="2847" w:val="left"/>
        </w:tabs>
        <w:rPr>
          <w:sz w:val="20"/>
          <w:szCs w:val="20"/>
          <w:color w:val="auto"/>
        </w:rPr>
      </w:pPr>
      <w:r>
        <w:rPr>
          <w:rFonts w:ascii="Times New Roman" w:cs="Times New Roman" w:eastAsia="Times New Roman" w:hAnsi="Times New Roman"/>
          <w:sz w:val="24"/>
          <w:szCs w:val="24"/>
          <w:color w:val="auto"/>
        </w:rPr>
        <w:t>Profit/(Loss)</w:t>
        <w:tab/>
        <w:t>after</w:t>
        <w:tab/>
        <w:t>Tax</w:t>
        <w:tab/>
        <w:t>and</w:t>
      </w:r>
    </w:p>
    <w:p>
      <w:pPr>
        <w:spacing w:after="0" w:line="139" w:lineRule="exact"/>
        <w:rPr>
          <w:sz w:val="20"/>
          <w:szCs w:val="20"/>
          <w:color w:val="auto"/>
        </w:rPr>
      </w:pPr>
    </w:p>
    <w:p>
      <w:pPr>
        <w:ind w:left="368"/>
        <w:spacing w:after="0"/>
        <w:rPr>
          <w:sz w:val="20"/>
          <w:szCs w:val="20"/>
          <w:color w:val="auto"/>
        </w:rPr>
      </w:pPr>
      <w:r>
        <w:rPr>
          <w:rFonts w:ascii="Times New Roman" w:cs="Times New Roman" w:eastAsia="Times New Roman" w:hAnsi="Times New Roman"/>
          <w:sz w:val="24"/>
          <w:szCs w:val="24"/>
          <w:color w:val="auto"/>
        </w:rPr>
        <w:t>extraordinary items</w:t>
      </w:r>
    </w:p>
    <w:p>
      <w:pPr>
        <w:spacing w:after="0" w:line="146" w:lineRule="exact"/>
        <w:rPr>
          <w:sz w:val="20"/>
          <w:szCs w:val="20"/>
          <w:color w:val="auto"/>
        </w:rPr>
      </w:pPr>
    </w:p>
    <w:p>
      <w:pPr>
        <w:ind w:left="368"/>
        <w:spacing w:after="0"/>
        <w:rPr>
          <w:sz w:val="20"/>
          <w:szCs w:val="20"/>
          <w:color w:val="auto"/>
        </w:rPr>
      </w:pPr>
      <w:r>
        <w:rPr>
          <w:rFonts w:ascii="Times New Roman" w:cs="Times New Roman" w:eastAsia="Times New Roman" w:hAnsi="Times New Roman"/>
          <w:sz w:val="24"/>
          <w:szCs w:val="24"/>
          <w:color w:val="auto"/>
        </w:rPr>
        <w:t>Equity Share Capital</w:t>
      </w:r>
    </w:p>
    <w:p>
      <w:pPr>
        <w:spacing w:after="0" w:line="149" w:lineRule="exact"/>
        <w:rPr>
          <w:sz w:val="20"/>
          <w:szCs w:val="20"/>
          <w:color w:val="auto"/>
        </w:rPr>
      </w:pPr>
    </w:p>
    <w:p>
      <w:pPr>
        <w:ind w:left="368"/>
        <w:spacing w:after="0"/>
        <w:rPr>
          <w:sz w:val="20"/>
          <w:szCs w:val="20"/>
          <w:color w:val="auto"/>
        </w:rPr>
      </w:pPr>
      <w:r>
        <w:rPr>
          <w:rFonts w:ascii="Times New Roman" w:cs="Times New Roman" w:eastAsia="Times New Roman" w:hAnsi="Times New Roman"/>
          <w:sz w:val="24"/>
          <w:szCs w:val="24"/>
          <w:color w:val="auto"/>
        </w:rPr>
        <w:t>Reserves and Surplus</w:t>
      </w:r>
    </w:p>
    <w:p>
      <w:pPr>
        <w:spacing w:after="0" w:line="149" w:lineRule="exact"/>
        <w:rPr>
          <w:sz w:val="20"/>
          <w:szCs w:val="20"/>
          <w:color w:val="auto"/>
        </w:rPr>
      </w:pPr>
    </w:p>
    <w:p>
      <w:pPr>
        <w:ind w:left="368"/>
        <w:spacing w:after="0"/>
        <w:rPr>
          <w:sz w:val="20"/>
          <w:szCs w:val="20"/>
          <w:color w:val="auto"/>
        </w:rPr>
      </w:pPr>
      <w:r>
        <w:rPr>
          <w:rFonts w:ascii="Times New Roman" w:cs="Times New Roman" w:eastAsia="Times New Roman" w:hAnsi="Times New Roman"/>
          <w:sz w:val="24"/>
          <w:szCs w:val="24"/>
          <w:color w:val="auto"/>
        </w:rPr>
        <w:t>Net Worth</w:t>
      </w:r>
    </w:p>
    <w:p>
      <w:pPr>
        <w:spacing w:after="0" w:line="146" w:lineRule="exact"/>
        <w:rPr>
          <w:sz w:val="20"/>
          <w:szCs w:val="20"/>
          <w:color w:val="auto"/>
        </w:rPr>
      </w:pPr>
    </w:p>
    <w:p>
      <w:pPr>
        <w:ind w:left="368"/>
        <w:spacing w:after="0"/>
        <w:rPr>
          <w:sz w:val="20"/>
          <w:szCs w:val="20"/>
          <w:color w:val="auto"/>
        </w:rPr>
      </w:pPr>
      <w:r>
        <w:rPr>
          <w:rFonts w:ascii="Times New Roman" w:cs="Times New Roman" w:eastAsia="Times New Roman" w:hAnsi="Times New Roman"/>
          <w:sz w:val="24"/>
          <w:szCs w:val="24"/>
          <w:color w:val="auto"/>
        </w:rPr>
        <w:t>Basic earnings per share</w:t>
      </w:r>
    </w:p>
    <w:p>
      <w:pPr>
        <w:spacing w:after="0" w:line="149" w:lineRule="exact"/>
        <w:rPr>
          <w:sz w:val="20"/>
          <w:szCs w:val="20"/>
          <w:color w:val="auto"/>
        </w:rPr>
      </w:pPr>
    </w:p>
    <w:p>
      <w:pPr>
        <w:ind w:left="368"/>
        <w:spacing w:after="0"/>
        <w:rPr>
          <w:sz w:val="20"/>
          <w:szCs w:val="20"/>
          <w:color w:val="auto"/>
        </w:rPr>
      </w:pPr>
      <w:r>
        <w:rPr>
          <w:rFonts w:ascii="Times New Roman" w:cs="Times New Roman" w:eastAsia="Times New Roman" w:hAnsi="Times New Roman"/>
          <w:sz w:val="24"/>
          <w:szCs w:val="24"/>
          <w:color w:val="auto"/>
        </w:rPr>
        <w:t>Diluted earnings per share</w:t>
      </w:r>
    </w:p>
    <w:p>
      <w:pPr>
        <w:spacing w:after="0" w:line="149" w:lineRule="exact"/>
        <w:rPr>
          <w:sz w:val="20"/>
          <w:szCs w:val="20"/>
          <w:color w:val="auto"/>
        </w:rPr>
      </w:pPr>
    </w:p>
    <w:p>
      <w:pPr>
        <w:ind w:left="368"/>
        <w:spacing w:after="0"/>
        <w:rPr>
          <w:sz w:val="20"/>
          <w:szCs w:val="20"/>
          <w:color w:val="auto"/>
        </w:rPr>
      </w:pPr>
      <w:r>
        <w:rPr>
          <w:rFonts w:ascii="Times New Roman" w:cs="Times New Roman" w:eastAsia="Times New Roman" w:hAnsi="Times New Roman"/>
          <w:sz w:val="24"/>
          <w:szCs w:val="24"/>
          <w:color w:val="auto"/>
        </w:rPr>
        <w:t>Net asset value per share</w:t>
      </w:r>
    </w:p>
    <w:p>
      <w:pPr>
        <w:spacing w:after="0" w:line="146" w:lineRule="exact"/>
        <w:rPr>
          <w:sz w:val="20"/>
          <w:szCs w:val="20"/>
          <w:color w:val="auto"/>
        </w:rPr>
      </w:pPr>
    </w:p>
    <w:p>
      <w:pPr>
        <w:ind w:left="368"/>
        <w:spacing w:after="0"/>
        <w:tabs>
          <w:tab w:leader="none" w:pos="1327" w:val="left"/>
          <w:tab w:leader="none" w:pos="1907" w:val="left"/>
          <w:tab w:leader="none" w:pos="2587" w:val="left"/>
        </w:tabs>
        <w:rPr>
          <w:sz w:val="20"/>
          <w:szCs w:val="20"/>
          <w:color w:val="auto"/>
        </w:rPr>
      </w:pPr>
      <w:r>
        <w:rPr>
          <w:rFonts w:ascii="Times New Roman" w:cs="Times New Roman" w:eastAsia="Times New Roman" w:hAnsi="Times New Roman"/>
          <w:sz w:val="24"/>
          <w:szCs w:val="24"/>
          <w:color w:val="auto"/>
        </w:rPr>
        <w:t>Return</w:t>
      </w:r>
      <w:r>
        <w:rPr>
          <w:sz w:val="20"/>
          <w:szCs w:val="20"/>
          <w:color w:val="auto"/>
        </w:rPr>
        <w:tab/>
      </w:r>
      <w:r>
        <w:rPr>
          <w:rFonts w:ascii="Times New Roman" w:cs="Times New Roman" w:eastAsia="Times New Roman" w:hAnsi="Times New Roman"/>
          <w:sz w:val="24"/>
          <w:szCs w:val="24"/>
          <w:color w:val="auto"/>
        </w:rPr>
        <w:t>on</w:t>
      </w:r>
      <w:r>
        <w:rPr>
          <w:sz w:val="20"/>
          <w:szCs w:val="20"/>
          <w:color w:val="auto"/>
        </w:rPr>
        <w:tab/>
      </w:r>
      <w:r>
        <w:rPr>
          <w:rFonts w:ascii="Times New Roman" w:cs="Times New Roman" w:eastAsia="Times New Roman" w:hAnsi="Times New Roman"/>
          <w:sz w:val="24"/>
          <w:szCs w:val="24"/>
          <w:color w:val="auto"/>
        </w:rPr>
        <w:t>Net</w:t>
      </w:r>
      <w:r>
        <w:rPr>
          <w:sz w:val="20"/>
          <w:szCs w:val="20"/>
          <w:color w:val="auto"/>
        </w:rPr>
        <w:tab/>
      </w:r>
      <w:r>
        <w:rPr>
          <w:rFonts w:ascii="Times New Roman" w:cs="Times New Roman" w:eastAsia="Times New Roman" w:hAnsi="Times New Roman"/>
          <w:sz w:val="24"/>
          <w:szCs w:val="24"/>
          <w:color w:val="auto"/>
        </w:rPr>
        <w:t>Worth</w:t>
      </w:r>
    </w:p>
    <w:p>
      <w:pPr>
        <w:spacing w:after="0" w:line="139" w:lineRule="exact"/>
        <w:rPr>
          <w:sz w:val="20"/>
          <w:szCs w:val="20"/>
          <w:color w:val="auto"/>
        </w:rPr>
      </w:pPr>
    </w:p>
    <w:p>
      <w:pPr>
        <w:ind w:left="368"/>
        <w:spacing w:after="0"/>
        <w:rPr>
          <w:sz w:val="20"/>
          <w:szCs w:val="20"/>
          <w:color w:val="auto"/>
        </w:rPr>
      </w:pPr>
      <w:r>
        <w:rPr>
          <w:rFonts w:ascii="Times New Roman" w:cs="Times New Roman" w:eastAsia="Times New Roman" w:hAnsi="Times New Roman"/>
          <w:sz w:val="24"/>
          <w:szCs w:val="24"/>
          <w:color w:val="auto"/>
        </w:rPr>
        <w:t>(RONW)</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156845</wp:posOffset>
                </wp:positionH>
                <wp:positionV relativeFrom="paragraph">
                  <wp:posOffset>94615</wp:posOffset>
                </wp:positionV>
                <wp:extent cx="5813425" cy="0"/>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1342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72" o:spid="_x0000_s11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35pt,7.45pt" to="470.1pt,7.45pt" o:allowincell="f" strokecolor="#000000" strokeweight="0.4799pt"/>
            </w:pict>
          </mc:Fallback>
        </mc:AlternateContent>
      </w:r>
    </w:p>
    <w:p>
      <w:pPr>
        <w:spacing w:after="0" w:line="139" w:lineRule="exact"/>
        <w:rPr>
          <w:sz w:val="20"/>
          <w:szCs w:val="20"/>
          <w:color w:val="auto"/>
        </w:rPr>
      </w:pPr>
    </w:p>
    <w:p>
      <w:pPr>
        <w:ind w:left="368"/>
        <w:spacing w:after="0" w:line="350" w:lineRule="auto"/>
        <w:rPr>
          <w:sz w:val="20"/>
          <w:szCs w:val="20"/>
          <w:color w:val="auto"/>
        </w:rPr>
      </w:pPr>
      <w:r>
        <w:rPr>
          <w:rFonts w:ascii="Times New Roman" w:cs="Times New Roman" w:eastAsia="Times New Roman" w:hAnsi="Times New Roman"/>
          <w:sz w:val="24"/>
          <w:szCs w:val="24"/>
          <w:color w:val="auto"/>
        </w:rPr>
        <w:t>Note: Particulars mentioned above are indicative and may be suitably modified. Ratios cannot be annualised except RONW.</w:t>
      </w:r>
    </w:p>
    <w:p>
      <w:pPr>
        <w:spacing w:after="0" w:line="200" w:lineRule="exact"/>
        <w:rPr>
          <w:sz w:val="20"/>
          <w:szCs w:val="20"/>
          <w:color w:val="auto"/>
        </w:rPr>
      </w:pPr>
    </w:p>
    <w:p>
      <w:pPr>
        <w:spacing w:after="0" w:line="238" w:lineRule="exact"/>
        <w:rPr>
          <w:sz w:val="20"/>
          <w:szCs w:val="20"/>
          <w:color w:val="auto"/>
        </w:rPr>
      </w:pPr>
    </w:p>
    <w:p>
      <w:pPr>
        <w:ind w:left="368" w:hanging="368"/>
        <w:spacing w:after="0" w:line="348" w:lineRule="auto"/>
        <w:tabs>
          <w:tab w:leader="none" w:pos="459" w:val="left"/>
        </w:tabs>
        <w:numPr>
          <w:ilvl w:val="0"/>
          <w:numId w:val="106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Internal Risk Factors: (Minimum of top 5 but not exceeding top 10 internal risk factors to be provided. Word limit 500)</w:t>
      </w:r>
    </w:p>
    <w:p>
      <w:pPr>
        <w:spacing w:after="0" w:line="15" w:lineRule="exact"/>
        <w:rPr>
          <w:rFonts w:ascii="Times New Roman" w:cs="Times New Roman" w:eastAsia="Times New Roman" w:hAnsi="Times New Roman"/>
          <w:sz w:val="24"/>
          <w:szCs w:val="24"/>
          <w:color w:val="auto"/>
        </w:rPr>
      </w:pPr>
    </w:p>
    <w:p>
      <w:pPr>
        <w:ind w:left="448" w:hanging="448"/>
        <w:spacing w:after="0"/>
        <w:tabs>
          <w:tab w:leader="none" w:pos="448" w:val="left"/>
        </w:tabs>
        <w:numPr>
          <w:ilvl w:val="0"/>
          <w:numId w:val="106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Summary table of Outstanding Litigations as disclosed in the Letter of Offer.</w:t>
      </w:r>
    </w:p>
    <w:p>
      <w:pPr>
        <w:spacing w:after="0" w:line="149" w:lineRule="exact"/>
        <w:rPr>
          <w:rFonts w:ascii="Times New Roman" w:cs="Times New Roman" w:eastAsia="Times New Roman" w:hAnsi="Times New Roman"/>
          <w:sz w:val="24"/>
          <w:szCs w:val="24"/>
          <w:color w:val="auto"/>
        </w:rPr>
      </w:pPr>
    </w:p>
    <w:p>
      <w:pPr>
        <w:jc w:val="both"/>
        <w:ind w:left="368" w:hanging="368"/>
        <w:spacing w:after="0" w:line="354" w:lineRule="auto"/>
        <w:tabs>
          <w:tab w:leader="none" w:pos="459" w:val="left"/>
        </w:tabs>
        <w:numPr>
          <w:ilvl w:val="0"/>
          <w:numId w:val="106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Terms of the Issue: The abridged letter of offer shall also include the particulars of the issue including the procedure for application and renunciation as applicable for a rights issue and the following disclosures:</w:t>
      </w:r>
    </w:p>
    <w:p>
      <w:pPr>
        <w:spacing w:after="0" w:line="22" w:lineRule="exact"/>
        <w:rPr>
          <w:rFonts w:ascii="Times New Roman" w:cs="Times New Roman" w:eastAsia="Times New Roman" w:hAnsi="Times New Roman"/>
          <w:sz w:val="24"/>
          <w:szCs w:val="24"/>
          <w:color w:val="auto"/>
        </w:rPr>
      </w:pPr>
    </w:p>
    <w:p>
      <w:pPr>
        <w:ind w:left="728" w:hanging="404"/>
        <w:spacing w:after="0" w:line="348" w:lineRule="auto"/>
        <w:tabs>
          <w:tab w:leader="none" w:pos="692" w:val="left"/>
        </w:tabs>
        <w:numPr>
          <w:ilvl w:val="1"/>
          <w:numId w:val="106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Provisions pertaining to applications referred to in sub-regulations (1), (2) and (3) of regulation 78;</w:t>
      </w:r>
    </w:p>
    <w:p>
      <w:pPr>
        <w:spacing w:after="0" w:line="16" w:lineRule="exact"/>
        <w:rPr>
          <w:rFonts w:ascii="Times New Roman" w:cs="Times New Roman" w:eastAsia="Times New Roman" w:hAnsi="Times New Roman"/>
          <w:sz w:val="24"/>
          <w:szCs w:val="24"/>
          <w:color w:val="auto"/>
        </w:rPr>
      </w:pPr>
    </w:p>
    <w:p>
      <w:pPr>
        <w:ind w:left="688" w:hanging="364"/>
        <w:spacing w:after="0"/>
        <w:tabs>
          <w:tab w:leader="none" w:pos="688" w:val="left"/>
        </w:tabs>
        <w:numPr>
          <w:ilvl w:val="1"/>
          <w:numId w:val="106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Rights entitlement ratio;</w:t>
      </w:r>
    </w:p>
    <w:p>
      <w:pPr>
        <w:spacing w:after="0" w:line="136" w:lineRule="exact"/>
        <w:rPr>
          <w:rFonts w:ascii="Times New Roman" w:cs="Times New Roman" w:eastAsia="Times New Roman" w:hAnsi="Times New Roman"/>
          <w:sz w:val="24"/>
          <w:szCs w:val="24"/>
          <w:color w:val="auto"/>
        </w:rPr>
      </w:pPr>
    </w:p>
    <w:p>
      <w:pPr>
        <w:ind w:left="688" w:hanging="364"/>
        <w:spacing w:after="0"/>
        <w:tabs>
          <w:tab w:leader="none" w:pos="688" w:val="left"/>
        </w:tabs>
        <w:numPr>
          <w:ilvl w:val="1"/>
          <w:numId w:val="106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Fractional entitlements;</w:t>
      </w:r>
    </w:p>
    <w:p>
      <w:pPr>
        <w:spacing w:after="0" w:line="139" w:lineRule="exact"/>
        <w:rPr>
          <w:rFonts w:ascii="Times New Roman" w:cs="Times New Roman" w:eastAsia="Times New Roman" w:hAnsi="Times New Roman"/>
          <w:sz w:val="24"/>
          <w:szCs w:val="24"/>
          <w:color w:val="auto"/>
        </w:rPr>
      </w:pPr>
    </w:p>
    <w:p>
      <w:pPr>
        <w:ind w:left="688" w:hanging="364"/>
        <w:spacing w:after="0"/>
        <w:tabs>
          <w:tab w:leader="none" w:pos="688" w:val="left"/>
        </w:tabs>
        <w:numPr>
          <w:ilvl w:val="1"/>
          <w:numId w:val="106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Renunciation;</w:t>
      </w:r>
    </w:p>
    <w:p>
      <w:pPr>
        <w:spacing w:after="0" w:line="136" w:lineRule="exact"/>
        <w:rPr>
          <w:rFonts w:ascii="Times New Roman" w:cs="Times New Roman" w:eastAsia="Times New Roman" w:hAnsi="Times New Roman"/>
          <w:sz w:val="24"/>
          <w:szCs w:val="24"/>
          <w:color w:val="auto"/>
        </w:rPr>
      </w:pPr>
    </w:p>
    <w:p>
      <w:pPr>
        <w:ind w:left="688" w:hanging="364"/>
        <w:spacing w:after="0"/>
        <w:tabs>
          <w:tab w:leader="none" w:pos="688" w:val="left"/>
        </w:tabs>
        <w:numPr>
          <w:ilvl w:val="1"/>
          <w:numId w:val="106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Application for additional equity shares;</w:t>
      </w:r>
    </w:p>
    <w:p>
      <w:pPr>
        <w:spacing w:after="0" w:line="139" w:lineRule="exact"/>
        <w:rPr>
          <w:rFonts w:ascii="Times New Roman" w:cs="Times New Roman" w:eastAsia="Times New Roman" w:hAnsi="Times New Roman"/>
          <w:sz w:val="24"/>
          <w:szCs w:val="24"/>
          <w:color w:val="auto"/>
        </w:rPr>
      </w:pPr>
    </w:p>
    <w:p>
      <w:pPr>
        <w:ind w:left="688" w:hanging="364"/>
        <w:spacing w:after="0"/>
        <w:tabs>
          <w:tab w:leader="none" w:pos="688" w:val="left"/>
        </w:tabs>
        <w:numPr>
          <w:ilvl w:val="1"/>
          <w:numId w:val="106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Intention of promoters to subscribe to their rights entitlement;</w:t>
      </w:r>
    </w:p>
    <w:p>
      <w:pPr>
        <w:spacing w:after="0" w:line="149" w:lineRule="exact"/>
        <w:rPr>
          <w:rFonts w:ascii="Times New Roman" w:cs="Times New Roman" w:eastAsia="Times New Roman" w:hAnsi="Times New Roman"/>
          <w:sz w:val="24"/>
          <w:szCs w:val="24"/>
          <w:color w:val="auto"/>
        </w:rPr>
      </w:pPr>
    </w:p>
    <w:p>
      <w:pPr>
        <w:jc w:val="both"/>
        <w:ind w:left="728" w:hanging="404"/>
        <w:spacing w:after="0" w:line="354" w:lineRule="auto"/>
        <w:tabs>
          <w:tab w:leader="none" w:pos="692" w:val="left"/>
        </w:tabs>
        <w:numPr>
          <w:ilvl w:val="1"/>
          <w:numId w:val="106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Statement that a copy of the offer document of the immediately preceding public or rights issue is available in the manner specified in the regulations and also as a material document for inspection.</w:t>
      </w:r>
    </w:p>
    <w:p>
      <w:pPr>
        <w:spacing w:after="0" w:line="200" w:lineRule="exact"/>
        <w:rPr>
          <w:rFonts w:ascii="Times New Roman" w:cs="Times New Roman" w:eastAsia="Times New Roman" w:hAnsi="Times New Roman"/>
          <w:sz w:val="24"/>
          <w:szCs w:val="24"/>
          <w:color w:val="auto"/>
        </w:rPr>
      </w:pPr>
    </w:p>
    <w:p>
      <w:pPr>
        <w:spacing w:after="0" w:line="222" w:lineRule="exact"/>
        <w:rPr>
          <w:rFonts w:ascii="Times New Roman" w:cs="Times New Roman" w:eastAsia="Times New Roman" w:hAnsi="Times New Roman"/>
          <w:sz w:val="24"/>
          <w:szCs w:val="24"/>
          <w:color w:val="auto"/>
        </w:rPr>
      </w:pPr>
    </w:p>
    <w:p>
      <w:pPr>
        <w:ind w:left="448" w:hanging="448"/>
        <w:spacing w:after="0"/>
        <w:tabs>
          <w:tab w:leader="none" w:pos="448" w:val="left"/>
        </w:tabs>
        <w:numPr>
          <w:ilvl w:val="0"/>
          <w:numId w:val="106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other important information as per Lead Managers and the Issuer.</w:t>
      </w:r>
    </w:p>
    <w:p>
      <w:pPr>
        <w:spacing w:after="0" w:line="139" w:lineRule="exact"/>
        <w:rPr>
          <w:rFonts w:ascii="Times New Roman" w:cs="Times New Roman" w:eastAsia="Times New Roman" w:hAnsi="Times New Roman"/>
          <w:sz w:val="24"/>
          <w:szCs w:val="24"/>
          <w:color w:val="auto"/>
        </w:rPr>
      </w:pPr>
    </w:p>
    <w:p>
      <w:pPr>
        <w:ind w:left="448" w:hanging="448"/>
        <w:spacing w:after="0"/>
        <w:tabs>
          <w:tab w:leader="none" w:pos="448" w:val="left"/>
        </w:tabs>
        <w:numPr>
          <w:ilvl w:val="0"/>
          <w:numId w:val="106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Declaration: As included in Letter of Offer, with date and place mentioned.]</w:t>
      </w: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jc w:val="center"/>
        <w:ind w:right="172"/>
        <w:spacing w:after="0"/>
        <w:rPr>
          <w:sz w:val="20"/>
          <w:szCs w:val="20"/>
          <w:color w:val="auto"/>
        </w:rPr>
      </w:pPr>
      <w:r>
        <w:rPr>
          <w:rFonts w:ascii="Times New Roman" w:cs="Times New Roman" w:eastAsia="Times New Roman" w:hAnsi="Times New Roman"/>
          <w:sz w:val="24"/>
          <w:szCs w:val="24"/>
          <w:color w:val="auto"/>
        </w:rPr>
        <w:t>334</w:t>
      </w:r>
    </w:p>
    <w:p>
      <w:pPr>
        <w:sectPr>
          <w:pgSz w:w="11900" w:h="16836" w:orient="portrait"/>
          <w:cols w:equalWidth="0" w:num="1">
            <w:col w:w="9288"/>
          </w:cols>
          <w:pgMar w:left="1332" w:top="1154" w:right="1284" w:bottom="103" w:gutter="0" w:footer="0" w:header="0"/>
        </w:sectPr>
      </w:pPr>
    </w:p>
    <w:bookmarkStart w:id="334" w:name="page335"/>
    <w:bookmarkEnd w:id="334"/>
    <w:p>
      <w:pPr>
        <w:spacing w:after="0" w:line="200" w:lineRule="exact"/>
        <w:rPr>
          <w:sz w:val="20"/>
          <w:szCs w:val="20"/>
          <w:color w:val="auto"/>
        </w:rPr>
      </w:pPr>
    </w:p>
    <w:p>
      <w:pPr>
        <w:spacing w:after="0" w:line="338"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SCHEDULE VII - DISCLOSURES IN A PLACEMENT DOCUMENT</w:t>
      </w:r>
    </w:p>
    <w:p>
      <w:pPr>
        <w:spacing w:after="0" w:line="137"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[See regulations175(2)]</w:t>
      </w:r>
    </w:p>
    <w:p>
      <w:pPr>
        <w:spacing w:after="0" w:line="200" w:lineRule="exact"/>
        <w:rPr>
          <w:sz w:val="20"/>
          <w:szCs w:val="20"/>
          <w:color w:val="auto"/>
        </w:rPr>
      </w:pPr>
    </w:p>
    <w:p>
      <w:pPr>
        <w:spacing w:after="0" w:line="347" w:lineRule="exact"/>
        <w:rPr>
          <w:sz w:val="20"/>
          <w:szCs w:val="20"/>
          <w:color w:val="auto"/>
        </w:rPr>
      </w:pPr>
    </w:p>
    <w:p>
      <w:pPr>
        <w:ind w:left="568" w:hanging="568"/>
        <w:spacing w:after="0"/>
        <w:tabs>
          <w:tab w:leader="none" w:pos="568" w:val="left"/>
        </w:tabs>
        <w:numPr>
          <w:ilvl w:val="0"/>
          <w:numId w:val="1068"/>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Disclaimer</w:t>
      </w:r>
    </w:p>
    <w:p>
      <w:pPr>
        <w:spacing w:after="0" w:line="151" w:lineRule="exact"/>
        <w:rPr>
          <w:rFonts w:ascii="Times New Roman" w:cs="Times New Roman" w:eastAsia="Times New Roman" w:hAnsi="Times New Roman"/>
          <w:sz w:val="22"/>
          <w:szCs w:val="22"/>
          <w:color w:val="auto"/>
        </w:rPr>
      </w:pPr>
    </w:p>
    <w:p>
      <w:pPr>
        <w:jc w:val="both"/>
        <w:ind w:left="568"/>
        <w:spacing w:after="0" w:line="356" w:lineRule="auto"/>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“The preliminary placement document and placement document relates to an issue made to qualified institutional buyers under Chapter VI of the Securities and Exchange Board of India (Issue of Capital and Disclosure Requirements) Regulations, 2018 and that no offer is being made to the public or any other class of investors."</w:t>
      </w:r>
    </w:p>
    <w:p>
      <w:pPr>
        <w:spacing w:after="0" w:line="6" w:lineRule="exact"/>
        <w:rPr>
          <w:rFonts w:ascii="Times New Roman" w:cs="Times New Roman" w:eastAsia="Times New Roman" w:hAnsi="Times New Roman"/>
          <w:sz w:val="22"/>
          <w:szCs w:val="22"/>
          <w:color w:val="auto"/>
        </w:rPr>
      </w:pPr>
    </w:p>
    <w:p>
      <w:pPr>
        <w:ind w:left="568" w:hanging="568"/>
        <w:spacing w:after="0"/>
        <w:tabs>
          <w:tab w:leader="none" w:pos="568" w:val="left"/>
        </w:tabs>
        <w:numPr>
          <w:ilvl w:val="0"/>
          <w:numId w:val="1068"/>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Glossary of terms/abbreviations</w:t>
      </w:r>
    </w:p>
    <w:p>
      <w:pPr>
        <w:spacing w:after="0" w:line="136" w:lineRule="exact"/>
        <w:rPr>
          <w:rFonts w:ascii="Times New Roman" w:cs="Times New Roman" w:eastAsia="Times New Roman" w:hAnsi="Times New Roman"/>
          <w:sz w:val="22"/>
          <w:szCs w:val="22"/>
          <w:color w:val="auto"/>
        </w:rPr>
      </w:pPr>
    </w:p>
    <w:p>
      <w:pPr>
        <w:ind w:left="568" w:hanging="568"/>
        <w:spacing w:after="0"/>
        <w:tabs>
          <w:tab w:leader="none" w:pos="568" w:val="left"/>
        </w:tabs>
        <w:numPr>
          <w:ilvl w:val="0"/>
          <w:numId w:val="1068"/>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Lead manager(s) and other advisors</w:t>
      </w:r>
    </w:p>
    <w:p>
      <w:pPr>
        <w:spacing w:after="0" w:line="139" w:lineRule="exact"/>
        <w:rPr>
          <w:rFonts w:ascii="Times New Roman" w:cs="Times New Roman" w:eastAsia="Times New Roman" w:hAnsi="Times New Roman"/>
          <w:sz w:val="22"/>
          <w:szCs w:val="22"/>
          <w:color w:val="auto"/>
        </w:rPr>
      </w:pPr>
    </w:p>
    <w:p>
      <w:pPr>
        <w:ind w:left="568" w:hanging="568"/>
        <w:spacing w:after="0"/>
        <w:tabs>
          <w:tab w:leader="none" w:pos="568" w:val="left"/>
        </w:tabs>
        <w:numPr>
          <w:ilvl w:val="0"/>
          <w:numId w:val="1068"/>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Summary of the issue and the eligible security</w:t>
      </w:r>
    </w:p>
    <w:p>
      <w:pPr>
        <w:spacing w:after="0" w:line="136" w:lineRule="exact"/>
        <w:rPr>
          <w:rFonts w:ascii="Times New Roman" w:cs="Times New Roman" w:eastAsia="Times New Roman" w:hAnsi="Times New Roman"/>
          <w:sz w:val="22"/>
          <w:szCs w:val="22"/>
          <w:color w:val="auto"/>
        </w:rPr>
      </w:pPr>
    </w:p>
    <w:p>
      <w:pPr>
        <w:ind w:left="568" w:hanging="568"/>
        <w:spacing w:after="0"/>
        <w:tabs>
          <w:tab w:leader="none" w:pos="568" w:val="left"/>
        </w:tabs>
        <w:numPr>
          <w:ilvl w:val="0"/>
          <w:numId w:val="1068"/>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Risk factors</w:t>
      </w:r>
    </w:p>
    <w:p>
      <w:pPr>
        <w:spacing w:after="0" w:line="139" w:lineRule="exact"/>
        <w:rPr>
          <w:rFonts w:ascii="Times New Roman" w:cs="Times New Roman" w:eastAsia="Times New Roman" w:hAnsi="Times New Roman"/>
          <w:sz w:val="22"/>
          <w:szCs w:val="22"/>
          <w:color w:val="auto"/>
        </w:rPr>
      </w:pPr>
    </w:p>
    <w:p>
      <w:pPr>
        <w:ind w:left="568" w:hanging="568"/>
        <w:spacing w:after="0"/>
        <w:tabs>
          <w:tab w:leader="none" w:pos="568" w:val="left"/>
        </w:tabs>
        <w:numPr>
          <w:ilvl w:val="0"/>
          <w:numId w:val="1068"/>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Market prices:</w:t>
      </w:r>
    </w:p>
    <w:p>
      <w:pPr>
        <w:spacing w:after="0" w:line="149" w:lineRule="exact"/>
        <w:rPr>
          <w:rFonts w:ascii="Times New Roman" w:cs="Times New Roman" w:eastAsia="Times New Roman" w:hAnsi="Times New Roman"/>
          <w:sz w:val="22"/>
          <w:szCs w:val="22"/>
          <w:color w:val="auto"/>
        </w:rPr>
      </w:pPr>
    </w:p>
    <w:p>
      <w:pPr>
        <w:ind w:left="1148" w:hanging="572"/>
        <w:spacing w:after="0" w:line="350" w:lineRule="auto"/>
        <w:tabs>
          <w:tab w:leader="none" w:pos="1148" w:val="left"/>
        </w:tabs>
        <w:numPr>
          <w:ilvl w:val="1"/>
          <w:numId w:val="106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high, low and average market prices of the equity shares of the issuer during the preceding three years;</w:t>
      </w:r>
    </w:p>
    <w:p>
      <w:pPr>
        <w:spacing w:after="0" w:line="23" w:lineRule="exact"/>
        <w:rPr>
          <w:rFonts w:ascii="Times New Roman" w:cs="Times New Roman" w:eastAsia="Times New Roman" w:hAnsi="Times New Roman"/>
          <w:sz w:val="24"/>
          <w:szCs w:val="24"/>
          <w:color w:val="auto"/>
        </w:rPr>
      </w:pPr>
    </w:p>
    <w:p>
      <w:pPr>
        <w:ind w:left="1148" w:hanging="572"/>
        <w:spacing w:after="0" w:line="350" w:lineRule="auto"/>
        <w:tabs>
          <w:tab w:leader="none" w:pos="1148" w:val="left"/>
        </w:tabs>
        <w:numPr>
          <w:ilvl w:val="1"/>
          <w:numId w:val="106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monthly high and low prices for the six–month period preceding the date of filing of the preliminary placement document/placement document;</w:t>
      </w:r>
    </w:p>
    <w:p>
      <w:pPr>
        <w:spacing w:after="0" w:line="23" w:lineRule="exact"/>
        <w:rPr>
          <w:rFonts w:ascii="Times New Roman" w:cs="Times New Roman" w:eastAsia="Times New Roman" w:hAnsi="Times New Roman"/>
          <w:sz w:val="24"/>
          <w:szCs w:val="24"/>
          <w:color w:val="auto"/>
        </w:rPr>
      </w:pPr>
    </w:p>
    <w:p>
      <w:pPr>
        <w:jc w:val="both"/>
        <w:ind w:left="1148" w:hanging="572"/>
        <w:spacing w:after="0" w:line="358" w:lineRule="auto"/>
        <w:tabs>
          <w:tab w:leader="none" w:pos="1148" w:val="left"/>
        </w:tabs>
        <w:numPr>
          <w:ilvl w:val="1"/>
          <w:numId w:val="106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number of equity shares traded on the days when high and low prices were recorded in the relevant stock exchange during period of (a) and (b) above, and total volume traded on those dates; (stock market data referred to above shall be shown separately for periods marked by a change in capital structure, with such period commencing from the date the concerned stock exchange recognizes the change in the capital structure (e.g., when the equity shares have become ex-rights or ex-bonus)</w:t>
      </w:r>
    </w:p>
    <w:p>
      <w:pPr>
        <w:spacing w:after="0" w:line="14" w:lineRule="exact"/>
        <w:rPr>
          <w:rFonts w:ascii="Times New Roman" w:cs="Times New Roman" w:eastAsia="Times New Roman" w:hAnsi="Times New Roman"/>
          <w:sz w:val="24"/>
          <w:szCs w:val="24"/>
          <w:color w:val="auto"/>
        </w:rPr>
      </w:pPr>
    </w:p>
    <w:p>
      <w:pPr>
        <w:ind w:left="1148" w:hanging="572"/>
        <w:spacing w:after="0" w:line="350" w:lineRule="auto"/>
        <w:tabs>
          <w:tab w:leader="none" w:pos="1148" w:val="left"/>
        </w:tabs>
        <w:numPr>
          <w:ilvl w:val="1"/>
          <w:numId w:val="106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market price immediately after the date on which the resolution of the board of directors approving the issue was approved</w:t>
      </w:r>
    </w:p>
    <w:p>
      <w:pPr>
        <w:spacing w:after="0" w:line="23" w:lineRule="exact"/>
        <w:rPr>
          <w:rFonts w:ascii="Times New Roman" w:cs="Times New Roman" w:eastAsia="Times New Roman" w:hAnsi="Times New Roman"/>
          <w:sz w:val="24"/>
          <w:szCs w:val="24"/>
          <w:color w:val="auto"/>
        </w:rPr>
      </w:pPr>
    </w:p>
    <w:p>
      <w:pPr>
        <w:jc w:val="both"/>
        <w:ind w:left="1148" w:hanging="572"/>
        <w:spacing w:after="0" w:line="357" w:lineRule="auto"/>
        <w:tabs>
          <w:tab w:leader="none" w:pos="1148" w:val="left"/>
        </w:tabs>
        <w:numPr>
          <w:ilvl w:val="1"/>
          <w:numId w:val="106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volume of securities traded in each month during the six-month period preceding the date on which the preliminary placement document / placement document is filed with Registrar of Companies; (along with high, low and average prices of shares of the issuer, details relating to volume of business transacted should also be stated for respective periods.)</w:t>
      </w:r>
    </w:p>
    <w:p>
      <w:pPr>
        <w:spacing w:after="0" w:line="6"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068"/>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Use of proceeds:</w:t>
      </w:r>
    </w:p>
    <w:p>
      <w:pPr>
        <w:spacing w:after="0" w:line="136" w:lineRule="exact"/>
        <w:rPr>
          <w:rFonts w:ascii="Times New Roman" w:cs="Times New Roman" w:eastAsia="Times New Roman" w:hAnsi="Times New Roman"/>
          <w:sz w:val="22"/>
          <w:szCs w:val="22"/>
          <w:color w:val="auto"/>
        </w:rPr>
      </w:pPr>
    </w:p>
    <w:p>
      <w:pPr>
        <w:ind w:left="1168" w:hanging="536"/>
        <w:spacing w:after="0"/>
        <w:tabs>
          <w:tab w:leader="none" w:pos="1168" w:val="left"/>
        </w:tabs>
        <w:numPr>
          <w:ilvl w:val="2"/>
          <w:numId w:val="106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purpose of the placement;</w:t>
      </w:r>
    </w:p>
    <w:p>
      <w:pPr>
        <w:spacing w:after="0" w:line="139" w:lineRule="exact"/>
        <w:rPr>
          <w:rFonts w:ascii="Times New Roman" w:cs="Times New Roman" w:eastAsia="Times New Roman" w:hAnsi="Times New Roman"/>
          <w:sz w:val="24"/>
          <w:szCs w:val="24"/>
          <w:color w:val="auto"/>
        </w:rPr>
      </w:pPr>
    </w:p>
    <w:p>
      <w:pPr>
        <w:ind w:left="1168" w:hanging="536"/>
        <w:spacing w:after="0"/>
        <w:tabs>
          <w:tab w:leader="none" w:pos="1168" w:val="left"/>
        </w:tabs>
        <w:numPr>
          <w:ilvl w:val="2"/>
          <w:numId w:val="106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break-up of the cost of the project for which the money is being raised;</w:t>
      </w:r>
    </w:p>
    <w:p>
      <w:pPr>
        <w:spacing w:after="0" w:line="394"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335</w:t>
      </w:r>
    </w:p>
    <w:p>
      <w:pPr>
        <w:sectPr>
          <w:pgSz w:w="11900" w:h="16836" w:orient="portrait"/>
          <w:cols w:equalWidth="0" w:num="1">
            <w:col w:w="9468"/>
          </w:cols>
          <w:pgMar w:left="1152" w:top="1440" w:right="1284" w:bottom="103" w:gutter="0" w:footer="0" w:header="0"/>
        </w:sectPr>
      </w:pPr>
    </w:p>
    <w:bookmarkStart w:id="335" w:name="page336"/>
    <w:bookmarkEnd w:id="335"/>
    <w:p>
      <w:pPr>
        <w:ind w:left="1168" w:hanging="536"/>
        <w:spacing w:after="0"/>
        <w:tabs>
          <w:tab w:leader="none" w:pos="1168" w:val="left"/>
        </w:tabs>
        <w:numPr>
          <w:ilvl w:val="2"/>
          <w:numId w:val="106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means of financing for the project;</w:t>
      </w:r>
    </w:p>
    <w:p>
      <w:pPr>
        <w:spacing w:after="0" w:line="137" w:lineRule="exact"/>
        <w:rPr>
          <w:rFonts w:ascii="Times New Roman" w:cs="Times New Roman" w:eastAsia="Times New Roman" w:hAnsi="Times New Roman"/>
          <w:sz w:val="24"/>
          <w:szCs w:val="24"/>
          <w:color w:val="auto"/>
        </w:rPr>
      </w:pPr>
    </w:p>
    <w:p>
      <w:pPr>
        <w:ind w:left="1168" w:hanging="536"/>
        <w:spacing w:after="0"/>
        <w:tabs>
          <w:tab w:leader="none" w:pos="1168" w:val="left"/>
        </w:tabs>
        <w:numPr>
          <w:ilvl w:val="2"/>
          <w:numId w:val="106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proposed deployment status of the proceeds at each stage of the project.</w:t>
      </w:r>
    </w:p>
    <w:p>
      <w:pPr>
        <w:spacing w:after="0" w:line="139"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070"/>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Capitalization statement</w:t>
      </w:r>
    </w:p>
    <w:p>
      <w:pPr>
        <w:spacing w:after="0" w:line="136" w:lineRule="exact"/>
        <w:rPr>
          <w:rFonts w:ascii="Times New Roman" w:cs="Times New Roman" w:eastAsia="Times New Roman" w:hAnsi="Times New Roman"/>
          <w:sz w:val="22"/>
          <w:szCs w:val="22"/>
          <w:color w:val="auto"/>
        </w:rPr>
      </w:pPr>
    </w:p>
    <w:p>
      <w:pPr>
        <w:ind w:left="568" w:hanging="568"/>
        <w:spacing w:after="0"/>
        <w:tabs>
          <w:tab w:leader="none" w:pos="568" w:val="left"/>
        </w:tabs>
        <w:numPr>
          <w:ilvl w:val="0"/>
          <w:numId w:val="1070"/>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Dividends in the preceding three years prior to the date of the placement document.</w:t>
      </w:r>
    </w:p>
    <w:p>
      <w:pPr>
        <w:spacing w:after="0" w:line="139" w:lineRule="exact"/>
        <w:rPr>
          <w:rFonts w:ascii="Times New Roman" w:cs="Times New Roman" w:eastAsia="Times New Roman" w:hAnsi="Times New Roman"/>
          <w:sz w:val="22"/>
          <w:szCs w:val="22"/>
          <w:color w:val="auto"/>
        </w:rPr>
      </w:pPr>
    </w:p>
    <w:p>
      <w:pPr>
        <w:ind w:left="568" w:hanging="568"/>
        <w:spacing w:after="0"/>
        <w:tabs>
          <w:tab w:leader="none" w:pos="568" w:val="left"/>
        </w:tabs>
        <w:numPr>
          <w:ilvl w:val="0"/>
          <w:numId w:val="1070"/>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Selected financial and other information</w:t>
      </w:r>
    </w:p>
    <w:p>
      <w:pPr>
        <w:spacing w:after="0" w:line="149" w:lineRule="exact"/>
        <w:rPr>
          <w:rFonts w:ascii="Times New Roman" w:cs="Times New Roman" w:eastAsia="Times New Roman" w:hAnsi="Times New Roman"/>
          <w:sz w:val="22"/>
          <w:szCs w:val="22"/>
          <w:color w:val="auto"/>
        </w:rPr>
      </w:pPr>
    </w:p>
    <w:p>
      <w:pPr>
        <w:jc w:val="both"/>
        <w:ind w:left="568" w:hanging="568"/>
        <w:spacing w:after="0" w:line="354" w:lineRule="auto"/>
        <w:tabs>
          <w:tab w:leader="none" w:pos="568" w:val="left"/>
        </w:tabs>
        <w:numPr>
          <w:ilvl w:val="0"/>
          <w:numId w:val="1070"/>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The audited consolidated or unconsolidated financial statements, as applicable prepared in accordance with applicable accounting standards for the last three financial years. In addition, latest reviewed financials disclosed to the stock exchange.</w:t>
      </w:r>
    </w:p>
    <w:p>
      <w:pPr>
        <w:spacing w:after="0" w:line="22" w:lineRule="exact"/>
        <w:rPr>
          <w:rFonts w:ascii="Times New Roman" w:cs="Times New Roman" w:eastAsia="Times New Roman" w:hAnsi="Times New Roman"/>
          <w:sz w:val="22"/>
          <w:szCs w:val="22"/>
          <w:color w:val="auto"/>
        </w:rPr>
      </w:pPr>
    </w:p>
    <w:p>
      <w:pPr>
        <w:ind w:left="1088" w:hanging="512"/>
        <w:spacing w:after="0" w:line="342" w:lineRule="auto"/>
        <w:tabs>
          <w:tab w:leader="none" w:pos="1088" w:val="left"/>
        </w:tabs>
        <w:numPr>
          <w:ilvl w:val="1"/>
          <w:numId w:val="1070"/>
        </w:numPr>
        <w:rPr>
          <w:rFonts w:ascii="Calibri" w:cs="Calibri" w:eastAsia="Calibri" w:hAnsi="Calibri"/>
          <w:sz w:val="22"/>
          <w:szCs w:val="22"/>
          <w:color w:val="auto"/>
        </w:rPr>
      </w:pPr>
      <w:r>
        <w:rPr>
          <w:rFonts w:ascii="Times New Roman" w:cs="Times New Roman" w:eastAsia="Times New Roman" w:hAnsi="Times New Roman"/>
          <w:sz w:val="24"/>
          <w:szCs w:val="24"/>
          <w:color w:val="auto"/>
        </w:rPr>
        <w:t>Report of statutory auditor’s on the financial statements included in the preliminary placement document/placement document.</w:t>
      </w:r>
    </w:p>
    <w:p>
      <w:pPr>
        <w:spacing w:after="0" w:line="11" w:lineRule="exact"/>
        <w:rPr>
          <w:rFonts w:ascii="Calibri" w:cs="Calibri" w:eastAsia="Calibri" w:hAnsi="Calibri"/>
          <w:sz w:val="22"/>
          <w:szCs w:val="22"/>
          <w:color w:val="auto"/>
        </w:rPr>
      </w:pPr>
    </w:p>
    <w:p>
      <w:pPr>
        <w:ind w:left="1088" w:hanging="512"/>
        <w:spacing w:after="0"/>
        <w:tabs>
          <w:tab w:leader="none" w:pos="1088" w:val="left"/>
        </w:tabs>
        <w:numPr>
          <w:ilvl w:val="1"/>
          <w:numId w:val="1070"/>
        </w:numPr>
        <w:rPr>
          <w:rFonts w:ascii="Calibri" w:cs="Calibri" w:eastAsia="Calibri" w:hAnsi="Calibri"/>
          <w:sz w:val="22"/>
          <w:szCs w:val="22"/>
          <w:color w:val="auto"/>
        </w:rPr>
      </w:pPr>
      <w:r>
        <w:rPr>
          <w:rFonts w:ascii="Times New Roman" w:cs="Times New Roman" w:eastAsia="Times New Roman" w:hAnsi="Times New Roman"/>
          <w:sz w:val="24"/>
          <w:szCs w:val="24"/>
          <w:color w:val="auto"/>
        </w:rPr>
        <w:t>Balance sheets</w:t>
      </w:r>
    </w:p>
    <w:p>
      <w:pPr>
        <w:spacing w:after="0" w:line="129" w:lineRule="exact"/>
        <w:rPr>
          <w:rFonts w:ascii="Calibri" w:cs="Calibri" w:eastAsia="Calibri" w:hAnsi="Calibri"/>
          <w:sz w:val="22"/>
          <w:szCs w:val="22"/>
          <w:color w:val="auto"/>
        </w:rPr>
      </w:pPr>
    </w:p>
    <w:p>
      <w:pPr>
        <w:ind w:left="1088" w:hanging="512"/>
        <w:spacing w:after="0"/>
        <w:tabs>
          <w:tab w:leader="none" w:pos="1088" w:val="left"/>
        </w:tabs>
        <w:numPr>
          <w:ilvl w:val="1"/>
          <w:numId w:val="1070"/>
        </w:numPr>
        <w:rPr>
          <w:rFonts w:ascii="Calibri" w:cs="Calibri" w:eastAsia="Calibri" w:hAnsi="Calibri"/>
          <w:sz w:val="22"/>
          <w:szCs w:val="22"/>
          <w:color w:val="auto"/>
        </w:rPr>
      </w:pPr>
      <w:r>
        <w:rPr>
          <w:rFonts w:ascii="Times New Roman" w:cs="Times New Roman" w:eastAsia="Times New Roman" w:hAnsi="Times New Roman"/>
          <w:sz w:val="24"/>
          <w:szCs w:val="24"/>
          <w:color w:val="auto"/>
        </w:rPr>
        <w:t>Statements of income</w:t>
      </w:r>
    </w:p>
    <w:p>
      <w:pPr>
        <w:spacing w:after="0" w:line="132" w:lineRule="exact"/>
        <w:rPr>
          <w:rFonts w:ascii="Calibri" w:cs="Calibri" w:eastAsia="Calibri" w:hAnsi="Calibri"/>
          <w:sz w:val="22"/>
          <w:szCs w:val="22"/>
          <w:color w:val="auto"/>
        </w:rPr>
      </w:pPr>
    </w:p>
    <w:p>
      <w:pPr>
        <w:ind w:left="1088" w:hanging="512"/>
        <w:spacing w:after="0"/>
        <w:tabs>
          <w:tab w:leader="none" w:pos="1088" w:val="left"/>
        </w:tabs>
        <w:numPr>
          <w:ilvl w:val="1"/>
          <w:numId w:val="1070"/>
        </w:numPr>
        <w:rPr>
          <w:rFonts w:ascii="Calibri" w:cs="Calibri" w:eastAsia="Calibri" w:hAnsi="Calibri"/>
          <w:sz w:val="22"/>
          <w:szCs w:val="22"/>
          <w:color w:val="auto"/>
        </w:rPr>
      </w:pPr>
      <w:r>
        <w:rPr>
          <w:rFonts w:ascii="Times New Roman" w:cs="Times New Roman" w:eastAsia="Times New Roman" w:hAnsi="Times New Roman"/>
          <w:sz w:val="24"/>
          <w:szCs w:val="24"/>
          <w:color w:val="auto"/>
        </w:rPr>
        <w:t>Schedules to accounts</w:t>
      </w:r>
    </w:p>
    <w:p>
      <w:pPr>
        <w:spacing w:after="0" w:line="129" w:lineRule="exact"/>
        <w:rPr>
          <w:rFonts w:ascii="Calibri" w:cs="Calibri" w:eastAsia="Calibri" w:hAnsi="Calibri"/>
          <w:sz w:val="22"/>
          <w:szCs w:val="22"/>
          <w:color w:val="auto"/>
        </w:rPr>
      </w:pPr>
    </w:p>
    <w:p>
      <w:pPr>
        <w:ind w:left="1088" w:hanging="512"/>
        <w:spacing w:after="0"/>
        <w:tabs>
          <w:tab w:leader="none" w:pos="1088" w:val="left"/>
        </w:tabs>
        <w:numPr>
          <w:ilvl w:val="1"/>
          <w:numId w:val="1070"/>
        </w:numPr>
        <w:rPr>
          <w:rFonts w:ascii="Calibri" w:cs="Calibri" w:eastAsia="Calibri" w:hAnsi="Calibri"/>
          <w:sz w:val="22"/>
          <w:szCs w:val="22"/>
          <w:color w:val="auto"/>
        </w:rPr>
      </w:pPr>
      <w:r>
        <w:rPr>
          <w:rFonts w:ascii="Times New Roman" w:cs="Times New Roman" w:eastAsia="Times New Roman" w:hAnsi="Times New Roman"/>
          <w:sz w:val="24"/>
          <w:szCs w:val="24"/>
          <w:color w:val="auto"/>
        </w:rPr>
        <w:t>Statements of changes in stockholders’ equity</w:t>
      </w:r>
    </w:p>
    <w:p>
      <w:pPr>
        <w:spacing w:after="0" w:line="132" w:lineRule="exact"/>
        <w:rPr>
          <w:rFonts w:ascii="Calibri" w:cs="Calibri" w:eastAsia="Calibri" w:hAnsi="Calibri"/>
          <w:sz w:val="22"/>
          <w:szCs w:val="22"/>
          <w:color w:val="auto"/>
        </w:rPr>
      </w:pPr>
    </w:p>
    <w:p>
      <w:pPr>
        <w:ind w:left="1148" w:hanging="572"/>
        <w:spacing w:after="0"/>
        <w:tabs>
          <w:tab w:leader="none" w:pos="1148" w:val="left"/>
        </w:tabs>
        <w:numPr>
          <w:ilvl w:val="1"/>
          <w:numId w:val="1070"/>
        </w:numPr>
        <w:rPr>
          <w:rFonts w:ascii="Calibri" w:cs="Calibri" w:eastAsia="Calibri" w:hAnsi="Calibri"/>
          <w:sz w:val="22"/>
          <w:szCs w:val="22"/>
          <w:color w:val="auto"/>
        </w:rPr>
      </w:pPr>
      <w:r>
        <w:rPr>
          <w:rFonts w:ascii="Times New Roman" w:cs="Times New Roman" w:eastAsia="Times New Roman" w:hAnsi="Times New Roman"/>
          <w:sz w:val="24"/>
          <w:szCs w:val="24"/>
          <w:color w:val="auto"/>
        </w:rPr>
        <w:t>Statements of cash flows</w:t>
      </w:r>
    </w:p>
    <w:p>
      <w:pPr>
        <w:spacing w:after="0" w:line="129" w:lineRule="exact"/>
        <w:rPr>
          <w:rFonts w:ascii="Calibri" w:cs="Calibri" w:eastAsia="Calibri" w:hAnsi="Calibri"/>
          <w:sz w:val="22"/>
          <w:szCs w:val="22"/>
          <w:color w:val="auto"/>
        </w:rPr>
      </w:pPr>
    </w:p>
    <w:p>
      <w:pPr>
        <w:ind w:left="1088" w:hanging="512"/>
        <w:spacing w:after="0"/>
        <w:tabs>
          <w:tab w:leader="none" w:pos="1088" w:val="left"/>
        </w:tabs>
        <w:numPr>
          <w:ilvl w:val="1"/>
          <w:numId w:val="1070"/>
        </w:numPr>
        <w:rPr>
          <w:rFonts w:ascii="Calibri" w:cs="Calibri" w:eastAsia="Calibri" w:hAnsi="Calibri"/>
          <w:sz w:val="22"/>
          <w:szCs w:val="22"/>
          <w:color w:val="auto"/>
        </w:rPr>
      </w:pPr>
      <w:r>
        <w:rPr>
          <w:rFonts w:ascii="Times New Roman" w:cs="Times New Roman" w:eastAsia="Times New Roman" w:hAnsi="Times New Roman"/>
          <w:sz w:val="24"/>
          <w:szCs w:val="24"/>
          <w:color w:val="auto"/>
        </w:rPr>
        <w:t>Statement of accounting policies</w:t>
      </w:r>
    </w:p>
    <w:p>
      <w:pPr>
        <w:spacing w:after="0" w:line="132" w:lineRule="exact"/>
        <w:rPr>
          <w:rFonts w:ascii="Calibri" w:cs="Calibri" w:eastAsia="Calibri" w:hAnsi="Calibri"/>
          <w:sz w:val="22"/>
          <w:szCs w:val="22"/>
          <w:color w:val="auto"/>
        </w:rPr>
      </w:pPr>
    </w:p>
    <w:p>
      <w:pPr>
        <w:ind w:left="1088" w:hanging="512"/>
        <w:spacing w:after="0"/>
        <w:tabs>
          <w:tab w:leader="none" w:pos="1088" w:val="left"/>
        </w:tabs>
        <w:numPr>
          <w:ilvl w:val="1"/>
          <w:numId w:val="1070"/>
        </w:numPr>
        <w:rPr>
          <w:rFonts w:ascii="Calibri" w:cs="Calibri" w:eastAsia="Calibri" w:hAnsi="Calibri"/>
          <w:sz w:val="22"/>
          <w:szCs w:val="22"/>
          <w:color w:val="auto"/>
        </w:rPr>
      </w:pPr>
      <w:r>
        <w:rPr>
          <w:rFonts w:ascii="Times New Roman" w:cs="Times New Roman" w:eastAsia="Times New Roman" w:hAnsi="Times New Roman"/>
          <w:sz w:val="24"/>
          <w:szCs w:val="24"/>
          <w:color w:val="auto"/>
        </w:rPr>
        <w:t>Notes to financial statements</w:t>
      </w:r>
    </w:p>
    <w:p>
      <w:pPr>
        <w:spacing w:after="0" w:line="149" w:lineRule="exact"/>
        <w:rPr>
          <w:rFonts w:ascii="Calibri" w:cs="Calibri" w:eastAsia="Calibri" w:hAnsi="Calibri"/>
          <w:sz w:val="22"/>
          <w:szCs w:val="22"/>
          <w:color w:val="auto"/>
        </w:rPr>
      </w:pPr>
    </w:p>
    <w:p>
      <w:pPr>
        <w:ind w:left="1148" w:hanging="572"/>
        <w:spacing w:after="0" w:line="344" w:lineRule="auto"/>
        <w:tabs>
          <w:tab w:leader="none" w:pos="1136" w:val="left"/>
        </w:tabs>
        <w:numPr>
          <w:ilvl w:val="1"/>
          <w:numId w:val="1070"/>
        </w:numPr>
        <w:rPr>
          <w:rFonts w:ascii="Calibri" w:cs="Calibri" w:eastAsia="Calibri" w:hAnsi="Calibri"/>
          <w:sz w:val="22"/>
          <w:szCs w:val="22"/>
          <w:color w:val="auto"/>
        </w:rPr>
      </w:pPr>
      <w:r>
        <w:rPr>
          <w:rFonts w:ascii="Times New Roman" w:cs="Times New Roman" w:eastAsia="Times New Roman" w:hAnsi="Times New Roman"/>
          <w:sz w:val="24"/>
          <w:szCs w:val="24"/>
          <w:color w:val="auto"/>
        </w:rPr>
        <w:t>Statement relating to subsidiary companies (in case of unconsolidated financial statements)</w:t>
      </w:r>
    </w:p>
    <w:p>
      <w:pPr>
        <w:spacing w:after="0" w:line="200" w:lineRule="exact"/>
        <w:rPr>
          <w:rFonts w:ascii="Calibri" w:cs="Calibri" w:eastAsia="Calibri" w:hAnsi="Calibri"/>
          <w:sz w:val="22"/>
          <w:szCs w:val="22"/>
          <w:color w:val="auto"/>
        </w:rPr>
      </w:pPr>
    </w:p>
    <w:p>
      <w:pPr>
        <w:spacing w:after="0" w:line="229" w:lineRule="exact"/>
        <w:rPr>
          <w:rFonts w:ascii="Calibri" w:cs="Calibri" w:eastAsia="Calibri" w:hAnsi="Calibri"/>
          <w:sz w:val="22"/>
          <w:szCs w:val="22"/>
          <w:color w:val="auto"/>
        </w:rPr>
      </w:pPr>
    </w:p>
    <w:p>
      <w:pPr>
        <w:ind w:left="568" w:hanging="568"/>
        <w:spacing w:after="0"/>
        <w:tabs>
          <w:tab w:leader="none" w:pos="568" w:val="left"/>
        </w:tabs>
        <w:numPr>
          <w:ilvl w:val="0"/>
          <w:numId w:val="1070"/>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Management’s discussion and analysis of financial condition and results of operations</w:t>
      </w:r>
    </w:p>
    <w:p>
      <w:pPr>
        <w:spacing w:after="0" w:line="136" w:lineRule="exact"/>
        <w:rPr>
          <w:rFonts w:ascii="Times New Roman" w:cs="Times New Roman" w:eastAsia="Times New Roman" w:hAnsi="Times New Roman"/>
          <w:sz w:val="22"/>
          <w:szCs w:val="22"/>
          <w:color w:val="auto"/>
        </w:rPr>
      </w:pPr>
    </w:p>
    <w:p>
      <w:pPr>
        <w:ind w:left="568" w:hanging="568"/>
        <w:spacing w:after="0"/>
        <w:tabs>
          <w:tab w:leader="none" w:pos="568" w:val="left"/>
        </w:tabs>
        <w:numPr>
          <w:ilvl w:val="0"/>
          <w:numId w:val="1070"/>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Industry description</w:t>
      </w:r>
    </w:p>
    <w:p>
      <w:pPr>
        <w:spacing w:after="0" w:line="139" w:lineRule="exact"/>
        <w:rPr>
          <w:rFonts w:ascii="Times New Roman" w:cs="Times New Roman" w:eastAsia="Times New Roman" w:hAnsi="Times New Roman"/>
          <w:sz w:val="22"/>
          <w:szCs w:val="22"/>
          <w:color w:val="auto"/>
        </w:rPr>
      </w:pPr>
    </w:p>
    <w:p>
      <w:pPr>
        <w:ind w:left="568" w:hanging="568"/>
        <w:spacing w:after="0"/>
        <w:tabs>
          <w:tab w:leader="none" w:pos="568" w:val="left"/>
        </w:tabs>
        <w:numPr>
          <w:ilvl w:val="0"/>
          <w:numId w:val="1070"/>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Business description</w:t>
      </w:r>
    </w:p>
    <w:p>
      <w:pPr>
        <w:spacing w:after="0" w:line="137" w:lineRule="exact"/>
        <w:rPr>
          <w:rFonts w:ascii="Times New Roman" w:cs="Times New Roman" w:eastAsia="Times New Roman" w:hAnsi="Times New Roman"/>
          <w:sz w:val="22"/>
          <w:szCs w:val="22"/>
          <w:color w:val="auto"/>
        </w:rPr>
      </w:pPr>
    </w:p>
    <w:p>
      <w:pPr>
        <w:ind w:left="568" w:hanging="568"/>
        <w:spacing w:after="0"/>
        <w:tabs>
          <w:tab w:leader="none" w:pos="568" w:val="left"/>
        </w:tabs>
        <w:numPr>
          <w:ilvl w:val="0"/>
          <w:numId w:val="1070"/>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Organizational structure</w:t>
      </w:r>
    </w:p>
    <w:p>
      <w:pPr>
        <w:spacing w:after="0" w:line="139" w:lineRule="exact"/>
        <w:rPr>
          <w:rFonts w:ascii="Times New Roman" w:cs="Times New Roman" w:eastAsia="Times New Roman" w:hAnsi="Times New Roman"/>
          <w:sz w:val="22"/>
          <w:szCs w:val="22"/>
          <w:color w:val="auto"/>
        </w:rPr>
      </w:pPr>
    </w:p>
    <w:p>
      <w:pPr>
        <w:ind w:left="568" w:hanging="568"/>
        <w:spacing w:after="0"/>
        <w:tabs>
          <w:tab w:leader="none" w:pos="568" w:val="left"/>
        </w:tabs>
        <w:numPr>
          <w:ilvl w:val="0"/>
          <w:numId w:val="1070"/>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Board of directors and senior management</w:t>
      </w:r>
    </w:p>
    <w:p>
      <w:pPr>
        <w:spacing w:after="0" w:line="136" w:lineRule="exact"/>
        <w:rPr>
          <w:rFonts w:ascii="Times New Roman" w:cs="Times New Roman" w:eastAsia="Times New Roman" w:hAnsi="Times New Roman"/>
          <w:sz w:val="22"/>
          <w:szCs w:val="22"/>
          <w:color w:val="auto"/>
        </w:rPr>
      </w:pPr>
    </w:p>
    <w:p>
      <w:pPr>
        <w:ind w:left="568" w:hanging="568"/>
        <w:spacing w:after="0"/>
        <w:tabs>
          <w:tab w:leader="none" w:pos="568" w:val="left"/>
        </w:tabs>
        <w:numPr>
          <w:ilvl w:val="0"/>
          <w:numId w:val="1070"/>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Latest shareholding pattern as submitted to the stock exchange(s)</w:t>
      </w:r>
    </w:p>
    <w:p>
      <w:pPr>
        <w:spacing w:after="0" w:line="139" w:lineRule="exact"/>
        <w:rPr>
          <w:rFonts w:ascii="Times New Roman" w:cs="Times New Roman" w:eastAsia="Times New Roman" w:hAnsi="Times New Roman"/>
          <w:sz w:val="22"/>
          <w:szCs w:val="22"/>
          <w:color w:val="auto"/>
        </w:rPr>
      </w:pPr>
    </w:p>
    <w:p>
      <w:pPr>
        <w:ind w:left="568" w:hanging="568"/>
        <w:spacing w:after="0"/>
        <w:tabs>
          <w:tab w:leader="none" w:pos="568" w:val="left"/>
        </w:tabs>
        <w:numPr>
          <w:ilvl w:val="0"/>
          <w:numId w:val="1070"/>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Taxation aspects relating to the eligible securities</w:t>
      </w:r>
    </w:p>
    <w:p>
      <w:pPr>
        <w:spacing w:after="0" w:line="149" w:lineRule="exact"/>
        <w:rPr>
          <w:rFonts w:ascii="Times New Roman" w:cs="Times New Roman" w:eastAsia="Times New Roman" w:hAnsi="Times New Roman"/>
          <w:sz w:val="22"/>
          <w:szCs w:val="22"/>
          <w:color w:val="auto"/>
        </w:rPr>
      </w:pPr>
    </w:p>
    <w:p>
      <w:pPr>
        <w:jc w:val="both"/>
        <w:ind w:left="568" w:hanging="568"/>
        <w:spacing w:after="0" w:line="354" w:lineRule="auto"/>
        <w:tabs>
          <w:tab w:leader="none" w:pos="568" w:val="left"/>
        </w:tabs>
        <w:numPr>
          <w:ilvl w:val="0"/>
          <w:numId w:val="1070"/>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Legal proceedings to be disclosed in accordance with the materiality policy framed under the Securities and Exchange Board of India (Listing Obligations and Disclosure Requirements) Regulations, 2015</w:t>
      </w:r>
    </w:p>
    <w:p>
      <w:pPr>
        <w:spacing w:after="0" w:line="9" w:lineRule="exact"/>
        <w:rPr>
          <w:rFonts w:ascii="Times New Roman" w:cs="Times New Roman" w:eastAsia="Times New Roman" w:hAnsi="Times New Roman"/>
          <w:sz w:val="22"/>
          <w:szCs w:val="22"/>
          <w:color w:val="auto"/>
        </w:rPr>
      </w:pPr>
    </w:p>
    <w:p>
      <w:pPr>
        <w:ind w:left="568" w:hanging="568"/>
        <w:spacing w:after="0"/>
        <w:tabs>
          <w:tab w:leader="none" w:pos="568" w:val="left"/>
        </w:tabs>
        <w:numPr>
          <w:ilvl w:val="0"/>
          <w:numId w:val="1070"/>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Auditors</w:t>
      </w:r>
    </w:p>
    <w:p>
      <w:pPr>
        <w:spacing w:after="0" w:line="137" w:lineRule="exact"/>
        <w:rPr>
          <w:rFonts w:ascii="Times New Roman" w:cs="Times New Roman" w:eastAsia="Times New Roman" w:hAnsi="Times New Roman"/>
          <w:sz w:val="22"/>
          <w:szCs w:val="22"/>
          <w:color w:val="auto"/>
        </w:rPr>
      </w:pPr>
    </w:p>
    <w:p>
      <w:pPr>
        <w:ind w:left="568" w:hanging="568"/>
        <w:spacing w:after="0"/>
        <w:tabs>
          <w:tab w:leader="none" w:pos="568" w:val="left"/>
        </w:tabs>
        <w:numPr>
          <w:ilvl w:val="0"/>
          <w:numId w:val="1070"/>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General information</w:t>
      </w:r>
    </w:p>
    <w:p>
      <w:pPr>
        <w:spacing w:after="0" w:line="151" w:lineRule="exact"/>
        <w:rPr>
          <w:rFonts w:ascii="Times New Roman" w:cs="Times New Roman" w:eastAsia="Times New Roman" w:hAnsi="Times New Roman"/>
          <w:sz w:val="22"/>
          <w:szCs w:val="22"/>
          <w:color w:val="auto"/>
        </w:rPr>
      </w:pPr>
    </w:p>
    <w:p>
      <w:pPr>
        <w:ind w:left="568" w:hanging="568"/>
        <w:spacing w:after="0" w:line="348" w:lineRule="auto"/>
        <w:tabs>
          <w:tab w:leader="none" w:pos="568" w:val="left"/>
        </w:tabs>
        <w:numPr>
          <w:ilvl w:val="0"/>
          <w:numId w:val="1070"/>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Such other information as is material and appropriate to enable investors to make an informed investment decision.</w:t>
      </w: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336</w:t>
      </w:r>
    </w:p>
    <w:p>
      <w:pPr>
        <w:sectPr>
          <w:pgSz w:w="11900" w:h="16836" w:orient="portrait"/>
          <w:cols w:equalWidth="0" w:num="1">
            <w:col w:w="9468"/>
          </w:cols>
          <w:pgMar w:left="1152" w:top="1144" w:right="1284" w:bottom="103" w:gutter="0" w:footer="0" w:header="0"/>
        </w:sectPr>
      </w:pPr>
    </w:p>
    <w:bookmarkStart w:id="336" w:name="page337"/>
    <w:bookmarkEnd w:id="336"/>
    <w:p>
      <w:pPr>
        <w:jc w:val="both"/>
        <w:ind w:left="568" w:hanging="568"/>
        <w:spacing w:after="0" w:line="354" w:lineRule="auto"/>
        <w:tabs>
          <w:tab w:leader="none" w:pos="568" w:val="left"/>
        </w:tabs>
        <w:numPr>
          <w:ilvl w:val="0"/>
          <w:numId w:val="1071"/>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Disclosures pertaining to wilful defaulters: If the issuer or any of its promoter or director has been declared as a wilful defaulter in the last ten years, it shall make the following disclosures with respect to each such person separately:</w:t>
      </w:r>
    </w:p>
    <w:p>
      <w:pPr>
        <w:spacing w:after="0" w:line="7" w:lineRule="exact"/>
        <w:rPr>
          <w:rFonts w:ascii="Times New Roman" w:cs="Times New Roman" w:eastAsia="Times New Roman" w:hAnsi="Times New Roman"/>
          <w:sz w:val="22"/>
          <w:szCs w:val="22"/>
          <w:color w:val="auto"/>
        </w:rPr>
      </w:pPr>
    </w:p>
    <w:p>
      <w:pPr>
        <w:ind w:left="948" w:hanging="316"/>
        <w:spacing w:after="0"/>
        <w:tabs>
          <w:tab w:leader="none" w:pos="948" w:val="left"/>
        </w:tabs>
        <w:numPr>
          <w:ilvl w:val="1"/>
          <w:numId w:val="10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 of the person declared as a wilful defaulter;</w:t>
      </w:r>
    </w:p>
    <w:p>
      <w:pPr>
        <w:spacing w:after="0" w:line="139" w:lineRule="exact"/>
        <w:rPr>
          <w:rFonts w:ascii="Times New Roman" w:cs="Times New Roman" w:eastAsia="Times New Roman" w:hAnsi="Times New Roman"/>
          <w:sz w:val="24"/>
          <w:szCs w:val="24"/>
          <w:color w:val="auto"/>
        </w:rPr>
      </w:pPr>
    </w:p>
    <w:p>
      <w:pPr>
        <w:ind w:left="968" w:hanging="336"/>
        <w:spacing w:after="0"/>
        <w:tabs>
          <w:tab w:leader="none" w:pos="968" w:val="left"/>
        </w:tabs>
        <w:numPr>
          <w:ilvl w:val="1"/>
          <w:numId w:val="10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 of the bank declaring the person as a wilful defaulter;</w:t>
      </w:r>
    </w:p>
    <w:p>
      <w:pPr>
        <w:spacing w:after="0" w:line="136" w:lineRule="exact"/>
        <w:rPr>
          <w:rFonts w:ascii="Times New Roman" w:cs="Times New Roman" w:eastAsia="Times New Roman" w:hAnsi="Times New Roman"/>
          <w:sz w:val="24"/>
          <w:szCs w:val="24"/>
          <w:color w:val="auto"/>
        </w:rPr>
      </w:pPr>
    </w:p>
    <w:p>
      <w:pPr>
        <w:ind w:left="948" w:hanging="316"/>
        <w:spacing w:after="0"/>
        <w:tabs>
          <w:tab w:leader="none" w:pos="948" w:val="left"/>
        </w:tabs>
        <w:numPr>
          <w:ilvl w:val="1"/>
          <w:numId w:val="10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Year in which the person was declared as a wilful defaulter;</w:t>
      </w:r>
    </w:p>
    <w:p>
      <w:pPr>
        <w:spacing w:after="0" w:line="139" w:lineRule="exact"/>
        <w:rPr>
          <w:rFonts w:ascii="Times New Roman" w:cs="Times New Roman" w:eastAsia="Times New Roman" w:hAnsi="Times New Roman"/>
          <w:sz w:val="24"/>
          <w:szCs w:val="24"/>
          <w:color w:val="auto"/>
        </w:rPr>
      </w:pPr>
    </w:p>
    <w:p>
      <w:pPr>
        <w:ind w:left="968" w:hanging="336"/>
        <w:spacing w:after="0"/>
        <w:tabs>
          <w:tab w:leader="none" w:pos="968" w:val="left"/>
        </w:tabs>
        <w:numPr>
          <w:ilvl w:val="1"/>
          <w:numId w:val="10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Outstanding amount when the person was declared as a wilful defaulter;</w:t>
      </w:r>
    </w:p>
    <w:p>
      <w:pPr>
        <w:spacing w:after="0" w:line="149" w:lineRule="exact"/>
        <w:rPr>
          <w:rFonts w:ascii="Times New Roman" w:cs="Times New Roman" w:eastAsia="Times New Roman" w:hAnsi="Times New Roman"/>
          <w:sz w:val="24"/>
          <w:szCs w:val="24"/>
          <w:color w:val="auto"/>
        </w:rPr>
      </w:pPr>
    </w:p>
    <w:p>
      <w:pPr>
        <w:ind w:left="1888" w:hanging="1256"/>
        <w:spacing w:after="0" w:line="350" w:lineRule="auto"/>
        <w:tabs>
          <w:tab w:leader="none" w:pos="1004" w:val="left"/>
        </w:tabs>
        <w:numPr>
          <w:ilvl w:val="1"/>
          <w:numId w:val="10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Steps taken, if any, by the person for removal of its name from the list of wilful defaulters;</w:t>
      </w:r>
    </w:p>
    <w:p>
      <w:pPr>
        <w:spacing w:after="0" w:line="23" w:lineRule="exact"/>
        <w:rPr>
          <w:rFonts w:ascii="Times New Roman" w:cs="Times New Roman" w:eastAsia="Times New Roman" w:hAnsi="Times New Roman"/>
          <w:sz w:val="24"/>
          <w:szCs w:val="24"/>
          <w:color w:val="auto"/>
        </w:rPr>
      </w:pPr>
    </w:p>
    <w:p>
      <w:pPr>
        <w:ind w:left="908" w:hanging="276"/>
        <w:spacing w:after="0" w:line="350" w:lineRule="auto"/>
        <w:tabs>
          <w:tab w:leader="none" w:pos="965" w:val="left"/>
        </w:tabs>
        <w:numPr>
          <w:ilvl w:val="1"/>
          <w:numId w:val="10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Other disclosures, as deemed fit by the issuer, in order to enable investors to take an informed decision;</w:t>
      </w:r>
    </w:p>
    <w:p>
      <w:pPr>
        <w:spacing w:after="0" w:line="10" w:lineRule="exact"/>
        <w:rPr>
          <w:rFonts w:ascii="Times New Roman" w:cs="Times New Roman" w:eastAsia="Times New Roman" w:hAnsi="Times New Roman"/>
          <w:sz w:val="24"/>
          <w:szCs w:val="24"/>
          <w:color w:val="auto"/>
        </w:rPr>
      </w:pPr>
    </w:p>
    <w:p>
      <w:pPr>
        <w:ind w:left="968" w:hanging="336"/>
        <w:spacing w:after="0"/>
        <w:tabs>
          <w:tab w:leader="none" w:pos="968" w:val="left"/>
        </w:tabs>
        <w:numPr>
          <w:ilvl w:val="1"/>
          <w:numId w:val="10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other disclosure as specified by the Board.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SCHEDULE VIII - DISCLOSURES IN OFFER DOCUMENT AND ABRIDGED</w:t>
      </w:r>
    </w:p>
    <w:p>
      <w:pPr>
        <w:spacing w:after="0" w:line="137"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PROSPECTUS AND LETTER OF OFFER FOR ISSUE OF INDIAN DEPOSITORY</w:t>
      </w:r>
    </w:p>
    <w:p>
      <w:pPr>
        <w:spacing w:after="0" w:line="140"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RECEIPTS</w:t>
      </w:r>
    </w:p>
    <w:p>
      <w:pPr>
        <w:spacing w:after="0" w:line="137"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[See regulations 185(2)(b), 193(1), 200(1), 218(2) and 222(1)]</w:t>
      </w:r>
    </w:p>
    <w:p>
      <w:pPr>
        <w:spacing w:after="0" w:line="200" w:lineRule="exact"/>
        <w:rPr>
          <w:sz w:val="20"/>
          <w:szCs w:val="20"/>
          <w:color w:val="auto"/>
        </w:rPr>
      </w:pPr>
    </w:p>
    <w:p>
      <w:pPr>
        <w:spacing w:after="0" w:line="352"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Part A - Disclosures in offer document for issue of Indian depository receipts</w:t>
      </w:r>
    </w:p>
    <w:p>
      <w:pPr>
        <w:spacing w:after="0" w:line="200" w:lineRule="exact"/>
        <w:rPr>
          <w:sz w:val="20"/>
          <w:szCs w:val="20"/>
          <w:color w:val="auto"/>
        </w:rPr>
      </w:pPr>
    </w:p>
    <w:p>
      <w:pPr>
        <w:spacing w:after="0" w:line="352"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[See regulation 185(2)(b) and 200(1)]</w:t>
      </w:r>
    </w:p>
    <w:p>
      <w:pPr>
        <w:spacing w:after="0" w:line="200" w:lineRule="exact"/>
        <w:rPr>
          <w:sz w:val="20"/>
          <w:szCs w:val="20"/>
          <w:color w:val="auto"/>
        </w:rPr>
      </w:pPr>
    </w:p>
    <w:p>
      <w:pPr>
        <w:spacing w:after="0" w:line="360" w:lineRule="exact"/>
        <w:rPr>
          <w:sz w:val="20"/>
          <w:szCs w:val="20"/>
          <w:color w:val="auto"/>
        </w:rPr>
      </w:pPr>
    </w:p>
    <w:p>
      <w:pPr>
        <w:ind w:left="8"/>
        <w:spacing w:after="0" w:line="350" w:lineRule="auto"/>
        <w:rPr>
          <w:sz w:val="20"/>
          <w:szCs w:val="20"/>
          <w:color w:val="auto"/>
        </w:rPr>
      </w:pPr>
      <w:r>
        <w:rPr>
          <w:rFonts w:ascii="Times New Roman" w:cs="Times New Roman" w:eastAsia="Times New Roman" w:hAnsi="Times New Roman"/>
          <w:sz w:val="24"/>
          <w:szCs w:val="24"/>
          <w:color w:val="auto"/>
        </w:rPr>
        <w:t>A prospectus for issue of Indian Depository Receipts (IDR) shall contain details as specified herein.</w:t>
      </w:r>
    </w:p>
    <w:p>
      <w:pPr>
        <w:spacing w:after="0" w:line="200" w:lineRule="exact"/>
        <w:rPr>
          <w:sz w:val="20"/>
          <w:szCs w:val="20"/>
          <w:color w:val="auto"/>
        </w:rPr>
      </w:pPr>
    </w:p>
    <w:p>
      <w:pPr>
        <w:spacing w:after="0" w:line="231" w:lineRule="exact"/>
        <w:rPr>
          <w:sz w:val="20"/>
          <w:szCs w:val="20"/>
          <w:color w:val="auto"/>
        </w:rPr>
      </w:pPr>
    </w:p>
    <w:p>
      <w:pPr>
        <w:ind w:left="568" w:hanging="568"/>
        <w:spacing w:after="0"/>
        <w:tabs>
          <w:tab w:leader="none" w:pos="568" w:val="left"/>
        </w:tabs>
        <w:numPr>
          <w:ilvl w:val="0"/>
          <w:numId w:val="107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General instructions with respect to contents of the offer document:</w:t>
      </w:r>
    </w:p>
    <w:p>
      <w:pPr>
        <w:spacing w:after="0" w:line="144" w:lineRule="exact"/>
        <w:rPr>
          <w:rFonts w:ascii="Times New Roman" w:cs="Times New Roman" w:eastAsia="Times New Roman" w:hAnsi="Times New Roman"/>
          <w:sz w:val="24"/>
          <w:szCs w:val="24"/>
          <w:color w:val="auto"/>
        </w:rPr>
      </w:pPr>
    </w:p>
    <w:p>
      <w:pPr>
        <w:jc w:val="both"/>
        <w:ind w:left="1148" w:hanging="572"/>
        <w:spacing w:after="0" w:line="354" w:lineRule="auto"/>
        <w:tabs>
          <w:tab w:leader="none" w:pos="1148" w:val="left"/>
        </w:tabs>
        <w:numPr>
          <w:ilvl w:val="1"/>
          <w:numId w:val="1072"/>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The lead manager(s) has the option to file the draft prospectus as a public filing or as a confidential filing, accompanied with fees as prescribed in Rule 5(1)(ii) of the Companies (Issue of Indian Depository Receipts) Rules, 2004.</w:t>
      </w:r>
    </w:p>
    <w:p>
      <w:pPr>
        <w:spacing w:after="0" w:line="22" w:lineRule="exact"/>
        <w:rPr>
          <w:rFonts w:ascii="Times New Roman" w:cs="Times New Roman" w:eastAsia="Times New Roman" w:hAnsi="Times New Roman"/>
          <w:sz w:val="22"/>
          <w:szCs w:val="22"/>
          <w:color w:val="auto"/>
        </w:rPr>
      </w:pPr>
    </w:p>
    <w:p>
      <w:pPr>
        <w:jc w:val="both"/>
        <w:ind w:left="1148" w:hanging="572"/>
        <w:spacing w:after="0" w:line="357" w:lineRule="auto"/>
        <w:tabs>
          <w:tab w:leader="none" w:pos="1148" w:val="left"/>
        </w:tabs>
        <w:numPr>
          <w:ilvl w:val="1"/>
          <w:numId w:val="1072"/>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Where the lead manager(s) opts for confidential filing of the draft prospectus, it shall subsequently file an updated draft prospectus with the Board (without payment of any additional fees), after incorporating therein changes, if any, specified by the Board. The updated draft prospectus shall be made public for a period of twenty one days from the date of its filing with the Board.</w:t>
      </w:r>
    </w:p>
    <w:p>
      <w:pPr>
        <w:spacing w:after="0" w:line="26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337</w:t>
      </w:r>
    </w:p>
    <w:p>
      <w:pPr>
        <w:sectPr>
          <w:pgSz w:w="11900" w:h="16836" w:orient="portrait"/>
          <w:cols w:equalWidth="0" w:num="1">
            <w:col w:w="9468"/>
          </w:cols>
          <w:pgMar w:left="1152" w:top="1156" w:right="1284" w:bottom="103" w:gutter="0" w:footer="0" w:header="0"/>
        </w:sectPr>
      </w:pPr>
    </w:p>
    <w:bookmarkStart w:id="337" w:name="page338"/>
    <w:bookmarkEnd w:id="337"/>
    <w:p>
      <w:pPr>
        <w:ind w:left="1148" w:hanging="572"/>
        <w:spacing w:after="0" w:line="348" w:lineRule="auto"/>
        <w:tabs>
          <w:tab w:leader="none" w:pos="1148" w:val="left"/>
        </w:tabs>
        <w:numPr>
          <w:ilvl w:val="1"/>
          <w:numId w:val="1073"/>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The contents of the prospectus including the financial statements of the issuing company, its subsidiaries and associates shall be in simple English.</w:t>
      </w:r>
    </w:p>
    <w:p>
      <w:pPr>
        <w:spacing w:after="0" w:line="28" w:lineRule="exact"/>
        <w:rPr>
          <w:rFonts w:ascii="Times New Roman" w:cs="Times New Roman" w:eastAsia="Times New Roman" w:hAnsi="Times New Roman"/>
          <w:sz w:val="22"/>
          <w:szCs w:val="22"/>
          <w:color w:val="auto"/>
        </w:rPr>
      </w:pPr>
    </w:p>
    <w:p>
      <w:pPr>
        <w:jc w:val="both"/>
        <w:ind w:left="1148" w:hanging="572"/>
        <w:spacing w:after="0" w:line="354" w:lineRule="auto"/>
        <w:tabs>
          <w:tab w:leader="none" w:pos="1148" w:val="left"/>
        </w:tabs>
        <w:numPr>
          <w:ilvl w:val="1"/>
          <w:numId w:val="1073"/>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The term “associate” for the purpose of this Schedule would mean “associate” as defined in Indian Accounting Standards, or IFRS or US GAAP in which the financial statements of the issuing company are disclosed.</w:t>
      </w:r>
    </w:p>
    <w:p>
      <w:pPr>
        <w:spacing w:after="0" w:line="19" w:lineRule="exact"/>
        <w:rPr>
          <w:rFonts w:ascii="Times New Roman" w:cs="Times New Roman" w:eastAsia="Times New Roman" w:hAnsi="Times New Roman"/>
          <w:sz w:val="22"/>
          <w:szCs w:val="22"/>
          <w:color w:val="auto"/>
        </w:rPr>
      </w:pPr>
    </w:p>
    <w:p>
      <w:pPr>
        <w:ind w:left="1148" w:hanging="572"/>
        <w:spacing w:after="0" w:line="350" w:lineRule="auto"/>
        <w:tabs>
          <w:tab w:leader="none" w:pos="1148" w:val="left"/>
        </w:tabs>
        <w:numPr>
          <w:ilvl w:val="1"/>
          <w:numId w:val="1073"/>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The prospectus shall contain all material information which shall be true and adequate so as to enable the investors to make an informed decision.</w:t>
      </w:r>
    </w:p>
    <w:p>
      <w:pPr>
        <w:spacing w:after="0" w:line="10" w:lineRule="exact"/>
        <w:rPr>
          <w:rFonts w:ascii="Times New Roman" w:cs="Times New Roman" w:eastAsia="Times New Roman" w:hAnsi="Times New Roman"/>
          <w:sz w:val="22"/>
          <w:szCs w:val="22"/>
          <w:color w:val="auto"/>
        </w:rPr>
      </w:pPr>
    </w:p>
    <w:p>
      <w:pPr>
        <w:ind w:left="1148" w:hanging="572"/>
        <w:spacing w:after="0"/>
        <w:tabs>
          <w:tab w:leader="none" w:pos="1148" w:val="left"/>
        </w:tabs>
        <w:numPr>
          <w:ilvl w:val="1"/>
          <w:numId w:val="1073"/>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The prospectus shall contain all information and statements specified herein.</w:t>
      </w:r>
    </w:p>
    <w:p>
      <w:pPr>
        <w:spacing w:after="0" w:line="152" w:lineRule="exact"/>
        <w:rPr>
          <w:rFonts w:ascii="Times New Roman" w:cs="Times New Roman" w:eastAsia="Times New Roman" w:hAnsi="Times New Roman"/>
          <w:sz w:val="22"/>
          <w:szCs w:val="22"/>
          <w:color w:val="auto"/>
        </w:rPr>
      </w:pPr>
    </w:p>
    <w:p>
      <w:pPr>
        <w:jc w:val="both"/>
        <w:ind w:left="1148" w:hanging="572"/>
        <w:spacing w:after="0" w:line="358" w:lineRule="auto"/>
        <w:tabs>
          <w:tab w:leader="none" w:pos="1148" w:val="left"/>
        </w:tabs>
        <w:numPr>
          <w:ilvl w:val="1"/>
          <w:numId w:val="1073"/>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The issuing company shall, through a lead manager(s), file a prospectus certified by two authorized signatories of the issuing company, one of whom shall be a whole-time director and other the Chief Accounts Officer or the Chief Financial Officer, stating the particulars of the resolution of the Board or the shareholders by which it was approved, with the Board and Registrar of Companies, New Delhi, before such issue. They shall also certify that all the disclosures made in the prospectus are correct and adequate.</w:t>
      </w:r>
    </w:p>
    <w:p>
      <w:pPr>
        <w:spacing w:after="0" w:line="15" w:lineRule="exact"/>
        <w:rPr>
          <w:rFonts w:ascii="Times New Roman" w:cs="Times New Roman" w:eastAsia="Times New Roman" w:hAnsi="Times New Roman"/>
          <w:sz w:val="22"/>
          <w:szCs w:val="22"/>
          <w:color w:val="auto"/>
        </w:rPr>
      </w:pPr>
    </w:p>
    <w:p>
      <w:pPr>
        <w:ind w:left="1148" w:hanging="572"/>
        <w:spacing w:after="0" w:line="350" w:lineRule="auto"/>
        <w:tabs>
          <w:tab w:leader="none" w:pos="1148" w:val="left"/>
        </w:tabs>
        <w:numPr>
          <w:ilvl w:val="1"/>
          <w:numId w:val="1073"/>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The agreement made with the domestic depository shall be furnished along with the prospectus.</w:t>
      </w:r>
    </w:p>
    <w:p>
      <w:pPr>
        <w:spacing w:after="0" w:line="23" w:lineRule="exact"/>
        <w:rPr>
          <w:rFonts w:ascii="Times New Roman" w:cs="Times New Roman" w:eastAsia="Times New Roman" w:hAnsi="Times New Roman"/>
          <w:sz w:val="22"/>
          <w:szCs w:val="22"/>
          <w:color w:val="auto"/>
        </w:rPr>
      </w:pPr>
    </w:p>
    <w:p>
      <w:pPr>
        <w:jc w:val="both"/>
        <w:ind w:left="1148" w:hanging="572"/>
        <w:spacing w:after="0" w:line="354" w:lineRule="auto"/>
        <w:tabs>
          <w:tab w:leader="none" w:pos="1148" w:val="left"/>
        </w:tabs>
        <w:numPr>
          <w:ilvl w:val="1"/>
          <w:numId w:val="1073"/>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The lead manager(s) who is responsible for conducting due diligence exercise with respect to contents of the draft offer documents/offer document, as per inter-se allocation of responsibilities, shall sign the due diligence certificate.</w:t>
      </w:r>
    </w:p>
    <w:p>
      <w:pPr>
        <w:spacing w:after="0" w:line="22" w:lineRule="exact"/>
        <w:rPr>
          <w:rFonts w:ascii="Times New Roman" w:cs="Times New Roman" w:eastAsia="Times New Roman" w:hAnsi="Times New Roman"/>
          <w:sz w:val="22"/>
          <w:szCs w:val="22"/>
          <w:color w:val="auto"/>
        </w:rPr>
      </w:pPr>
    </w:p>
    <w:p>
      <w:pPr>
        <w:ind w:left="1148" w:hanging="572"/>
        <w:spacing w:after="0" w:line="348" w:lineRule="auto"/>
        <w:tabs>
          <w:tab w:leader="none" w:pos="1148" w:val="left"/>
        </w:tabs>
        <w:numPr>
          <w:ilvl w:val="1"/>
          <w:numId w:val="1073"/>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A statement shall be made by the lead manager(s) in the prospectus (including a due diligence certificate) in the format as specified in these regulations.</w:t>
      </w:r>
    </w:p>
    <w:p>
      <w:pPr>
        <w:spacing w:after="0" w:line="27" w:lineRule="exact"/>
        <w:rPr>
          <w:rFonts w:ascii="Times New Roman" w:cs="Times New Roman" w:eastAsia="Times New Roman" w:hAnsi="Times New Roman"/>
          <w:sz w:val="22"/>
          <w:szCs w:val="22"/>
          <w:color w:val="auto"/>
        </w:rPr>
      </w:pPr>
    </w:p>
    <w:p>
      <w:pPr>
        <w:ind w:left="1148" w:hanging="572"/>
        <w:spacing w:after="0" w:line="348" w:lineRule="auto"/>
        <w:tabs>
          <w:tab w:leader="none" w:pos="1148" w:val="left"/>
        </w:tabs>
        <w:numPr>
          <w:ilvl w:val="1"/>
          <w:numId w:val="1073"/>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A statement shall be made by the issuing company, disclaiming responsibility for statements made otherwise than in the prospectus, as follows:</w:t>
      </w:r>
    </w:p>
    <w:p>
      <w:pPr>
        <w:spacing w:after="0" w:line="28" w:lineRule="exact"/>
        <w:rPr>
          <w:rFonts w:ascii="Times New Roman" w:cs="Times New Roman" w:eastAsia="Times New Roman" w:hAnsi="Times New Roman"/>
          <w:sz w:val="22"/>
          <w:szCs w:val="22"/>
          <w:color w:val="auto"/>
        </w:rPr>
      </w:pPr>
    </w:p>
    <w:p>
      <w:pPr>
        <w:jc w:val="both"/>
        <w:ind w:left="1148"/>
        <w:spacing w:after="0" w:line="357" w:lineRule="auto"/>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“The issuing company, its directors and the lead manager(s) accept no responsibility for statements made otherwise than in the prospectus or in the advertisements or any other material issued by at our instance and anyone placing reliance on any other source of information including our website ………… shall be doing so at their own risk.”</w:t>
      </w:r>
    </w:p>
    <w:p>
      <w:pPr>
        <w:spacing w:after="0" w:line="200" w:lineRule="exact"/>
        <w:rPr>
          <w:rFonts w:ascii="Times New Roman" w:cs="Times New Roman" w:eastAsia="Times New Roman" w:hAnsi="Times New Roman"/>
          <w:sz w:val="22"/>
          <w:szCs w:val="22"/>
          <w:color w:val="auto"/>
        </w:rPr>
      </w:pPr>
    </w:p>
    <w:p>
      <w:pPr>
        <w:spacing w:after="0" w:line="224" w:lineRule="exact"/>
        <w:rPr>
          <w:rFonts w:ascii="Times New Roman" w:cs="Times New Roman" w:eastAsia="Times New Roman" w:hAnsi="Times New Roman"/>
          <w:sz w:val="22"/>
          <w:szCs w:val="22"/>
          <w:color w:val="auto"/>
        </w:rPr>
      </w:pPr>
    </w:p>
    <w:p>
      <w:pPr>
        <w:ind w:left="568" w:hanging="568"/>
        <w:spacing w:after="0"/>
        <w:tabs>
          <w:tab w:leader="none" w:pos="568" w:val="left"/>
        </w:tabs>
        <w:numPr>
          <w:ilvl w:val="0"/>
          <w:numId w:val="107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The issue:</w:t>
      </w:r>
    </w:p>
    <w:p>
      <w:pPr>
        <w:spacing w:after="0" w:line="132" w:lineRule="exact"/>
        <w:rPr>
          <w:rFonts w:ascii="Times New Roman" w:cs="Times New Roman" w:eastAsia="Times New Roman" w:hAnsi="Times New Roman"/>
          <w:sz w:val="24"/>
          <w:szCs w:val="24"/>
          <w:color w:val="auto"/>
        </w:rPr>
      </w:pPr>
    </w:p>
    <w:p>
      <w:pPr>
        <w:ind w:left="568"/>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Summary of the terms of the offer, including:</w:t>
      </w:r>
    </w:p>
    <w:p>
      <w:pPr>
        <w:spacing w:after="0" w:line="139"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74"/>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Offer and listing details</w:t>
      </w:r>
    </w:p>
    <w:p>
      <w:pPr>
        <w:spacing w:after="0" w:line="136" w:lineRule="exact"/>
        <w:rPr>
          <w:rFonts w:ascii="Times New Roman" w:cs="Times New Roman" w:eastAsia="Times New Roman" w:hAnsi="Times New Roman"/>
          <w:sz w:val="22"/>
          <w:szCs w:val="22"/>
          <w:color w:val="auto"/>
        </w:rPr>
      </w:pPr>
    </w:p>
    <w:p>
      <w:pPr>
        <w:ind w:left="1148" w:hanging="572"/>
        <w:spacing w:after="0"/>
        <w:tabs>
          <w:tab w:leader="none" w:pos="1148" w:val="left"/>
        </w:tabs>
        <w:numPr>
          <w:ilvl w:val="1"/>
          <w:numId w:val="1074"/>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Plan of distribution</w:t>
      </w:r>
    </w:p>
    <w:p>
      <w:pPr>
        <w:spacing w:after="0" w:line="139" w:lineRule="exact"/>
        <w:rPr>
          <w:rFonts w:ascii="Times New Roman" w:cs="Times New Roman" w:eastAsia="Times New Roman" w:hAnsi="Times New Roman"/>
          <w:sz w:val="22"/>
          <w:szCs w:val="22"/>
          <w:color w:val="auto"/>
        </w:rPr>
      </w:pPr>
    </w:p>
    <w:p>
      <w:pPr>
        <w:ind w:left="1148" w:hanging="572"/>
        <w:spacing w:after="0"/>
        <w:tabs>
          <w:tab w:leader="none" w:pos="1148" w:val="left"/>
        </w:tabs>
        <w:numPr>
          <w:ilvl w:val="1"/>
          <w:numId w:val="1074"/>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Markets</w:t>
      </w:r>
    </w:p>
    <w:p>
      <w:pPr>
        <w:spacing w:after="0" w:line="394"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338</w:t>
      </w:r>
    </w:p>
    <w:p>
      <w:pPr>
        <w:sectPr>
          <w:pgSz w:w="11900" w:h="16836" w:orient="portrait"/>
          <w:cols w:equalWidth="0" w:num="1">
            <w:col w:w="9468"/>
          </w:cols>
          <w:pgMar w:left="1152" w:top="1156" w:right="1284" w:bottom="103" w:gutter="0" w:footer="0" w:header="0"/>
        </w:sectPr>
      </w:pPr>
    </w:p>
    <w:bookmarkStart w:id="338" w:name="page339"/>
    <w:bookmarkEnd w:id="338"/>
    <w:p>
      <w:pPr>
        <w:ind w:left="1148" w:hanging="572"/>
        <w:spacing w:after="0"/>
        <w:tabs>
          <w:tab w:leader="none" w:pos="1148" w:val="left"/>
        </w:tabs>
        <w:numPr>
          <w:ilvl w:val="1"/>
          <w:numId w:val="1075"/>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Selling shareholders, if any</w:t>
      </w:r>
    </w:p>
    <w:p>
      <w:pPr>
        <w:spacing w:after="0" w:line="137" w:lineRule="exact"/>
        <w:rPr>
          <w:rFonts w:ascii="Times New Roman" w:cs="Times New Roman" w:eastAsia="Times New Roman" w:hAnsi="Times New Roman"/>
          <w:sz w:val="22"/>
          <w:szCs w:val="22"/>
          <w:color w:val="auto"/>
        </w:rPr>
      </w:pPr>
    </w:p>
    <w:p>
      <w:pPr>
        <w:ind w:left="1148" w:hanging="572"/>
        <w:spacing w:after="0"/>
        <w:tabs>
          <w:tab w:leader="none" w:pos="1148" w:val="left"/>
        </w:tabs>
        <w:numPr>
          <w:ilvl w:val="1"/>
          <w:numId w:val="1075"/>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Dilution</w:t>
      </w:r>
    </w:p>
    <w:p>
      <w:pPr>
        <w:spacing w:after="0" w:line="139" w:lineRule="exact"/>
        <w:rPr>
          <w:rFonts w:ascii="Times New Roman" w:cs="Times New Roman" w:eastAsia="Times New Roman" w:hAnsi="Times New Roman"/>
          <w:sz w:val="22"/>
          <w:szCs w:val="22"/>
          <w:color w:val="auto"/>
        </w:rPr>
      </w:pPr>
    </w:p>
    <w:p>
      <w:pPr>
        <w:ind w:left="1148" w:hanging="572"/>
        <w:spacing w:after="0"/>
        <w:tabs>
          <w:tab w:leader="none" w:pos="1148" w:val="left"/>
        </w:tabs>
        <w:numPr>
          <w:ilvl w:val="1"/>
          <w:numId w:val="1075"/>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Expenses of the Issue</w:t>
      </w:r>
    </w:p>
    <w:p>
      <w:pPr>
        <w:spacing w:after="0" w:line="200" w:lineRule="exact"/>
        <w:rPr>
          <w:rFonts w:ascii="Times New Roman" w:cs="Times New Roman" w:eastAsia="Times New Roman" w:hAnsi="Times New Roman"/>
          <w:sz w:val="22"/>
          <w:szCs w:val="22"/>
          <w:color w:val="auto"/>
        </w:rPr>
      </w:pPr>
    </w:p>
    <w:p>
      <w:pPr>
        <w:spacing w:after="0" w:line="356" w:lineRule="exact"/>
        <w:rPr>
          <w:rFonts w:ascii="Times New Roman" w:cs="Times New Roman" w:eastAsia="Times New Roman" w:hAnsi="Times New Roman"/>
          <w:sz w:val="22"/>
          <w:szCs w:val="22"/>
          <w:color w:val="auto"/>
        </w:rPr>
      </w:pPr>
    </w:p>
    <w:p>
      <w:pPr>
        <w:ind w:left="568" w:hanging="568"/>
        <w:spacing w:after="0"/>
        <w:tabs>
          <w:tab w:leader="none" w:pos="568" w:val="left"/>
        </w:tabs>
        <w:numPr>
          <w:ilvl w:val="0"/>
          <w:numId w:val="107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Forward-looking statements:</w:t>
      </w:r>
    </w:p>
    <w:p>
      <w:pPr>
        <w:spacing w:after="0" w:line="144" w:lineRule="exact"/>
        <w:rPr>
          <w:rFonts w:ascii="Times New Roman" w:cs="Times New Roman" w:eastAsia="Times New Roman" w:hAnsi="Times New Roman"/>
          <w:sz w:val="24"/>
          <w:szCs w:val="24"/>
          <w:color w:val="auto"/>
        </w:rPr>
      </w:pPr>
    </w:p>
    <w:p>
      <w:pPr>
        <w:jc w:val="both"/>
        <w:ind w:left="568"/>
        <w:spacing w:after="0" w:line="357"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paragraph on the statements that are forward-looking and not matters of historical facts shall be incorporated. A statement on the sources of data used in the prospectus and their accuracy shall also be incorporated. A declaration shall also be incorporated on whether these have been independently verified.</w:t>
      </w:r>
    </w:p>
    <w:p>
      <w:pPr>
        <w:spacing w:after="0" w:line="200" w:lineRule="exact"/>
        <w:rPr>
          <w:rFonts w:ascii="Times New Roman" w:cs="Times New Roman" w:eastAsia="Times New Roman" w:hAnsi="Times New Roman"/>
          <w:sz w:val="24"/>
          <w:szCs w:val="24"/>
          <w:color w:val="auto"/>
        </w:rPr>
      </w:pPr>
    </w:p>
    <w:p>
      <w:pPr>
        <w:spacing w:after="0" w:line="222"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07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General information:</w:t>
      </w:r>
    </w:p>
    <w:p>
      <w:pPr>
        <w:spacing w:after="0" w:line="132"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76"/>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Definitions/terms used in the offer document;</w:t>
      </w:r>
    </w:p>
    <w:p>
      <w:pPr>
        <w:spacing w:after="0" w:line="151" w:lineRule="exact"/>
        <w:rPr>
          <w:rFonts w:ascii="Times New Roman" w:cs="Times New Roman" w:eastAsia="Times New Roman" w:hAnsi="Times New Roman"/>
          <w:sz w:val="22"/>
          <w:szCs w:val="22"/>
          <w:color w:val="auto"/>
        </w:rPr>
      </w:pPr>
    </w:p>
    <w:p>
      <w:pPr>
        <w:ind w:left="1148" w:hanging="572"/>
        <w:spacing w:after="0" w:line="348" w:lineRule="auto"/>
        <w:tabs>
          <w:tab w:leader="none" w:pos="1148" w:val="left"/>
        </w:tabs>
        <w:numPr>
          <w:ilvl w:val="1"/>
          <w:numId w:val="1076"/>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Name, address and contact information of the registered office of the issuing company;</w:t>
      </w:r>
    </w:p>
    <w:p>
      <w:pPr>
        <w:spacing w:after="0" w:line="27" w:lineRule="exact"/>
        <w:rPr>
          <w:rFonts w:ascii="Times New Roman" w:cs="Times New Roman" w:eastAsia="Times New Roman" w:hAnsi="Times New Roman"/>
          <w:sz w:val="22"/>
          <w:szCs w:val="22"/>
          <w:color w:val="auto"/>
        </w:rPr>
      </w:pPr>
    </w:p>
    <w:p>
      <w:pPr>
        <w:jc w:val="both"/>
        <w:ind w:left="1148" w:hanging="572"/>
        <w:spacing w:after="0" w:line="356" w:lineRule="auto"/>
        <w:tabs>
          <w:tab w:leader="none" w:pos="1148" w:val="left"/>
        </w:tabs>
        <w:numPr>
          <w:ilvl w:val="1"/>
          <w:numId w:val="1076"/>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Name, address and contact information of the domestic depository, the overseas custodian bank with the address of its office in India, the lead manager(s), the underwriter to the issue, advisors to the issue and any other intermediary which may be appointed in connection with the issue of IDR;</w:t>
      </w:r>
    </w:p>
    <w:p>
      <w:pPr>
        <w:spacing w:after="0" w:line="6" w:lineRule="exact"/>
        <w:rPr>
          <w:rFonts w:ascii="Times New Roman" w:cs="Times New Roman" w:eastAsia="Times New Roman" w:hAnsi="Times New Roman"/>
          <w:sz w:val="22"/>
          <w:szCs w:val="22"/>
          <w:color w:val="auto"/>
        </w:rPr>
      </w:pPr>
    </w:p>
    <w:p>
      <w:pPr>
        <w:ind w:left="1148" w:hanging="572"/>
        <w:spacing w:after="0"/>
        <w:tabs>
          <w:tab w:leader="none" w:pos="1148" w:val="left"/>
        </w:tabs>
        <w:numPr>
          <w:ilvl w:val="1"/>
          <w:numId w:val="1076"/>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Names, addresses and contact information of experts and counsel;</w:t>
      </w:r>
    </w:p>
    <w:p>
      <w:pPr>
        <w:spacing w:after="0" w:line="149" w:lineRule="exact"/>
        <w:rPr>
          <w:rFonts w:ascii="Times New Roman" w:cs="Times New Roman" w:eastAsia="Times New Roman" w:hAnsi="Times New Roman"/>
          <w:sz w:val="22"/>
          <w:szCs w:val="22"/>
          <w:color w:val="auto"/>
        </w:rPr>
      </w:pPr>
    </w:p>
    <w:p>
      <w:pPr>
        <w:ind w:left="1148" w:hanging="572"/>
        <w:spacing w:after="0" w:line="350" w:lineRule="auto"/>
        <w:tabs>
          <w:tab w:leader="none" w:pos="1148" w:val="left"/>
        </w:tabs>
        <w:numPr>
          <w:ilvl w:val="1"/>
          <w:numId w:val="1076"/>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Name, address and contact information of the compliance officer in relation to the issue of IDR;</w:t>
      </w:r>
    </w:p>
    <w:p>
      <w:pPr>
        <w:spacing w:after="0" w:line="23" w:lineRule="exact"/>
        <w:rPr>
          <w:rFonts w:ascii="Times New Roman" w:cs="Times New Roman" w:eastAsia="Times New Roman" w:hAnsi="Times New Roman"/>
          <w:sz w:val="22"/>
          <w:szCs w:val="22"/>
          <w:color w:val="auto"/>
        </w:rPr>
      </w:pPr>
    </w:p>
    <w:p>
      <w:pPr>
        <w:ind w:left="1148" w:hanging="572"/>
        <w:spacing w:after="0" w:line="350" w:lineRule="auto"/>
        <w:tabs>
          <w:tab w:leader="none" w:pos="1148" w:val="left"/>
        </w:tabs>
        <w:numPr>
          <w:ilvl w:val="1"/>
          <w:numId w:val="1076"/>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Name, address and contact information of stock exchanges where applications are made or proposed to be made for listing of the IDR;</w:t>
      </w:r>
    </w:p>
    <w:p>
      <w:pPr>
        <w:spacing w:after="0" w:line="11" w:lineRule="exact"/>
        <w:rPr>
          <w:rFonts w:ascii="Times New Roman" w:cs="Times New Roman" w:eastAsia="Times New Roman" w:hAnsi="Times New Roman"/>
          <w:sz w:val="22"/>
          <w:szCs w:val="22"/>
          <w:color w:val="auto"/>
        </w:rPr>
      </w:pPr>
    </w:p>
    <w:p>
      <w:pPr>
        <w:ind w:left="1148" w:hanging="572"/>
        <w:spacing w:after="0"/>
        <w:tabs>
          <w:tab w:leader="none" w:pos="1148" w:val="left"/>
        </w:tabs>
        <w:numPr>
          <w:ilvl w:val="1"/>
          <w:numId w:val="1076"/>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Disclosure about provisions relating to punishment for fictitious applications;</w:t>
      </w:r>
    </w:p>
    <w:p>
      <w:pPr>
        <w:spacing w:after="0" w:line="139" w:lineRule="exact"/>
        <w:rPr>
          <w:rFonts w:ascii="Times New Roman" w:cs="Times New Roman" w:eastAsia="Times New Roman" w:hAnsi="Times New Roman"/>
          <w:sz w:val="22"/>
          <w:szCs w:val="22"/>
          <w:color w:val="auto"/>
        </w:rPr>
      </w:pPr>
    </w:p>
    <w:p>
      <w:pPr>
        <w:ind w:left="1148" w:hanging="572"/>
        <w:spacing w:after="0"/>
        <w:tabs>
          <w:tab w:leader="none" w:pos="1148" w:val="left"/>
        </w:tabs>
        <w:numPr>
          <w:ilvl w:val="1"/>
          <w:numId w:val="1076"/>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Statement/declaration for refund of excess subscription;</w:t>
      </w:r>
    </w:p>
    <w:p>
      <w:pPr>
        <w:spacing w:after="0" w:line="149" w:lineRule="exact"/>
        <w:rPr>
          <w:rFonts w:ascii="Times New Roman" w:cs="Times New Roman" w:eastAsia="Times New Roman" w:hAnsi="Times New Roman"/>
          <w:sz w:val="22"/>
          <w:szCs w:val="22"/>
          <w:color w:val="auto"/>
        </w:rPr>
      </w:pPr>
    </w:p>
    <w:p>
      <w:pPr>
        <w:jc w:val="both"/>
        <w:ind w:left="1148" w:hanging="572"/>
        <w:spacing w:after="0" w:line="354" w:lineRule="auto"/>
        <w:tabs>
          <w:tab w:leader="none" w:pos="1148" w:val="left"/>
        </w:tabs>
        <w:numPr>
          <w:ilvl w:val="1"/>
          <w:numId w:val="1076"/>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Statement that an interest of 15 per cent. p.a. shall be paid to the investors if the allotment letters/refund orders are not despatched within fifteen days of the closure of the public issue;</w:t>
      </w:r>
    </w:p>
    <w:p>
      <w:pPr>
        <w:spacing w:after="0" w:line="22" w:lineRule="exact"/>
        <w:rPr>
          <w:rFonts w:ascii="Times New Roman" w:cs="Times New Roman" w:eastAsia="Times New Roman" w:hAnsi="Times New Roman"/>
          <w:sz w:val="22"/>
          <w:szCs w:val="22"/>
          <w:color w:val="auto"/>
        </w:rPr>
      </w:pPr>
    </w:p>
    <w:p>
      <w:pPr>
        <w:ind w:left="1148" w:hanging="572"/>
        <w:spacing w:after="0" w:line="348" w:lineRule="auto"/>
        <w:tabs>
          <w:tab w:leader="none" w:pos="1148" w:val="left"/>
        </w:tabs>
        <w:numPr>
          <w:ilvl w:val="1"/>
          <w:numId w:val="1076"/>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Declaration about issue of allotment letters/certificates/IDR within the stipulated period;</w:t>
      </w:r>
    </w:p>
    <w:p>
      <w:pPr>
        <w:spacing w:after="0" w:line="15" w:lineRule="exact"/>
        <w:rPr>
          <w:rFonts w:ascii="Times New Roman" w:cs="Times New Roman" w:eastAsia="Times New Roman" w:hAnsi="Times New Roman"/>
          <w:sz w:val="22"/>
          <w:szCs w:val="22"/>
          <w:color w:val="auto"/>
        </w:rPr>
      </w:pPr>
    </w:p>
    <w:p>
      <w:pPr>
        <w:ind w:left="1148" w:hanging="572"/>
        <w:spacing w:after="0"/>
        <w:tabs>
          <w:tab w:leader="none" w:pos="1148" w:val="left"/>
        </w:tabs>
        <w:numPr>
          <w:ilvl w:val="1"/>
          <w:numId w:val="1076"/>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Date of opening of issue;</w:t>
      </w:r>
    </w:p>
    <w:p>
      <w:pPr>
        <w:spacing w:after="0" w:line="137" w:lineRule="exact"/>
        <w:rPr>
          <w:rFonts w:ascii="Times New Roman" w:cs="Times New Roman" w:eastAsia="Times New Roman" w:hAnsi="Times New Roman"/>
          <w:sz w:val="22"/>
          <w:szCs w:val="22"/>
          <w:color w:val="auto"/>
        </w:rPr>
      </w:pPr>
    </w:p>
    <w:p>
      <w:pPr>
        <w:ind w:left="1148" w:hanging="572"/>
        <w:spacing w:after="0"/>
        <w:tabs>
          <w:tab w:leader="none" w:pos="1148" w:val="left"/>
        </w:tabs>
        <w:numPr>
          <w:ilvl w:val="1"/>
          <w:numId w:val="1076"/>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Date of earliest closing of the issue;</w:t>
      </w:r>
    </w:p>
    <w:p>
      <w:pPr>
        <w:spacing w:after="0" w:line="139" w:lineRule="exact"/>
        <w:rPr>
          <w:rFonts w:ascii="Times New Roman" w:cs="Times New Roman" w:eastAsia="Times New Roman" w:hAnsi="Times New Roman"/>
          <w:sz w:val="22"/>
          <w:szCs w:val="22"/>
          <w:color w:val="auto"/>
        </w:rPr>
      </w:pPr>
    </w:p>
    <w:p>
      <w:pPr>
        <w:ind w:left="1148" w:hanging="572"/>
        <w:spacing w:after="0"/>
        <w:tabs>
          <w:tab w:leader="none" w:pos="1148" w:val="left"/>
        </w:tabs>
        <w:numPr>
          <w:ilvl w:val="1"/>
          <w:numId w:val="1076"/>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Date of closing of issue;</w:t>
      </w:r>
    </w:p>
    <w:p>
      <w:pPr>
        <w:spacing w:after="0" w:line="136" w:lineRule="exact"/>
        <w:rPr>
          <w:rFonts w:ascii="Times New Roman" w:cs="Times New Roman" w:eastAsia="Times New Roman" w:hAnsi="Times New Roman"/>
          <w:sz w:val="22"/>
          <w:szCs w:val="22"/>
          <w:color w:val="auto"/>
        </w:rPr>
      </w:pPr>
    </w:p>
    <w:p>
      <w:pPr>
        <w:ind w:left="1148" w:hanging="572"/>
        <w:spacing w:after="0"/>
        <w:tabs>
          <w:tab w:leader="none" w:pos="1148" w:val="left"/>
        </w:tabs>
        <w:numPr>
          <w:ilvl w:val="1"/>
          <w:numId w:val="1076"/>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Method and expected timetable of the issue;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339</w:t>
      </w:r>
    </w:p>
    <w:p>
      <w:pPr>
        <w:sectPr>
          <w:pgSz w:w="11900" w:h="16836" w:orient="portrait"/>
          <w:cols w:equalWidth="0" w:num="1">
            <w:col w:w="9468"/>
          </w:cols>
          <w:pgMar w:left="1152" w:top="1144" w:right="1284" w:bottom="103" w:gutter="0" w:footer="0" w:header="0"/>
        </w:sectPr>
      </w:pPr>
    </w:p>
    <w:bookmarkStart w:id="339" w:name="page340"/>
    <w:bookmarkEnd w:id="339"/>
    <w:p>
      <w:pPr>
        <w:ind w:left="1148" w:hanging="572"/>
        <w:spacing w:after="0" w:line="348" w:lineRule="auto"/>
        <w:tabs>
          <w:tab w:leader="none" w:pos="1148" w:val="left"/>
        </w:tabs>
        <w:numPr>
          <w:ilvl w:val="1"/>
          <w:numId w:val="1077"/>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A statement that subscription to the issue shall be kept open for at least three working days and not more than ten working days;</w:t>
      </w:r>
    </w:p>
    <w:p>
      <w:pPr>
        <w:spacing w:after="0" w:line="28" w:lineRule="exact"/>
        <w:rPr>
          <w:rFonts w:ascii="Times New Roman" w:cs="Times New Roman" w:eastAsia="Times New Roman" w:hAnsi="Times New Roman"/>
          <w:sz w:val="22"/>
          <w:szCs w:val="22"/>
          <w:color w:val="auto"/>
        </w:rPr>
      </w:pPr>
    </w:p>
    <w:p>
      <w:pPr>
        <w:jc w:val="both"/>
        <w:ind w:left="1148" w:hanging="572"/>
        <w:spacing w:after="0" w:line="354" w:lineRule="auto"/>
        <w:tabs>
          <w:tab w:leader="none" w:pos="1148" w:val="left"/>
        </w:tabs>
        <w:numPr>
          <w:ilvl w:val="1"/>
          <w:numId w:val="1077"/>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Declaration by the lead manager(s) with regard to adequacy of resources of underwriters to discharge their respective obligations, in case of being required to do so;</w:t>
      </w:r>
    </w:p>
    <w:p>
      <w:pPr>
        <w:spacing w:after="0" w:line="19" w:lineRule="exact"/>
        <w:rPr>
          <w:rFonts w:ascii="Times New Roman" w:cs="Times New Roman" w:eastAsia="Times New Roman" w:hAnsi="Times New Roman"/>
          <w:sz w:val="22"/>
          <w:szCs w:val="22"/>
          <w:color w:val="auto"/>
        </w:rPr>
      </w:pPr>
    </w:p>
    <w:p>
      <w:pPr>
        <w:jc w:val="both"/>
        <w:ind w:left="1148" w:hanging="572"/>
        <w:spacing w:after="0" w:line="354" w:lineRule="auto"/>
        <w:tabs>
          <w:tab w:leader="none" w:pos="1148" w:val="left"/>
        </w:tabs>
        <w:numPr>
          <w:ilvl w:val="1"/>
          <w:numId w:val="1077"/>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A statement by the issuing company that all monies received out of issue of IDR shall be transferred to a separate domestic bank account, name and address of the bank and the nature and number of the account to which the amount shall be credited;</w:t>
      </w:r>
    </w:p>
    <w:p>
      <w:pPr>
        <w:spacing w:after="0" w:line="10" w:lineRule="exact"/>
        <w:rPr>
          <w:rFonts w:ascii="Times New Roman" w:cs="Times New Roman" w:eastAsia="Times New Roman" w:hAnsi="Times New Roman"/>
          <w:sz w:val="22"/>
          <w:szCs w:val="22"/>
          <w:color w:val="auto"/>
        </w:rPr>
      </w:pPr>
    </w:p>
    <w:p>
      <w:pPr>
        <w:ind w:left="1148" w:hanging="572"/>
        <w:spacing w:after="0"/>
        <w:tabs>
          <w:tab w:leader="none" w:pos="1148" w:val="left"/>
        </w:tabs>
        <w:numPr>
          <w:ilvl w:val="1"/>
          <w:numId w:val="1077"/>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Details of availability of prospectus and forms, i.e., period, time, place etc.;</w:t>
      </w:r>
    </w:p>
    <w:p>
      <w:pPr>
        <w:spacing w:after="0" w:line="136" w:lineRule="exact"/>
        <w:rPr>
          <w:rFonts w:ascii="Times New Roman" w:cs="Times New Roman" w:eastAsia="Times New Roman" w:hAnsi="Times New Roman"/>
          <w:sz w:val="22"/>
          <w:szCs w:val="22"/>
          <w:color w:val="auto"/>
        </w:rPr>
      </w:pPr>
    </w:p>
    <w:p>
      <w:pPr>
        <w:ind w:left="1148" w:hanging="572"/>
        <w:spacing w:after="0"/>
        <w:tabs>
          <w:tab w:leader="none" w:pos="1148" w:val="left"/>
        </w:tabs>
        <w:numPr>
          <w:ilvl w:val="1"/>
          <w:numId w:val="1077"/>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Amount and mode of payment seeking issue of IDR;</w:t>
      </w:r>
    </w:p>
    <w:p>
      <w:pPr>
        <w:spacing w:after="0" w:line="139" w:lineRule="exact"/>
        <w:rPr>
          <w:rFonts w:ascii="Times New Roman" w:cs="Times New Roman" w:eastAsia="Times New Roman" w:hAnsi="Times New Roman"/>
          <w:sz w:val="22"/>
          <w:szCs w:val="22"/>
          <w:color w:val="auto"/>
        </w:rPr>
      </w:pPr>
    </w:p>
    <w:p>
      <w:pPr>
        <w:ind w:left="1148" w:hanging="572"/>
        <w:spacing w:after="0"/>
        <w:tabs>
          <w:tab w:leader="none" w:pos="1148" w:val="left"/>
        </w:tabs>
        <w:numPr>
          <w:ilvl w:val="1"/>
          <w:numId w:val="1077"/>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Disclosure on Investor Grievances and Redressal System:</w:t>
      </w:r>
    </w:p>
    <w:p>
      <w:pPr>
        <w:spacing w:after="0" w:line="149" w:lineRule="exact"/>
        <w:rPr>
          <w:rFonts w:ascii="Times New Roman" w:cs="Times New Roman" w:eastAsia="Times New Roman" w:hAnsi="Times New Roman"/>
          <w:sz w:val="22"/>
          <w:szCs w:val="22"/>
          <w:color w:val="auto"/>
        </w:rPr>
      </w:pPr>
    </w:p>
    <w:p>
      <w:pPr>
        <w:ind w:left="1728" w:hanging="576"/>
        <w:spacing w:after="0" w:line="344" w:lineRule="auto"/>
        <w:tabs>
          <w:tab w:leader="none" w:pos="1728" w:val="left"/>
        </w:tabs>
        <w:numPr>
          <w:ilvl w:val="2"/>
          <w:numId w:val="1077"/>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arrangements or any mechanism evolved by the issuing company for redressal of investor grievances.</w:t>
      </w:r>
    </w:p>
    <w:p>
      <w:pPr>
        <w:spacing w:after="0" w:line="26" w:lineRule="exact"/>
        <w:rPr>
          <w:rFonts w:ascii="Calibri" w:cs="Calibri" w:eastAsia="Calibri" w:hAnsi="Calibri"/>
          <w:sz w:val="22"/>
          <w:szCs w:val="22"/>
          <w:color w:val="auto"/>
        </w:rPr>
      </w:pPr>
    </w:p>
    <w:p>
      <w:pPr>
        <w:jc w:val="both"/>
        <w:ind w:left="1728" w:hanging="576"/>
        <w:spacing w:after="0" w:line="353" w:lineRule="auto"/>
        <w:tabs>
          <w:tab w:leader="none" w:pos="1728" w:val="left"/>
        </w:tabs>
        <w:numPr>
          <w:ilvl w:val="2"/>
          <w:numId w:val="1077"/>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past record (for a minimum period of three years before the date of the prospectus) of investor grievance redressal of the issuing company and its listed subsidiaries/associates including details as to the time normally taken by it for disposal of various types of investor grievances.</w:t>
      </w:r>
    </w:p>
    <w:p>
      <w:pPr>
        <w:spacing w:after="0" w:line="22" w:lineRule="exact"/>
        <w:rPr>
          <w:rFonts w:ascii="Calibri" w:cs="Calibri" w:eastAsia="Calibri" w:hAnsi="Calibri"/>
          <w:sz w:val="22"/>
          <w:szCs w:val="22"/>
          <w:color w:val="auto"/>
        </w:rPr>
      </w:pPr>
    </w:p>
    <w:p>
      <w:pPr>
        <w:jc w:val="both"/>
        <w:ind w:left="1728" w:hanging="576"/>
        <w:spacing w:after="0" w:line="350" w:lineRule="auto"/>
        <w:tabs>
          <w:tab w:leader="none" w:pos="1728" w:val="left"/>
        </w:tabs>
        <w:numPr>
          <w:ilvl w:val="2"/>
          <w:numId w:val="1077"/>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company undertakes to subject itself to the jurisdiction of Indian courts having jurisdiction over the place where the stock exchange is situated regarding grievances of the IDR applicants and IDR holders.</w:t>
      </w:r>
    </w:p>
    <w:p>
      <w:pPr>
        <w:spacing w:after="0" w:line="200" w:lineRule="exact"/>
        <w:rPr>
          <w:rFonts w:ascii="Calibri" w:cs="Calibri" w:eastAsia="Calibri" w:hAnsi="Calibri"/>
          <w:sz w:val="22"/>
          <w:szCs w:val="22"/>
          <w:color w:val="auto"/>
        </w:rPr>
      </w:pPr>
    </w:p>
    <w:p>
      <w:pPr>
        <w:spacing w:after="0" w:line="230" w:lineRule="exact"/>
        <w:rPr>
          <w:rFonts w:ascii="Calibri" w:cs="Calibri" w:eastAsia="Calibri" w:hAnsi="Calibri"/>
          <w:sz w:val="22"/>
          <w:szCs w:val="22"/>
          <w:color w:val="auto"/>
        </w:rPr>
      </w:pPr>
    </w:p>
    <w:p>
      <w:pPr>
        <w:ind w:left="568" w:hanging="568"/>
        <w:spacing w:after="0"/>
        <w:tabs>
          <w:tab w:leader="none" w:pos="568" w:val="left"/>
        </w:tabs>
        <w:numPr>
          <w:ilvl w:val="0"/>
          <w:numId w:val="107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Risk factors:</w:t>
      </w:r>
    </w:p>
    <w:p>
      <w:pPr>
        <w:spacing w:after="0" w:line="134"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7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Risk factors shall be in relation to the following:</w:t>
      </w:r>
    </w:p>
    <w:p>
      <w:pPr>
        <w:spacing w:after="0" w:line="130" w:lineRule="exact"/>
        <w:rPr>
          <w:rFonts w:ascii="Times New Roman" w:cs="Times New Roman" w:eastAsia="Times New Roman" w:hAnsi="Times New Roman"/>
          <w:sz w:val="24"/>
          <w:szCs w:val="24"/>
          <w:color w:val="auto"/>
        </w:rPr>
      </w:pPr>
    </w:p>
    <w:p>
      <w:pPr>
        <w:ind w:left="1728" w:hanging="576"/>
        <w:spacing w:after="0"/>
        <w:tabs>
          <w:tab w:leader="none" w:pos="1728" w:val="left"/>
        </w:tabs>
        <w:numPr>
          <w:ilvl w:val="2"/>
          <w:numId w:val="1078"/>
        </w:numPr>
        <w:rPr>
          <w:rFonts w:ascii="Calibri" w:cs="Calibri" w:eastAsia="Calibri" w:hAnsi="Calibri"/>
          <w:sz w:val="22"/>
          <w:szCs w:val="22"/>
          <w:color w:val="auto"/>
        </w:rPr>
      </w:pPr>
      <w:r>
        <w:rPr>
          <w:rFonts w:ascii="Times New Roman" w:cs="Times New Roman" w:eastAsia="Times New Roman" w:hAnsi="Times New Roman"/>
          <w:sz w:val="24"/>
          <w:szCs w:val="24"/>
          <w:color w:val="auto"/>
        </w:rPr>
        <w:t>Risk factors associated with the issuing company’s business</w:t>
      </w:r>
    </w:p>
    <w:p>
      <w:pPr>
        <w:spacing w:after="0" w:line="151" w:lineRule="exact"/>
        <w:rPr>
          <w:rFonts w:ascii="Calibri" w:cs="Calibri" w:eastAsia="Calibri" w:hAnsi="Calibri"/>
          <w:sz w:val="22"/>
          <w:szCs w:val="22"/>
          <w:color w:val="auto"/>
        </w:rPr>
      </w:pPr>
    </w:p>
    <w:p>
      <w:pPr>
        <w:ind w:left="1728" w:hanging="576"/>
        <w:spacing w:after="0" w:line="342" w:lineRule="auto"/>
        <w:tabs>
          <w:tab w:leader="none" w:pos="1728" w:val="left"/>
        </w:tabs>
        <w:numPr>
          <w:ilvl w:val="2"/>
          <w:numId w:val="1078"/>
        </w:numPr>
        <w:rPr>
          <w:rFonts w:ascii="Calibri" w:cs="Calibri" w:eastAsia="Calibri" w:hAnsi="Calibri"/>
          <w:sz w:val="22"/>
          <w:szCs w:val="22"/>
          <w:color w:val="auto"/>
        </w:rPr>
      </w:pPr>
      <w:r>
        <w:rPr>
          <w:rFonts w:ascii="Times New Roman" w:cs="Times New Roman" w:eastAsia="Times New Roman" w:hAnsi="Times New Roman"/>
          <w:sz w:val="24"/>
          <w:szCs w:val="24"/>
          <w:color w:val="auto"/>
        </w:rPr>
        <w:t>Risk factors associated with the country of the issuing company proposing to issue IDR</w:t>
      </w:r>
    </w:p>
    <w:p>
      <w:pPr>
        <w:spacing w:after="0" w:line="11" w:lineRule="exact"/>
        <w:rPr>
          <w:rFonts w:ascii="Calibri" w:cs="Calibri" w:eastAsia="Calibri" w:hAnsi="Calibri"/>
          <w:sz w:val="22"/>
          <w:szCs w:val="22"/>
          <w:color w:val="auto"/>
        </w:rPr>
      </w:pPr>
    </w:p>
    <w:p>
      <w:pPr>
        <w:ind w:left="1728" w:hanging="576"/>
        <w:spacing w:after="0"/>
        <w:tabs>
          <w:tab w:leader="none" w:pos="1728" w:val="left"/>
        </w:tabs>
        <w:numPr>
          <w:ilvl w:val="2"/>
          <w:numId w:val="1078"/>
        </w:numPr>
        <w:rPr>
          <w:rFonts w:ascii="Calibri" w:cs="Calibri" w:eastAsia="Calibri" w:hAnsi="Calibri"/>
          <w:sz w:val="22"/>
          <w:szCs w:val="22"/>
          <w:color w:val="auto"/>
        </w:rPr>
      </w:pPr>
      <w:r>
        <w:rPr>
          <w:rFonts w:ascii="Times New Roman" w:cs="Times New Roman" w:eastAsia="Times New Roman" w:hAnsi="Times New Roman"/>
          <w:sz w:val="24"/>
          <w:szCs w:val="24"/>
          <w:color w:val="auto"/>
        </w:rPr>
        <w:t>Risk factors associated with the IDR/underlying shares</w:t>
      </w:r>
    </w:p>
    <w:p>
      <w:pPr>
        <w:spacing w:after="0" w:line="149" w:lineRule="exact"/>
        <w:rPr>
          <w:rFonts w:ascii="Calibri" w:cs="Calibri" w:eastAsia="Calibri" w:hAnsi="Calibri"/>
          <w:sz w:val="22"/>
          <w:szCs w:val="22"/>
          <w:color w:val="auto"/>
        </w:rPr>
      </w:pPr>
    </w:p>
    <w:p>
      <w:pPr>
        <w:jc w:val="both"/>
        <w:ind w:left="1148" w:hanging="572"/>
        <w:spacing w:after="0" w:line="354" w:lineRule="auto"/>
        <w:tabs>
          <w:tab w:leader="none" w:pos="1148" w:val="left"/>
        </w:tabs>
        <w:numPr>
          <w:ilvl w:val="1"/>
          <w:numId w:val="107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Risk factors shall be classified as those which are specific to the project and internal to the issuing company and those which are external and beyond the control of the issuing company.</w:t>
      </w:r>
    </w:p>
    <w:p>
      <w:pPr>
        <w:spacing w:after="0" w:line="22" w:lineRule="exact"/>
        <w:rPr>
          <w:rFonts w:ascii="Times New Roman" w:cs="Times New Roman" w:eastAsia="Times New Roman" w:hAnsi="Times New Roman"/>
          <w:sz w:val="24"/>
          <w:szCs w:val="24"/>
          <w:color w:val="auto"/>
        </w:rPr>
      </w:pPr>
    </w:p>
    <w:p>
      <w:pPr>
        <w:ind w:left="1148" w:hanging="572"/>
        <w:spacing w:after="0" w:line="348" w:lineRule="auto"/>
        <w:tabs>
          <w:tab w:leader="none" w:pos="1148" w:val="left"/>
        </w:tabs>
        <w:numPr>
          <w:ilvl w:val="1"/>
          <w:numId w:val="107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Risk factors shall be determined on the basis of their materiality. In doing so, the following shall be considered:</w:t>
      </w:r>
    </w:p>
    <w:p>
      <w:pPr>
        <w:spacing w:after="0" w:line="28" w:lineRule="exact"/>
        <w:rPr>
          <w:rFonts w:ascii="Times New Roman" w:cs="Times New Roman" w:eastAsia="Times New Roman" w:hAnsi="Times New Roman"/>
          <w:sz w:val="24"/>
          <w:szCs w:val="24"/>
          <w:color w:val="auto"/>
        </w:rPr>
      </w:pPr>
    </w:p>
    <w:p>
      <w:pPr>
        <w:ind w:left="1728" w:hanging="576"/>
        <w:spacing w:after="0" w:line="342" w:lineRule="auto"/>
        <w:tabs>
          <w:tab w:leader="none" w:pos="1728" w:val="left"/>
        </w:tabs>
        <w:numPr>
          <w:ilvl w:val="2"/>
          <w:numId w:val="1078"/>
        </w:numPr>
        <w:rPr>
          <w:rFonts w:ascii="Calibri" w:cs="Calibri" w:eastAsia="Calibri" w:hAnsi="Calibri"/>
          <w:sz w:val="22"/>
          <w:szCs w:val="22"/>
          <w:color w:val="auto"/>
        </w:rPr>
      </w:pPr>
      <w:r>
        <w:rPr>
          <w:rFonts w:ascii="Times New Roman" w:cs="Times New Roman" w:eastAsia="Times New Roman" w:hAnsi="Times New Roman"/>
          <w:sz w:val="24"/>
          <w:szCs w:val="24"/>
          <w:color w:val="auto"/>
        </w:rPr>
        <w:t>Some risks may not be material individually but may be found material collectively.</w:t>
      </w: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340</w:t>
      </w:r>
    </w:p>
    <w:p>
      <w:pPr>
        <w:sectPr>
          <w:pgSz w:w="11900" w:h="16836" w:orient="portrait"/>
          <w:cols w:equalWidth="0" w:num="1">
            <w:col w:w="9468"/>
          </w:cols>
          <w:pgMar w:left="1152" w:top="1156" w:right="1284" w:bottom="103" w:gutter="0" w:footer="0" w:header="0"/>
        </w:sectPr>
      </w:pPr>
    </w:p>
    <w:bookmarkStart w:id="340" w:name="page341"/>
    <w:bookmarkEnd w:id="340"/>
    <w:p>
      <w:pPr>
        <w:ind w:left="1728" w:hanging="576"/>
        <w:spacing w:after="0" w:line="342" w:lineRule="auto"/>
        <w:tabs>
          <w:tab w:leader="none" w:pos="1728" w:val="left"/>
        </w:tabs>
        <w:numPr>
          <w:ilvl w:val="1"/>
          <w:numId w:val="1079"/>
        </w:numPr>
        <w:rPr>
          <w:rFonts w:ascii="Calibri" w:cs="Calibri" w:eastAsia="Calibri" w:hAnsi="Calibri"/>
          <w:sz w:val="22"/>
          <w:szCs w:val="22"/>
          <w:color w:val="auto"/>
        </w:rPr>
      </w:pPr>
      <w:r>
        <w:rPr>
          <w:rFonts w:ascii="Times New Roman" w:cs="Times New Roman" w:eastAsia="Times New Roman" w:hAnsi="Times New Roman"/>
          <w:sz w:val="24"/>
          <w:szCs w:val="24"/>
          <w:color w:val="auto"/>
        </w:rPr>
        <w:t>Some risks may have a material impact which is qualitative though not quantitative.</w:t>
      </w:r>
    </w:p>
    <w:p>
      <w:pPr>
        <w:spacing w:after="0" w:line="31" w:lineRule="exact"/>
        <w:rPr>
          <w:rFonts w:ascii="Calibri" w:cs="Calibri" w:eastAsia="Calibri" w:hAnsi="Calibri"/>
          <w:sz w:val="22"/>
          <w:szCs w:val="22"/>
          <w:color w:val="auto"/>
        </w:rPr>
      </w:pPr>
    </w:p>
    <w:p>
      <w:pPr>
        <w:ind w:left="1728" w:hanging="576"/>
        <w:spacing w:after="0" w:line="342" w:lineRule="auto"/>
        <w:tabs>
          <w:tab w:leader="none" w:pos="1728" w:val="left"/>
        </w:tabs>
        <w:numPr>
          <w:ilvl w:val="1"/>
          <w:numId w:val="1079"/>
        </w:numPr>
        <w:rPr>
          <w:rFonts w:ascii="Calibri" w:cs="Calibri" w:eastAsia="Calibri" w:hAnsi="Calibri"/>
          <w:sz w:val="22"/>
          <w:szCs w:val="22"/>
          <w:color w:val="auto"/>
        </w:rPr>
      </w:pPr>
      <w:r>
        <w:rPr>
          <w:rFonts w:ascii="Times New Roman" w:cs="Times New Roman" w:eastAsia="Times New Roman" w:hAnsi="Times New Roman"/>
          <w:sz w:val="24"/>
          <w:szCs w:val="24"/>
          <w:color w:val="auto"/>
        </w:rPr>
        <w:t>Some risks may not be material at present but may have a material impact in the future.</w:t>
      </w:r>
    </w:p>
    <w:p>
      <w:pPr>
        <w:spacing w:after="0" w:line="19" w:lineRule="exact"/>
        <w:rPr>
          <w:rFonts w:ascii="Calibri" w:cs="Calibri" w:eastAsia="Calibri" w:hAnsi="Calibri"/>
          <w:sz w:val="22"/>
          <w:szCs w:val="22"/>
          <w:color w:val="auto"/>
        </w:rPr>
      </w:pPr>
    </w:p>
    <w:p>
      <w:pPr>
        <w:ind w:left="1148" w:hanging="572"/>
        <w:spacing w:after="0"/>
        <w:tabs>
          <w:tab w:leader="none" w:pos="1148" w:val="left"/>
        </w:tabs>
        <w:numPr>
          <w:ilvl w:val="0"/>
          <w:numId w:val="108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Each risk factor shall appear in the following manner:</w:t>
      </w:r>
    </w:p>
    <w:p>
      <w:pPr>
        <w:spacing w:after="0" w:line="129" w:lineRule="exact"/>
        <w:rPr>
          <w:rFonts w:ascii="Times New Roman" w:cs="Times New Roman" w:eastAsia="Times New Roman" w:hAnsi="Times New Roman"/>
          <w:sz w:val="24"/>
          <w:szCs w:val="24"/>
          <w:color w:val="auto"/>
        </w:rPr>
      </w:pPr>
    </w:p>
    <w:p>
      <w:pPr>
        <w:ind w:left="1728" w:hanging="576"/>
        <w:spacing w:after="0"/>
        <w:tabs>
          <w:tab w:leader="none" w:pos="1728" w:val="left"/>
        </w:tabs>
        <w:numPr>
          <w:ilvl w:val="1"/>
          <w:numId w:val="1080"/>
        </w:numPr>
        <w:rPr>
          <w:rFonts w:ascii="Calibri" w:cs="Calibri" w:eastAsia="Calibri" w:hAnsi="Calibri"/>
          <w:sz w:val="22"/>
          <w:szCs w:val="22"/>
          <w:color w:val="auto"/>
        </w:rPr>
      </w:pPr>
      <w:r>
        <w:rPr>
          <w:rFonts w:ascii="Times New Roman" w:cs="Times New Roman" w:eastAsia="Times New Roman" w:hAnsi="Times New Roman"/>
          <w:sz w:val="24"/>
          <w:szCs w:val="24"/>
          <w:color w:val="auto"/>
        </w:rPr>
        <w:t>Risk as envisaged by the issuer</w:t>
      </w:r>
    </w:p>
    <w:p>
      <w:pPr>
        <w:spacing w:after="0" w:line="132" w:lineRule="exact"/>
        <w:rPr>
          <w:rFonts w:ascii="Calibri" w:cs="Calibri" w:eastAsia="Calibri" w:hAnsi="Calibri"/>
          <w:sz w:val="22"/>
          <w:szCs w:val="22"/>
          <w:color w:val="auto"/>
        </w:rPr>
      </w:pPr>
    </w:p>
    <w:p>
      <w:pPr>
        <w:ind w:left="1728" w:hanging="576"/>
        <w:spacing w:after="0"/>
        <w:tabs>
          <w:tab w:leader="none" w:pos="1728" w:val="left"/>
        </w:tabs>
        <w:numPr>
          <w:ilvl w:val="1"/>
          <w:numId w:val="1080"/>
        </w:numPr>
        <w:rPr>
          <w:rFonts w:ascii="Calibri" w:cs="Calibri" w:eastAsia="Calibri" w:hAnsi="Calibri"/>
          <w:sz w:val="22"/>
          <w:szCs w:val="22"/>
          <w:color w:val="auto"/>
        </w:rPr>
      </w:pPr>
      <w:r>
        <w:rPr>
          <w:rFonts w:ascii="Times New Roman" w:cs="Times New Roman" w:eastAsia="Times New Roman" w:hAnsi="Times New Roman"/>
          <w:sz w:val="24"/>
          <w:szCs w:val="24"/>
          <w:color w:val="auto"/>
        </w:rPr>
        <w:t>Proposals, if any, to address the risks.</w:t>
      </w:r>
    </w:p>
    <w:p>
      <w:pPr>
        <w:spacing w:after="0" w:line="200" w:lineRule="exact"/>
        <w:rPr>
          <w:sz w:val="20"/>
          <w:szCs w:val="20"/>
          <w:color w:val="auto"/>
        </w:rPr>
      </w:pPr>
    </w:p>
    <w:p>
      <w:pPr>
        <w:spacing w:after="0" w:line="353" w:lineRule="exact"/>
        <w:rPr>
          <w:sz w:val="20"/>
          <w:szCs w:val="20"/>
          <w:color w:val="auto"/>
        </w:rPr>
      </w:pPr>
    </w:p>
    <w:p>
      <w:pPr>
        <w:ind w:left="568"/>
        <w:spacing w:after="0"/>
        <w:rPr>
          <w:sz w:val="20"/>
          <w:szCs w:val="20"/>
          <w:color w:val="auto"/>
        </w:rPr>
      </w:pPr>
      <w:r>
        <w:rPr>
          <w:rFonts w:ascii="Times New Roman" w:cs="Times New Roman" w:eastAsia="Times New Roman" w:hAnsi="Times New Roman"/>
          <w:sz w:val="24"/>
          <w:szCs w:val="24"/>
          <w:color w:val="auto"/>
        </w:rPr>
        <w:t>Any ‘notes’ required to be given prominence shall appear immediately after the risk factors.</w:t>
      </w:r>
    </w:p>
    <w:p>
      <w:pPr>
        <w:spacing w:after="0" w:line="200" w:lineRule="exact"/>
        <w:rPr>
          <w:sz w:val="20"/>
          <w:szCs w:val="20"/>
          <w:color w:val="auto"/>
        </w:rPr>
      </w:pPr>
    </w:p>
    <w:p>
      <w:pPr>
        <w:spacing w:after="0" w:line="357" w:lineRule="exact"/>
        <w:rPr>
          <w:sz w:val="20"/>
          <w:szCs w:val="20"/>
          <w:color w:val="auto"/>
        </w:rPr>
      </w:pPr>
    </w:p>
    <w:p>
      <w:pPr>
        <w:ind w:left="568" w:hanging="568"/>
        <w:spacing w:after="0"/>
        <w:tabs>
          <w:tab w:leader="none" w:pos="568" w:val="left"/>
        </w:tabs>
        <w:numPr>
          <w:ilvl w:val="0"/>
          <w:numId w:val="108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Recent developments:</w:t>
      </w:r>
    </w:p>
    <w:p>
      <w:pPr>
        <w:spacing w:after="0" w:line="144" w:lineRule="exact"/>
        <w:rPr>
          <w:rFonts w:ascii="Times New Roman" w:cs="Times New Roman" w:eastAsia="Times New Roman" w:hAnsi="Times New Roman"/>
          <w:sz w:val="24"/>
          <w:szCs w:val="24"/>
          <w:color w:val="auto"/>
        </w:rPr>
      </w:pPr>
    </w:p>
    <w:p>
      <w:pPr>
        <w:jc w:val="both"/>
        <w:ind w:left="568"/>
        <w:spacing w:after="0" w:line="35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Important events in the recent past (two financial years preceding the issue) providing details of important developments on three key areas: Operations &amp; Management, Shareholding Patterns and Business Environment.</w:t>
      </w:r>
    </w:p>
    <w:p>
      <w:pPr>
        <w:spacing w:after="0" w:line="200" w:lineRule="exact"/>
        <w:rPr>
          <w:rFonts w:ascii="Times New Roman" w:cs="Times New Roman" w:eastAsia="Times New Roman" w:hAnsi="Times New Roman"/>
          <w:sz w:val="24"/>
          <w:szCs w:val="24"/>
          <w:color w:val="auto"/>
        </w:rPr>
      </w:pPr>
    </w:p>
    <w:p>
      <w:pPr>
        <w:spacing w:after="0" w:line="239" w:lineRule="exact"/>
        <w:rPr>
          <w:rFonts w:ascii="Times New Roman" w:cs="Times New Roman" w:eastAsia="Times New Roman" w:hAnsi="Times New Roman"/>
          <w:sz w:val="24"/>
          <w:szCs w:val="24"/>
          <w:color w:val="auto"/>
        </w:rPr>
      </w:pPr>
    </w:p>
    <w:p>
      <w:pPr>
        <w:ind w:left="568" w:hanging="568"/>
        <w:spacing w:after="0" w:line="350" w:lineRule="auto"/>
        <w:tabs>
          <w:tab w:leader="none" w:pos="568" w:val="left"/>
        </w:tabs>
        <w:numPr>
          <w:ilvl w:val="0"/>
          <w:numId w:val="108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Exchange-wise market price information and other information concerning the shares in the domestic market of the issuing company:</w:t>
      </w:r>
    </w:p>
    <w:p>
      <w:pPr>
        <w:spacing w:after="0" w:line="18" w:lineRule="exact"/>
        <w:rPr>
          <w:rFonts w:ascii="Times New Roman" w:cs="Times New Roman" w:eastAsia="Times New Roman" w:hAnsi="Times New Roman"/>
          <w:sz w:val="24"/>
          <w:szCs w:val="24"/>
          <w:color w:val="auto"/>
        </w:rPr>
      </w:pPr>
    </w:p>
    <w:p>
      <w:pPr>
        <w:ind w:left="568"/>
        <w:spacing w:after="0" w:line="350"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This information should be updated as on the last available date before the date of the prospectus.</w:t>
      </w:r>
    </w:p>
    <w:p>
      <w:pPr>
        <w:spacing w:after="0" w:line="23" w:lineRule="exact"/>
        <w:rPr>
          <w:rFonts w:ascii="Times New Roman" w:cs="Times New Roman" w:eastAsia="Times New Roman" w:hAnsi="Times New Roman"/>
          <w:sz w:val="24"/>
          <w:szCs w:val="24"/>
          <w:color w:val="auto"/>
        </w:rPr>
      </w:pPr>
    </w:p>
    <w:p>
      <w:pPr>
        <w:jc w:val="both"/>
        <w:ind w:left="1148" w:hanging="572"/>
        <w:spacing w:after="0" w:line="354" w:lineRule="auto"/>
        <w:tabs>
          <w:tab w:leader="none" w:pos="1148" w:val="left"/>
        </w:tabs>
        <w:numPr>
          <w:ilvl w:val="1"/>
          <w:numId w:val="108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Market price of shares for each quarter of the last three calendar years preceding the calendar year preceding the year of the issue of the prospectus (High, Low, Average Daily Trading Volume)</w:t>
      </w:r>
    </w:p>
    <w:p>
      <w:pPr>
        <w:spacing w:after="0" w:line="22" w:lineRule="exact"/>
        <w:rPr>
          <w:rFonts w:ascii="Times New Roman" w:cs="Times New Roman" w:eastAsia="Times New Roman" w:hAnsi="Times New Roman"/>
          <w:sz w:val="24"/>
          <w:szCs w:val="24"/>
          <w:color w:val="auto"/>
        </w:rPr>
      </w:pPr>
    </w:p>
    <w:p>
      <w:pPr>
        <w:ind w:left="1148" w:hanging="572"/>
        <w:spacing w:after="0" w:line="348" w:lineRule="auto"/>
        <w:tabs>
          <w:tab w:leader="none" w:pos="1148" w:val="left"/>
        </w:tabs>
        <w:numPr>
          <w:ilvl w:val="1"/>
          <w:numId w:val="108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Market price of shares for each month of the calendar year preceding the year of the issue of the prospectus (High, Low, Average Daily Trading Volume)</w:t>
      </w:r>
    </w:p>
    <w:p>
      <w:pPr>
        <w:spacing w:after="0" w:line="28" w:lineRule="exact"/>
        <w:rPr>
          <w:rFonts w:ascii="Times New Roman" w:cs="Times New Roman" w:eastAsia="Times New Roman" w:hAnsi="Times New Roman"/>
          <w:sz w:val="24"/>
          <w:szCs w:val="24"/>
          <w:color w:val="auto"/>
        </w:rPr>
      </w:pPr>
    </w:p>
    <w:p>
      <w:pPr>
        <w:ind w:left="1148" w:hanging="572"/>
        <w:spacing w:after="0" w:line="348" w:lineRule="auto"/>
        <w:tabs>
          <w:tab w:leader="none" w:pos="1148" w:val="left"/>
        </w:tabs>
        <w:numPr>
          <w:ilvl w:val="1"/>
          <w:numId w:val="108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Market price of shares for the month preceding the date of the prospectus (High, Low, Average Daily Trading Volume)</w:t>
      </w:r>
    </w:p>
    <w:p>
      <w:pPr>
        <w:spacing w:after="0" w:line="27" w:lineRule="exact"/>
        <w:rPr>
          <w:rFonts w:ascii="Times New Roman" w:cs="Times New Roman" w:eastAsia="Times New Roman" w:hAnsi="Times New Roman"/>
          <w:sz w:val="24"/>
          <w:szCs w:val="24"/>
          <w:color w:val="auto"/>
        </w:rPr>
      </w:pPr>
    </w:p>
    <w:p>
      <w:pPr>
        <w:ind w:left="1148" w:hanging="572"/>
        <w:spacing w:after="0" w:line="348" w:lineRule="auto"/>
        <w:tabs>
          <w:tab w:leader="none" w:pos="1148" w:val="left"/>
        </w:tabs>
        <w:numPr>
          <w:ilvl w:val="1"/>
          <w:numId w:val="108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opening and closing price on the last day of the month preceding the date of the prospectus along with the volume</w:t>
      </w:r>
    </w:p>
    <w:p>
      <w:pPr>
        <w:spacing w:after="0" w:line="200" w:lineRule="exact"/>
        <w:rPr>
          <w:rFonts w:ascii="Times New Roman" w:cs="Times New Roman" w:eastAsia="Times New Roman" w:hAnsi="Times New Roman"/>
          <w:sz w:val="24"/>
          <w:szCs w:val="24"/>
          <w:color w:val="auto"/>
        </w:rPr>
      </w:pPr>
    </w:p>
    <w:p>
      <w:pPr>
        <w:spacing w:after="0" w:line="233"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08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Dividends:</w:t>
      </w:r>
    </w:p>
    <w:p>
      <w:pPr>
        <w:spacing w:after="0" w:line="134"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8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Dividend policy of the issuing company</w:t>
      </w:r>
    </w:p>
    <w:p>
      <w:pPr>
        <w:spacing w:after="0" w:line="137"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8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Rate of dividend and amount of dividend paid for the last five financial years</w:t>
      </w:r>
    </w:p>
    <w:p>
      <w:pPr>
        <w:spacing w:after="0" w:line="151" w:lineRule="exact"/>
        <w:rPr>
          <w:rFonts w:ascii="Times New Roman" w:cs="Times New Roman" w:eastAsia="Times New Roman" w:hAnsi="Times New Roman"/>
          <w:sz w:val="24"/>
          <w:szCs w:val="24"/>
          <w:color w:val="auto"/>
        </w:rPr>
      </w:pPr>
    </w:p>
    <w:p>
      <w:pPr>
        <w:ind w:left="1148" w:hanging="572"/>
        <w:spacing w:after="0" w:line="348" w:lineRule="auto"/>
        <w:tabs>
          <w:tab w:leader="none" w:pos="1148" w:val="left"/>
        </w:tabs>
        <w:numPr>
          <w:ilvl w:val="1"/>
          <w:numId w:val="108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Regulatory framework in the country of incorporation/share listed concerning dividends</w:t>
      </w: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341</w:t>
      </w:r>
    </w:p>
    <w:p>
      <w:pPr>
        <w:sectPr>
          <w:pgSz w:w="11900" w:h="16836" w:orient="portrait"/>
          <w:cols w:equalWidth="0" w:num="1">
            <w:col w:w="9468"/>
          </w:cols>
          <w:pgMar w:left="1152" w:top="1156" w:right="1284" w:bottom="103" w:gutter="0" w:footer="0" w:header="0"/>
        </w:sectPr>
      </w:pPr>
    </w:p>
    <w:bookmarkStart w:id="341" w:name="page342"/>
    <w:bookmarkEnd w:id="341"/>
    <w:p>
      <w:pPr>
        <w:ind w:left="1148" w:hanging="572"/>
        <w:spacing w:after="0" w:line="348" w:lineRule="auto"/>
        <w:tabs>
          <w:tab w:leader="none" w:pos="1148" w:val="left"/>
        </w:tabs>
        <w:numPr>
          <w:ilvl w:val="1"/>
          <w:numId w:val="108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arrangement with the depositories for payment of dividend to the IDR holders</w:t>
      </w:r>
    </w:p>
    <w:p>
      <w:pPr>
        <w:spacing w:after="0" w:line="28" w:lineRule="exact"/>
        <w:rPr>
          <w:rFonts w:ascii="Times New Roman" w:cs="Times New Roman" w:eastAsia="Times New Roman" w:hAnsi="Times New Roman"/>
          <w:sz w:val="24"/>
          <w:szCs w:val="24"/>
          <w:color w:val="auto"/>
        </w:rPr>
      </w:pPr>
    </w:p>
    <w:p>
      <w:pPr>
        <w:ind w:left="1148" w:hanging="572"/>
        <w:spacing w:after="0" w:line="348" w:lineRule="auto"/>
        <w:tabs>
          <w:tab w:leader="none" w:pos="1148" w:val="left"/>
        </w:tabs>
        <w:numPr>
          <w:ilvl w:val="1"/>
          <w:numId w:val="108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Changes, if any, in dividends announced and dividends paid and time gap between the dividends announced and dividends paid</w:t>
      </w:r>
    </w:p>
    <w:p>
      <w:pPr>
        <w:spacing w:after="0" w:line="15"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8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Dividend yield</w:t>
      </w:r>
    </w:p>
    <w:p>
      <w:pPr>
        <w:spacing w:after="0" w:line="136"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8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Taxation aspects of dividend distribution</w:t>
      </w:r>
    </w:p>
    <w:p>
      <w:pPr>
        <w:spacing w:after="0" w:line="200" w:lineRule="exact"/>
        <w:rPr>
          <w:rFonts w:ascii="Times New Roman" w:cs="Times New Roman" w:eastAsia="Times New Roman" w:hAnsi="Times New Roman"/>
          <w:sz w:val="24"/>
          <w:szCs w:val="24"/>
          <w:color w:val="auto"/>
        </w:rPr>
      </w:pPr>
    </w:p>
    <w:p>
      <w:pPr>
        <w:spacing w:after="0" w:line="356"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08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Exchange rates:</w:t>
      </w:r>
    </w:p>
    <w:p>
      <w:pPr>
        <w:spacing w:after="0" w:line="147" w:lineRule="exact"/>
        <w:rPr>
          <w:rFonts w:ascii="Times New Roman" w:cs="Times New Roman" w:eastAsia="Times New Roman" w:hAnsi="Times New Roman"/>
          <w:sz w:val="24"/>
          <w:szCs w:val="24"/>
          <w:color w:val="auto"/>
        </w:rPr>
      </w:pPr>
    </w:p>
    <w:p>
      <w:pPr>
        <w:ind w:left="1148" w:hanging="572"/>
        <w:spacing w:after="0" w:line="348" w:lineRule="auto"/>
        <w:tabs>
          <w:tab w:leader="none" w:pos="1148" w:val="left"/>
        </w:tabs>
        <w:numPr>
          <w:ilvl w:val="1"/>
          <w:numId w:val="108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Brief history of the pattern of the exchange rates between the country of incorporation/where shares are listed and India</w:t>
      </w:r>
    </w:p>
    <w:p>
      <w:pPr>
        <w:spacing w:after="0" w:line="15"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8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High, Low and Average exchange rates for the last five years</w:t>
      </w:r>
    </w:p>
    <w:p>
      <w:pPr>
        <w:spacing w:after="0" w:line="136"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8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High, Low and Average exchange rates for the last twelve months</w:t>
      </w:r>
    </w:p>
    <w:p>
      <w:pPr>
        <w:spacing w:after="0" w:line="200" w:lineRule="exact"/>
        <w:rPr>
          <w:rFonts w:ascii="Times New Roman" w:cs="Times New Roman" w:eastAsia="Times New Roman" w:hAnsi="Times New Roman"/>
          <w:sz w:val="24"/>
          <w:szCs w:val="24"/>
          <w:color w:val="auto"/>
        </w:rPr>
      </w:pPr>
    </w:p>
    <w:p>
      <w:pPr>
        <w:spacing w:after="0" w:line="369" w:lineRule="exact"/>
        <w:rPr>
          <w:rFonts w:ascii="Times New Roman" w:cs="Times New Roman" w:eastAsia="Times New Roman" w:hAnsi="Times New Roman"/>
          <w:sz w:val="24"/>
          <w:szCs w:val="24"/>
          <w:color w:val="auto"/>
        </w:rPr>
      </w:pPr>
    </w:p>
    <w:p>
      <w:pPr>
        <w:ind w:left="568" w:hanging="568"/>
        <w:spacing w:after="0" w:line="350" w:lineRule="auto"/>
        <w:tabs>
          <w:tab w:leader="none" w:pos="568" w:val="left"/>
        </w:tabs>
        <w:numPr>
          <w:ilvl w:val="0"/>
          <w:numId w:val="108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Foreign investment and exchange controls of the country of incorporation/ where the shares are listed:</w:t>
      </w:r>
    </w:p>
    <w:p>
      <w:pPr>
        <w:spacing w:after="0" w:line="18" w:lineRule="exact"/>
        <w:rPr>
          <w:rFonts w:ascii="Times New Roman" w:cs="Times New Roman" w:eastAsia="Times New Roman" w:hAnsi="Times New Roman"/>
          <w:sz w:val="24"/>
          <w:szCs w:val="24"/>
          <w:color w:val="auto"/>
        </w:rPr>
      </w:pPr>
    </w:p>
    <w:p>
      <w:pPr>
        <w:jc w:val="both"/>
        <w:ind w:left="568"/>
        <w:spacing w:after="0" w:line="35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Information relating to the relevant foreign investment laws and exchange control regulations of the country of incorporation or country where the underlying equity shares are listed.</w:t>
      </w:r>
    </w:p>
    <w:p>
      <w:pPr>
        <w:spacing w:after="0" w:line="200" w:lineRule="exact"/>
        <w:rPr>
          <w:rFonts w:ascii="Times New Roman" w:cs="Times New Roman" w:eastAsia="Times New Roman" w:hAnsi="Times New Roman"/>
          <w:sz w:val="24"/>
          <w:szCs w:val="24"/>
          <w:color w:val="auto"/>
        </w:rPr>
      </w:pPr>
    </w:p>
    <w:p>
      <w:pPr>
        <w:spacing w:after="0" w:line="227"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08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Objects of the issue/use of proceeds:</w:t>
      </w:r>
    </w:p>
    <w:p>
      <w:pPr>
        <w:spacing w:after="0" w:line="134" w:lineRule="exact"/>
        <w:rPr>
          <w:rFonts w:ascii="Times New Roman" w:cs="Times New Roman" w:eastAsia="Times New Roman" w:hAnsi="Times New Roman"/>
          <w:sz w:val="24"/>
          <w:szCs w:val="24"/>
          <w:color w:val="auto"/>
        </w:rPr>
      </w:pPr>
    </w:p>
    <w:p>
      <w:pPr>
        <w:ind w:left="1448" w:hanging="816"/>
        <w:spacing w:after="0"/>
        <w:tabs>
          <w:tab w:leader="none" w:pos="1448" w:val="left"/>
        </w:tabs>
        <w:numPr>
          <w:ilvl w:val="2"/>
          <w:numId w:val="108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Purpose of the issue</w:t>
      </w:r>
    </w:p>
    <w:p>
      <w:pPr>
        <w:spacing w:after="0" w:line="136" w:lineRule="exact"/>
        <w:rPr>
          <w:rFonts w:ascii="Times New Roman" w:cs="Times New Roman" w:eastAsia="Times New Roman" w:hAnsi="Times New Roman"/>
          <w:sz w:val="24"/>
          <w:szCs w:val="24"/>
          <w:color w:val="auto"/>
        </w:rPr>
      </w:pPr>
    </w:p>
    <w:p>
      <w:pPr>
        <w:ind w:left="1448" w:hanging="816"/>
        <w:spacing w:after="0"/>
        <w:tabs>
          <w:tab w:leader="none" w:pos="1448" w:val="left"/>
        </w:tabs>
        <w:numPr>
          <w:ilvl w:val="2"/>
          <w:numId w:val="108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Break-up of the cost of the project for which the money is raised through the IDR</w:t>
      </w:r>
    </w:p>
    <w:p>
      <w:pPr>
        <w:spacing w:after="0" w:line="139" w:lineRule="exact"/>
        <w:rPr>
          <w:rFonts w:ascii="Times New Roman" w:cs="Times New Roman" w:eastAsia="Times New Roman" w:hAnsi="Times New Roman"/>
          <w:sz w:val="24"/>
          <w:szCs w:val="24"/>
          <w:color w:val="auto"/>
        </w:rPr>
      </w:pPr>
    </w:p>
    <w:p>
      <w:pPr>
        <w:ind w:left="628"/>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issue</w:t>
      </w:r>
    </w:p>
    <w:p>
      <w:pPr>
        <w:spacing w:after="0" w:line="137" w:lineRule="exact"/>
        <w:rPr>
          <w:rFonts w:ascii="Times New Roman" w:cs="Times New Roman" w:eastAsia="Times New Roman" w:hAnsi="Times New Roman"/>
          <w:sz w:val="24"/>
          <w:szCs w:val="24"/>
          <w:color w:val="auto"/>
        </w:rPr>
      </w:pPr>
    </w:p>
    <w:p>
      <w:pPr>
        <w:ind w:left="1448" w:hanging="816"/>
        <w:spacing w:after="0"/>
        <w:tabs>
          <w:tab w:leader="none" w:pos="1448" w:val="left"/>
        </w:tabs>
        <w:numPr>
          <w:ilvl w:val="2"/>
          <w:numId w:val="108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Means of financing of the project</w:t>
      </w:r>
    </w:p>
    <w:p>
      <w:pPr>
        <w:spacing w:after="0" w:line="139" w:lineRule="exact"/>
        <w:rPr>
          <w:rFonts w:ascii="Times New Roman" w:cs="Times New Roman" w:eastAsia="Times New Roman" w:hAnsi="Times New Roman"/>
          <w:sz w:val="24"/>
          <w:szCs w:val="24"/>
          <w:color w:val="auto"/>
        </w:rPr>
      </w:pPr>
    </w:p>
    <w:p>
      <w:pPr>
        <w:ind w:left="1448" w:hanging="816"/>
        <w:spacing w:after="0"/>
        <w:tabs>
          <w:tab w:leader="none" w:pos="1448" w:val="left"/>
        </w:tabs>
        <w:numPr>
          <w:ilvl w:val="2"/>
          <w:numId w:val="108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Proposed deployment of the proceeds at each stage of the project.</w:t>
      </w:r>
    </w:p>
    <w:p>
      <w:pPr>
        <w:spacing w:after="0" w:line="200" w:lineRule="exact"/>
        <w:rPr>
          <w:rFonts w:ascii="Times New Roman" w:cs="Times New Roman" w:eastAsia="Times New Roman" w:hAnsi="Times New Roman"/>
          <w:sz w:val="24"/>
          <w:szCs w:val="24"/>
          <w:color w:val="auto"/>
        </w:rPr>
      </w:pPr>
    </w:p>
    <w:p>
      <w:pPr>
        <w:spacing w:after="0" w:line="356"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08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Interim use of funds:</w:t>
      </w:r>
    </w:p>
    <w:p>
      <w:pPr>
        <w:spacing w:after="0" w:line="144" w:lineRule="exact"/>
        <w:rPr>
          <w:rFonts w:ascii="Times New Roman" w:cs="Times New Roman" w:eastAsia="Times New Roman" w:hAnsi="Times New Roman"/>
          <w:sz w:val="24"/>
          <w:szCs w:val="24"/>
          <w:color w:val="auto"/>
        </w:rPr>
      </w:pPr>
    </w:p>
    <w:p>
      <w:pPr>
        <w:ind w:left="568"/>
        <w:spacing w:after="0" w:line="350"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company shall keep funds in a bank having a credit rating of 'A' or above by an international credit rating agency.</w:t>
      </w:r>
    </w:p>
    <w:p>
      <w:pPr>
        <w:spacing w:after="0" w:line="200" w:lineRule="exact"/>
        <w:rPr>
          <w:rFonts w:ascii="Times New Roman" w:cs="Times New Roman" w:eastAsia="Times New Roman" w:hAnsi="Times New Roman"/>
          <w:sz w:val="24"/>
          <w:szCs w:val="24"/>
          <w:color w:val="auto"/>
        </w:rPr>
      </w:pPr>
    </w:p>
    <w:p>
      <w:pPr>
        <w:spacing w:after="0" w:line="230"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08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Capitalisation statement: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382270</wp:posOffset>
                </wp:positionH>
                <wp:positionV relativeFrom="paragraph">
                  <wp:posOffset>354965</wp:posOffset>
                </wp:positionV>
                <wp:extent cx="5740400" cy="0"/>
                <wp:wrapNone/>
                <wp:docPr id="173" name="Shape 1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040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73" o:spid="_x0000_s11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0.1pt,27.95pt" to="482.1pt,27.9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382270</wp:posOffset>
                </wp:positionH>
                <wp:positionV relativeFrom="paragraph">
                  <wp:posOffset>623570</wp:posOffset>
                </wp:positionV>
                <wp:extent cx="5740400" cy="0"/>
                <wp:wrapNone/>
                <wp:docPr id="174" name="Shape 1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040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74" o:spid="_x0000_s11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0.1pt,49.1pt" to="482.1pt,49.1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385445</wp:posOffset>
                </wp:positionH>
                <wp:positionV relativeFrom="paragraph">
                  <wp:posOffset>352425</wp:posOffset>
                </wp:positionV>
                <wp:extent cx="0" cy="544195"/>
                <wp:wrapNone/>
                <wp:docPr id="175" name="Shape 1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4419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75" o:spid="_x0000_s12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0.35pt,27.75pt" to="30.35pt,70.6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3243580</wp:posOffset>
                </wp:positionH>
                <wp:positionV relativeFrom="paragraph">
                  <wp:posOffset>352425</wp:posOffset>
                </wp:positionV>
                <wp:extent cx="0" cy="544195"/>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4419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76" o:spid="_x0000_s12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5.4pt,27.75pt" to="255.4pt,70.6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6120130</wp:posOffset>
                </wp:positionH>
                <wp:positionV relativeFrom="paragraph">
                  <wp:posOffset>352425</wp:posOffset>
                </wp:positionV>
                <wp:extent cx="0" cy="544195"/>
                <wp:wrapNone/>
                <wp:docPr id="177" name="Shape 1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4419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77" o:spid="_x0000_s12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1.9pt,27.75pt" to="481.9pt,70.6pt" o:allowincell="f" strokecolor="#000000" strokeweight="0.4799pt"/>
            </w:pict>
          </mc:Fallback>
        </mc:AlternateContent>
      </w:r>
    </w:p>
    <w:p>
      <w:pPr>
        <w:spacing w:after="0" w:line="200" w:lineRule="exact"/>
        <w:rPr>
          <w:sz w:val="20"/>
          <w:szCs w:val="20"/>
          <w:color w:val="auto"/>
        </w:rPr>
      </w:pPr>
    </w:p>
    <w:p>
      <w:pPr>
        <w:spacing w:after="0" w:line="342" w:lineRule="exact"/>
        <w:rPr>
          <w:sz w:val="20"/>
          <w:szCs w:val="20"/>
          <w:color w:val="auto"/>
        </w:rPr>
      </w:pPr>
    </w:p>
    <w:tbl>
      <w:tblPr>
        <w:tblLayout w:type="fixed"/>
        <w:tblInd w:w="1428" w:type="dxa"/>
        <w:tblCellMar>
          <w:top w:w="0" w:type="dxa"/>
          <w:left w:w="0" w:type="dxa"/>
          <w:bottom w:w="0" w:type="dxa"/>
          <w:right w:w="0" w:type="dxa"/>
        </w:tblCellMar>
      </w:tblPr>
      <w:tr>
        <w:trPr>
          <w:trHeight w:val="276"/>
        </w:trPr>
        <w:tc>
          <w:tcPr>
            <w:tcW w:w="2560" w:type="dxa"/>
            <w:vAlign w:val="bottom"/>
          </w:tcPr>
          <w:p>
            <w:pPr>
              <w:spacing w:after="0"/>
              <w:rPr>
                <w:sz w:val="20"/>
                <w:szCs w:val="20"/>
                <w:color w:val="auto"/>
              </w:rPr>
            </w:pPr>
            <w:r>
              <w:rPr>
                <w:rFonts w:ascii="Times New Roman" w:cs="Times New Roman" w:eastAsia="Times New Roman" w:hAnsi="Times New Roman"/>
                <w:sz w:val="24"/>
                <w:szCs w:val="24"/>
                <w:b w:val="1"/>
                <w:bCs w:val="1"/>
                <w:color w:val="auto"/>
              </w:rPr>
              <w:t>Particulars</w:t>
            </w:r>
          </w:p>
        </w:tc>
        <w:tc>
          <w:tcPr>
            <w:tcW w:w="3460" w:type="dxa"/>
            <w:vAlign w:val="bottom"/>
          </w:tcPr>
          <w:p>
            <w:pPr>
              <w:ind w:left="1420"/>
              <w:spacing w:after="0"/>
              <w:rPr>
                <w:sz w:val="20"/>
                <w:szCs w:val="20"/>
                <w:color w:val="auto"/>
              </w:rPr>
            </w:pPr>
            <w:r>
              <w:rPr>
                <w:rFonts w:ascii="Times New Roman" w:cs="Times New Roman" w:eastAsia="Times New Roman" w:hAnsi="Times New Roman"/>
                <w:sz w:val="24"/>
                <w:szCs w:val="24"/>
                <w:b w:val="1"/>
                <w:bCs w:val="1"/>
                <w:color w:val="auto"/>
              </w:rPr>
              <w:t>Pre-issue as at ........</w:t>
            </w:r>
          </w:p>
        </w:tc>
        <w:tc>
          <w:tcPr>
            <w:tcW w:w="1900" w:type="dxa"/>
            <w:vAlign w:val="bottom"/>
          </w:tcPr>
          <w:p>
            <w:pPr>
              <w:ind w:left="20"/>
              <w:spacing w:after="0"/>
              <w:rPr>
                <w:sz w:val="20"/>
                <w:szCs w:val="20"/>
                <w:color w:val="auto"/>
              </w:rPr>
            </w:pPr>
            <w:r>
              <w:rPr>
                <w:rFonts w:ascii="Times New Roman" w:cs="Times New Roman" w:eastAsia="Times New Roman" w:hAnsi="Times New Roman"/>
                <w:sz w:val="24"/>
                <w:szCs w:val="24"/>
                <w:b w:val="1"/>
                <w:bCs w:val="1"/>
                <w:color w:val="auto"/>
                <w:w w:val="99"/>
              </w:rPr>
              <w:t>(Rupees in crores)</w:t>
            </w:r>
          </w:p>
        </w:tc>
      </w:tr>
    </w:tbl>
    <w:p>
      <w:pPr>
        <w:spacing w:after="0" w:line="142" w:lineRule="exact"/>
        <w:rPr>
          <w:sz w:val="20"/>
          <w:szCs w:val="20"/>
          <w:color w:val="auto"/>
        </w:rPr>
      </w:pPr>
    </w:p>
    <w:p>
      <w:pPr>
        <w:ind w:left="708"/>
        <w:spacing w:after="0"/>
        <w:rPr>
          <w:sz w:val="20"/>
          <w:szCs w:val="20"/>
          <w:color w:val="auto"/>
        </w:rPr>
      </w:pPr>
      <w:r>
        <w:rPr>
          <w:rFonts w:ascii="Times New Roman" w:cs="Times New Roman" w:eastAsia="Times New Roman" w:hAnsi="Times New Roman"/>
          <w:sz w:val="24"/>
          <w:szCs w:val="24"/>
          <w:color w:val="auto"/>
        </w:rPr>
        <w:t>Short-Term Debt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382270</wp:posOffset>
                </wp:positionH>
                <wp:positionV relativeFrom="paragraph">
                  <wp:posOffset>95885</wp:posOffset>
                </wp:positionV>
                <wp:extent cx="5740400" cy="0"/>
                <wp:wrapNone/>
                <wp:docPr id="178" name="Shape 1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040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78" o:spid="_x0000_s12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0.1pt,7.55pt" to="482.1pt,7.55pt" o:allowincell="f" strokecolor="#000000" strokeweight="0.4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342</w:t>
      </w:r>
    </w:p>
    <w:p>
      <w:pPr>
        <w:sectPr>
          <w:pgSz w:w="11900" w:h="16836" w:orient="portrait"/>
          <w:cols w:equalWidth="0" w:num="1">
            <w:col w:w="9468"/>
          </w:cols>
          <w:pgMar w:left="1152" w:top="1156" w:right="1284" w:bottom="103" w:gutter="0" w:footer="0" w:header="0"/>
        </w:sectPr>
      </w:pPr>
    </w:p>
    <w:bookmarkStart w:id="342" w:name="page343"/>
    <w:bookmarkEnd w:id="342"/>
    <w:p>
      <w:pPr>
        <w:ind w:left="708"/>
        <w:spacing w:after="0"/>
        <w:rPr>
          <w:sz w:val="20"/>
          <w:szCs w:val="20"/>
          <w:color w:val="auto"/>
        </w:rPr>
      </w:pPr>
      <w:r>
        <w:rPr>
          <w:rFonts w:ascii="Times New Roman" w:cs="Times New Roman" w:eastAsia="Times New Roman" w:hAnsi="Times New Roman"/>
          <w:sz w:val="24"/>
          <w:szCs w:val="24"/>
          <w:color w:val="auto"/>
        </w:rPr>
        <mc:AlternateContent>
          <mc:Choice Requires="wps">
            <w:drawing>
              <wp:anchor simplePos="0" relativeHeight="251657728" behindDoc="1" locked="0" layoutInCell="0" allowOverlap="1">
                <wp:simplePos x="0" y="0"/>
                <wp:positionH relativeFrom="page">
                  <wp:posOffset>1113790</wp:posOffset>
                </wp:positionH>
                <wp:positionV relativeFrom="page">
                  <wp:posOffset>734060</wp:posOffset>
                </wp:positionV>
                <wp:extent cx="5741035" cy="0"/>
                <wp:wrapNone/>
                <wp:docPr id="179" name="Shape 1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103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79" o:spid="_x0000_s120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7.7pt,57.8pt" to="539.75pt,57.8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1113790</wp:posOffset>
                </wp:positionH>
                <wp:positionV relativeFrom="page">
                  <wp:posOffset>1003935</wp:posOffset>
                </wp:positionV>
                <wp:extent cx="5741035" cy="0"/>
                <wp:wrapNone/>
                <wp:docPr id="180" name="Shape 1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10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80" o:spid="_x0000_s120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7.7pt,79.05pt" to="539.75pt,79.05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1113790</wp:posOffset>
                </wp:positionH>
                <wp:positionV relativeFrom="page">
                  <wp:posOffset>1798320</wp:posOffset>
                </wp:positionV>
                <wp:extent cx="5741035" cy="0"/>
                <wp:wrapNone/>
                <wp:docPr id="181" name="Shape 1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10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81" o:spid="_x0000_s120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7.7pt,141.6pt" to="539.75pt,141.6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3975100</wp:posOffset>
                </wp:positionH>
                <wp:positionV relativeFrom="page">
                  <wp:posOffset>730885</wp:posOffset>
                </wp:positionV>
                <wp:extent cx="0" cy="1609725"/>
                <wp:wrapNone/>
                <wp:docPr id="182" name="Shape 1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0972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82" o:spid="_x0000_s120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313pt,57.55pt" to="313pt,184.3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1113790</wp:posOffset>
                </wp:positionH>
                <wp:positionV relativeFrom="page">
                  <wp:posOffset>2068195</wp:posOffset>
                </wp:positionV>
                <wp:extent cx="5741035" cy="0"/>
                <wp:wrapNone/>
                <wp:docPr id="183" name="Shape 1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103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83" o:spid="_x0000_s120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7.7pt,162.85pt" to="539.75pt,162.85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1116965</wp:posOffset>
                </wp:positionH>
                <wp:positionV relativeFrom="page">
                  <wp:posOffset>730885</wp:posOffset>
                </wp:positionV>
                <wp:extent cx="0" cy="1609725"/>
                <wp:wrapNone/>
                <wp:docPr id="184" name="Shape 1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0972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84" o:spid="_x0000_s120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7.95pt,57.55pt" to="87.95pt,184.3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6851650</wp:posOffset>
                </wp:positionH>
                <wp:positionV relativeFrom="page">
                  <wp:posOffset>730885</wp:posOffset>
                </wp:positionV>
                <wp:extent cx="0" cy="1609725"/>
                <wp:wrapNone/>
                <wp:docPr id="185" name="Shape 1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0972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85" o:spid="_x0000_s121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39.5pt,57.55pt" to="539.5pt,184.3pt" o:allowincell="f" strokecolor="#000000" strokeweight="0.4799pt">
                <w10:wrap anchorx="page" anchory="page"/>
              </v:line>
            </w:pict>
          </mc:Fallback>
        </mc:AlternateContent>
        <w:t>Long Term Debt</w:t>
      </w:r>
    </w:p>
    <w:p>
      <w:pPr>
        <w:spacing w:after="0" w:line="149" w:lineRule="exact"/>
        <w:rPr>
          <w:sz w:val="20"/>
          <w:szCs w:val="20"/>
          <w:color w:val="auto"/>
        </w:rPr>
      </w:pPr>
    </w:p>
    <w:p>
      <w:pPr>
        <w:ind w:left="708"/>
        <w:spacing w:after="0"/>
        <w:rPr>
          <w:sz w:val="20"/>
          <w:szCs w:val="20"/>
          <w:color w:val="auto"/>
        </w:rPr>
      </w:pPr>
      <w:r>
        <w:rPr>
          <w:rFonts w:ascii="Times New Roman" w:cs="Times New Roman" w:eastAsia="Times New Roman" w:hAnsi="Times New Roman"/>
          <w:sz w:val="24"/>
          <w:szCs w:val="24"/>
          <w:color w:val="auto"/>
        </w:rPr>
        <w:t>Shareholders’ Funds</w:t>
      </w:r>
    </w:p>
    <w:p>
      <w:pPr>
        <w:spacing w:after="0" w:line="117" w:lineRule="exact"/>
        <w:rPr>
          <w:sz w:val="20"/>
          <w:szCs w:val="20"/>
          <w:color w:val="auto"/>
        </w:rPr>
      </w:pPr>
    </w:p>
    <w:p>
      <w:pPr>
        <w:ind w:left="1428" w:hanging="352"/>
        <w:spacing w:after="0"/>
        <w:tabs>
          <w:tab w:leader="none" w:pos="1428" w:val="left"/>
        </w:tabs>
        <w:numPr>
          <w:ilvl w:val="0"/>
          <w:numId w:val="1084"/>
        </w:numPr>
        <w:rPr>
          <w:rFonts w:ascii="Courier New" w:cs="Courier New" w:eastAsia="Courier New" w:hAnsi="Courier New"/>
          <w:sz w:val="24"/>
          <w:szCs w:val="24"/>
          <w:color w:val="auto"/>
        </w:rPr>
      </w:pPr>
      <w:r>
        <w:rPr>
          <w:rFonts w:ascii="Times New Roman" w:cs="Times New Roman" w:eastAsia="Times New Roman" w:hAnsi="Times New Roman"/>
          <w:sz w:val="24"/>
          <w:szCs w:val="24"/>
          <w:color w:val="auto"/>
        </w:rPr>
        <w:t>Share Capital</w:t>
      </w:r>
    </w:p>
    <w:p>
      <w:pPr>
        <w:spacing w:after="0" w:line="119" w:lineRule="exact"/>
        <w:rPr>
          <w:rFonts w:ascii="Courier New" w:cs="Courier New" w:eastAsia="Courier New" w:hAnsi="Courier New"/>
          <w:sz w:val="24"/>
          <w:szCs w:val="24"/>
          <w:color w:val="auto"/>
        </w:rPr>
      </w:pPr>
    </w:p>
    <w:p>
      <w:pPr>
        <w:ind w:left="1428" w:hanging="352"/>
        <w:spacing w:after="0"/>
        <w:tabs>
          <w:tab w:leader="none" w:pos="1428" w:val="left"/>
        </w:tabs>
        <w:numPr>
          <w:ilvl w:val="0"/>
          <w:numId w:val="1084"/>
        </w:numPr>
        <w:rPr>
          <w:rFonts w:ascii="Courier New" w:cs="Courier New" w:eastAsia="Courier New" w:hAnsi="Courier New"/>
          <w:sz w:val="24"/>
          <w:szCs w:val="24"/>
          <w:color w:val="auto"/>
        </w:rPr>
      </w:pPr>
      <w:r>
        <w:rPr>
          <w:rFonts w:ascii="Times New Roman" w:cs="Times New Roman" w:eastAsia="Times New Roman" w:hAnsi="Times New Roman"/>
          <w:sz w:val="24"/>
          <w:szCs w:val="24"/>
          <w:color w:val="auto"/>
        </w:rPr>
        <w:t>Reserves</w:t>
      </w:r>
    </w:p>
    <w:p>
      <w:pPr>
        <w:spacing w:after="0" w:line="146" w:lineRule="exact"/>
        <w:rPr>
          <w:sz w:val="20"/>
          <w:szCs w:val="20"/>
          <w:color w:val="auto"/>
        </w:rPr>
      </w:pPr>
    </w:p>
    <w:p>
      <w:pPr>
        <w:ind w:left="708"/>
        <w:spacing w:after="0"/>
        <w:rPr>
          <w:sz w:val="20"/>
          <w:szCs w:val="20"/>
          <w:color w:val="auto"/>
        </w:rPr>
      </w:pPr>
      <w:r>
        <w:rPr>
          <w:rFonts w:ascii="Times New Roman" w:cs="Times New Roman" w:eastAsia="Times New Roman" w:hAnsi="Times New Roman"/>
          <w:sz w:val="24"/>
          <w:szCs w:val="24"/>
          <w:color w:val="auto"/>
        </w:rPr>
        <w:t>Total Shareholders’ Funds</w:t>
      </w:r>
    </w:p>
    <w:p>
      <w:pPr>
        <w:spacing w:after="0" w:line="149" w:lineRule="exact"/>
        <w:rPr>
          <w:sz w:val="20"/>
          <w:szCs w:val="20"/>
          <w:color w:val="auto"/>
        </w:rPr>
      </w:pPr>
    </w:p>
    <w:p>
      <w:pPr>
        <w:ind w:left="708"/>
        <w:spacing w:after="0"/>
        <w:rPr>
          <w:sz w:val="20"/>
          <w:szCs w:val="20"/>
          <w:color w:val="auto"/>
        </w:rPr>
      </w:pPr>
      <w:r>
        <w:rPr>
          <w:rFonts w:ascii="Times New Roman" w:cs="Times New Roman" w:eastAsia="Times New Roman" w:hAnsi="Times New Roman"/>
          <w:sz w:val="24"/>
          <w:szCs w:val="24"/>
          <w:color w:val="auto"/>
        </w:rPr>
        <w:t>Long Term Debt/Equity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382270</wp:posOffset>
                </wp:positionH>
                <wp:positionV relativeFrom="paragraph">
                  <wp:posOffset>95885</wp:posOffset>
                </wp:positionV>
                <wp:extent cx="5740400" cy="0"/>
                <wp:wrapNone/>
                <wp:docPr id="186" name="Shape 1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040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86" o:spid="_x0000_s12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0.1pt,7.55pt" to="482.1pt,7.55pt" o:allowincell="f" strokecolor="#000000" strokeweight="0.4799pt"/>
            </w:pict>
          </mc:Fallback>
        </mc:AlternateContent>
      </w:r>
    </w:p>
    <w:p>
      <w:pPr>
        <w:spacing w:after="0" w:line="200" w:lineRule="exact"/>
        <w:rPr>
          <w:sz w:val="20"/>
          <w:szCs w:val="20"/>
          <w:color w:val="auto"/>
        </w:rPr>
      </w:pPr>
    </w:p>
    <w:p>
      <w:pPr>
        <w:spacing w:after="0" w:line="346" w:lineRule="exact"/>
        <w:rPr>
          <w:sz w:val="20"/>
          <w:szCs w:val="20"/>
          <w:color w:val="auto"/>
        </w:rPr>
      </w:pPr>
    </w:p>
    <w:p>
      <w:pPr>
        <w:ind w:left="568" w:hanging="568"/>
        <w:spacing w:after="0"/>
        <w:tabs>
          <w:tab w:leader="none" w:pos="568" w:val="left"/>
        </w:tabs>
        <w:numPr>
          <w:ilvl w:val="0"/>
          <w:numId w:val="108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Capital structure:</w:t>
      </w:r>
    </w:p>
    <w:p>
      <w:pPr>
        <w:spacing w:after="0" w:line="147" w:lineRule="exact"/>
        <w:rPr>
          <w:rFonts w:ascii="Times New Roman" w:cs="Times New Roman" w:eastAsia="Times New Roman" w:hAnsi="Times New Roman"/>
          <w:sz w:val="24"/>
          <w:szCs w:val="24"/>
          <w:color w:val="auto"/>
        </w:rPr>
      </w:pPr>
    </w:p>
    <w:p>
      <w:pPr>
        <w:ind w:left="1148" w:hanging="572"/>
        <w:spacing w:after="0" w:line="348" w:lineRule="auto"/>
        <w:tabs>
          <w:tab w:leader="none" w:pos="1148" w:val="left"/>
        </w:tabs>
        <w:numPr>
          <w:ilvl w:val="1"/>
          <w:numId w:val="108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Authorised, issued, subscribed and paid-up capital (number of instruments, description, aggregate nominal value)</w:t>
      </w:r>
    </w:p>
    <w:p>
      <w:pPr>
        <w:spacing w:after="0" w:line="15"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8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Size of the present issue</w:t>
      </w:r>
    </w:p>
    <w:p>
      <w:pPr>
        <w:spacing w:after="0" w:line="136"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8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Paid-up Capital:</w:t>
      </w:r>
    </w:p>
    <w:p>
      <w:pPr>
        <w:spacing w:after="0" w:line="127" w:lineRule="exact"/>
        <w:rPr>
          <w:rFonts w:ascii="Times New Roman" w:cs="Times New Roman" w:eastAsia="Times New Roman" w:hAnsi="Times New Roman"/>
          <w:sz w:val="24"/>
          <w:szCs w:val="24"/>
          <w:color w:val="auto"/>
        </w:rPr>
      </w:pPr>
    </w:p>
    <w:p>
      <w:pPr>
        <w:ind w:left="1728" w:hanging="576"/>
        <w:spacing w:after="0"/>
        <w:tabs>
          <w:tab w:leader="none" w:pos="1728" w:val="left"/>
        </w:tabs>
        <w:numPr>
          <w:ilvl w:val="2"/>
          <w:numId w:val="1085"/>
        </w:numPr>
        <w:rPr>
          <w:rFonts w:ascii="Calibri" w:cs="Calibri" w:eastAsia="Calibri" w:hAnsi="Calibri"/>
          <w:sz w:val="24"/>
          <w:szCs w:val="24"/>
          <w:color w:val="auto"/>
        </w:rPr>
      </w:pPr>
      <w:r>
        <w:rPr>
          <w:rFonts w:ascii="Times New Roman" w:cs="Times New Roman" w:eastAsia="Times New Roman" w:hAnsi="Times New Roman"/>
          <w:sz w:val="24"/>
          <w:szCs w:val="24"/>
          <w:color w:val="auto"/>
        </w:rPr>
        <w:t>before the issue;</w:t>
      </w:r>
    </w:p>
    <w:p>
      <w:pPr>
        <w:spacing w:after="0" w:line="124" w:lineRule="exact"/>
        <w:rPr>
          <w:rFonts w:ascii="Calibri" w:cs="Calibri" w:eastAsia="Calibri" w:hAnsi="Calibri"/>
          <w:sz w:val="24"/>
          <w:szCs w:val="24"/>
          <w:color w:val="auto"/>
        </w:rPr>
      </w:pPr>
    </w:p>
    <w:p>
      <w:pPr>
        <w:ind w:left="1728" w:hanging="576"/>
        <w:spacing w:after="0"/>
        <w:tabs>
          <w:tab w:leader="none" w:pos="1728" w:val="left"/>
        </w:tabs>
        <w:numPr>
          <w:ilvl w:val="2"/>
          <w:numId w:val="1085"/>
        </w:numPr>
        <w:rPr>
          <w:rFonts w:ascii="Calibri" w:cs="Calibri" w:eastAsia="Calibri" w:hAnsi="Calibri"/>
          <w:sz w:val="24"/>
          <w:szCs w:val="24"/>
          <w:color w:val="auto"/>
        </w:rPr>
      </w:pPr>
      <w:r>
        <w:rPr>
          <w:rFonts w:ascii="Times New Roman" w:cs="Times New Roman" w:eastAsia="Times New Roman" w:hAnsi="Times New Roman"/>
          <w:sz w:val="24"/>
          <w:szCs w:val="24"/>
          <w:color w:val="auto"/>
        </w:rPr>
        <w:t>after the issue (if the IDR issue involves issue of fresh equity shares); and</w:t>
      </w:r>
    </w:p>
    <w:p>
      <w:pPr>
        <w:spacing w:after="0" w:line="124" w:lineRule="exact"/>
        <w:rPr>
          <w:rFonts w:ascii="Calibri" w:cs="Calibri" w:eastAsia="Calibri" w:hAnsi="Calibri"/>
          <w:sz w:val="24"/>
          <w:szCs w:val="24"/>
          <w:color w:val="auto"/>
        </w:rPr>
      </w:pPr>
    </w:p>
    <w:p>
      <w:pPr>
        <w:ind w:left="1728" w:hanging="576"/>
        <w:spacing w:after="0"/>
        <w:tabs>
          <w:tab w:leader="none" w:pos="1728" w:val="left"/>
        </w:tabs>
        <w:numPr>
          <w:ilvl w:val="2"/>
          <w:numId w:val="1085"/>
        </w:numPr>
        <w:rPr>
          <w:rFonts w:ascii="Calibri" w:cs="Calibri" w:eastAsia="Calibri" w:hAnsi="Calibri"/>
          <w:sz w:val="24"/>
          <w:szCs w:val="24"/>
          <w:color w:val="auto"/>
        </w:rPr>
      </w:pPr>
      <w:r>
        <w:rPr>
          <w:rFonts w:ascii="Times New Roman" w:cs="Times New Roman" w:eastAsia="Times New Roman" w:hAnsi="Times New Roman"/>
          <w:sz w:val="24"/>
          <w:szCs w:val="24"/>
          <w:color w:val="auto"/>
        </w:rPr>
        <w:t>share premium account (before and after the issue)</w:t>
      </w:r>
    </w:p>
    <w:p>
      <w:pPr>
        <w:spacing w:after="0" w:line="139" w:lineRule="exact"/>
        <w:rPr>
          <w:rFonts w:ascii="Calibri" w:cs="Calibri" w:eastAsia="Calibri" w:hAnsi="Calibri"/>
          <w:sz w:val="24"/>
          <w:szCs w:val="24"/>
          <w:color w:val="auto"/>
        </w:rPr>
      </w:pPr>
    </w:p>
    <w:p>
      <w:pPr>
        <w:ind w:left="1148" w:hanging="572"/>
        <w:spacing w:after="0"/>
        <w:tabs>
          <w:tab w:leader="none" w:pos="1148" w:val="left"/>
        </w:tabs>
        <w:numPr>
          <w:ilvl w:val="1"/>
          <w:numId w:val="108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Detailed notes to the capital structure</w:t>
      </w:r>
    </w:p>
    <w:p>
      <w:pPr>
        <w:spacing w:after="0" w:line="149" w:lineRule="exact"/>
        <w:rPr>
          <w:rFonts w:ascii="Times New Roman" w:cs="Times New Roman" w:eastAsia="Times New Roman" w:hAnsi="Times New Roman"/>
          <w:sz w:val="24"/>
          <w:szCs w:val="24"/>
          <w:color w:val="auto"/>
        </w:rPr>
      </w:pPr>
    </w:p>
    <w:p>
      <w:pPr>
        <w:ind w:left="1148" w:hanging="572"/>
        <w:spacing w:after="0" w:line="350" w:lineRule="auto"/>
        <w:tabs>
          <w:tab w:leader="none" w:pos="1148" w:val="left"/>
        </w:tabs>
        <w:numPr>
          <w:ilvl w:val="1"/>
          <w:numId w:val="108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regarding holdings of major shareholders i.e., the person or persons who are in over-all control of the company</w:t>
      </w:r>
    </w:p>
    <w:p>
      <w:pPr>
        <w:spacing w:after="0" w:line="10"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8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Different classes of shares based on different criteria, if any.</w:t>
      </w:r>
    </w:p>
    <w:p>
      <w:pPr>
        <w:spacing w:after="0" w:line="200" w:lineRule="exact"/>
        <w:rPr>
          <w:rFonts w:ascii="Times New Roman" w:cs="Times New Roman" w:eastAsia="Times New Roman" w:hAnsi="Times New Roman"/>
          <w:sz w:val="24"/>
          <w:szCs w:val="24"/>
          <w:color w:val="auto"/>
        </w:rPr>
      </w:pPr>
    </w:p>
    <w:p>
      <w:pPr>
        <w:spacing w:after="0" w:line="356"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08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Financial information:</w:t>
      </w:r>
    </w:p>
    <w:p>
      <w:pPr>
        <w:spacing w:after="0" w:line="200" w:lineRule="exact"/>
        <w:rPr>
          <w:rFonts w:ascii="Times New Roman" w:cs="Times New Roman" w:eastAsia="Times New Roman" w:hAnsi="Times New Roman"/>
          <w:sz w:val="24"/>
          <w:szCs w:val="24"/>
          <w:color w:val="auto"/>
        </w:rPr>
      </w:pPr>
    </w:p>
    <w:p>
      <w:pPr>
        <w:spacing w:after="0" w:line="352" w:lineRule="exact"/>
        <w:rPr>
          <w:rFonts w:ascii="Times New Roman" w:cs="Times New Roman" w:eastAsia="Times New Roman" w:hAnsi="Times New Roman"/>
          <w:sz w:val="24"/>
          <w:szCs w:val="24"/>
          <w:color w:val="auto"/>
        </w:rPr>
      </w:pPr>
    </w:p>
    <w:p>
      <w:pPr>
        <w:ind w:left="568"/>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General Instructions:</w:t>
      </w:r>
    </w:p>
    <w:p>
      <w:pPr>
        <w:spacing w:after="0" w:line="147" w:lineRule="exact"/>
        <w:rPr>
          <w:rFonts w:ascii="Times New Roman" w:cs="Times New Roman" w:eastAsia="Times New Roman" w:hAnsi="Times New Roman"/>
          <w:sz w:val="24"/>
          <w:szCs w:val="24"/>
          <w:color w:val="auto"/>
        </w:rPr>
      </w:pPr>
    </w:p>
    <w:p>
      <w:pPr>
        <w:ind w:left="568"/>
        <w:spacing w:after="0" w:line="348"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(1) The format of disclosure of financial results may be as per the disclosure requirements of the issuing company in the home country where the issuer is listed.</w:t>
      </w:r>
    </w:p>
    <w:p>
      <w:pPr>
        <w:spacing w:after="0" w:line="200" w:lineRule="exact"/>
        <w:rPr>
          <w:rFonts w:ascii="Times New Roman" w:cs="Times New Roman" w:eastAsia="Times New Roman" w:hAnsi="Times New Roman"/>
          <w:sz w:val="24"/>
          <w:szCs w:val="24"/>
          <w:color w:val="auto"/>
        </w:rPr>
      </w:pPr>
    </w:p>
    <w:p>
      <w:pPr>
        <w:spacing w:after="0" w:line="240" w:lineRule="exact"/>
        <w:rPr>
          <w:rFonts w:ascii="Times New Roman" w:cs="Times New Roman" w:eastAsia="Times New Roman" w:hAnsi="Times New Roman"/>
          <w:sz w:val="24"/>
          <w:szCs w:val="24"/>
          <w:color w:val="auto"/>
        </w:rPr>
      </w:pPr>
    </w:p>
    <w:p>
      <w:pPr>
        <w:jc w:val="both"/>
        <w:ind w:left="568"/>
        <w:spacing w:after="0" w:line="35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(2) The issuing company shall mention the type of disclosures that it will follow i.e. whether as per Indian Accounting Standards, IFRS or US GAAP and any change in such format shall be informed to the IDR holders by way of notices to the stock exchanges.</w:t>
      </w:r>
    </w:p>
    <w:p>
      <w:pPr>
        <w:spacing w:after="0" w:line="200" w:lineRule="exact"/>
        <w:rPr>
          <w:rFonts w:ascii="Times New Roman" w:cs="Times New Roman" w:eastAsia="Times New Roman" w:hAnsi="Times New Roman"/>
          <w:sz w:val="24"/>
          <w:szCs w:val="24"/>
          <w:color w:val="auto"/>
        </w:rPr>
      </w:pPr>
    </w:p>
    <w:p>
      <w:pPr>
        <w:spacing w:after="0" w:line="234" w:lineRule="exact"/>
        <w:rPr>
          <w:rFonts w:ascii="Times New Roman" w:cs="Times New Roman" w:eastAsia="Times New Roman" w:hAnsi="Times New Roman"/>
          <w:sz w:val="24"/>
          <w:szCs w:val="24"/>
          <w:color w:val="auto"/>
        </w:rPr>
      </w:pPr>
    </w:p>
    <w:p>
      <w:pPr>
        <w:jc w:val="both"/>
        <w:ind w:left="1148" w:hanging="572"/>
        <w:spacing w:after="0" w:line="357" w:lineRule="auto"/>
        <w:tabs>
          <w:tab w:leader="none" w:pos="1148" w:val="left"/>
        </w:tabs>
        <w:numPr>
          <w:ilvl w:val="1"/>
          <w:numId w:val="108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audited consolidated or unconsolidated financial statements, prepared in accordance with the Indian Accounting Standards (including all Accounting Standards issued by the Institute of Chartered Accountants of India) or with the International Financial Reporting Standards (IFRS) or US GAAP, for a period of three financial years immediately preceding the date of the prospectus shall contain the following:</w:t>
      </w:r>
    </w:p>
    <w:p>
      <w:pPr>
        <w:spacing w:after="0" w:line="19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343</w:t>
      </w:r>
    </w:p>
    <w:p>
      <w:pPr>
        <w:sectPr>
          <w:pgSz w:w="11900" w:h="16836" w:orient="portrait"/>
          <w:cols w:equalWidth="0" w:num="1">
            <w:col w:w="9468"/>
          </w:cols>
          <w:pgMar w:left="1152" w:top="1154" w:right="1284" w:bottom="103" w:gutter="0" w:footer="0" w:header="0"/>
        </w:sectPr>
      </w:pPr>
    </w:p>
    <w:bookmarkStart w:id="343" w:name="page344"/>
    <w:bookmarkEnd w:id="343"/>
    <w:p>
      <w:pPr>
        <w:ind w:left="1440" w:hanging="576"/>
        <w:spacing w:after="0"/>
        <w:tabs>
          <w:tab w:leader="none" w:pos="1440" w:val="left"/>
        </w:tabs>
        <w:numPr>
          <w:ilvl w:val="1"/>
          <w:numId w:val="1086"/>
        </w:numPr>
        <w:rPr>
          <w:rFonts w:ascii="Calibri" w:cs="Calibri" w:eastAsia="Calibri" w:hAnsi="Calibri"/>
          <w:sz w:val="22"/>
          <w:szCs w:val="22"/>
          <w:color w:val="auto"/>
        </w:rPr>
      </w:pPr>
      <w:r>
        <w:rPr>
          <w:rFonts w:ascii="Times New Roman" w:cs="Times New Roman" w:eastAsia="Times New Roman" w:hAnsi="Times New Roman"/>
          <w:sz w:val="24"/>
          <w:szCs w:val="24"/>
          <w:color w:val="auto"/>
        </w:rPr>
        <w:t>Report of Auditors on the Financial Statements</w:t>
      </w:r>
    </w:p>
    <w:p>
      <w:pPr>
        <w:spacing w:after="0" w:line="130" w:lineRule="exact"/>
        <w:rPr>
          <w:rFonts w:ascii="Calibri" w:cs="Calibri" w:eastAsia="Calibri" w:hAnsi="Calibri"/>
          <w:sz w:val="22"/>
          <w:szCs w:val="22"/>
          <w:color w:val="auto"/>
        </w:rPr>
      </w:pPr>
    </w:p>
    <w:p>
      <w:pPr>
        <w:ind w:left="1440" w:hanging="576"/>
        <w:spacing w:after="0"/>
        <w:tabs>
          <w:tab w:leader="none" w:pos="1440" w:val="left"/>
        </w:tabs>
        <w:numPr>
          <w:ilvl w:val="1"/>
          <w:numId w:val="1086"/>
        </w:numPr>
        <w:rPr>
          <w:rFonts w:ascii="Calibri" w:cs="Calibri" w:eastAsia="Calibri" w:hAnsi="Calibri"/>
          <w:sz w:val="22"/>
          <w:szCs w:val="22"/>
          <w:color w:val="auto"/>
        </w:rPr>
      </w:pPr>
      <w:r>
        <w:rPr>
          <w:rFonts w:ascii="Times New Roman" w:cs="Times New Roman" w:eastAsia="Times New Roman" w:hAnsi="Times New Roman"/>
          <w:sz w:val="24"/>
          <w:szCs w:val="24"/>
          <w:color w:val="auto"/>
        </w:rPr>
        <w:t>Balance Sheets</w:t>
      </w:r>
    </w:p>
    <w:p>
      <w:pPr>
        <w:spacing w:after="0" w:line="132" w:lineRule="exact"/>
        <w:rPr>
          <w:rFonts w:ascii="Calibri" w:cs="Calibri" w:eastAsia="Calibri" w:hAnsi="Calibri"/>
          <w:sz w:val="22"/>
          <w:szCs w:val="22"/>
          <w:color w:val="auto"/>
        </w:rPr>
      </w:pPr>
    </w:p>
    <w:p>
      <w:pPr>
        <w:ind w:left="1440" w:hanging="576"/>
        <w:spacing w:after="0"/>
        <w:tabs>
          <w:tab w:leader="none" w:pos="1440" w:val="left"/>
        </w:tabs>
        <w:numPr>
          <w:ilvl w:val="1"/>
          <w:numId w:val="1086"/>
        </w:numPr>
        <w:rPr>
          <w:rFonts w:ascii="Calibri" w:cs="Calibri" w:eastAsia="Calibri" w:hAnsi="Calibri"/>
          <w:sz w:val="22"/>
          <w:szCs w:val="22"/>
          <w:color w:val="auto"/>
        </w:rPr>
      </w:pPr>
      <w:r>
        <w:rPr>
          <w:rFonts w:ascii="Times New Roman" w:cs="Times New Roman" w:eastAsia="Times New Roman" w:hAnsi="Times New Roman"/>
          <w:sz w:val="24"/>
          <w:szCs w:val="24"/>
          <w:color w:val="auto"/>
        </w:rPr>
        <w:t>Statements of Income</w:t>
      </w:r>
    </w:p>
    <w:p>
      <w:pPr>
        <w:spacing w:after="0" w:line="129" w:lineRule="exact"/>
        <w:rPr>
          <w:rFonts w:ascii="Calibri" w:cs="Calibri" w:eastAsia="Calibri" w:hAnsi="Calibri"/>
          <w:sz w:val="22"/>
          <w:szCs w:val="22"/>
          <w:color w:val="auto"/>
        </w:rPr>
      </w:pPr>
    </w:p>
    <w:p>
      <w:pPr>
        <w:ind w:left="1440" w:hanging="576"/>
        <w:spacing w:after="0"/>
        <w:tabs>
          <w:tab w:leader="none" w:pos="1440" w:val="left"/>
        </w:tabs>
        <w:numPr>
          <w:ilvl w:val="1"/>
          <w:numId w:val="1086"/>
        </w:numPr>
        <w:rPr>
          <w:rFonts w:ascii="Calibri" w:cs="Calibri" w:eastAsia="Calibri" w:hAnsi="Calibri"/>
          <w:sz w:val="22"/>
          <w:szCs w:val="22"/>
          <w:color w:val="auto"/>
        </w:rPr>
      </w:pPr>
      <w:r>
        <w:rPr>
          <w:rFonts w:ascii="Times New Roman" w:cs="Times New Roman" w:eastAsia="Times New Roman" w:hAnsi="Times New Roman"/>
          <w:sz w:val="24"/>
          <w:szCs w:val="24"/>
          <w:color w:val="auto"/>
        </w:rPr>
        <w:t>Schedules to Accounts</w:t>
      </w:r>
    </w:p>
    <w:p>
      <w:pPr>
        <w:spacing w:after="0" w:line="132" w:lineRule="exact"/>
        <w:rPr>
          <w:rFonts w:ascii="Calibri" w:cs="Calibri" w:eastAsia="Calibri" w:hAnsi="Calibri"/>
          <w:sz w:val="22"/>
          <w:szCs w:val="22"/>
          <w:color w:val="auto"/>
        </w:rPr>
      </w:pPr>
    </w:p>
    <w:p>
      <w:pPr>
        <w:ind w:left="1440" w:hanging="576"/>
        <w:spacing w:after="0"/>
        <w:tabs>
          <w:tab w:leader="none" w:pos="1440" w:val="left"/>
        </w:tabs>
        <w:numPr>
          <w:ilvl w:val="1"/>
          <w:numId w:val="1086"/>
        </w:numPr>
        <w:rPr>
          <w:rFonts w:ascii="Calibri" w:cs="Calibri" w:eastAsia="Calibri" w:hAnsi="Calibri"/>
          <w:sz w:val="22"/>
          <w:szCs w:val="22"/>
          <w:color w:val="auto"/>
        </w:rPr>
      </w:pPr>
      <w:r>
        <w:rPr>
          <w:rFonts w:ascii="Times New Roman" w:cs="Times New Roman" w:eastAsia="Times New Roman" w:hAnsi="Times New Roman"/>
          <w:sz w:val="24"/>
          <w:szCs w:val="24"/>
          <w:color w:val="auto"/>
        </w:rPr>
        <w:t>Statements of Changes in Stockholders’ Equity</w:t>
      </w:r>
    </w:p>
    <w:p>
      <w:pPr>
        <w:spacing w:after="0" w:line="129" w:lineRule="exact"/>
        <w:rPr>
          <w:rFonts w:ascii="Calibri" w:cs="Calibri" w:eastAsia="Calibri" w:hAnsi="Calibri"/>
          <w:sz w:val="22"/>
          <w:szCs w:val="22"/>
          <w:color w:val="auto"/>
        </w:rPr>
      </w:pPr>
    </w:p>
    <w:p>
      <w:pPr>
        <w:ind w:left="1440" w:hanging="576"/>
        <w:spacing w:after="0"/>
        <w:tabs>
          <w:tab w:leader="none" w:pos="1440" w:val="left"/>
        </w:tabs>
        <w:numPr>
          <w:ilvl w:val="1"/>
          <w:numId w:val="1086"/>
        </w:numPr>
        <w:rPr>
          <w:rFonts w:ascii="Calibri" w:cs="Calibri" w:eastAsia="Calibri" w:hAnsi="Calibri"/>
          <w:sz w:val="22"/>
          <w:szCs w:val="22"/>
          <w:color w:val="auto"/>
        </w:rPr>
      </w:pPr>
      <w:r>
        <w:rPr>
          <w:rFonts w:ascii="Times New Roman" w:cs="Times New Roman" w:eastAsia="Times New Roman" w:hAnsi="Times New Roman"/>
          <w:sz w:val="24"/>
          <w:szCs w:val="24"/>
          <w:color w:val="auto"/>
        </w:rPr>
        <w:t>Statements of Cash Flows</w:t>
      </w:r>
    </w:p>
    <w:p>
      <w:pPr>
        <w:spacing w:after="0" w:line="132" w:lineRule="exact"/>
        <w:rPr>
          <w:rFonts w:ascii="Calibri" w:cs="Calibri" w:eastAsia="Calibri" w:hAnsi="Calibri"/>
          <w:sz w:val="22"/>
          <w:szCs w:val="22"/>
          <w:color w:val="auto"/>
        </w:rPr>
      </w:pPr>
    </w:p>
    <w:p>
      <w:pPr>
        <w:ind w:left="1440" w:hanging="576"/>
        <w:spacing w:after="0"/>
        <w:tabs>
          <w:tab w:leader="none" w:pos="1440" w:val="left"/>
        </w:tabs>
        <w:numPr>
          <w:ilvl w:val="1"/>
          <w:numId w:val="1086"/>
        </w:numPr>
        <w:rPr>
          <w:rFonts w:ascii="Calibri" w:cs="Calibri" w:eastAsia="Calibri" w:hAnsi="Calibri"/>
          <w:sz w:val="22"/>
          <w:szCs w:val="22"/>
          <w:color w:val="auto"/>
        </w:rPr>
      </w:pPr>
      <w:r>
        <w:rPr>
          <w:rFonts w:ascii="Times New Roman" w:cs="Times New Roman" w:eastAsia="Times New Roman" w:hAnsi="Times New Roman"/>
          <w:sz w:val="24"/>
          <w:szCs w:val="24"/>
          <w:color w:val="auto"/>
        </w:rPr>
        <w:t>Statement of Accounting Policies</w:t>
      </w:r>
    </w:p>
    <w:p>
      <w:pPr>
        <w:spacing w:after="0" w:line="129" w:lineRule="exact"/>
        <w:rPr>
          <w:rFonts w:ascii="Calibri" w:cs="Calibri" w:eastAsia="Calibri" w:hAnsi="Calibri"/>
          <w:sz w:val="22"/>
          <w:szCs w:val="22"/>
          <w:color w:val="auto"/>
        </w:rPr>
      </w:pPr>
    </w:p>
    <w:p>
      <w:pPr>
        <w:ind w:left="1440" w:hanging="576"/>
        <w:spacing w:after="0"/>
        <w:tabs>
          <w:tab w:leader="none" w:pos="1440" w:val="left"/>
        </w:tabs>
        <w:numPr>
          <w:ilvl w:val="1"/>
          <w:numId w:val="1086"/>
        </w:numPr>
        <w:rPr>
          <w:rFonts w:ascii="Calibri" w:cs="Calibri" w:eastAsia="Calibri" w:hAnsi="Calibri"/>
          <w:sz w:val="22"/>
          <w:szCs w:val="22"/>
          <w:color w:val="auto"/>
        </w:rPr>
      </w:pPr>
      <w:r>
        <w:rPr>
          <w:rFonts w:ascii="Times New Roman" w:cs="Times New Roman" w:eastAsia="Times New Roman" w:hAnsi="Times New Roman"/>
          <w:sz w:val="24"/>
          <w:szCs w:val="24"/>
          <w:color w:val="auto"/>
        </w:rPr>
        <w:t>Notes to the Financial Statements</w:t>
      </w:r>
    </w:p>
    <w:p>
      <w:pPr>
        <w:spacing w:after="0" w:line="152" w:lineRule="exact"/>
        <w:rPr>
          <w:rFonts w:ascii="Calibri" w:cs="Calibri" w:eastAsia="Calibri" w:hAnsi="Calibri"/>
          <w:sz w:val="22"/>
          <w:szCs w:val="22"/>
          <w:color w:val="auto"/>
        </w:rPr>
      </w:pPr>
    </w:p>
    <w:p>
      <w:pPr>
        <w:ind w:left="1440" w:hanging="576"/>
        <w:spacing w:after="0" w:line="342" w:lineRule="auto"/>
        <w:tabs>
          <w:tab w:leader="none" w:pos="1440" w:val="left"/>
        </w:tabs>
        <w:numPr>
          <w:ilvl w:val="1"/>
          <w:numId w:val="1086"/>
        </w:numPr>
        <w:rPr>
          <w:rFonts w:ascii="Calibri" w:cs="Calibri" w:eastAsia="Calibri" w:hAnsi="Calibri"/>
          <w:sz w:val="22"/>
          <w:szCs w:val="22"/>
          <w:color w:val="auto"/>
        </w:rPr>
      </w:pPr>
      <w:r>
        <w:rPr>
          <w:rFonts w:ascii="Times New Roman" w:cs="Times New Roman" w:eastAsia="Times New Roman" w:hAnsi="Times New Roman"/>
          <w:sz w:val="24"/>
          <w:szCs w:val="24"/>
          <w:color w:val="auto"/>
        </w:rPr>
        <w:t>Statement Relating to Subsidiary Companies (in case of unconsolidated financial statements)</w:t>
      </w:r>
    </w:p>
    <w:p>
      <w:pPr>
        <w:spacing w:after="0" w:line="11" w:lineRule="exact"/>
        <w:rPr>
          <w:rFonts w:ascii="Calibri" w:cs="Calibri" w:eastAsia="Calibri" w:hAnsi="Calibri"/>
          <w:sz w:val="22"/>
          <w:szCs w:val="22"/>
          <w:color w:val="auto"/>
        </w:rPr>
      </w:pPr>
    </w:p>
    <w:p>
      <w:pPr>
        <w:ind w:left="1440" w:hanging="576"/>
        <w:spacing w:after="0"/>
        <w:tabs>
          <w:tab w:leader="none" w:pos="1440" w:val="left"/>
        </w:tabs>
        <w:numPr>
          <w:ilvl w:val="1"/>
          <w:numId w:val="1086"/>
        </w:numPr>
        <w:rPr>
          <w:rFonts w:ascii="Calibri" w:cs="Calibri" w:eastAsia="Calibri" w:hAnsi="Calibri"/>
          <w:sz w:val="22"/>
          <w:szCs w:val="22"/>
          <w:color w:val="auto"/>
        </w:rPr>
      </w:pPr>
      <w:r>
        <w:rPr>
          <w:rFonts w:ascii="Times New Roman" w:cs="Times New Roman" w:eastAsia="Times New Roman" w:hAnsi="Times New Roman"/>
          <w:sz w:val="24"/>
          <w:szCs w:val="24"/>
          <w:color w:val="auto"/>
        </w:rPr>
        <w:t>Related Party Transactions</w:t>
      </w:r>
    </w:p>
    <w:p>
      <w:pPr>
        <w:spacing w:after="0" w:line="129" w:lineRule="exact"/>
        <w:rPr>
          <w:rFonts w:ascii="Calibri" w:cs="Calibri" w:eastAsia="Calibri" w:hAnsi="Calibri"/>
          <w:sz w:val="22"/>
          <w:szCs w:val="22"/>
          <w:color w:val="auto"/>
        </w:rPr>
      </w:pPr>
    </w:p>
    <w:p>
      <w:pPr>
        <w:ind w:left="1440" w:hanging="576"/>
        <w:spacing w:after="0"/>
        <w:tabs>
          <w:tab w:leader="none" w:pos="1440" w:val="left"/>
        </w:tabs>
        <w:numPr>
          <w:ilvl w:val="1"/>
          <w:numId w:val="1086"/>
        </w:numPr>
        <w:rPr>
          <w:rFonts w:ascii="Calibri" w:cs="Calibri" w:eastAsia="Calibri" w:hAnsi="Calibri"/>
          <w:sz w:val="22"/>
          <w:szCs w:val="22"/>
          <w:color w:val="auto"/>
        </w:rPr>
      </w:pPr>
      <w:r>
        <w:rPr>
          <w:rFonts w:ascii="Times New Roman" w:cs="Times New Roman" w:eastAsia="Times New Roman" w:hAnsi="Times New Roman"/>
          <w:sz w:val="24"/>
          <w:szCs w:val="24"/>
          <w:color w:val="auto"/>
        </w:rPr>
        <w:t>Liquidity and Capital Resources</w:t>
      </w:r>
    </w:p>
    <w:p>
      <w:pPr>
        <w:spacing w:after="0" w:line="151" w:lineRule="exact"/>
        <w:rPr>
          <w:rFonts w:ascii="Calibri" w:cs="Calibri" w:eastAsia="Calibri" w:hAnsi="Calibri"/>
          <w:sz w:val="22"/>
          <w:szCs w:val="22"/>
          <w:color w:val="auto"/>
        </w:rPr>
      </w:pPr>
    </w:p>
    <w:p>
      <w:pPr>
        <w:jc w:val="both"/>
        <w:ind w:left="860" w:hanging="572"/>
        <w:spacing w:after="0" w:line="354" w:lineRule="auto"/>
        <w:tabs>
          <w:tab w:leader="none" w:pos="860" w:val="left"/>
        </w:tabs>
        <w:numPr>
          <w:ilvl w:val="0"/>
          <w:numId w:val="108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financial information in the prospectus shall be disclosed in the issuing company’s functional currency/reporting currency/national currency and the reporting currency shall be restricted to Sterling Pound/Euro/Yen/US Dollar.</w:t>
      </w:r>
    </w:p>
    <w:p>
      <w:pPr>
        <w:spacing w:after="0" w:line="19" w:lineRule="exact"/>
        <w:rPr>
          <w:rFonts w:ascii="Times New Roman" w:cs="Times New Roman" w:eastAsia="Times New Roman" w:hAnsi="Times New Roman"/>
          <w:sz w:val="24"/>
          <w:szCs w:val="24"/>
          <w:color w:val="auto"/>
        </w:rPr>
      </w:pPr>
    </w:p>
    <w:p>
      <w:pPr>
        <w:jc w:val="both"/>
        <w:ind w:left="860" w:hanging="572"/>
        <w:spacing w:after="0" w:line="356" w:lineRule="auto"/>
        <w:tabs>
          <w:tab w:leader="none" w:pos="860" w:val="left"/>
        </w:tabs>
        <w:numPr>
          <w:ilvl w:val="0"/>
          <w:numId w:val="108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the financial results are prepared as per IFRS or US GAAP, the financial results shall be audited by a professional accountant or certified public accountant or equivalent (by whatever name called in the home country in accordance with the International Standards on Auditing (ISA)).</w:t>
      </w:r>
    </w:p>
    <w:p>
      <w:pPr>
        <w:spacing w:after="0" w:line="18" w:lineRule="exact"/>
        <w:rPr>
          <w:rFonts w:ascii="Times New Roman" w:cs="Times New Roman" w:eastAsia="Times New Roman" w:hAnsi="Times New Roman"/>
          <w:sz w:val="24"/>
          <w:szCs w:val="24"/>
          <w:color w:val="auto"/>
        </w:rPr>
      </w:pPr>
    </w:p>
    <w:p>
      <w:pPr>
        <w:jc w:val="both"/>
        <w:ind w:left="860" w:hanging="572"/>
        <w:spacing w:after="0" w:line="358" w:lineRule="auto"/>
        <w:tabs>
          <w:tab w:leader="none" w:pos="860" w:val="left"/>
        </w:tabs>
        <w:numPr>
          <w:ilvl w:val="0"/>
          <w:numId w:val="108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Where the law of the home country requires annual statutory audit of the accounts of the issuing company, a report of the statutory auditor on the audited financial statements of the issuing company for each of the three financial years immediately preceding the date of the prospectus including the profits or losses, assets, liabilities and cash-flow statement of the issuing company at the last date to which the accounts of the issuing company were made in the specified form:</w:t>
      </w:r>
    </w:p>
    <w:p>
      <w:pPr>
        <w:spacing w:after="0" w:line="14" w:lineRule="exact"/>
        <w:rPr>
          <w:rFonts w:ascii="Times New Roman" w:cs="Times New Roman" w:eastAsia="Times New Roman" w:hAnsi="Times New Roman"/>
          <w:sz w:val="24"/>
          <w:szCs w:val="24"/>
          <w:color w:val="auto"/>
        </w:rPr>
      </w:pPr>
    </w:p>
    <w:p>
      <w:pPr>
        <w:ind w:left="860"/>
        <w:spacing w:after="0" w:line="350"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the gap between date of opening of issue and date of report shall not exceed 120 days.</w:t>
      </w:r>
    </w:p>
    <w:p>
      <w:pPr>
        <w:spacing w:after="0" w:line="23" w:lineRule="exact"/>
        <w:rPr>
          <w:rFonts w:ascii="Times New Roman" w:cs="Times New Roman" w:eastAsia="Times New Roman" w:hAnsi="Times New Roman"/>
          <w:sz w:val="24"/>
          <w:szCs w:val="24"/>
          <w:color w:val="auto"/>
        </w:rPr>
      </w:pPr>
    </w:p>
    <w:p>
      <w:pPr>
        <w:jc w:val="both"/>
        <w:ind w:left="860" w:hanging="572"/>
        <w:spacing w:after="0" w:line="358" w:lineRule="auto"/>
        <w:tabs>
          <w:tab w:leader="none" w:pos="860" w:val="left"/>
        </w:tabs>
        <w:numPr>
          <w:ilvl w:val="0"/>
          <w:numId w:val="108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report prepared by the statutory auditors of the issuing company should disclose financial statements (as per relevant period in the annual report) in Indian Rupees (at the closing rate of exchange, as at the date on which the financial information is presented), compiled in a tabular form and include the consolidated or unconsolidated income statement, consolidated or unconsolidated cash flow statements, consolidated or unconsolidated balance sheet and the capitalisation statement required under item (12).</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4"/>
          <w:szCs w:val="24"/>
          <w:color w:val="auto"/>
        </w:rPr>
        <w:t>344</w:t>
      </w:r>
    </w:p>
    <w:p>
      <w:pPr>
        <w:sectPr>
          <w:pgSz w:w="11900" w:h="16836" w:orient="portrait"/>
          <w:cols w:equalWidth="0" w:num="1">
            <w:col w:w="9180"/>
          </w:cols>
          <w:pgMar w:left="1440" w:top="1137" w:right="1284" w:bottom="103" w:gutter="0" w:footer="0" w:header="0"/>
        </w:sectPr>
      </w:pPr>
    </w:p>
    <w:bookmarkStart w:id="344" w:name="page345"/>
    <w:bookmarkEnd w:id="344"/>
    <w:p>
      <w:pPr>
        <w:jc w:val="both"/>
        <w:ind w:left="860" w:hanging="572"/>
        <w:spacing w:after="0" w:line="357" w:lineRule="auto"/>
        <w:tabs>
          <w:tab w:leader="none" w:pos="860" w:val="left"/>
        </w:tabs>
        <w:numPr>
          <w:ilvl w:val="0"/>
          <w:numId w:val="108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interim audited financial statements in respect of the period ending on a date which is less than 180 days prior to the date of opening of the issue have to be included in the report, if the gap between the ending date of the latest audited financial statements disclosed as above and the date of the opening of the issue is more than 180 days:</w:t>
      </w:r>
    </w:p>
    <w:p>
      <w:pPr>
        <w:spacing w:after="0" w:line="16" w:lineRule="exact"/>
        <w:rPr>
          <w:rFonts w:ascii="Times New Roman" w:cs="Times New Roman" w:eastAsia="Times New Roman" w:hAnsi="Times New Roman"/>
          <w:sz w:val="24"/>
          <w:szCs w:val="24"/>
          <w:color w:val="auto"/>
        </w:rPr>
      </w:pPr>
    </w:p>
    <w:p>
      <w:pPr>
        <w:jc w:val="both"/>
        <w:ind w:left="860" w:firstLine="60"/>
        <w:spacing w:after="0" w:line="357"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if the gap between such date of latest audited financial statements and the date of opening of issue is 180 days or less, the requirement above shall be deemed to be complied with, if disclosures in respect of material changes in the financial position of issuing company for such gap are disclosed in the prospectus:</w:t>
      </w:r>
    </w:p>
    <w:p>
      <w:pPr>
        <w:spacing w:after="0" w:line="14" w:lineRule="exact"/>
        <w:rPr>
          <w:rFonts w:ascii="Times New Roman" w:cs="Times New Roman" w:eastAsia="Times New Roman" w:hAnsi="Times New Roman"/>
          <w:sz w:val="24"/>
          <w:szCs w:val="24"/>
          <w:color w:val="auto"/>
        </w:rPr>
      </w:pPr>
    </w:p>
    <w:p>
      <w:pPr>
        <w:jc w:val="both"/>
        <w:ind w:left="860" w:firstLine="60"/>
        <w:spacing w:after="0" w:line="358"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further that in case of an issuing company which is a foreign bank incorporated outside India and which is regulated by a member of the Bank for International Settlements or a member of the International Organization of Securities Commissions which is a signatory to a Multilateral Memorandum of Understanding, the requirement above, in respect of period beginning with last date of period for which the latest audited financial statements are made and the date of opening of the issue shall be satisfied, if the relevant financial statements are based on limited review report of such statutory auditor.</w:t>
      </w:r>
    </w:p>
    <w:p>
      <w:pPr>
        <w:spacing w:after="0" w:line="19" w:lineRule="exact"/>
        <w:rPr>
          <w:rFonts w:ascii="Times New Roman" w:cs="Times New Roman" w:eastAsia="Times New Roman" w:hAnsi="Times New Roman"/>
          <w:sz w:val="24"/>
          <w:szCs w:val="24"/>
          <w:color w:val="auto"/>
        </w:rPr>
      </w:pPr>
    </w:p>
    <w:p>
      <w:pPr>
        <w:jc w:val="both"/>
        <w:ind w:left="860" w:hanging="572"/>
        <w:spacing w:after="0" w:line="358" w:lineRule="auto"/>
        <w:tabs>
          <w:tab w:leader="none" w:pos="860" w:val="left"/>
        </w:tabs>
        <w:numPr>
          <w:ilvl w:val="0"/>
          <w:numId w:val="108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the issuing company opts to prepare and disclose the financial results as per US GAAP, a reconciliation statement vis-a-vis Indian Accounting Standards and summary of significant differences between the Indian Accounting Standards and US GAAP has to be annexed with the report. If financial results are prepared in accordance with IFRS, issuing company shall annex the summary of significant differences between the Indian Accounting Standards and IFRS.</w:t>
      </w:r>
    </w:p>
    <w:p>
      <w:pPr>
        <w:spacing w:after="0" w:line="14" w:lineRule="exact"/>
        <w:rPr>
          <w:rFonts w:ascii="Times New Roman" w:cs="Times New Roman" w:eastAsia="Times New Roman" w:hAnsi="Times New Roman"/>
          <w:sz w:val="24"/>
          <w:szCs w:val="24"/>
          <w:color w:val="auto"/>
        </w:rPr>
      </w:pPr>
    </w:p>
    <w:p>
      <w:pPr>
        <w:jc w:val="both"/>
        <w:ind w:left="860" w:hanging="572"/>
        <w:spacing w:after="0" w:line="358" w:lineRule="auto"/>
        <w:tabs>
          <w:tab w:leader="none" w:pos="860" w:val="left"/>
        </w:tabs>
        <w:numPr>
          <w:ilvl w:val="0"/>
          <w:numId w:val="108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Where the law of the home country does not require annual statutory audit of the accounts of the issuing company, a report, prepared in accordance with Indian accounting standards certified by Chartered Accountant in practice within the terms and meaning of the Chartered Accountants Act, 1949 on the financial statements/ results of the issuing company for each of the three financial years immediately preceding the date of prospectus including the profits or losses, assets, liabilities and cash-flow statement of the issuing company at the last date to which the accounts of the issuing company were made in the specified form:</w:t>
      </w:r>
    </w:p>
    <w:p>
      <w:pPr>
        <w:spacing w:after="0" w:line="19" w:lineRule="exact"/>
        <w:rPr>
          <w:rFonts w:ascii="Times New Roman" w:cs="Times New Roman" w:eastAsia="Times New Roman" w:hAnsi="Times New Roman"/>
          <w:sz w:val="24"/>
          <w:szCs w:val="24"/>
          <w:color w:val="auto"/>
        </w:rPr>
      </w:pPr>
    </w:p>
    <w:p>
      <w:pPr>
        <w:ind w:left="860"/>
        <w:spacing w:after="0" w:line="350"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Provided that </w:t>
      </w:r>
      <w:r>
        <w:rPr>
          <w:rFonts w:ascii="Times New Roman" w:cs="Times New Roman" w:eastAsia="Times New Roman" w:hAnsi="Times New Roman"/>
          <w:sz w:val="24"/>
          <w:szCs w:val="24"/>
          <w:color w:val="auto"/>
        </w:rPr>
        <w:t>the gap between date of opening of issue and date of report shall not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exceed 120 days.</w:t>
      </w:r>
    </w:p>
    <w:p>
      <w:pPr>
        <w:spacing w:after="0" w:line="23" w:lineRule="exact"/>
        <w:rPr>
          <w:rFonts w:ascii="Times New Roman" w:cs="Times New Roman" w:eastAsia="Times New Roman" w:hAnsi="Times New Roman"/>
          <w:sz w:val="24"/>
          <w:szCs w:val="24"/>
          <w:color w:val="auto"/>
        </w:rPr>
      </w:pPr>
    </w:p>
    <w:p>
      <w:pPr>
        <w:jc w:val="both"/>
        <w:ind w:left="860" w:hanging="572"/>
        <w:spacing w:after="0" w:line="350" w:lineRule="auto"/>
        <w:tabs>
          <w:tab w:leader="none" w:pos="860" w:val="left"/>
        </w:tabs>
        <w:numPr>
          <w:ilvl w:val="0"/>
          <w:numId w:val="108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report prepared by the Chartered Accountants should disclose financial statements in Indian Rupees (at the closing rate of exchange, as at the date on which</w:t>
      </w:r>
    </w:p>
    <w:p>
      <w:pPr>
        <w:spacing w:after="0" w:line="268"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4"/>
          <w:szCs w:val="24"/>
          <w:color w:val="auto"/>
        </w:rPr>
        <w:t>345</w:t>
      </w:r>
    </w:p>
    <w:p>
      <w:pPr>
        <w:sectPr>
          <w:pgSz w:w="11900" w:h="16836" w:orient="portrait"/>
          <w:cols w:equalWidth="0" w:num="1">
            <w:col w:w="9180"/>
          </w:cols>
          <w:pgMar w:left="1440" w:top="1156" w:right="1284" w:bottom="103" w:gutter="0" w:footer="0" w:header="0"/>
        </w:sectPr>
      </w:pPr>
    </w:p>
    <w:bookmarkStart w:id="345" w:name="page346"/>
    <w:bookmarkEnd w:id="345"/>
    <w:p>
      <w:pPr>
        <w:jc w:val="both"/>
        <w:ind w:left="1148"/>
        <w:spacing w:after="0" w:line="356" w:lineRule="auto"/>
        <w:rPr>
          <w:sz w:val="20"/>
          <w:szCs w:val="20"/>
          <w:color w:val="auto"/>
        </w:rPr>
      </w:pPr>
      <w:r>
        <w:rPr>
          <w:rFonts w:ascii="Times New Roman" w:cs="Times New Roman" w:eastAsia="Times New Roman" w:hAnsi="Times New Roman"/>
          <w:sz w:val="24"/>
          <w:szCs w:val="24"/>
          <w:color w:val="auto"/>
        </w:rPr>
        <w:t>the financial information is presented), compiled in a tabular form and include the consolidated or unconsolidated income statement, consolidated or unconsolidated cash flow statements, consolidated or unconsolidated balance sheet and the capitalisation statement required under item (13).</w:t>
      </w:r>
    </w:p>
    <w:p>
      <w:pPr>
        <w:spacing w:after="0" w:line="19" w:lineRule="exact"/>
        <w:rPr>
          <w:sz w:val="20"/>
          <w:szCs w:val="20"/>
          <w:color w:val="auto"/>
        </w:rPr>
      </w:pPr>
    </w:p>
    <w:p>
      <w:pPr>
        <w:jc w:val="both"/>
        <w:ind w:left="1148" w:hanging="572"/>
        <w:spacing w:after="0" w:line="356" w:lineRule="auto"/>
        <w:tabs>
          <w:tab w:leader="none" w:pos="1148" w:val="left"/>
        </w:tabs>
        <w:numPr>
          <w:ilvl w:val="1"/>
          <w:numId w:val="10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interim financial statements in respect of the period ending on a date which is less than 180 days prior to the date of opening of the issue have to be included in report, if the gap between the ending date of the latest financial statements disclosed above and the date of the opening of the issue is more than 180 days:</w:t>
      </w:r>
    </w:p>
    <w:p>
      <w:pPr>
        <w:spacing w:after="0" w:line="19" w:lineRule="exact"/>
        <w:rPr>
          <w:rFonts w:ascii="Times New Roman" w:cs="Times New Roman" w:eastAsia="Times New Roman" w:hAnsi="Times New Roman"/>
          <w:sz w:val="24"/>
          <w:szCs w:val="24"/>
          <w:color w:val="auto"/>
        </w:rPr>
      </w:pPr>
    </w:p>
    <w:p>
      <w:pPr>
        <w:jc w:val="both"/>
        <w:ind w:left="1148" w:firstLine="60"/>
        <w:spacing w:after="0" w:line="356"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if the gap between such date of latest audited financial statements and the date of opening of issue is 180 days or less, the requirement above shall be deemed to be complied with if disclosures in respect of material changes in the financial position of issuing company for such gap are disclosed in the prospectus.</w:t>
      </w:r>
    </w:p>
    <w:p>
      <w:pPr>
        <w:spacing w:after="0" w:line="18" w:lineRule="exact"/>
        <w:rPr>
          <w:rFonts w:ascii="Times New Roman" w:cs="Times New Roman" w:eastAsia="Times New Roman" w:hAnsi="Times New Roman"/>
          <w:sz w:val="24"/>
          <w:szCs w:val="24"/>
          <w:color w:val="auto"/>
        </w:rPr>
      </w:pPr>
    </w:p>
    <w:p>
      <w:pPr>
        <w:ind w:left="1148" w:hanging="572"/>
        <w:spacing w:after="0" w:line="348" w:lineRule="auto"/>
        <w:tabs>
          <w:tab w:leader="none" w:pos="1148" w:val="left"/>
        </w:tabs>
        <w:numPr>
          <w:ilvl w:val="1"/>
          <w:numId w:val="108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proceeds of the IDR issue are used for investing in other body(ies) corporate, following details of such body(ies) corporate shall be given:</w:t>
      </w:r>
    </w:p>
    <w:p>
      <w:pPr>
        <w:spacing w:after="0" w:line="3" w:lineRule="exact"/>
        <w:rPr>
          <w:rFonts w:ascii="Times New Roman" w:cs="Times New Roman" w:eastAsia="Times New Roman" w:hAnsi="Times New Roman"/>
          <w:sz w:val="24"/>
          <w:szCs w:val="24"/>
          <w:color w:val="auto"/>
        </w:rPr>
      </w:pPr>
    </w:p>
    <w:p>
      <w:pPr>
        <w:ind w:left="1728" w:hanging="576"/>
        <w:spacing w:after="0"/>
        <w:tabs>
          <w:tab w:leader="none" w:pos="1728" w:val="left"/>
        </w:tabs>
        <w:numPr>
          <w:ilvl w:val="2"/>
          <w:numId w:val="1089"/>
        </w:numPr>
        <w:rPr>
          <w:rFonts w:ascii="Calibri" w:cs="Calibri" w:eastAsia="Calibri" w:hAnsi="Calibri"/>
          <w:sz w:val="24"/>
          <w:szCs w:val="24"/>
          <w:color w:val="auto"/>
        </w:rPr>
      </w:pPr>
      <w:r>
        <w:rPr>
          <w:rFonts w:ascii="Times New Roman" w:cs="Times New Roman" w:eastAsia="Times New Roman" w:hAnsi="Times New Roman"/>
          <w:sz w:val="24"/>
          <w:szCs w:val="24"/>
          <w:color w:val="auto"/>
        </w:rPr>
        <w:t>Names and address of the body(ies) corporate;</w:t>
      </w:r>
    </w:p>
    <w:p>
      <w:pPr>
        <w:spacing w:after="0" w:line="124" w:lineRule="exact"/>
        <w:rPr>
          <w:rFonts w:ascii="Calibri" w:cs="Calibri" w:eastAsia="Calibri" w:hAnsi="Calibri"/>
          <w:sz w:val="24"/>
          <w:szCs w:val="24"/>
          <w:color w:val="auto"/>
        </w:rPr>
      </w:pPr>
    </w:p>
    <w:p>
      <w:pPr>
        <w:ind w:left="1728" w:hanging="576"/>
        <w:spacing w:after="0"/>
        <w:tabs>
          <w:tab w:leader="none" w:pos="1728" w:val="left"/>
        </w:tabs>
        <w:numPr>
          <w:ilvl w:val="2"/>
          <w:numId w:val="1089"/>
        </w:numPr>
        <w:rPr>
          <w:rFonts w:ascii="Calibri" w:cs="Calibri" w:eastAsia="Calibri" w:hAnsi="Calibri"/>
          <w:sz w:val="24"/>
          <w:szCs w:val="24"/>
          <w:color w:val="auto"/>
        </w:rPr>
      </w:pPr>
      <w:r>
        <w:rPr>
          <w:rFonts w:ascii="Times New Roman" w:cs="Times New Roman" w:eastAsia="Times New Roman" w:hAnsi="Times New Roman"/>
          <w:sz w:val="24"/>
          <w:szCs w:val="24"/>
          <w:color w:val="auto"/>
        </w:rPr>
        <w:t>The reports as stated above in respect of those body(ies) corporate also.</w:t>
      </w:r>
    </w:p>
    <w:p>
      <w:pPr>
        <w:spacing w:after="0" w:line="200" w:lineRule="exact"/>
        <w:rPr>
          <w:rFonts w:ascii="Calibri" w:cs="Calibri" w:eastAsia="Calibri" w:hAnsi="Calibri"/>
          <w:sz w:val="24"/>
          <w:szCs w:val="24"/>
          <w:color w:val="auto"/>
        </w:rPr>
      </w:pPr>
    </w:p>
    <w:p>
      <w:pPr>
        <w:spacing w:after="0" w:line="369" w:lineRule="exact"/>
        <w:rPr>
          <w:rFonts w:ascii="Calibri" w:cs="Calibri" w:eastAsia="Calibri" w:hAnsi="Calibri"/>
          <w:sz w:val="24"/>
          <w:szCs w:val="24"/>
          <w:color w:val="auto"/>
        </w:rPr>
      </w:pPr>
    </w:p>
    <w:p>
      <w:pPr>
        <w:ind w:left="568" w:hanging="568"/>
        <w:spacing w:after="0" w:line="348" w:lineRule="auto"/>
        <w:tabs>
          <w:tab w:leader="none" w:pos="568" w:val="left"/>
        </w:tabs>
        <w:numPr>
          <w:ilvl w:val="0"/>
          <w:numId w:val="109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Statement on material developments subsequent to the date of the last financial statements as disclosed in the offer document:</w:t>
      </w:r>
    </w:p>
    <w:p>
      <w:pPr>
        <w:spacing w:after="0" w:line="22" w:lineRule="exact"/>
        <w:rPr>
          <w:rFonts w:ascii="Times New Roman" w:cs="Times New Roman" w:eastAsia="Times New Roman" w:hAnsi="Times New Roman"/>
          <w:sz w:val="24"/>
          <w:szCs w:val="24"/>
          <w:color w:val="auto"/>
        </w:rPr>
      </w:pPr>
    </w:p>
    <w:p>
      <w:pPr>
        <w:jc w:val="both"/>
        <w:ind w:left="568"/>
        <w:spacing w:after="0" w:line="357"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statement by the directors of the issuing company whether in their opinion there have arisen any circumstances since the date of the last financial statements as disclosed in the prospectus any which materially and adversely affect or is likely to affect the trading or profitability of the issuing company, or the value of its assets, or its ability to pay its liabilities within the next twelve months, and if so, an outline of such circumstances and an assessment of their likely impact.</w:t>
      </w:r>
    </w:p>
    <w:p>
      <w:pPr>
        <w:spacing w:after="0" w:line="200" w:lineRule="exact"/>
        <w:rPr>
          <w:rFonts w:ascii="Times New Roman" w:cs="Times New Roman" w:eastAsia="Times New Roman" w:hAnsi="Times New Roman"/>
          <w:sz w:val="24"/>
          <w:szCs w:val="24"/>
          <w:color w:val="auto"/>
        </w:rPr>
      </w:pPr>
    </w:p>
    <w:p>
      <w:pPr>
        <w:spacing w:after="0" w:line="239" w:lineRule="exact"/>
        <w:rPr>
          <w:rFonts w:ascii="Times New Roman" w:cs="Times New Roman" w:eastAsia="Times New Roman" w:hAnsi="Times New Roman"/>
          <w:sz w:val="24"/>
          <w:szCs w:val="24"/>
          <w:color w:val="auto"/>
        </w:rPr>
      </w:pPr>
    </w:p>
    <w:p>
      <w:pPr>
        <w:ind w:left="568" w:hanging="568"/>
        <w:spacing w:after="0" w:line="350" w:lineRule="auto"/>
        <w:tabs>
          <w:tab w:leader="none" w:pos="568" w:val="left"/>
        </w:tabs>
        <w:numPr>
          <w:ilvl w:val="0"/>
          <w:numId w:val="109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Management discussion and analysis of the financial statements (by comparing the recent financial year with the previous three financial years):</w:t>
      </w:r>
    </w:p>
    <w:p>
      <w:pPr>
        <w:spacing w:after="0" w:line="18" w:lineRule="exact"/>
        <w:rPr>
          <w:rFonts w:ascii="Times New Roman" w:cs="Times New Roman" w:eastAsia="Times New Roman" w:hAnsi="Times New Roman"/>
          <w:sz w:val="24"/>
          <w:szCs w:val="24"/>
          <w:color w:val="auto"/>
        </w:rPr>
      </w:pPr>
    </w:p>
    <w:p>
      <w:pPr>
        <w:jc w:val="both"/>
        <w:ind w:left="1148" w:hanging="572"/>
        <w:spacing w:after="0" w:line="354" w:lineRule="auto"/>
        <w:tabs>
          <w:tab w:leader="none" w:pos="1148" w:val="left"/>
        </w:tabs>
        <w:numPr>
          <w:ilvl w:val="1"/>
          <w:numId w:val="109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summary of the past financial results after adjustments as given in the auditors report for the past three years containing significant items of income and expenditure shall be given</w:t>
      </w:r>
    </w:p>
    <w:p>
      <w:pPr>
        <w:spacing w:after="0" w:line="10"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9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Overview of the business of the issuing company</w:t>
      </w:r>
    </w:p>
    <w:p>
      <w:pPr>
        <w:spacing w:after="0" w:line="136"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9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Factors that may affect the results of the operations</w:t>
      </w:r>
    </w:p>
    <w:p>
      <w:pPr>
        <w:spacing w:after="0" w:line="151" w:lineRule="exact"/>
        <w:rPr>
          <w:rFonts w:ascii="Times New Roman" w:cs="Times New Roman" w:eastAsia="Times New Roman" w:hAnsi="Times New Roman"/>
          <w:sz w:val="24"/>
          <w:szCs w:val="24"/>
          <w:color w:val="auto"/>
        </w:rPr>
      </w:pPr>
    </w:p>
    <w:p>
      <w:pPr>
        <w:ind w:left="1148" w:hanging="572"/>
        <w:spacing w:after="0" w:line="348" w:lineRule="auto"/>
        <w:tabs>
          <w:tab w:leader="none" w:pos="1148" w:val="left"/>
        </w:tabs>
        <w:numPr>
          <w:ilvl w:val="1"/>
          <w:numId w:val="109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An analysis of reasons for the changes in significant items of income and expenditure , </w:t>
      </w:r>
      <w:r>
        <w:rPr>
          <w:rFonts w:ascii="Times New Roman" w:cs="Times New Roman" w:eastAsia="Times New Roman" w:hAnsi="Times New Roman"/>
          <w:sz w:val="24"/>
          <w:szCs w:val="24"/>
          <w:i w:val="1"/>
          <w:iCs w:val="1"/>
          <w:color w:val="auto"/>
        </w:rPr>
        <w:t>inter alia</w:t>
      </w:r>
      <w:r>
        <w:rPr>
          <w:rFonts w:ascii="Times New Roman" w:cs="Times New Roman" w:eastAsia="Times New Roman" w:hAnsi="Times New Roman"/>
          <w:sz w:val="24"/>
          <w:szCs w:val="24"/>
          <w:color w:val="auto"/>
        </w:rPr>
        <w:t>, containing the following:</w:t>
      </w:r>
    </w:p>
    <w:p>
      <w:pPr>
        <w:spacing w:after="0" w:line="263"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346</w:t>
      </w:r>
    </w:p>
    <w:p>
      <w:pPr>
        <w:sectPr>
          <w:pgSz w:w="11900" w:h="16836" w:orient="portrait"/>
          <w:cols w:equalWidth="0" w:num="1">
            <w:col w:w="9468"/>
          </w:cols>
          <w:pgMar w:left="1152" w:top="1156" w:right="1284" w:bottom="103" w:gutter="0" w:footer="0" w:header="0"/>
        </w:sectPr>
      </w:pPr>
    </w:p>
    <w:bookmarkStart w:id="346" w:name="page347"/>
    <w:bookmarkEnd w:id="346"/>
    <w:p>
      <w:pPr>
        <w:ind w:left="1728" w:hanging="576"/>
        <w:spacing w:after="0"/>
        <w:tabs>
          <w:tab w:leader="none" w:pos="1728" w:val="left"/>
        </w:tabs>
        <w:numPr>
          <w:ilvl w:val="2"/>
          <w:numId w:val="1091"/>
        </w:numPr>
        <w:rPr>
          <w:rFonts w:ascii="Calibri" w:cs="Calibri" w:eastAsia="Calibri" w:hAnsi="Calibri"/>
          <w:sz w:val="24"/>
          <w:szCs w:val="24"/>
          <w:color w:val="auto"/>
        </w:rPr>
      </w:pPr>
      <w:r>
        <w:rPr>
          <w:rFonts w:ascii="Times New Roman" w:cs="Times New Roman" w:eastAsia="Times New Roman" w:hAnsi="Times New Roman"/>
          <w:sz w:val="24"/>
          <w:szCs w:val="24"/>
          <w:color w:val="auto"/>
        </w:rPr>
        <w:t>unusual or infrequent events or transaction</w:t>
      </w:r>
    </w:p>
    <w:p>
      <w:pPr>
        <w:spacing w:after="0" w:line="154" w:lineRule="exact"/>
        <w:rPr>
          <w:rFonts w:ascii="Calibri" w:cs="Calibri" w:eastAsia="Calibri" w:hAnsi="Calibri"/>
          <w:sz w:val="24"/>
          <w:szCs w:val="24"/>
          <w:color w:val="auto"/>
        </w:rPr>
      </w:pPr>
    </w:p>
    <w:p>
      <w:pPr>
        <w:ind w:left="1728" w:hanging="576"/>
        <w:spacing w:after="0" w:line="335" w:lineRule="auto"/>
        <w:tabs>
          <w:tab w:leader="none" w:pos="1728" w:val="left"/>
        </w:tabs>
        <w:numPr>
          <w:ilvl w:val="2"/>
          <w:numId w:val="1091"/>
        </w:numPr>
        <w:rPr>
          <w:rFonts w:ascii="Calibri" w:cs="Calibri" w:eastAsia="Calibri" w:hAnsi="Calibri"/>
          <w:sz w:val="24"/>
          <w:szCs w:val="24"/>
          <w:color w:val="auto"/>
        </w:rPr>
      </w:pPr>
      <w:r>
        <w:rPr>
          <w:rFonts w:ascii="Times New Roman" w:cs="Times New Roman" w:eastAsia="Times New Roman" w:hAnsi="Times New Roman"/>
          <w:sz w:val="24"/>
          <w:szCs w:val="24"/>
          <w:color w:val="auto"/>
        </w:rPr>
        <w:t>significant economic changes that materially affected or are likely to effect income from continuing operations</w:t>
      </w:r>
    </w:p>
    <w:p>
      <w:pPr>
        <w:spacing w:after="0" w:line="38" w:lineRule="exact"/>
        <w:rPr>
          <w:rFonts w:ascii="Calibri" w:cs="Calibri" w:eastAsia="Calibri" w:hAnsi="Calibri"/>
          <w:sz w:val="24"/>
          <w:szCs w:val="24"/>
          <w:color w:val="auto"/>
        </w:rPr>
      </w:pPr>
    </w:p>
    <w:p>
      <w:pPr>
        <w:ind w:left="1728" w:hanging="576"/>
        <w:spacing w:after="0" w:line="335" w:lineRule="auto"/>
        <w:tabs>
          <w:tab w:leader="none" w:pos="1728" w:val="left"/>
        </w:tabs>
        <w:numPr>
          <w:ilvl w:val="2"/>
          <w:numId w:val="1091"/>
        </w:numPr>
        <w:rPr>
          <w:rFonts w:ascii="Calibri" w:cs="Calibri" w:eastAsia="Calibri" w:hAnsi="Calibri"/>
          <w:sz w:val="24"/>
          <w:szCs w:val="24"/>
          <w:color w:val="auto"/>
        </w:rPr>
      </w:pPr>
      <w:r>
        <w:rPr>
          <w:rFonts w:ascii="Times New Roman" w:cs="Times New Roman" w:eastAsia="Times New Roman" w:hAnsi="Times New Roman"/>
          <w:sz w:val="24"/>
          <w:szCs w:val="24"/>
          <w:color w:val="auto"/>
        </w:rPr>
        <w:t>known trends or uncertainties that have had or are expected to have a material adverse impact on sales, revenue or income from continuing operations</w:t>
      </w:r>
    </w:p>
    <w:p>
      <w:pPr>
        <w:spacing w:after="0" w:line="38" w:lineRule="exact"/>
        <w:rPr>
          <w:rFonts w:ascii="Calibri" w:cs="Calibri" w:eastAsia="Calibri" w:hAnsi="Calibri"/>
          <w:sz w:val="24"/>
          <w:szCs w:val="24"/>
          <w:color w:val="auto"/>
        </w:rPr>
      </w:pPr>
    </w:p>
    <w:p>
      <w:pPr>
        <w:jc w:val="both"/>
        <w:ind w:left="1728" w:hanging="576"/>
        <w:spacing w:after="0" w:line="344" w:lineRule="auto"/>
        <w:tabs>
          <w:tab w:leader="none" w:pos="1728" w:val="left"/>
        </w:tabs>
        <w:numPr>
          <w:ilvl w:val="2"/>
          <w:numId w:val="1091"/>
        </w:numPr>
        <w:rPr>
          <w:rFonts w:ascii="Calibri" w:cs="Calibri" w:eastAsia="Calibri" w:hAnsi="Calibri"/>
          <w:sz w:val="24"/>
          <w:szCs w:val="24"/>
          <w:color w:val="auto"/>
        </w:rPr>
      </w:pPr>
      <w:r>
        <w:rPr>
          <w:rFonts w:ascii="Times New Roman" w:cs="Times New Roman" w:eastAsia="Times New Roman" w:hAnsi="Times New Roman"/>
          <w:sz w:val="24"/>
          <w:szCs w:val="24"/>
          <w:color w:val="auto"/>
        </w:rPr>
        <w:t>future changes in relationship between costs and revenues, in case of events such as future increase in labour or material costs or prices that will cause a material change are known</w:t>
      </w:r>
    </w:p>
    <w:p>
      <w:pPr>
        <w:spacing w:after="0" w:line="35" w:lineRule="exact"/>
        <w:rPr>
          <w:rFonts w:ascii="Calibri" w:cs="Calibri" w:eastAsia="Calibri" w:hAnsi="Calibri"/>
          <w:sz w:val="24"/>
          <w:szCs w:val="24"/>
          <w:color w:val="auto"/>
        </w:rPr>
      </w:pPr>
    </w:p>
    <w:p>
      <w:pPr>
        <w:ind w:left="1728" w:hanging="576"/>
        <w:spacing w:after="0" w:line="335" w:lineRule="auto"/>
        <w:tabs>
          <w:tab w:leader="none" w:pos="1728" w:val="left"/>
        </w:tabs>
        <w:numPr>
          <w:ilvl w:val="2"/>
          <w:numId w:val="1091"/>
        </w:numPr>
        <w:rPr>
          <w:rFonts w:ascii="Calibri" w:cs="Calibri" w:eastAsia="Calibri" w:hAnsi="Calibri"/>
          <w:sz w:val="24"/>
          <w:szCs w:val="24"/>
          <w:color w:val="auto"/>
        </w:rPr>
      </w:pPr>
      <w:r>
        <w:rPr>
          <w:rFonts w:ascii="Times New Roman" w:cs="Times New Roman" w:eastAsia="Times New Roman" w:hAnsi="Times New Roman"/>
          <w:sz w:val="24"/>
          <w:szCs w:val="24"/>
          <w:color w:val="auto"/>
        </w:rPr>
        <w:t>extent to which material increases in net sales or revenue are due to increased sales volume, introduction of new products or services or increased sales prices</w:t>
      </w:r>
    </w:p>
    <w:p>
      <w:pPr>
        <w:spacing w:after="0" w:line="38" w:lineRule="exact"/>
        <w:rPr>
          <w:rFonts w:ascii="Calibri" w:cs="Calibri" w:eastAsia="Calibri" w:hAnsi="Calibri"/>
          <w:sz w:val="24"/>
          <w:szCs w:val="24"/>
          <w:color w:val="auto"/>
        </w:rPr>
      </w:pPr>
    </w:p>
    <w:p>
      <w:pPr>
        <w:ind w:left="1728" w:hanging="576"/>
        <w:spacing w:after="0" w:line="333" w:lineRule="auto"/>
        <w:tabs>
          <w:tab w:leader="none" w:pos="1728" w:val="left"/>
        </w:tabs>
        <w:numPr>
          <w:ilvl w:val="2"/>
          <w:numId w:val="1091"/>
        </w:numPr>
        <w:rPr>
          <w:rFonts w:ascii="Calibri" w:cs="Calibri" w:eastAsia="Calibri" w:hAnsi="Calibri"/>
          <w:sz w:val="24"/>
          <w:szCs w:val="24"/>
          <w:color w:val="auto"/>
        </w:rPr>
      </w:pPr>
      <w:r>
        <w:rPr>
          <w:rFonts w:ascii="Times New Roman" w:cs="Times New Roman" w:eastAsia="Times New Roman" w:hAnsi="Times New Roman"/>
          <w:sz w:val="24"/>
          <w:szCs w:val="24"/>
          <w:color w:val="auto"/>
        </w:rPr>
        <w:t>total turnover of each major industry segment in which the issuing company operated</w:t>
      </w:r>
    </w:p>
    <w:p>
      <w:pPr>
        <w:spacing w:after="0" w:line="14" w:lineRule="exact"/>
        <w:rPr>
          <w:rFonts w:ascii="Calibri" w:cs="Calibri" w:eastAsia="Calibri" w:hAnsi="Calibri"/>
          <w:sz w:val="24"/>
          <w:szCs w:val="24"/>
          <w:color w:val="auto"/>
        </w:rPr>
      </w:pPr>
    </w:p>
    <w:p>
      <w:pPr>
        <w:ind w:left="1728" w:hanging="576"/>
        <w:spacing w:after="0"/>
        <w:tabs>
          <w:tab w:leader="none" w:pos="1728" w:val="left"/>
        </w:tabs>
        <w:numPr>
          <w:ilvl w:val="2"/>
          <w:numId w:val="1091"/>
        </w:numPr>
        <w:rPr>
          <w:rFonts w:ascii="Calibri" w:cs="Calibri" w:eastAsia="Calibri" w:hAnsi="Calibri"/>
          <w:sz w:val="24"/>
          <w:szCs w:val="24"/>
          <w:color w:val="auto"/>
        </w:rPr>
      </w:pPr>
      <w:r>
        <w:rPr>
          <w:rFonts w:ascii="Times New Roman" w:cs="Times New Roman" w:eastAsia="Times New Roman" w:hAnsi="Times New Roman"/>
          <w:sz w:val="24"/>
          <w:szCs w:val="24"/>
          <w:color w:val="auto"/>
        </w:rPr>
        <w:t>status of any publicly announced new products or business segment</w:t>
      </w:r>
    </w:p>
    <w:p>
      <w:pPr>
        <w:spacing w:after="0" w:line="124" w:lineRule="exact"/>
        <w:rPr>
          <w:rFonts w:ascii="Calibri" w:cs="Calibri" w:eastAsia="Calibri" w:hAnsi="Calibri"/>
          <w:sz w:val="24"/>
          <w:szCs w:val="24"/>
          <w:color w:val="auto"/>
        </w:rPr>
      </w:pPr>
    </w:p>
    <w:p>
      <w:pPr>
        <w:ind w:left="1728" w:hanging="576"/>
        <w:spacing w:after="0"/>
        <w:tabs>
          <w:tab w:leader="none" w:pos="1728" w:val="left"/>
        </w:tabs>
        <w:numPr>
          <w:ilvl w:val="2"/>
          <w:numId w:val="1091"/>
        </w:numPr>
        <w:rPr>
          <w:rFonts w:ascii="Calibri" w:cs="Calibri" w:eastAsia="Calibri" w:hAnsi="Calibri"/>
          <w:sz w:val="24"/>
          <w:szCs w:val="24"/>
          <w:color w:val="auto"/>
        </w:rPr>
      </w:pPr>
      <w:r>
        <w:rPr>
          <w:rFonts w:ascii="Times New Roman" w:cs="Times New Roman" w:eastAsia="Times New Roman" w:hAnsi="Times New Roman"/>
          <w:sz w:val="24"/>
          <w:szCs w:val="24"/>
          <w:color w:val="auto"/>
        </w:rPr>
        <w:t>extent to which business is seasonal</w:t>
      </w:r>
    </w:p>
    <w:p>
      <w:pPr>
        <w:spacing w:after="0" w:line="127" w:lineRule="exact"/>
        <w:rPr>
          <w:rFonts w:ascii="Calibri" w:cs="Calibri" w:eastAsia="Calibri" w:hAnsi="Calibri"/>
          <w:sz w:val="24"/>
          <w:szCs w:val="24"/>
          <w:color w:val="auto"/>
        </w:rPr>
      </w:pPr>
    </w:p>
    <w:p>
      <w:pPr>
        <w:ind w:left="1728" w:hanging="576"/>
        <w:spacing w:after="0"/>
        <w:tabs>
          <w:tab w:leader="none" w:pos="1728" w:val="left"/>
        </w:tabs>
        <w:numPr>
          <w:ilvl w:val="2"/>
          <w:numId w:val="1091"/>
        </w:numPr>
        <w:rPr>
          <w:rFonts w:ascii="Calibri" w:cs="Calibri" w:eastAsia="Calibri" w:hAnsi="Calibri"/>
          <w:sz w:val="24"/>
          <w:szCs w:val="24"/>
          <w:color w:val="auto"/>
        </w:rPr>
      </w:pPr>
      <w:r>
        <w:rPr>
          <w:rFonts w:ascii="Times New Roman" w:cs="Times New Roman" w:eastAsia="Times New Roman" w:hAnsi="Times New Roman"/>
          <w:sz w:val="24"/>
          <w:szCs w:val="24"/>
          <w:color w:val="auto"/>
        </w:rPr>
        <w:t>any significant dependence on a single or few suppliers or customers</w:t>
      </w:r>
    </w:p>
    <w:p>
      <w:pPr>
        <w:spacing w:after="0" w:line="124" w:lineRule="exact"/>
        <w:rPr>
          <w:rFonts w:ascii="Calibri" w:cs="Calibri" w:eastAsia="Calibri" w:hAnsi="Calibri"/>
          <w:sz w:val="24"/>
          <w:szCs w:val="24"/>
          <w:color w:val="auto"/>
        </w:rPr>
      </w:pPr>
    </w:p>
    <w:p>
      <w:pPr>
        <w:ind w:left="1728" w:hanging="576"/>
        <w:spacing w:after="0"/>
        <w:tabs>
          <w:tab w:leader="none" w:pos="1728" w:val="left"/>
        </w:tabs>
        <w:numPr>
          <w:ilvl w:val="2"/>
          <w:numId w:val="1091"/>
        </w:numPr>
        <w:rPr>
          <w:rFonts w:ascii="Calibri" w:cs="Calibri" w:eastAsia="Calibri" w:hAnsi="Calibri"/>
          <w:sz w:val="24"/>
          <w:szCs w:val="24"/>
          <w:color w:val="auto"/>
        </w:rPr>
      </w:pPr>
      <w:r>
        <w:rPr>
          <w:rFonts w:ascii="Times New Roman" w:cs="Times New Roman" w:eastAsia="Times New Roman" w:hAnsi="Times New Roman"/>
          <w:sz w:val="24"/>
          <w:szCs w:val="24"/>
          <w:color w:val="auto"/>
        </w:rPr>
        <w:t>competitive conditions</w:t>
      </w:r>
    </w:p>
    <w:p>
      <w:pPr>
        <w:spacing w:after="0" w:line="200" w:lineRule="exact"/>
        <w:rPr>
          <w:rFonts w:ascii="Calibri" w:cs="Calibri" w:eastAsia="Calibri" w:hAnsi="Calibri"/>
          <w:sz w:val="24"/>
          <w:szCs w:val="24"/>
          <w:color w:val="auto"/>
        </w:rPr>
      </w:pPr>
    </w:p>
    <w:p>
      <w:pPr>
        <w:spacing w:after="0" w:line="357" w:lineRule="exact"/>
        <w:rPr>
          <w:rFonts w:ascii="Calibri" w:cs="Calibri" w:eastAsia="Calibri" w:hAnsi="Calibri"/>
          <w:sz w:val="24"/>
          <w:szCs w:val="24"/>
          <w:color w:val="auto"/>
        </w:rPr>
      </w:pPr>
    </w:p>
    <w:p>
      <w:pPr>
        <w:ind w:left="568" w:hanging="568"/>
        <w:spacing w:after="0"/>
        <w:tabs>
          <w:tab w:leader="none" w:pos="568" w:val="left"/>
        </w:tabs>
        <w:numPr>
          <w:ilvl w:val="0"/>
          <w:numId w:val="109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Industry and business overview:</w:t>
      </w:r>
    </w:p>
    <w:p>
      <w:pPr>
        <w:spacing w:after="0" w:line="144" w:lineRule="exact"/>
        <w:rPr>
          <w:rFonts w:ascii="Times New Roman" w:cs="Times New Roman" w:eastAsia="Times New Roman" w:hAnsi="Times New Roman"/>
          <w:sz w:val="24"/>
          <w:szCs w:val="24"/>
          <w:color w:val="auto"/>
        </w:rPr>
      </w:pPr>
    </w:p>
    <w:p>
      <w:pPr>
        <w:jc w:val="both"/>
        <w:ind w:left="568"/>
        <w:spacing w:after="0" w:line="356"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Market including details of the competition, past production numbers for the industry, existing industry capacity, past trends and future prospects regarding exports (if applicable), demand and supply forecasts (if given, should be essentially with assumptions unless sourced from a market research agency of repute), etc. Source of data shall be mentioned.</w:t>
      </w:r>
    </w:p>
    <w:p>
      <w:pPr>
        <w:spacing w:after="0" w:line="200" w:lineRule="exact"/>
        <w:rPr>
          <w:rFonts w:ascii="Times New Roman" w:cs="Times New Roman" w:eastAsia="Times New Roman" w:hAnsi="Times New Roman"/>
          <w:sz w:val="24"/>
          <w:szCs w:val="24"/>
          <w:color w:val="auto"/>
        </w:rPr>
      </w:pPr>
    </w:p>
    <w:p>
      <w:pPr>
        <w:spacing w:after="0" w:line="226"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09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Details of the issuing company:</w:t>
      </w:r>
    </w:p>
    <w:p>
      <w:pPr>
        <w:spacing w:after="0" w:line="132"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9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Main object, history and present business of the issuing company</w:t>
      </w:r>
    </w:p>
    <w:p>
      <w:pPr>
        <w:spacing w:after="0" w:line="139"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9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Location of the project, if any</w:t>
      </w:r>
    </w:p>
    <w:p>
      <w:pPr>
        <w:spacing w:after="0" w:line="149" w:lineRule="exact"/>
        <w:rPr>
          <w:rFonts w:ascii="Times New Roman" w:cs="Times New Roman" w:eastAsia="Times New Roman" w:hAnsi="Times New Roman"/>
          <w:sz w:val="24"/>
          <w:szCs w:val="24"/>
          <w:color w:val="auto"/>
        </w:rPr>
      </w:pPr>
    </w:p>
    <w:p>
      <w:pPr>
        <w:ind w:left="1148" w:hanging="572"/>
        <w:spacing w:after="0" w:line="350" w:lineRule="auto"/>
        <w:tabs>
          <w:tab w:leader="none" w:pos="1148" w:val="left"/>
        </w:tabs>
        <w:numPr>
          <w:ilvl w:val="1"/>
          <w:numId w:val="109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Installed capacity and the details of plant and machinery, infrastructure facilities, technology etc., where applicable</w:t>
      </w:r>
    </w:p>
    <w:p>
      <w:pPr>
        <w:spacing w:after="0" w:line="10"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9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Schedule of implementation of the project and progress made so far, if applicable</w:t>
      </w:r>
    </w:p>
    <w:p>
      <w:pPr>
        <w:spacing w:after="0" w:line="139"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9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Nature of product(s)/ services, consumer(s), industrial user(s)</w:t>
      </w:r>
    </w:p>
    <w:p>
      <w:pPr>
        <w:spacing w:after="0" w:line="136"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9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Research and development, patents and licenses, etc.</w:t>
      </w:r>
    </w:p>
    <w:p>
      <w:pPr>
        <w:spacing w:after="0" w:line="139"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9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Property, plants and equipment</w:t>
      </w:r>
    </w:p>
    <w:p>
      <w:pPr>
        <w:spacing w:after="0" w:line="136"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9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Financial and other defaults, if any</w:t>
      </w:r>
    </w:p>
    <w:p>
      <w:pPr>
        <w:spacing w:after="0" w:line="139"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9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Underwriting</w:t>
      </w:r>
    </w:p>
    <w:p>
      <w:pPr>
        <w:spacing w:after="0" w:line="136"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9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Experts</w:t>
      </w:r>
    </w:p>
    <w:p>
      <w:pPr>
        <w:spacing w:after="0" w:line="350"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347</w:t>
      </w:r>
    </w:p>
    <w:p>
      <w:pPr>
        <w:sectPr>
          <w:pgSz w:w="11900" w:h="16836" w:orient="portrait"/>
          <w:cols w:equalWidth="0" w:num="1">
            <w:col w:w="9468"/>
          </w:cols>
          <w:pgMar w:left="1152" w:top="1132" w:right="1284" w:bottom="103" w:gutter="0" w:footer="0" w:header="0"/>
        </w:sectPr>
      </w:pPr>
    </w:p>
    <w:bookmarkStart w:id="347" w:name="page348"/>
    <w:bookmarkEnd w:id="347"/>
    <w:p>
      <w:pPr>
        <w:ind w:left="1148" w:hanging="572"/>
        <w:spacing w:after="0"/>
        <w:tabs>
          <w:tab w:leader="none" w:pos="1148" w:val="left"/>
        </w:tabs>
        <w:numPr>
          <w:ilvl w:val="1"/>
          <w:numId w:val="109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Where you can find additional information</w:t>
      </w:r>
    </w:p>
    <w:p>
      <w:pPr>
        <w:spacing w:after="0" w:line="137"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9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Enforcement of civil liabilities against foreign persons</w:t>
      </w:r>
    </w:p>
    <w:p>
      <w:pPr>
        <w:spacing w:after="0" w:line="200" w:lineRule="exact"/>
        <w:rPr>
          <w:rFonts w:ascii="Times New Roman" w:cs="Times New Roman" w:eastAsia="Times New Roman" w:hAnsi="Times New Roman"/>
          <w:sz w:val="24"/>
          <w:szCs w:val="24"/>
          <w:b w:val="1"/>
          <w:bCs w:val="1"/>
          <w:color w:val="auto"/>
        </w:rPr>
      </w:pPr>
    </w:p>
    <w:p>
      <w:pPr>
        <w:spacing w:after="0" w:line="356" w:lineRule="exact"/>
        <w:rPr>
          <w:rFonts w:ascii="Times New Roman" w:cs="Times New Roman" w:eastAsia="Times New Roman" w:hAnsi="Times New Roman"/>
          <w:sz w:val="24"/>
          <w:szCs w:val="24"/>
          <w:b w:val="1"/>
          <w:bCs w:val="1"/>
          <w:color w:val="auto"/>
        </w:rPr>
      </w:pPr>
    </w:p>
    <w:p>
      <w:pPr>
        <w:ind w:left="568" w:hanging="568"/>
        <w:spacing w:after="0"/>
        <w:tabs>
          <w:tab w:leader="none" w:pos="568" w:val="left"/>
        </w:tabs>
        <w:numPr>
          <w:ilvl w:val="0"/>
          <w:numId w:val="109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Subsidiaries and associates of the issuing company:</w:t>
      </w:r>
    </w:p>
    <w:p>
      <w:pPr>
        <w:spacing w:after="0" w:line="146" w:lineRule="exact"/>
        <w:rPr>
          <w:rFonts w:ascii="Times New Roman" w:cs="Times New Roman" w:eastAsia="Times New Roman" w:hAnsi="Times New Roman"/>
          <w:sz w:val="24"/>
          <w:szCs w:val="24"/>
          <w:color w:val="auto"/>
        </w:rPr>
      </w:pPr>
    </w:p>
    <w:p>
      <w:pPr>
        <w:ind w:left="1148" w:hanging="572"/>
        <w:spacing w:after="0" w:line="348" w:lineRule="auto"/>
        <w:tabs>
          <w:tab w:leader="none" w:pos="1148" w:val="left"/>
        </w:tabs>
        <w:numPr>
          <w:ilvl w:val="1"/>
          <w:numId w:val="109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following information for the last three years based on the audited statements in respect of subsidiaries and associates of the issuing company:</w:t>
      </w:r>
    </w:p>
    <w:p>
      <w:pPr>
        <w:spacing w:after="0" w:line="8" w:lineRule="exact"/>
        <w:rPr>
          <w:rFonts w:ascii="Times New Roman" w:cs="Times New Roman" w:eastAsia="Times New Roman" w:hAnsi="Times New Roman"/>
          <w:sz w:val="24"/>
          <w:szCs w:val="24"/>
          <w:color w:val="auto"/>
        </w:rPr>
      </w:pPr>
    </w:p>
    <w:p>
      <w:pPr>
        <w:ind w:left="1728" w:hanging="576"/>
        <w:spacing w:after="0"/>
        <w:tabs>
          <w:tab w:leader="none" w:pos="1728" w:val="left"/>
        </w:tabs>
        <w:numPr>
          <w:ilvl w:val="2"/>
          <w:numId w:val="1094"/>
        </w:numPr>
        <w:rPr>
          <w:rFonts w:ascii="Calibri" w:cs="Calibri" w:eastAsia="Calibri" w:hAnsi="Calibri"/>
          <w:sz w:val="22"/>
          <w:szCs w:val="22"/>
          <w:color w:val="auto"/>
        </w:rPr>
      </w:pPr>
      <w:r>
        <w:rPr>
          <w:rFonts w:ascii="Times New Roman" w:cs="Times New Roman" w:eastAsia="Times New Roman" w:hAnsi="Times New Roman"/>
          <w:sz w:val="24"/>
          <w:szCs w:val="24"/>
          <w:color w:val="auto"/>
        </w:rPr>
        <w:t>Date of incorporation</w:t>
      </w:r>
    </w:p>
    <w:p>
      <w:pPr>
        <w:spacing w:after="0" w:line="129" w:lineRule="exact"/>
        <w:rPr>
          <w:rFonts w:ascii="Calibri" w:cs="Calibri" w:eastAsia="Calibri" w:hAnsi="Calibri"/>
          <w:sz w:val="22"/>
          <w:szCs w:val="22"/>
          <w:color w:val="auto"/>
        </w:rPr>
      </w:pPr>
    </w:p>
    <w:p>
      <w:pPr>
        <w:ind w:left="1728" w:hanging="576"/>
        <w:spacing w:after="0"/>
        <w:tabs>
          <w:tab w:leader="none" w:pos="1728" w:val="left"/>
        </w:tabs>
        <w:numPr>
          <w:ilvl w:val="2"/>
          <w:numId w:val="1094"/>
        </w:numPr>
        <w:rPr>
          <w:rFonts w:ascii="Calibri" w:cs="Calibri" w:eastAsia="Calibri" w:hAnsi="Calibri"/>
          <w:sz w:val="22"/>
          <w:szCs w:val="22"/>
          <w:color w:val="auto"/>
        </w:rPr>
      </w:pPr>
      <w:r>
        <w:rPr>
          <w:rFonts w:ascii="Times New Roman" w:cs="Times New Roman" w:eastAsia="Times New Roman" w:hAnsi="Times New Roman"/>
          <w:sz w:val="24"/>
          <w:szCs w:val="24"/>
          <w:color w:val="auto"/>
        </w:rPr>
        <w:t>Nature of activities</w:t>
      </w:r>
    </w:p>
    <w:p>
      <w:pPr>
        <w:spacing w:after="0" w:line="132" w:lineRule="exact"/>
        <w:rPr>
          <w:rFonts w:ascii="Calibri" w:cs="Calibri" w:eastAsia="Calibri" w:hAnsi="Calibri"/>
          <w:sz w:val="22"/>
          <w:szCs w:val="22"/>
          <w:color w:val="auto"/>
        </w:rPr>
      </w:pPr>
    </w:p>
    <w:p>
      <w:pPr>
        <w:ind w:left="1728" w:hanging="576"/>
        <w:spacing w:after="0"/>
        <w:tabs>
          <w:tab w:leader="none" w:pos="1728" w:val="left"/>
        </w:tabs>
        <w:numPr>
          <w:ilvl w:val="2"/>
          <w:numId w:val="1094"/>
        </w:numPr>
        <w:rPr>
          <w:rFonts w:ascii="Calibri" w:cs="Calibri" w:eastAsia="Calibri" w:hAnsi="Calibri"/>
          <w:sz w:val="22"/>
          <w:szCs w:val="22"/>
          <w:color w:val="auto"/>
        </w:rPr>
      </w:pPr>
      <w:r>
        <w:rPr>
          <w:rFonts w:ascii="Times New Roman" w:cs="Times New Roman" w:eastAsia="Times New Roman" w:hAnsi="Times New Roman"/>
          <w:sz w:val="24"/>
          <w:szCs w:val="24"/>
          <w:color w:val="auto"/>
        </w:rPr>
        <w:t>Equity capital</w:t>
      </w:r>
    </w:p>
    <w:p>
      <w:pPr>
        <w:spacing w:after="0" w:line="129" w:lineRule="exact"/>
        <w:rPr>
          <w:rFonts w:ascii="Calibri" w:cs="Calibri" w:eastAsia="Calibri" w:hAnsi="Calibri"/>
          <w:sz w:val="22"/>
          <w:szCs w:val="22"/>
          <w:color w:val="auto"/>
        </w:rPr>
      </w:pPr>
    </w:p>
    <w:p>
      <w:pPr>
        <w:ind w:left="1728" w:hanging="576"/>
        <w:spacing w:after="0"/>
        <w:tabs>
          <w:tab w:leader="none" w:pos="1728" w:val="left"/>
        </w:tabs>
        <w:numPr>
          <w:ilvl w:val="2"/>
          <w:numId w:val="1094"/>
        </w:numPr>
        <w:rPr>
          <w:rFonts w:ascii="Calibri" w:cs="Calibri" w:eastAsia="Calibri" w:hAnsi="Calibri"/>
          <w:sz w:val="22"/>
          <w:szCs w:val="22"/>
          <w:color w:val="auto"/>
        </w:rPr>
      </w:pPr>
      <w:r>
        <w:rPr>
          <w:rFonts w:ascii="Times New Roman" w:cs="Times New Roman" w:eastAsia="Times New Roman" w:hAnsi="Times New Roman"/>
          <w:sz w:val="24"/>
          <w:szCs w:val="24"/>
          <w:color w:val="auto"/>
        </w:rPr>
        <w:t>Reserves (excluding revaluation reserve)</w:t>
      </w:r>
    </w:p>
    <w:p>
      <w:pPr>
        <w:spacing w:after="0" w:line="132" w:lineRule="exact"/>
        <w:rPr>
          <w:rFonts w:ascii="Calibri" w:cs="Calibri" w:eastAsia="Calibri" w:hAnsi="Calibri"/>
          <w:sz w:val="22"/>
          <w:szCs w:val="22"/>
          <w:color w:val="auto"/>
        </w:rPr>
      </w:pPr>
    </w:p>
    <w:p>
      <w:pPr>
        <w:ind w:left="1728" w:hanging="576"/>
        <w:spacing w:after="0"/>
        <w:tabs>
          <w:tab w:leader="none" w:pos="1728" w:val="left"/>
        </w:tabs>
        <w:numPr>
          <w:ilvl w:val="2"/>
          <w:numId w:val="1094"/>
        </w:numPr>
        <w:rPr>
          <w:rFonts w:ascii="Calibri" w:cs="Calibri" w:eastAsia="Calibri" w:hAnsi="Calibri"/>
          <w:sz w:val="22"/>
          <w:szCs w:val="22"/>
          <w:color w:val="auto"/>
        </w:rPr>
      </w:pPr>
      <w:r>
        <w:rPr>
          <w:rFonts w:ascii="Times New Roman" w:cs="Times New Roman" w:eastAsia="Times New Roman" w:hAnsi="Times New Roman"/>
          <w:sz w:val="24"/>
          <w:szCs w:val="24"/>
          <w:color w:val="auto"/>
        </w:rPr>
        <w:t>Sales</w:t>
      </w:r>
    </w:p>
    <w:p>
      <w:pPr>
        <w:spacing w:after="0" w:line="129" w:lineRule="exact"/>
        <w:rPr>
          <w:rFonts w:ascii="Calibri" w:cs="Calibri" w:eastAsia="Calibri" w:hAnsi="Calibri"/>
          <w:sz w:val="22"/>
          <w:szCs w:val="22"/>
          <w:color w:val="auto"/>
        </w:rPr>
      </w:pPr>
    </w:p>
    <w:p>
      <w:pPr>
        <w:ind w:left="1728" w:hanging="576"/>
        <w:spacing w:after="0"/>
        <w:tabs>
          <w:tab w:leader="none" w:pos="1728" w:val="left"/>
        </w:tabs>
        <w:numPr>
          <w:ilvl w:val="2"/>
          <w:numId w:val="1094"/>
        </w:numPr>
        <w:rPr>
          <w:rFonts w:ascii="Calibri" w:cs="Calibri" w:eastAsia="Calibri" w:hAnsi="Calibri"/>
          <w:sz w:val="22"/>
          <w:szCs w:val="22"/>
          <w:color w:val="auto"/>
        </w:rPr>
      </w:pPr>
      <w:r>
        <w:rPr>
          <w:rFonts w:ascii="Times New Roman" w:cs="Times New Roman" w:eastAsia="Times New Roman" w:hAnsi="Times New Roman"/>
          <w:sz w:val="24"/>
          <w:szCs w:val="24"/>
          <w:color w:val="auto"/>
        </w:rPr>
        <w:t>Profit After Tax (PAT)</w:t>
      </w:r>
    </w:p>
    <w:p>
      <w:pPr>
        <w:spacing w:after="0" w:line="132" w:lineRule="exact"/>
        <w:rPr>
          <w:rFonts w:ascii="Calibri" w:cs="Calibri" w:eastAsia="Calibri" w:hAnsi="Calibri"/>
          <w:sz w:val="22"/>
          <w:szCs w:val="22"/>
          <w:color w:val="auto"/>
        </w:rPr>
      </w:pPr>
    </w:p>
    <w:p>
      <w:pPr>
        <w:ind w:left="1728" w:hanging="576"/>
        <w:spacing w:after="0"/>
        <w:tabs>
          <w:tab w:leader="none" w:pos="1728" w:val="left"/>
        </w:tabs>
        <w:numPr>
          <w:ilvl w:val="2"/>
          <w:numId w:val="1094"/>
        </w:numPr>
        <w:rPr>
          <w:rFonts w:ascii="Calibri" w:cs="Calibri" w:eastAsia="Calibri" w:hAnsi="Calibri"/>
          <w:sz w:val="22"/>
          <w:szCs w:val="22"/>
          <w:color w:val="auto"/>
        </w:rPr>
      </w:pPr>
      <w:r>
        <w:rPr>
          <w:rFonts w:ascii="Times New Roman" w:cs="Times New Roman" w:eastAsia="Times New Roman" w:hAnsi="Times New Roman"/>
          <w:sz w:val="24"/>
          <w:szCs w:val="24"/>
          <w:color w:val="auto"/>
        </w:rPr>
        <w:t>Earnings Per Share (EPS) and</w:t>
      </w:r>
    </w:p>
    <w:p>
      <w:pPr>
        <w:spacing w:after="0" w:line="129" w:lineRule="exact"/>
        <w:rPr>
          <w:rFonts w:ascii="Calibri" w:cs="Calibri" w:eastAsia="Calibri" w:hAnsi="Calibri"/>
          <w:sz w:val="22"/>
          <w:szCs w:val="22"/>
          <w:color w:val="auto"/>
        </w:rPr>
      </w:pPr>
    </w:p>
    <w:p>
      <w:pPr>
        <w:ind w:left="1728" w:hanging="576"/>
        <w:spacing w:after="0"/>
        <w:tabs>
          <w:tab w:leader="none" w:pos="1728" w:val="left"/>
        </w:tabs>
        <w:numPr>
          <w:ilvl w:val="2"/>
          <w:numId w:val="1094"/>
        </w:numPr>
        <w:rPr>
          <w:rFonts w:ascii="Calibri" w:cs="Calibri" w:eastAsia="Calibri" w:hAnsi="Calibri"/>
          <w:sz w:val="22"/>
          <w:szCs w:val="22"/>
          <w:color w:val="auto"/>
        </w:rPr>
      </w:pPr>
      <w:r>
        <w:rPr>
          <w:rFonts w:ascii="Times New Roman" w:cs="Times New Roman" w:eastAsia="Times New Roman" w:hAnsi="Times New Roman"/>
          <w:sz w:val="24"/>
          <w:szCs w:val="24"/>
          <w:color w:val="auto"/>
        </w:rPr>
        <w:t>Net Asset Value (NAV)</w:t>
      </w:r>
    </w:p>
    <w:p>
      <w:pPr>
        <w:spacing w:after="0" w:line="151" w:lineRule="exact"/>
        <w:rPr>
          <w:rFonts w:ascii="Calibri" w:cs="Calibri" w:eastAsia="Calibri" w:hAnsi="Calibri"/>
          <w:sz w:val="22"/>
          <w:szCs w:val="22"/>
          <w:color w:val="auto"/>
        </w:rPr>
      </w:pPr>
    </w:p>
    <w:p>
      <w:pPr>
        <w:jc w:val="both"/>
        <w:ind w:left="1148" w:hanging="572"/>
        <w:spacing w:after="0" w:line="357" w:lineRule="auto"/>
        <w:tabs>
          <w:tab w:leader="none" w:pos="1148" w:val="left"/>
        </w:tabs>
        <w:numPr>
          <w:ilvl w:val="1"/>
          <w:numId w:val="109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subsidiaries and associates are not required to prepare such audited statements as per the laws prevailing in those countries, the same may be certified as true and correct by the Board of Directors and the management of such companies, provided a certificate from a certified public accountant or equivalent practicing in the concerned country is submitted to the Board.</w:t>
      </w:r>
    </w:p>
    <w:p>
      <w:pPr>
        <w:spacing w:after="0" w:line="200" w:lineRule="exact"/>
        <w:rPr>
          <w:rFonts w:ascii="Times New Roman" w:cs="Times New Roman" w:eastAsia="Times New Roman" w:hAnsi="Times New Roman"/>
          <w:sz w:val="24"/>
          <w:szCs w:val="24"/>
          <w:color w:val="auto"/>
        </w:rPr>
      </w:pPr>
    </w:p>
    <w:p>
      <w:pPr>
        <w:spacing w:after="0" w:line="224"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09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Management:</w:t>
      </w:r>
    </w:p>
    <w:p>
      <w:pPr>
        <w:spacing w:after="0" w:line="144" w:lineRule="exact"/>
        <w:rPr>
          <w:rFonts w:ascii="Times New Roman" w:cs="Times New Roman" w:eastAsia="Times New Roman" w:hAnsi="Times New Roman"/>
          <w:sz w:val="24"/>
          <w:szCs w:val="24"/>
          <w:color w:val="auto"/>
        </w:rPr>
      </w:pPr>
    </w:p>
    <w:p>
      <w:pPr>
        <w:jc w:val="both"/>
        <w:ind w:left="1148" w:hanging="572"/>
        <w:spacing w:after="0" w:line="354" w:lineRule="auto"/>
        <w:tabs>
          <w:tab w:leader="none" w:pos="1148" w:val="left"/>
        </w:tabs>
        <w:numPr>
          <w:ilvl w:val="1"/>
          <w:numId w:val="109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with respect to the promoters and their background. If there are no identifiable promoters, the details and background of all persons who hold 5 per cent. or more equity share capital of the issuer.</w:t>
      </w:r>
    </w:p>
    <w:p>
      <w:pPr>
        <w:spacing w:after="0" w:line="22" w:lineRule="exact"/>
        <w:rPr>
          <w:rFonts w:ascii="Times New Roman" w:cs="Times New Roman" w:eastAsia="Times New Roman" w:hAnsi="Times New Roman"/>
          <w:sz w:val="24"/>
          <w:szCs w:val="24"/>
          <w:color w:val="auto"/>
        </w:rPr>
      </w:pPr>
    </w:p>
    <w:p>
      <w:pPr>
        <w:jc w:val="both"/>
        <w:ind w:left="1148" w:hanging="572"/>
        <w:spacing w:after="0" w:line="354" w:lineRule="auto"/>
        <w:tabs>
          <w:tab w:leader="none" w:pos="1148" w:val="left"/>
        </w:tabs>
        <w:numPr>
          <w:ilvl w:val="1"/>
          <w:numId w:val="109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the board of directors and the key managerial personnel (i.e. name, address of directors, manager, managing director or other principal officers of the issuing company, date of birth, age, qualifications, industry experience, other directorships).</w:t>
      </w:r>
    </w:p>
    <w:p>
      <w:pPr>
        <w:spacing w:after="0" w:line="19" w:lineRule="exact"/>
        <w:rPr>
          <w:rFonts w:ascii="Times New Roman" w:cs="Times New Roman" w:eastAsia="Times New Roman" w:hAnsi="Times New Roman"/>
          <w:sz w:val="24"/>
          <w:szCs w:val="24"/>
          <w:color w:val="auto"/>
        </w:rPr>
      </w:pPr>
    </w:p>
    <w:p>
      <w:pPr>
        <w:jc w:val="both"/>
        <w:ind w:left="1148" w:hanging="572"/>
        <w:spacing w:after="0" w:line="356" w:lineRule="auto"/>
        <w:tabs>
          <w:tab w:leader="none" w:pos="1148" w:val="left"/>
        </w:tabs>
        <w:numPr>
          <w:ilvl w:val="1"/>
          <w:numId w:val="109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Remuneration of the Directors and the Key managerial personnel with detailed breakup, sitting fees, their relation with promoters/controlling shareholder(s), if any, their equity holding in the issuing company, duration of their association with the issuing company.</w:t>
      </w:r>
    </w:p>
    <w:p>
      <w:pPr>
        <w:spacing w:after="0" w:line="6"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9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Organisation structure.</w:t>
      </w:r>
    </w:p>
    <w:p>
      <w:pPr>
        <w:spacing w:after="0" w:line="139"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9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Practices of the Board of Directors</w:t>
      </w:r>
    </w:p>
    <w:p>
      <w:pPr>
        <w:spacing w:after="0" w:line="136"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9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Employees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348</w:t>
      </w:r>
    </w:p>
    <w:p>
      <w:pPr>
        <w:sectPr>
          <w:pgSz w:w="11900" w:h="16836" w:orient="portrait"/>
          <w:cols w:equalWidth="0" w:num="1">
            <w:col w:w="9468"/>
          </w:cols>
          <w:pgMar w:left="1152" w:top="1144" w:right="1284" w:bottom="103" w:gutter="0" w:footer="0" w:header="0"/>
        </w:sectPr>
      </w:pPr>
    </w:p>
    <w:bookmarkStart w:id="348" w:name="page349"/>
    <w:bookmarkEnd w:id="348"/>
    <w:p>
      <w:pPr>
        <w:ind w:left="568" w:hanging="568"/>
        <w:spacing w:after="0"/>
        <w:tabs>
          <w:tab w:leader="none" w:pos="568" w:val="left"/>
        </w:tabs>
        <w:numPr>
          <w:ilvl w:val="0"/>
          <w:numId w:val="10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Securities market of the country of incorporation where the shares are listed:</w:t>
      </w:r>
    </w:p>
    <w:p>
      <w:pPr>
        <w:spacing w:after="0" w:line="132"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Brief history</w:t>
      </w:r>
    </w:p>
    <w:p>
      <w:pPr>
        <w:spacing w:after="0" w:line="139"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Stock exchange regulations</w:t>
      </w:r>
    </w:p>
    <w:p>
      <w:pPr>
        <w:spacing w:after="0" w:line="136"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Listing regulations</w:t>
      </w:r>
    </w:p>
    <w:p>
      <w:pPr>
        <w:spacing w:after="0" w:line="139"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the securities market regulator of the country of the issuing company</w:t>
      </w:r>
    </w:p>
    <w:p>
      <w:pPr>
        <w:spacing w:after="0" w:line="149" w:lineRule="exact"/>
        <w:rPr>
          <w:rFonts w:ascii="Times New Roman" w:cs="Times New Roman" w:eastAsia="Times New Roman" w:hAnsi="Times New Roman"/>
          <w:sz w:val="24"/>
          <w:szCs w:val="24"/>
          <w:color w:val="auto"/>
        </w:rPr>
      </w:pPr>
    </w:p>
    <w:p>
      <w:pPr>
        <w:ind w:left="1148" w:hanging="572"/>
        <w:spacing w:after="0" w:line="350" w:lineRule="auto"/>
        <w:tabs>
          <w:tab w:leader="none" w:pos="1148" w:val="left"/>
        </w:tabs>
        <w:numPr>
          <w:ilvl w:val="1"/>
          <w:numId w:val="10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Whether the securities market regulator of the country of the issuing company has signed any MoU with the Board/IOSCO</w:t>
      </w:r>
    </w:p>
    <w:p>
      <w:pPr>
        <w:spacing w:after="0" w:line="23" w:lineRule="exact"/>
        <w:rPr>
          <w:rFonts w:ascii="Times New Roman" w:cs="Times New Roman" w:eastAsia="Times New Roman" w:hAnsi="Times New Roman"/>
          <w:sz w:val="24"/>
          <w:szCs w:val="24"/>
          <w:color w:val="auto"/>
        </w:rPr>
      </w:pPr>
    </w:p>
    <w:p>
      <w:pPr>
        <w:ind w:left="1148" w:hanging="572"/>
        <w:spacing w:after="0" w:line="350" w:lineRule="auto"/>
        <w:tabs>
          <w:tab w:leader="none" w:pos="1148" w:val="left"/>
        </w:tabs>
        <w:numPr>
          <w:ilvl w:val="1"/>
          <w:numId w:val="10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Disclosure under the Companies Act and Securities Regulations (or equivalent thereof)</w:t>
      </w:r>
    </w:p>
    <w:p>
      <w:pPr>
        <w:spacing w:after="0" w:line="11"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Stock exchanges</w:t>
      </w:r>
    </w:p>
    <w:p>
      <w:pPr>
        <w:spacing w:after="0" w:line="139"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Takeover Code/Buy back Code</w:t>
      </w:r>
    </w:p>
    <w:p>
      <w:pPr>
        <w:spacing w:after="0" w:line="136"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Reforms in some key sectors of the economy</w:t>
      </w:r>
    </w:p>
    <w:p>
      <w:pPr>
        <w:spacing w:after="0" w:line="139"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Restriction on foreign ownership of securities</w:t>
      </w:r>
    </w:p>
    <w:p>
      <w:pPr>
        <w:spacing w:after="0" w:line="136"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Overview of the financial sector</w:t>
      </w:r>
    </w:p>
    <w:p>
      <w:pPr>
        <w:spacing w:after="0" w:line="139"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Nature of the securities trading market in that country</w:t>
      </w:r>
    </w:p>
    <w:p>
      <w:pPr>
        <w:spacing w:after="0" w:line="149" w:lineRule="exact"/>
        <w:rPr>
          <w:rFonts w:ascii="Times New Roman" w:cs="Times New Roman" w:eastAsia="Times New Roman" w:hAnsi="Times New Roman"/>
          <w:sz w:val="24"/>
          <w:szCs w:val="24"/>
          <w:color w:val="auto"/>
        </w:rPr>
      </w:pPr>
    </w:p>
    <w:p>
      <w:pPr>
        <w:ind w:left="1148" w:hanging="572"/>
        <w:spacing w:after="0" w:line="350" w:lineRule="auto"/>
        <w:tabs>
          <w:tab w:leader="none" w:pos="1148" w:val="left"/>
        </w:tabs>
        <w:numPr>
          <w:ilvl w:val="1"/>
          <w:numId w:val="10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statement of how the enforcement of Indian securities laws would be affected by the fact that the issuing company is located outside India</w:t>
      </w:r>
    </w:p>
    <w:p>
      <w:pPr>
        <w:spacing w:after="0" w:line="23" w:lineRule="exact"/>
        <w:rPr>
          <w:rFonts w:ascii="Times New Roman" w:cs="Times New Roman" w:eastAsia="Times New Roman" w:hAnsi="Times New Roman"/>
          <w:sz w:val="24"/>
          <w:szCs w:val="24"/>
          <w:color w:val="auto"/>
        </w:rPr>
      </w:pPr>
    </w:p>
    <w:p>
      <w:pPr>
        <w:jc w:val="both"/>
        <w:ind w:left="1148" w:hanging="572"/>
        <w:spacing w:after="0" w:line="354" w:lineRule="auto"/>
        <w:tabs>
          <w:tab w:leader="none" w:pos="1148" w:val="left"/>
        </w:tabs>
        <w:numPr>
          <w:ilvl w:val="1"/>
          <w:numId w:val="10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comparative analysis of the corporate governance provisions that would be followed by the issuing company vis-à-vis that is applicable to Indian listed companies</w:t>
      </w:r>
    </w:p>
    <w:p>
      <w:pPr>
        <w:spacing w:after="0" w:line="200" w:lineRule="exact"/>
        <w:rPr>
          <w:rFonts w:ascii="Times New Roman" w:cs="Times New Roman" w:eastAsia="Times New Roman" w:hAnsi="Times New Roman"/>
          <w:sz w:val="24"/>
          <w:szCs w:val="24"/>
          <w:color w:val="auto"/>
        </w:rPr>
      </w:pPr>
    </w:p>
    <w:p>
      <w:pPr>
        <w:spacing w:after="0" w:line="227"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0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Description of the IDR and rights of IDR holders:</w:t>
      </w:r>
    </w:p>
    <w:p>
      <w:pPr>
        <w:spacing w:after="0" w:line="134"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Brief description of the IDR</w:t>
      </w:r>
    </w:p>
    <w:p>
      <w:pPr>
        <w:spacing w:after="0" w:line="137"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Dividends, other distributions and rights of IDR holders</w:t>
      </w:r>
    </w:p>
    <w:p>
      <w:pPr>
        <w:spacing w:after="0" w:line="139"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Voting rights if any and the manner of their exercise by IDR holders, if any</w:t>
      </w:r>
    </w:p>
    <w:p>
      <w:pPr>
        <w:spacing w:after="0" w:line="136"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Record dates and how the same will be disclosed.</w:t>
      </w:r>
    </w:p>
    <w:p>
      <w:pPr>
        <w:spacing w:after="0" w:line="139"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Reports and other communication to which the IDR holders will be entitled.</w:t>
      </w:r>
    </w:p>
    <w:p>
      <w:pPr>
        <w:spacing w:after="0" w:line="136"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Procedure of conversion of IDR into shares</w:t>
      </w:r>
    </w:p>
    <w:p>
      <w:pPr>
        <w:spacing w:after="0" w:line="139"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Governing law regarding various aspects of IDR and transactions therein</w:t>
      </w:r>
    </w:p>
    <w:p>
      <w:pPr>
        <w:spacing w:after="0" w:line="200" w:lineRule="exact"/>
        <w:rPr>
          <w:rFonts w:ascii="Times New Roman" w:cs="Times New Roman" w:eastAsia="Times New Roman" w:hAnsi="Times New Roman"/>
          <w:sz w:val="24"/>
          <w:szCs w:val="24"/>
          <w:color w:val="auto"/>
        </w:rPr>
      </w:pPr>
    </w:p>
    <w:p>
      <w:pPr>
        <w:spacing w:after="0" w:line="356"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0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Provisions regarding transfer of shares and depository receipts:</w:t>
      </w:r>
    </w:p>
    <w:p>
      <w:pPr>
        <w:spacing w:after="0" w:line="132"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Provisions regarding transfer of IDR</w:t>
      </w:r>
    </w:p>
    <w:p>
      <w:pPr>
        <w:spacing w:after="0" w:line="139"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Outline of provisions regarding transfer of underlying shares after conversion</w:t>
      </w:r>
    </w:p>
    <w:p>
      <w:pPr>
        <w:spacing w:after="0" w:line="200" w:lineRule="exact"/>
        <w:rPr>
          <w:rFonts w:ascii="Times New Roman" w:cs="Times New Roman" w:eastAsia="Times New Roman" w:hAnsi="Times New Roman"/>
          <w:sz w:val="24"/>
          <w:szCs w:val="24"/>
          <w:color w:val="auto"/>
        </w:rPr>
      </w:pPr>
    </w:p>
    <w:p>
      <w:pPr>
        <w:spacing w:after="0" w:line="356"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0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Information relating to the depository - Indian and international:</w:t>
      </w:r>
    </w:p>
    <w:p>
      <w:pPr>
        <w:spacing w:after="0" w:line="38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349</w:t>
      </w:r>
    </w:p>
    <w:p>
      <w:pPr>
        <w:sectPr>
          <w:pgSz w:w="11900" w:h="16836" w:orient="portrait"/>
          <w:cols w:equalWidth="0" w:num="1">
            <w:col w:w="9468"/>
          </w:cols>
          <w:pgMar w:left="1152" w:top="1149" w:right="1284" w:bottom="103" w:gutter="0" w:footer="0" w:header="0"/>
        </w:sectPr>
      </w:pPr>
    </w:p>
    <w:bookmarkStart w:id="349" w:name="page350"/>
    <w:bookmarkEnd w:id="349"/>
    <w:p>
      <w:pPr>
        <w:ind w:left="568"/>
        <w:spacing w:after="0"/>
        <w:rPr>
          <w:sz w:val="20"/>
          <w:szCs w:val="20"/>
          <w:color w:val="auto"/>
        </w:rPr>
      </w:pPr>
      <w:r>
        <w:rPr>
          <w:rFonts w:ascii="Times New Roman" w:cs="Times New Roman" w:eastAsia="Times New Roman" w:hAnsi="Times New Roman"/>
          <w:sz w:val="24"/>
          <w:szCs w:val="24"/>
          <w:color w:val="auto"/>
        </w:rPr>
        <w:t>Brief details of the domestic depository, overseas custodian bank and depository agreement.</w:t>
      </w:r>
    </w:p>
    <w:p>
      <w:pPr>
        <w:spacing w:after="0" w:line="200" w:lineRule="exact"/>
        <w:rPr>
          <w:sz w:val="20"/>
          <w:szCs w:val="20"/>
          <w:color w:val="auto"/>
        </w:rPr>
      </w:pPr>
    </w:p>
    <w:p>
      <w:pPr>
        <w:spacing w:after="0" w:line="357" w:lineRule="exact"/>
        <w:rPr>
          <w:sz w:val="20"/>
          <w:szCs w:val="20"/>
          <w:color w:val="auto"/>
        </w:rPr>
      </w:pPr>
    </w:p>
    <w:p>
      <w:pPr>
        <w:ind w:left="568" w:hanging="568"/>
        <w:spacing w:after="0"/>
        <w:tabs>
          <w:tab w:leader="none" w:pos="568" w:val="left"/>
        </w:tabs>
        <w:numPr>
          <w:ilvl w:val="0"/>
          <w:numId w:val="109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Approvals of the government/regulatory authorities:</w:t>
      </w:r>
    </w:p>
    <w:p>
      <w:pPr>
        <w:spacing w:after="0" w:line="144" w:lineRule="exact"/>
        <w:rPr>
          <w:rFonts w:ascii="Times New Roman" w:cs="Times New Roman" w:eastAsia="Times New Roman" w:hAnsi="Times New Roman"/>
          <w:sz w:val="24"/>
          <w:szCs w:val="24"/>
          <w:color w:val="auto"/>
        </w:rPr>
      </w:pPr>
    </w:p>
    <w:p>
      <w:pPr>
        <w:jc w:val="both"/>
        <w:ind w:left="568"/>
        <w:spacing w:after="0" w:line="35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Information relating to statutory and regulatory approvals required in home country for the issue and the related aspects and their status, and approvals from Indian regulatory authorities</w:t>
      </w:r>
    </w:p>
    <w:p>
      <w:pPr>
        <w:spacing w:after="0" w:line="200" w:lineRule="exact"/>
        <w:rPr>
          <w:rFonts w:ascii="Times New Roman" w:cs="Times New Roman" w:eastAsia="Times New Roman" w:hAnsi="Times New Roman"/>
          <w:sz w:val="24"/>
          <w:szCs w:val="24"/>
          <w:color w:val="auto"/>
        </w:rPr>
      </w:pPr>
    </w:p>
    <w:p>
      <w:pPr>
        <w:spacing w:after="0" w:line="239" w:lineRule="exact"/>
        <w:rPr>
          <w:rFonts w:ascii="Times New Roman" w:cs="Times New Roman" w:eastAsia="Times New Roman" w:hAnsi="Times New Roman"/>
          <w:sz w:val="24"/>
          <w:szCs w:val="24"/>
          <w:color w:val="auto"/>
        </w:rPr>
      </w:pPr>
    </w:p>
    <w:p>
      <w:pPr>
        <w:ind w:left="568" w:hanging="568"/>
        <w:spacing w:after="0" w:line="350" w:lineRule="auto"/>
        <w:tabs>
          <w:tab w:leader="none" w:pos="568" w:val="left"/>
        </w:tabs>
        <w:numPr>
          <w:ilvl w:val="0"/>
          <w:numId w:val="109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Taxation framework in India and the country of incorporation/ where shares are listed:</w:t>
      </w:r>
    </w:p>
    <w:p>
      <w:pPr>
        <w:spacing w:after="0" w:line="18" w:lineRule="exact"/>
        <w:rPr>
          <w:rFonts w:ascii="Times New Roman" w:cs="Times New Roman" w:eastAsia="Times New Roman" w:hAnsi="Times New Roman"/>
          <w:sz w:val="24"/>
          <w:szCs w:val="24"/>
          <w:color w:val="auto"/>
        </w:rPr>
      </w:pPr>
    </w:p>
    <w:p>
      <w:pPr>
        <w:ind w:left="568"/>
        <w:spacing w:after="0" w:line="350"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Information relating to relevant provisions of taxation law, tax treaties and their impact for IDR holders</w:t>
      </w:r>
    </w:p>
    <w:p>
      <w:pPr>
        <w:spacing w:after="0" w:line="200" w:lineRule="exact"/>
        <w:rPr>
          <w:rFonts w:ascii="Times New Roman" w:cs="Times New Roman" w:eastAsia="Times New Roman" w:hAnsi="Times New Roman"/>
          <w:sz w:val="24"/>
          <w:szCs w:val="24"/>
          <w:color w:val="auto"/>
        </w:rPr>
      </w:pPr>
    </w:p>
    <w:p>
      <w:pPr>
        <w:spacing w:after="0" w:line="230"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09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Outstanding litigations and defaults:</w:t>
      </w:r>
    </w:p>
    <w:p>
      <w:pPr>
        <w:spacing w:after="0" w:line="144" w:lineRule="exact"/>
        <w:rPr>
          <w:rFonts w:ascii="Times New Roman" w:cs="Times New Roman" w:eastAsia="Times New Roman" w:hAnsi="Times New Roman"/>
          <w:sz w:val="24"/>
          <w:szCs w:val="24"/>
          <w:color w:val="auto"/>
        </w:rPr>
      </w:pPr>
    </w:p>
    <w:p>
      <w:pPr>
        <w:jc w:val="both"/>
        <w:ind w:left="1148" w:hanging="572"/>
        <w:spacing w:after="0" w:line="354" w:lineRule="auto"/>
        <w:tabs>
          <w:tab w:leader="none" w:pos="1148" w:val="left"/>
        </w:tabs>
        <w:numPr>
          <w:ilvl w:val="1"/>
          <w:numId w:val="109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Material litigation/liabilities/defaults including arrears/potential liabilities of the issuing company, its promoters/controlling shareholders/directors and its subsidiaries and associates.</w:t>
      </w:r>
    </w:p>
    <w:p>
      <w:pPr>
        <w:spacing w:after="0" w:line="22" w:lineRule="exact"/>
        <w:rPr>
          <w:rFonts w:ascii="Times New Roman" w:cs="Times New Roman" w:eastAsia="Times New Roman" w:hAnsi="Times New Roman"/>
          <w:sz w:val="24"/>
          <w:szCs w:val="24"/>
          <w:color w:val="auto"/>
        </w:rPr>
      </w:pPr>
    </w:p>
    <w:p>
      <w:pPr>
        <w:jc w:val="both"/>
        <w:ind w:left="1148" w:hanging="572"/>
        <w:spacing w:after="0" w:line="356" w:lineRule="auto"/>
        <w:tabs>
          <w:tab w:leader="none" w:pos="1148" w:val="left"/>
        </w:tabs>
        <w:numPr>
          <w:ilvl w:val="1"/>
          <w:numId w:val="109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Materiality shall be determined on the basis of factors which are specific to the project and to the issuing company, its promoters/controlling shareholders/directors, its subsidiaries and associates, which may have a bearing on the performance of the issuing company.</w:t>
      </w:r>
    </w:p>
    <w:p>
      <w:pPr>
        <w:spacing w:after="0" w:line="6"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9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Materiality shall be decided taking the following factors into account:</w:t>
      </w:r>
    </w:p>
    <w:p>
      <w:pPr>
        <w:spacing w:after="0" w:line="149" w:lineRule="exact"/>
        <w:rPr>
          <w:rFonts w:ascii="Times New Roman" w:cs="Times New Roman" w:eastAsia="Times New Roman" w:hAnsi="Times New Roman"/>
          <w:sz w:val="24"/>
          <w:szCs w:val="24"/>
          <w:color w:val="auto"/>
        </w:rPr>
      </w:pPr>
    </w:p>
    <w:p>
      <w:pPr>
        <w:ind w:left="1648" w:hanging="568"/>
        <w:spacing w:after="0" w:line="344" w:lineRule="auto"/>
        <w:tabs>
          <w:tab w:leader="none" w:pos="1648" w:val="left"/>
        </w:tabs>
        <w:numPr>
          <w:ilvl w:val="2"/>
          <w:numId w:val="1096"/>
        </w:numPr>
        <w:rPr>
          <w:rFonts w:ascii="Calibri" w:cs="Calibri" w:eastAsia="Calibri" w:hAnsi="Calibri"/>
          <w:sz w:val="22"/>
          <w:szCs w:val="22"/>
          <w:color w:val="auto"/>
        </w:rPr>
      </w:pPr>
      <w:r>
        <w:rPr>
          <w:rFonts w:ascii="Times New Roman" w:cs="Times New Roman" w:eastAsia="Times New Roman" w:hAnsi="Times New Roman"/>
          <w:sz w:val="24"/>
          <w:szCs w:val="24"/>
          <w:color w:val="auto"/>
        </w:rPr>
        <w:t>Some litigation/defaults may not be material individually but may be material when considered collectively.</w:t>
      </w:r>
    </w:p>
    <w:p>
      <w:pPr>
        <w:spacing w:after="0" w:line="27" w:lineRule="exact"/>
        <w:rPr>
          <w:rFonts w:ascii="Calibri" w:cs="Calibri" w:eastAsia="Calibri" w:hAnsi="Calibri"/>
          <w:sz w:val="22"/>
          <w:szCs w:val="22"/>
          <w:color w:val="auto"/>
        </w:rPr>
      </w:pPr>
    </w:p>
    <w:p>
      <w:pPr>
        <w:ind w:left="1648" w:hanging="568"/>
        <w:spacing w:after="0" w:line="344" w:lineRule="auto"/>
        <w:tabs>
          <w:tab w:leader="none" w:pos="1648" w:val="left"/>
        </w:tabs>
        <w:numPr>
          <w:ilvl w:val="2"/>
          <w:numId w:val="1096"/>
        </w:numPr>
        <w:rPr>
          <w:rFonts w:ascii="Calibri" w:cs="Calibri" w:eastAsia="Calibri" w:hAnsi="Calibri"/>
          <w:sz w:val="22"/>
          <w:szCs w:val="22"/>
          <w:color w:val="auto"/>
        </w:rPr>
      </w:pPr>
      <w:r>
        <w:rPr>
          <w:rFonts w:ascii="Times New Roman" w:cs="Times New Roman" w:eastAsia="Times New Roman" w:hAnsi="Times New Roman"/>
          <w:sz w:val="24"/>
          <w:szCs w:val="24"/>
          <w:color w:val="auto"/>
        </w:rPr>
        <w:t>Some litigation/defaults may have material impact which is qualitative though not quantitative.</w:t>
      </w:r>
    </w:p>
    <w:p>
      <w:pPr>
        <w:spacing w:after="0" w:line="26" w:lineRule="exact"/>
        <w:rPr>
          <w:rFonts w:ascii="Calibri" w:cs="Calibri" w:eastAsia="Calibri" w:hAnsi="Calibri"/>
          <w:sz w:val="22"/>
          <w:szCs w:val="22"/>
          <w:color w:val="auto"/>
        </w:rPr>
      </w:pPr>
    </w:p>
    <w:p>
      <w:pPr>
        <w:ind w:left="1648" w:hanging="568"/>
        <w:spacing w:after="0" w:line="344" w:lineRule="auto"/>
        <w:tabs>
          <w:tab w:leader="none" w:pos="1648" w:val="left"/>
        </w:tabs>
        <w:numPr>
          <w:ilvl w:val="2"/>
          <w:numId w:val="1096"/>
        </w:numPr>
        <w:rPr>
          <w:rFonts w:ascii="Calibri" w:cs="Calibri" w:eastAsia="Calibri" w:hAnsi="Calibri"/>
          <w:sz w:val="22"/>
          <w:szCs w:val="22"/>
          <w:color w:val="auto"/>
        </w:rPr>
      </w:pPr>
      <w:r>
        <w:rPr>
          <w:rFonts w:ascii="Times New Roman" w:cs="Times New Roman" w:eastAsia="Times New Roman" w:hAnsi="Times New Roman"/>
          <w:sz w:val="24"/>
          <w:szCs w:val="24"/>
          <w:color w:val="auto"/>
        </w:rPr>
        <w:t>Some litigation/defaults may not be material at present but may have a material impact in the future.</w:t>
      </w:r>
    </w:p>
    <w:p>
      <w:pPr>
        <w:spacing w:after="0" w:line="200" w:lineRule="exact"/>
        <w:rPr>
          <w:rFonts w:ascii="Calibri" w:cs="Calibri" w:eastAsia="Calibri" w:hAnsi="Calibri"/>
          <w:sz w:val="22"/>
          <w:szCs w:val="22"/>
          <w:color w:val="auto"/>
        </w:rPr>
      </w:pPr>
    </w:p>
    <w:p>
      <w:pPr>
        <w:spacing w:after="0" w:line="234" w:lineRule="exact"/>
        <w:rPr>
          <w:rFonts w:ascii="Calibri" w:cs="Calibri" w:eastAsia="Calibri" w:hAnsi="Calibri"/>
          <w:sz w:val="22"/>
          <w:szCs w:val="22"/>
          <w:color w:val="auto"/>
        </w:rPr>
      </w:pPr>
    </w:p>
    <w:p>
      <w:pPr>
        <w:ind w:left="568" w:hanging="568"/>
        <w:spacing w:after="0"/>
        <w:tabs>
          <w:tab w:leader="none" w:pos="568" w:val="left"/>
        </w:tabs>
        <w:numPr>
          <w:ilvl w:val="0"/>
          <w:numId w:val="109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Basis of issue price:</w:t>
      </w:r>
    </w:p>
    <w:p>
      <w:pPr>
        <w:spacing w:after="0" w:line="144" w:lineRule="exact"/>
        <w:rPr>
          <w:rFonts w:ascii="Times New Roman" w:cs="Times New Roman" w:eastAsia="Times New Roman" w:hAnsi="Times New Roman"/>
          <w:sz w:val="24"/>
          <w:szCs w:val="24"/>
          <w:color w:val="auto"/>
        </w:rPr>
      </w:pPr>
    </w:p>
    <w:p>
      <w:pPr>
        <w:ind w:left="1148" w:hanging="572"/>
        <w:spacing w:after="0" w:line="350" w:lineRule="auto"/>
        <w:tabs>
          <w:tab w:leader="none" w:pos="1148" w:val="left"/>
        </w:tabs>
        <w:numPr>
          <w:ilvl w:val="1"/>
          <w:numId w:val="109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Earnings Per Share (EPS) pre-issue for the last three years (as adjusted for changes in capital)</w:t>
      </w:r>
    </w:p>
    <w:p>
      <w:pPr>
        <w:spacing w:after="0" w:line="11"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9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P/E pre-issue</w:t>
      </w:r>
    </w:p>
    <w:p>
      <w:pPr>
        <w:spacing w:after="0" w:line="139"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9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Average return on net worth in the last three years</w:t>
      </w:r>
    </w:p>
    <w:p>
      <w:pPr>
        <w:spacing w:after="0" w:line="136"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9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Minimum return on increased net worth required to maintain pre-issue EPS</w:t>
      </w:r>
    </w:p>
    <w:p>
      <w:pPr>
        <w:spacing w:after="0" w:line="139"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9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Net Asset Value per share based on last balance sheet</w:t>
      </w:r>
    </w:p>
    <w:p>
      <w:pPr>
        <w:spacing w:after="0" w:line="394"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350</w:t>
      </w:r>
    </w:p>
    <w:p>
      <w:pPr>
        <w:sectPr>
          <w:pgSz w:w="11900" w:h="16836" w:orient="portrait"/>
          <w:cols w:equalWidth="0" w:num="1">
            <w:col w:w="9468"/>
          </w:cols>
          <w:pgMar w:left="1152" w:top="1144" w:right="1284" w:bottom="103" w:gutter="0" w:footer="0" w:header="0"/>
        </w:sectPr>
      </w:pPr>
    </w:p>
    <w:bookmarkStart w:id="350" w:name="page351"/>
    <w:bookmarkEnd w:id="350"/>
    <w:p>
      <w:pPr>
        <w:ind w:left="1148" w:hanging="572"/>
        <w:spacing w:after="0"/>
        <w:tabs>
          <w:tab w:leader="none" w:pos="1148" w:val="left"/>
        </w:tabs>
        <w:numPr>
          <w:ilvl w:val="1"/>
          <w:numId w:val="109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Net Asset Value per share after issue and comparison thereof with the issue price</w:t>
      </w:r>
    </w:p>
    <w:p>
      <w:pPr>
        <w:spacing w:after="0" w:line="149" w:lineRule="exact"/>
        <w:rPr>
          <w:rFonts w:ascii="Times New Roman" w:cs="Times New Roman" w:eastAsia="Times New Roman" w:hAnsi="Times New Roman"/>
          <w:sz w:val="24"/>
          <w:szCs w:val="24"/>
          <w:color w:val="auto"/>
        </w:rPr>
      </w:pPr>
    </w:p>
    <w:p>
      <w:pPr>
        <w:jc w:val="both"/>
        <w:ind w:left="1148" w:hanging="572"/>
        <w:spacing w:after="0" w:line="358" w:lineRule="auto"/>
        <w:tabs>
          <w:tab w:leader="none" w:pos="1148" w:val="left"/>
        </w:tabs>
        <w:numPr>
          <w:ilvl w:val="1"/>
          <w:numId w:val="109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Comparison of all the accounting ratios of the issuing company as mentioned above with the industry average and with the accounting ratios of the peer group (i.e. companies of shares and of the IDR). The aggregate face value of the total equity shares underlying a single comparable size in the same industry. </w:t>
      </w:r>
      <w:r>
        <w:rPr>
          <w:rFonts w:ascii="Times New Roman" w:cs="Times New Roman" w:eastAsia="Times New Roman" w:hAnsi="Times New Roman"/>
          <w:sz w:val="24"/>
          <w:szCs w:val="24"/>
          <w:i w:val="1"/>
          <w:iCs w:val="1"/>
          <w:color w:val="auto"/>
        </w:rPr>
        <w:t>[The source from</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which industry average and accounting ratios of the peer group has been taken should be indicated].</w:t>
      </w:r>
    </w:p>
    <w:p>
      <w:pPr>
        <w:spacing w:after="0" w:line="1"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9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face value of the IDR shall also be given.</w:t>
      </w:r>
    </w:p>
    <w:p>
      <w:pPr>
        <w:spacing w:after="0" w:line="152" w:lineRule="exact"/>
        <w:rPr>
          <w:rFonts w:ascii="Times New Roman" w:cs="Times New Roman" w:eastAsia="Times New Roman" w:hAnsi="Times New Roman"/>
          <w:sz w:val="24"/>
          <w:szCs w:val="24"/>
          <w:color w:val="auto"/>
        </w:rPr>
      </w:pPr>
    </w:p>
    <w:p>
      <w:pPr>
        <w:ind w:left="1148"/>
        <w:spacing w:after="0" w:line="348"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Provided that </w:t>
      </w:r>
      <w:r>
        <w:rPr>
          <w:rFonts w:ascii="Times New Roman" w:cs="Times New Roman" w:eastAsia="Times New Roman" w:hAnsi="Times New Roman"/>
          <w:sz w:val="24"/>
          <w:szCs w:val="24"/>
          <w:color w:val="auto"/>
        </w:rPr>
        <w:t>the projected earnings shall not be used as a justification for the issue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price in the prospectus.</w:t>
      </w:r>
    </w:p>
    <w:p>
      <w:pPr>
        <w:spacing w:after="0" w:line="27" w:lineRule="exact"/>
        <w:rPr>
          <w:rFonts w:ascii="Times New Roman" w:cs="Times New Roman" w:eastAsia="Times New Roman" w:hAnsi="Times New Roman"/>
          <w:sz w:val="24"/>
          <w:szCs w:val="24"/>
          <w:color w:val="auto"/>
        </w:rPr>
      </w:pPr>
    </w:p>
    <w:p>
      <w:pPr>
        <w:jc w:val="both"/>
        <w:ind w:left="1148"/>
        <w:spacing w:after="0" w:line="357"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Provided further that </w:t>
      </w:r>
      <w:r>
        <w:rPr>
          <w:rFonts w:ascii="Times New Roman" w:cs="Times New Roman" w:eastAsia="Times New Roman" w:hAnsi="Times New Roman"/>
          <w:sz w:val="24"/>
          <w:szCs w:val="24"/>
          <w:color w:val="auto"/>
        </w:rPr>
        <w:t>the accounting ratios disclosed in the prospectus in support of</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basis of the issue price shall be calculated after giving effect to the consequent increase in capital on account of compulsory conversions outstanding, as well as on the assumption that the options outstanding, if any, to subscribe for additional capital will be exercised.</w:t>
      </w:r>
    </w:p>
    <w:p>
      <w:pPr>
        <w:spacing w:after="0" w:line="200" w:lineRule="exact"/>
        <w:rPr>
          <w:rFonts w:ascii="Times New Roman" w:cs="Times New Roman" w:eastAsia="Times New Roman" w:hAnsi="Times New Roman"/>
          <w:sz w:val="24"/>
          <w:szCs w:val="24"/>
          <w:color w:val="auto"/>
        </w:rPr>
      </w:pPr>
    </w:p>
    <w:p>
      <w:pPr>
        <w:spacing w:after="0" w:line="224"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09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Main provisions of articles of association/main charter of the issuing company</w:t>
      </w:r>
    </w:p>
    <w:p>
      <w:pPr>
        <w:spacing w:after="0" w:line="200" w:lineRule="exact"/>
        <w:rPr>
          <w:rFonts w:ascii="Times New Roman" w:cs="Times New Roman" w:eastAsia="Times New Roman" w:hAnsi="Times New Roman"/>
          <w:sz w:val="24"/>
          <w:szCs w:val="24"/>
          <w:color w:val="auto"/>
        </w:rPr>
      </w:pPr>
    </w:p>
    <w:p>
      <w:pPr>
        <w:spacing w:after="0" w:line="352"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09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Material contracts and documents for inspection:</w:t>
      </w:r>
    </w:p>
    <w:p>
      <w:pPr>
        <w:spacing w:after="0" w:line="144" w:lineRule="exact"/>
        <w:rPr>
          <w:rFonts w:ascii="Times New Roman" w:cs="Times New Roman" w:eastAsia="Times New Roman" w:hAnsi="Times New Roman"/>
          <w:sz w:val="24"/>
          <w:szCs w:val="24"/>
          <w:color w:val="auto"/>
        </w:rPr>
      </w:pPr>
    </w:p>
    <w:p>
      <w:pPr>
        <w:jc w:val="both"/>
        <w:ind w:left="568"/>
        <w:spacing w:after="0" w:line="35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Place at which inspection of the documents specified under rule 7 of the Companies (Issue of Indian Depository Receipts) Rules, 2004, the prospectus, the financial statements and auditor's report thereof will be allowed during the normal business hours.</w:t>
      </w:r>
    </w:p>
    <w:p>
      <w:pPr>
        <w:spacing w:after="0" w:line="200" w:lineRule="exact"/>
        <w:rPr>
          <w:rFonts w:ascii="Times New Roman" w:cs="Times New Roman" w:eastAsia="Times New Roman" w:hAnsi="Times New Roman"/>
          <w:sz w:val="24"/>
          <w:szCs w:val="24"/>
          <w:color w:val="auto"/>
        </w:rPr>
      </w:pPr>
    </w:p>
    <w:p>
      <w:pPr>
        <w:spacing w:after="0" w:line="227"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09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Other information:</w:t>
      </w:r>
    </w:p>
    <w:p>
      <w:pPr>
        <w:spacing w:after="0" w:line="146" w:lineRule="exact"/>
        <w:rPr>
          <w:rFonts w:ascii="Times New Roman" w:cs="Times New Roman" w:eastAsia="Times New Roman" w:hAnsi="Times New Roman"/>
          <w:sz w:val="24"/>
          <w:szCs w:val="24"/>
          <w:color w:val="auto"/>
        </w:rPr>
      </w:pPr>
    </w:p>
    <w:p>
      <w:pPr>
        <w:jc w:val="both"/>
        <w:ind w:left="1148" w:hanging="572"/>
        <w:spacing w:after="0" w:line="354" w:lineRule="auto"/>
        <w:tabs>
          <w:tab w:leader="none" w:pos="1148" w:val="left"/>
        </w:tabs>
        <w:numPr>
          <w:ilvl w:val="1"/>
          <w:numId w:val="109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Disclosure of mandatory vetting of the prospectus by the legal counsel to the issuing company operating at the place where the registered office of the Issuing company is situated.</w:t>
      </w:r>
    </w:p>
    <w:p>
      <w:pPr>
        <w:spacing w:after="0" w:line="19" w:lineRule="exact"/>
        <w:rPr>
          <w:rFonts w:ascii="Times New Roman" w:cs="Times New Roman" w:eastAsia="Times New Roman" w:hAnsi="Times New Roman"/>
          <w:sz w:val="24"/>
          <w:szCs w:val="24"/>
          <w:color w:val="auto"/>
        </w:rPr>
      </w:pPr>
    </w:p>
    <w:p>
      <w:pPr>
        <w:ind w:left="1148" w:hanging="572"/>
        <w:spacing w:after="0" w:line="350" w:lineRule="auto"/>
        <w:tabs>
          <w:tab w:leader="none" w:pos="1148" w:val="left"/>
        </w:tabs>
        <w:numPr>
          <w:ilvl w:val="1"/>
          <w:numId w:val="109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Consent of the lead manager(s), overseas custodian bank, the domestic depository and all other intermediaries associated with the issue of IDRs.</w:t>
      </w:r>
    </w:p>
    <w:p>
      <w:pPr>
        <w:spacing w:after="0" w:line="10"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09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Fees and expenses payable to the intermediaries involved in the issue of IDRs.</w:t>
      </w:r>
    </w:p>
    <w:p>
      <w:pPr>
        <w:spacing w:after="0" w:line="200" w:lineRule="exact"/>
        <w:rPr>
          <w:sz w:val="20"/>
          <w:szCs w:val="20"/>
          <w:color w:val="auto"/>
        </w:rPr>
      </w:pPr>
    </w:p>
    <w:p>
      <w:pPr>
        <w:spacing w:after="0" w:line="369" w:lineRule="exact"/>
        <w:rPr>
          <w:sz w:val="20"/>
          <w:szCs w:val="20"/>
          <w:color w:val="auto"/>
        </w:rPr>
      </w:pPr>
    </w:p>
    <w:p>
      <w:pPr>
        <w:jc w:val="center"/>
        <w:ind w:right="12"/>
        <w:spacing w:after="0" w:line="350" w:lineRule="auto"/>
        <w:rPr>
          <w:sz w:val="20"/>
          <w:szCs w:val="20"/>
          <w:color w:val="auto"/>
        </w:rPr>
      </w:pPr>
      <w:r>
        <w:rPr>
          <w:rFonts w:ascii="Times New Roman" w:cs="Times New Roman" w:eastAsia="Times New Roman" w:hAnsi="Times New Roman"/>
          <w:sz w:val="24"/>
          <w:szCs w:val="24"/>
          <w:b w:val="1"/>
          <w:bCs w:val="1"/>
          <w:color w:val="auto"/>
        </w:rPr>
        <w:t>Part B - Disclosures in an abridged prospectus for Indian depository receipts [See regulation 193(1)]</w:t>
      </w:r>
    </w:p>
    <w:p>
      <w:pPr>
        <w:spacing w:after="0" w:line="200" w:lineRule="exact"/>
        <w:rPr>
          <w:sz w:val="20"/>
          <w:szCs w:val="20"/>
          <w:color w:val="auto"/>
        </w:rPr>
      </w:pPr>
    </w:p>
    <w:p>
      <w:pPr>
        <w:spacing w:after="0" w:line="226"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General Instructions:</w:t>
      </w:r>
    </w:p>
    <w:p>
      <w:pPr>
        <w:spacing w:after="0" w:line="38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351</w:t>
      </w:r>
    </w:p>
    <w:p>
      <w:pPr>
        <w:sectPr>
          <w:pgSz w:w="11900" w:h="16836" w:orient="portrait"/>
          <w:cols w:equalWidth="0" w:num="1">
            <w:col w:w="9468"/>
          </w:cols>
          <w:pgMar w:left="1152" w:top="1144" w:right="1284" w:bottom="103" w:gutter="0" w:footer="0" w:header="0"/>
        </w:sectPr>
      </w:pPr>
    </w:p>
    <w:bookmarkStart w:id="351" w:name="page352"/>
    <w:bookmarkEnd w:id="351"/>
    <w:p>
      <w:pPr>
        <w:ind w:left="788" w:hanging="788"/>
        <w:spacing w:after="0"/>
        <w:tabs>
          <w:tab w:leader="none" w:pos="788" w:val="left"/>
        </w:tabs>
        <w:numPr>
          <w:ilvl w:val="0"/>
          <w:numId w:val="1099"/>
        </w:numPr>
        <w:rPr>
          <w:rFonts w:ascii="Calibri" w:cs="Calibri" w:eastAsia="Calibri" w:hAnsi="Calibri"/>
          <w:sz w:val="22"/>
          <w:szCs w:val="22"/>
          <w:color w:val="auto"/>
        </w:rPr>
      </w:pPr>
      <w:r>
        <w:rPr>
          <w:rFonts w:ascii="Times New Roman" w:cs="Times New Roman" w:eastAsia="Times New Roman" w:hAnsi="Times New Roman"/>
          <w:sz w:val="24"/>
          <w:szCs w:val="24"/>
          <w:color w:val="auto"/>
        </w:rPr>
        <w:t>A copy of the abridged prospectus shall be submitted to the Board.</w:t>
      </w:r>
    </w:p>
    <w:p>
      <w:pPr>
        <w:spacing w:after="0" w:line="130" w:lineRule="exact"/>
        <w:rPr>
          <w:sz w:val="20"/>
          <w:szCs w:val="20"/>
          <w:color w:val="auto"/>
        </w:rPr>
      </w:pPr>
    </w:p>
    <w:p>
      <w:pPr>
        <w:ind w:left="788" w:hanging="788"/>
        <w:spacing w:after="0"/>
        <w:tabs>
          <w:tab w:leader="none" w:pos="788" w:val="left"/>
        </w:tabs>
        <w:numPr>
          <w:ilvl w:val="0"/>
          <w:numId w:val="1100"/>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abridged prospectus shall be printed in a booklet form of A4 size paper and, along</w:t>
      </w:r>
    </w:p>
    <w:p>
      <w:pPr>
        <w:spacing w:after="0" w:line="151" w:lineRule="exact"/>
        <w:rPr>
          <w:sz w:val="20"/>
          <w:szCs w:val="20"/>
          <w:color w:val="auto"/>
        </w:rPr>
      </w:pPr>
    </w:p>
    <w:p>
      <w:pPr>
        <w:ind w:left="788"/>
        <w:spacing w:after="0" w:line="348" w:lineRule="auto"/>
        <w:rPr>
          <w:sz w:val="20"/>
          <w:szCs w:val="20"/>
          <w:color w:val="auto"/>
        </w:rPr>
      </w:pPr>
      <w:r>
        <w:rPr>
          <w:rFonts w:ascii="Times New Roman" w:cs="Times New Roman" w:eastAsia="Times New Roman" w:hAnsi="Times New Roman"/>
          <w:sz w:val="24"/>
          <w:szCs w:val="24"/>
          <w:color w:val="auto"/>
        </w:rPr>
        <w:t>with the application form and revision form, shall not exceed five sheets, printed both sides. Additional sheets may be appended for bidding centres.</w:t>
      </w:r>
    </w:p>
    <w:p>
      <w:pPr>
        <w:spacing w:after="0" w:line="28" w:lineRule="exact"/>
        <w:rPr>
          <w:sz w:val="20"/>
          <w:szCs w:val="20"/>
          <w:color w:val="auto"/>
        </w:rPr>
      </w:pPr>
    </w:p>
    <w:p>
      <w:pPr>
        <w:ind w:left="788" w:hanging="788"/>
        <w:spacing w:after="0" w:line="342" w:lineRule="auto"/>
        <w:tabs>
          <w:tab w:leader="none" w:pos="788" w:val="left"/>
        </w:tabs>
        <w:numPr>
          <w:ilvl w:val="0"/>
          <w:numId w:val="1101"/>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abridged prospectus shall be printed in a font size which shall not be visually smaller than Times New Roman size 11 (or equivalent) with 1.0 line spacing.</w:t>
      </w:r>
    </w:p>
    <w:p>
      <w:pPr>
        <w:spacing w:after="0" w:line="31" w:lineRule="exact"/>
        <w:rPr>
          <w:sz w:val="20"/>
          <w:szCs w:val="20"/>
          <w:color w:val="auto"/>
        </w:rPr>
      </w:pPr>
    </w:p>
    <w:p>
      <w:pPr>
        <w:ind w:left="788" w:hanging="779"/>
        <w:spacing w:after="0" w:line="342" w:lineRule="auto"/>
        <w:tabs>
          <w:tab w:leader="none" w:pos="767" w:val="left"/>
        </w:tabs>
        <w:rPr>
          <w:sz w:val="20"/>
          <w:szCs w:val="20"/>
          <w:color w:val="auto"/>
        </w:rPr>
      </w:pPr>
      <w:r>
        <w:rPr>
          <w:rFonts w:ascii="Calibri" w:cs="Calibri" w:eastAsia="Calibri" w:hAnsi="Calibri"/>
          <w:sz w:val="22"/>
          <w:szCs w:val="22"/>
          <w:color w:val="auto"/>
        </w:rPr>
        <w:t>(IV)</w:t>
      </w:r>
      <w:r>
        <w:rPr>
          <w:sz w:val="20"/>
          <w:szCs w:val="20"/>
          <w:color w:val="auto"/>
        </w:rPr>
        <w:tab/>
      </w:r>
      <w:r>
        <w:rPr>
          <w:rFonts w:ascii="Times New Roman" w:cs="Times New Roman" w:eastAsia="Times New Roman" w:hAnsi="Times New Roman"/>
          <w:sz w:val="24"/>
          <w:szCs w:val="24"/>
          <w:color w:val="auto"/>
        </w:rPr>
        <w:t>The application form shall be so positioned that on the tearing-off of the application form, no part of the abridged prospectus is mutilated.</w:t>
      </w:r>
    </w:p>
    <w:p>
      <w:pPr>
        <w:spacing w:after="0" w:line="12" w:lineRule="exact"/>
        <w:rPr>
          <w:sz w:val="20"/>
          <w:szCs w:val="20"/>
          <w:color w:val="auto"/>
        </w:rPr>
      </w:pPr>
    </w:p>
    <w:p>
      <w:pPr>
        <w:ind w:left="788" w:hanging="788"/>
        <w:spacing w:after="0"/>
        <w:tabs>
          <w:tab w:leader="none" w:pos="788" w:val="left"/>
        </w:tabs>
        <w:numPr>
          <w:ilvl w:val="0"/>
          <w:numId w:val="1102"/>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format of the abridged prospectus should include the following:</w:t>
      </w:r>
    </w:p>
    <w:p>
      <w:pPr>
        <w:spacing w:after="0" w:line="200" w:lineRule="exact"/>
        <w:rPr>
          <w:sz w:val="20"/>
          <w:szCs w:val="20"/>
          <w:color w:val="auto"/>
        </w:rPr>
      </w:pPr>
    </w:p>
    <w:p>
      <w:pPr>
        <w:spacing w:after="0" w:line="364" w:lineRule="exact"/>
        <w:rPr>
          <w:sz w:val="20"/>
          <w:szCs w:val="20"/>
          <w:color w:val="auto"/>
        </w:rPr>
      </w:pPr>
    </w:p>
    <w:p>
      <w:pPr>
        <w:ind w:left="8"/>
        <w:spacing w:after="0" w:line="348" w:lineRule="auto"/>
        <w:rPr>
          <w:sz w:val="20"/>
          <w:szCs w:val="20"/>
          <w:color w:val="auto"/>
        </w:rPr>
      </w:pPr>
      <w:r>
        <w:rPr>
          <w:rFonts w:ascii="Times New Roman" w:cs="Times New Roman" w:eastAsia="Times New Roman" w:hAnsi="Times New Roman"/>
          <w:sz w:val="24"/>
          <w:szCs w:val="24"/>
          <w:color w:val="auto"/>
        </w:rPr>
        <w:t>The abridged prospectus for the issue of Indian Depository Receipts (IDR) shall contain the following disclosures:</w:t>
      </w:r>
    </w:p>
    <w:p>
      <w:pPr>
        <w:spacing w:after="0" w:line="200" w:lineRule="exact"/>
        <w:rPr>
          <w:sz w:val="20"/>
          <w:szCs w:val="20"/>
          <w:color w:val="auto"/>
        </w:rPr>
      </w:pPr>
    </w:p>
    <w:p>
      <w:pPr>
        <w:spacing w:after="0" w:line="233" w:lineRule="exact"/>
        <w:rPr>
          <w:sz w:val="20"/>
          <w:szCs w:val="20"/>
          <w:color w:val="auto"/>
        </w:rPr>
      </w:pPr>
    </w:p>
    <w:p>
      <w:pPr>
        <w:ind w:left="568" w:hanging="568"/>
        <w:spacing w:after="0"/>
        <w:tabs>
          <w:tab w:leader="none" w:pos="568" w:val="left"/>
        </w:tabs>
        <w:numPr>
          <w:ilvl w:val="0"/>
          <w:numId w:val="110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General Information:</w:t>
      </w:r>
    </w:p>
    <w:p>
      <w:pPr>
        <w:spacing w:after="0" w:line="146" w:lineRule="exact"/>
        <w:rPr>
          <w:rFonts w:ascii="Times New Roman" w:cs="Times New Roman" w:eastAsia="Times New Roman" w:hAnsi="Times New Roman"/>
          <w:sz w:val="24"/>
          <w:szCs w:val="24"/>
          <w:color w:val="auto"/>
        </w:rPr>
      </w:pPr>
    </w:p>
    <w:p>
      <w:pPr>
        <w:jc w:val="both"/>
        <w:ind w:left="1148" w:hanging="572"/>
        <w:spacing w:after="0" w:line="356" w:lineRule="auto"/>
        <w:tabs>
          <w:tab w:leader="none" w:pos="1148" w:val="left"/>
        </w:tabs>
        <w:numPr>
          <w:ilvl w:val="1"/>
          <w:numId w:val="110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name of the issuing company and address of the registered office of the issuing company, along with telephone number, e-mail address and website address, and if there has been a change in the address of the registered office or name of the issuing company, details thereof.</w:t>
      </w:r>
    </w:p>
    <w:p>
      <w:pPr>
        <w:spacing w:after="0" w:line="18" w:lineRule="exact"/>
        <w:rPr>
          <w:rFonts w:ascii="Times New Roman" w:cs="Times New Roman" w:eastAsia="Times New Roman" w:hAnsi="Times New Roman"/>
          <w:sz w:val="24"/>
          <w:szCs w:val="24"/>
          <w:color w:val="auto"/>
        </w:rPr>
      </w:pPr>
    </w:p>
    <w:p>
      <w:pPr>
        <w:ind w:left="1148" w:hanging="572"/>
        <w:spacing w:after="0" w:line="348" w:lineRule="auto"/>
        <w:tabs>
          <w:tab w:leader="none" w:pos="1148" w:val="left"/>
        </w:tabs>
        <w:numPr>
          <w:ilvl w:val="1"/>
          <w:numId w:val="110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 address and contact information of the registered office of the issuing company;</w:t>
      </w:r>
    </w:p>
    <w:p>
      <w:pPr>
        <w:spacing w:after="0" w:line="27" w:lineRule="exact"/>
        <w:rPr>
          <w:rFonts w:ascii="Times New Roman" w:cs="Times New Roman" w:eastAsia="Times New Roman" w:hAnsi="Times New Roman"/>
          <w:sz w:val="24"/>
          <w:szCs w:val="24"/>
          <w:color w:val="auto"/>
        </w:rPr>
      </w:pPr>
    </w:p>
    <w:p>
      <w:pPr>
        <w:jc w:val="both"/>
        <w:ind w:left="1148" w:hanging="572"/>
        <w:spacing w:after="0" w:line="356" w:lineRule="auto"/>
        <w:tabs>
          <w:tab w:leader="none" w:pos="1148" w:val="left"/>
        </w:tabs>
        <w:numPr>
          <w:ilvl w:val="1"/>
          <w:numId w:val="110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 address and contact information of the domestic depository, the overseas custodian bank with the address of its office in India, the lead manager(s), the underwriter to the issue, the advisors to the issue and any other intermediary which has been appointed in connection with the issue of IDRs;</w:t>
      </w:r>
    </w:p>
    <w:p>
      <w:pPr>
        <w:spacing w:after="0" w:line="19" w:lineRule="exact"/>
        <w:rPr>
          <w:rFonts w:ascii="Times New Roman" w:cs="Times New Roman" w:eastAsia="Times New Roman" w:hAnsi="Times New Roman"/>
          <w:sz w:val="24"/>
          <w:szCs w:val="24"/>
          <w:color w:val="auto"/>
        </w:rPr>
      </w:pPr>
    </w:p>
    <w:p>
      <w:pPr>
        <w:ind w:left="1148" w:hanging="572"/>
        <w:spacing w:after="0" w:line="348" w:lineRule="auto"/>
        <w:tabs>
          <w:tab w:leader="none" w:pos="1148" w:val="left"/>
        </w:tabs>
        <w:numPr>
          <w:ilvl w:val="1"/>
          <w:numId w:val="110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 address and contact information of the compliance officer in relation to the issue of IDRs. The compliance officer should be based in India</w:t>
      </w:r>
    </w:p>
    <w:p>
      <w:pPr>
        <w:spacing w:after="0" w:line="27" w:lineRule="exact"/>
        <w:rPr>
          <w:rFonts w:ascii="Times New Roman" w:cs="Times New Roman" w:eastAsia="Times New Roman" w:hAnsi="Times New Roman"/>
          <w:sz w:val="24"/>
          <w:szCs w:val="24"/>
          <w:color w:val="auto"/>
        </w:rPr>
      </w:pPr>
    </w:p>
    <w:p>
      <w:pPr>
        <w:ind w:left="1148" w:hanging="572"/>
        <w:spacing w:after="0" w:line="348" w:lineRule="auto"/>
        <w:tabs>
          <w:tab w:leader="none" w:pos="1148" w:val="left"/>
        </w:tabs>
        <w:numPr>
          <w:ilvl w:val="1"/>
          <w:numId w:val="110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 address and contact information of the stock exchanges where applications have been made or are proposed to be made for listing of the IDRs;</w:t>
      </w:r>
    </w:p>
    <w:p>
      <w:pPr>
        <w:spacing w:after="0" w:line="15"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10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Date of opening of issue;</w:t>
      </w:r>
    </w:p>
    <w:p>
      <w:pPr>
        <w:spacing w:after="0" w:line="136"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10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Date of closing of issue;</w:t>
      </w:r>
    </w:p>
    <w:p>
      <w:pPr>
        <w:spacing w:after="0" w:line="139"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10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Method and expected timetable of the issue;</w:t>
      </w:r>
    </w:p>
    <w:p>
      <w:pPr>
        <w:spacing w:after="0" w:line="137"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10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Date of earliest closing of the issue;</w:t>
      </w:r>
    </w:p>
    <w:p>
      <w:pPr>
        <w:spacing w:after="0" w:line="139"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10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availability of prospectus and forms, i.e., date, time, place etc.;</w:t>
      </w:r>
    </w:p>
    <w:p>
      <w:pPr>
        <w:spacing w:after="0" w:line="136"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10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Amount and mode of payment seeking issue of IDRs;</w:t>
      </w:r>
    </w:p>
    <w:p>
      <w:pPr>
        <w:spacing w:after="0" w:line="139"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10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Disclosure on Investor Grievances and Redressal System;</w:t>
      </w:r>
    </w:p>
    <w:p>
      <w:pPr>
        <w:spacing w:after="0" w:line="394"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352</w:t>
      </w:r>
    </w:p>
    <w:p>
      <w:pPr>
        <w:sectPr>
          <w:pgSz w:w="11900" w:h="16836" w:orient="portrait"/>
          <w:cols w:equalWidth="0" w:num="1">
            <w:col w:w="9468"/>
          </w:cols>
          <w:pgMar w:left="1152" w:top="1137" w:right="1284" w:bottom="103" w:gutter="0" w:footer="0" w:header="0"/>
        </w:sectPr>
      </w:pPr>
    </w:p>
    <w:bookmarkStart w:id="352" w:name="page353"/>
    <w:bookmarkEnd w:id="352"/>
    <w:p>
      <w:pPr>
        <w:jc w:val="both"/>
        <w:ind w:left="1148" w:right="120" w:hanging="572"/>
        <w:spacing w:after="0" w:line="354" w:lineRule="auto"/>
        <w:tabs>
          <w:tab w:leader="none" w:pos="1148" w:val="left"/>
        </w:tabs>
        <w:numPr>
          <w:ilvl w:val="1"/>
          <w:numId w:val="110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Undertaking that the issuing company shall subject itself to the jurisdiction of the Indian Courts having jurisdiction over the place where the stock exchange is situated regarding grievances of the IDR applicants and IDR holders.</w:t>
      </w:r>
    </w:p>
    <w:p>
      <w:pPr>
        <w:spacing w:after="0" w:line="200" w:lineRule="exact"/>
        <w:rPr>
          <w:rFonts w:ascii="Times New Roman" w:cs="Times New Roman" w:eastAsia="Times New Roman" w:hAnsi="Times New Roman"/>
          <w:sz w:val="24"/>
          <w:szCs w:val="24"/>
          <w:color w:val="auto"/>
        </w:rPr>
      </w:pPr>
    </w:p>
    <w:p>
      <w:pPr>
        <w:spacing w:after="0" w:line="227"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10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Capital Structure of the Issuing Company:</w:t>
      </w:r>
    </w:p>
    <w:p>
      <w:pPr>
        <w:spacing w:after="0" w:line="200" w:lineRule="exact"/>
        <w:rPr>
          <w:sz w:val="20"/>
          <w:szCs w:val="20"/>
          <w:color w:val="auto"/>
        </w:rPr>
      </w:pPr>
    </w:p>
    <w:p>
      <w:pPr>
        <w:spacing w:after="0" w:line="335" w:lineRule="exact"/>
        <w:rPr>
          <w:sz w:val="20"/>
          <w:szCs w:val="20"/>
          <w:color w:val="auto"/>
        </w:rPr>
      </w:pPr>
    </w:p>
    <w:tbl>
      <w:tblPr>
        <w:tblLayout w:type="fixed"/>
        <w:tblInd w:w="658" w:type="dxa"/>
        <w:tblCellMar>
          <w:top w:w="0" w:type="dxa"/>
          <w:left w:w="0" w:type="dxa"/>
          <w:bottom w:w="0" w:type="dxa"/>
          <w:right w:w="0" w:type="dxa"/>
        </w:tblCellMar>
      </w:tblPr>
      <w:tr>
        <w:trPr>
          <w:trHeight w:val="292"/>
        </w:trPr>
        <w:tc>
          <w:tcPr>
            <w:tcW w:w="580" w:type="dxa"/>
            <w:vAlign w:val="bottom"/>
            <w:tcBorders>
              <w:top w:val="single" w:sz="8" w:color="auto"/>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Sr.</w:t>
            </w:r>
          </w:p>
        </w:tc>
        <w:tc>
          <w:tcPr>
            <w:tcW w:w="272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Particulars</w:t>
            </w:r>
          </w:p>
        </w:tc>
        <w:tc>
          <w:tcPr>
            <w:tcW w:w="270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Pre  Issue  number  of</w:t>
            </w:r>
          </w:p>
        </w:tc>
        <w:tc>
          <w:tcPr>
            <w:tcW w:w="294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 Holding of Pre Issue</w:t>
            </w:r>
          </w:p>
        </w:tc>
      </w:tr>
      <w:tr>
        <w:trPr>
          <w:trHeight w:val="415"/>
        </w:trPr>
        <w:tc>
          <w:tcPr>
            <w:tcW w:w="580" w:type="dxa"/>
            <w:vAlign w:val="bottom"/>
            <w:tcBorders>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No.</w:t>
            </w:r>
          </w:p>
        </w:tc>
        <w:tc>
          <w:tcPr>
            <w:tcW w:w="2720" w:type="dxa"/>
            <w:vAlign w:val="bottom"/>
            <w:tcBorders>
              <w:right w:val="single" w:sz="8" w:color="auto"/>
            </w:tcBorders>
          </w:tcPr>
          <w:p>
            <w:pPr>
              <w:spacing w:after="0"/>
              <w:rPr>
                <w:sz w:val="24"/>
                <w:szCs w:val="24"/>
                <w:color w:val="auto"/>
              </w:rPr>
            </w:pPr>
          </w:p>
        </w:tc>
        <w:tc>
          <w:tcPr>
            <w:tcW w:w="27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shares</w:t>
            </w:r>
          </w:p>
        </w:tc>
        <w:tc>
          <w:tcPr>
            <w:tcW w:w="2940" w:type="dxa"/>
            <w:vAlign w:val="bottom"/>
            <w:tcBorders>
              <w:right w:val="single" w:sz="8" w:color="auto"/>
            </w:tcBorders>
          </w:tcPr>
          <w:p>
            <w:pPr>
              <w:spacing w:after="0"/>
              <w:rPr>
                <w:sz w:val="24"/>
                <w:szCs w:val="24"/>
                <w:color w:val="auto"/>
              </w:rPr>
            </w:pPr>
          </w:p>
        </w:tc>
      </w:tr>
      <w:tr>
        <w:trPr>
          <w:trHeight w:val="140"/>
        </w:trPr>
        <w:tc>
          <w:tcPr>
            <w:tcW w:w="580" w:type="dxa"/>
            <w:vAlign w:val="bottom"/>
            <w:tcBorders>
              <w:left w:val="single" w:sz="8" w:color="auto"/>
              <w:bottom w:val="single" w:sz="8" w:color="auto"/>
              <w:right w:val="single" w:sz="8" w:color="auto"/>
            </w:tcBorders>
          </w:tcPr>
          <w:p>
            <w:pPr>
              <w:spacing w:after="0"/>
              <w:rPr>
                <w:sz w:val="12"/>
                <w:szCs w:val="12"/>
                <w:color w:val="auto"/>
              </w:rPr>
            </w:pPr>
          </w:p>
        </w:tc>
        <w:tc>
          <w:tcPr>
            <w:tcW w:w="2720" w:type="dxa"/>
            <w:vAlign w:val="bottom"/>
            <w:tcBorders>
              <w:bottom w:val="single" w:sz="8" w:color="auto"/>
              <w:right w:val="single" w:sz="8" w:color="auto"/>
            </w:tcBorders>
          </w:tcPr>
          <w:p>
            <w:pPr>
              <w:spacing w:after="0"/>
              <w:rPr>
                <w:sz w:val="12"/>
                <w:szCs w:val="12"/>
                <w:color w:val="auto"/>
              </w:rPr>
            </w:pPr>
          </w:p>
        </w:tc>
        <w:tc>
          <w:tcPr>
            <w:tcW w:w="2700" w:type="dxa"/>
            <w:vAlign w:val="bottom"/>
            <w:tcBorders>
              <w:bottom w:val="single" w:sz="8" w:color="auto"/>
              <w:right w:val="single" w:sz="8" w:color="auto"/>
            </w:tcBorders>
          </w:tcPr>
          <w:p>
            <w:pPr>
              <w:spacing w:after="0"/>
              <w:rPr>
                <w:sz w:val="12"/>
                <w:szCs w:val="12"/>
                <w:color w:val="auto"/>
              </w:rPr>
            </w:pPr>
          </w:p>
        </w:tc>
        <w:tc>
          <w:tcPr>
            <w:tcW w:w="2940" w:type="dxa"/>
            <w:vAlign w:val="bottom"/>
            <w:tcBorders>
              <w:bottom w:val="single" w:sz="8" w:color="auto"/>
              <w:right w:val="single" w:sz="8" w:color="auto"/>
            </w:tcBorders>
          </w:tcPr>
          <w:p>
            <w:pPr>
              <w:spacing w:after="0"/>
              <w:rPr>
                <w:sz w:val="12"/>
                <w:szCs w:val="12"/>
                <w:color w:val="auto"/>
              </w:rPr>
            </w:pPr>
          </w:p>
        </w:tc>
      </w:tr>
      <w:tr>
        <w:trPr>
          <w:trHeight w:val="271"/>
        </w:trPr>
        <w:tc>
          <w:tcPr>
            <w:tcW w:w="580" w:type="dxa"/>
            <w:vAlign w:val="bottom"/>
            <w:tcBorders>
              <w:left w:val="single" w:sz="8" w:color="auto"/>
              <w:right w:val="single" w:sz="8" w:color="auto"/>
            </w:tcBorders>
          </w:tcPr>
          <w:p>
            <w:pPr>
              <w:ind w:left="100"/>
              <w:spacing w:after="0" w:line="271" w:lineRule="exact"/>
              <w:rPr>
                <w:sz w:val="20"/>
                <w:szCs w:val="20"/>
                <w:color w:val="auto"/>
              </w:rPr>
            </w:pPr>
            <w:r>
              <w:rPr>
                <w:rFonts w:ascii="Times New Roman" w:cs="Times New Roman" w:eastAsia="Times New Roman" w:hAnsi="Times New Roman"/>
                <w:sz w:val="24"/>
                <w:szCs w:val="24"/>
                <w:color w:val="auto"/>
              </w:rPr>
              <w:t>1.</w:t>
            </w:r>
          </w:p>
        </w:tc>
        <w:tc>
          <w:tcPr>
            <w:tcW w:w="2720" w:type="dxa"/>
            <w:vAlign w:val="bottom"/>
            <w:tcBorders>
              <w:right w:val="single" w:sz="8" w:color="auto"/>
            </w:tcBorders>
          </w:tcPr>
          <w:p>
            <w:pPr>
              <w:ind w:left="100"/>
              <w:spacing w:after="0" w:line="271" w:lineRule="exact"/>
              <w:rPr>
                <w:sz w:val="20"/>
                <w:szCs w:val="20"/>
                <w:color w:val="auto"/>
              </w:rPr>
            </w:pPr>
            <w:r>
              <w:rPr>
                <w:rFonts w:ascii="Times New Roman" w:cs="Times New Roman" w:eastAsia="Times New Roman" w:hAnsi="Times New Roman"/>
                <w:sz w:val="24"/>
                <w:szCs w:val="24"/>
                <w:color w:val="auto"/>
              </w:rPr>
              <w:t>Promoter &amp; Promoter</w:t>
            </w:r>
          </w:p>
        </w:tc>
        <w:tc>
          <w:tcPr>
            <w:tcW w:w="2700" w:type="dxa"/>
            <w:vAlign w:val="bottom"/>
            <w:tcBorders>
              <w:right w:val="single" w:sz="8" w:color="auto"/>
            </w:tcBorders>
          </w:tcPr>
          <w:p>
            <w:pPr>
              <w:spacing w:after="0"/>
              <w:rPr>
                <w:sz w:val="23"/>
                <w:szCs w:val="23"/>
                <w:color w:val="auto"/>
              </w:rPr>
            </w:pPr>
          </w:p>
        </w:tc>
        <w:tc>
          <w:tcPr>
            <w:tcW w:w="2940" w:type="dxa"/>
            <w:vAlign w:val="bottom"/>
            <w:tcBorders>
              <w:right w:val="single" w:sz="8" w:color="auto"/>
            </w:tcBorders>
          </w:tcPr>
          <w:p>
            <w:pPr>
              <w:spacing w:after="0"/>
              <w:rPr>
                <w:sz w:val="23"/>
                <w:szCs w:val="23"/>
                <w:color w:val="auto"/>
              </w:rPr>
            </w:pPr>
          </w:p>
        </w:tc>
      </w:tr>
      <w:tr>
        <w:trPr>
          <w:trHeight w:val="413"/>
        </w:trPr>
        <w:tc>
          <w:tcPr>
            <w:tcW w:w="580" w:type="dxa"/>
            <w:vAlign w:val="bottom"/>
            <w:tcBorders>
              <w:left w:val="single" w:sz="8" w:color="auto"/>
              <w:right w:val="single" w:sz="8" w:color="auto"/>
            </w:tcBorders>
          </w:tcPr>
          <w:p>
            <w:pPr>
              <w:spacing w:after="0"/>
              <w:rPr>
                <w:sz w:val="24"/>
                <w:szCs w:val="24"/>
                <w:color w:val="auto"/>
              </w:rPr>
            </w:pPr>
          </w:p>
        </w:tc>
        <w:tc>
          <w:tcPr>
            <w:tcW w:w="272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Group</w:t>
            </w:r>
          </w:p>
        </w:tc>
        <w:tc>
          <w:tcPr>
            <w:tcW w:w="2700" w:type="dxa"/>
            <w:vAlign w:val="bottom"/>
            <w:tcBorders>
              <w:right w:val="single" w:sz="8" w:color="auto"/>
            </w:tcBorders>
          </w:tcPr>
          <w:p>
            <w:pPr>
              <w:spacing w:after="0"/>
              <w:rPr>
                <w:sz w:val="24"/>
                <w:szCs w:val="24"/>
                <w:color w:val="auto"/>
              </w:rPr>
            </w:pPr>
          </w:p>
        </w:tc>
        <w:tc>
          <w:tcPr>
            <w:tcW w:w="2940" w:type="dxa"/>
            <w:vAlign w:val="bottom"/>
            <w:tcBorders>
              <w:right w:val="single" w:sz="8" w:color="auto"/>
            </w:tcBorders>
          </w:tcPr>
          <w:p>
            <w:pPr>
              <w:spacing w:after="0"/>
              <w:rPr>
                <w:sz w:val="24"/>
                <w:szCs w:val="24"/>
                <w:color w:val="auto"/>
              </w:rPr>
            </w:pPr>
          </w:p>
        </w:tc>
      </w:tr>
      <w:tr>
        <w:trPr>
          <w:trHeight w:val="147"/>
        </w:trPr>
        <w:tc>
          <w:tcPr>
            <w:tcW w:w="580" w:type="dxa"/>
            <w:vAlign w:val="bottom"/>
            <w:tcBorders>
              <w:left w:val="single" w:sz="8" w:color="auto"/>
              <w:bottom w:val="single" w:sz="8" w:color="auto"/>
              <w:right w:val="single" w:sz="8" w:color="auto"/>
            </w:tcBorders>
          </w:tcPr>
          <w:p>
            <w:pPr>
              <w:spacing w:after="0"/>
              <w:rPr>
                <w:sz w:val="12"/>
                <w:szCs w:val="12"/>
                <w:color w:val="auto"/>
              </w:rPr>
            </w:pPr>
          </w:p>
        </w:tc>
        <w:tc>
          <w:tcPr>
            <w:tcW w:w="2720" w:type="dxa"/>
            <w:vAlign w:val="bottom"/>
            <w:tcBorders>
              <w:bottom w:val="single" w:sz="8" w:color="auto"/>
              <w:right w:val="single" w:sz="8" w:color="auto"/>
            </w:tcBorders>
          </w:tcPr>
          <w:p>
            <w:pPr>
              <w:spacing w:after="0"/>
              <w:rPr>
                <w:sz w:val="12"/>
                <w:szCs w:val="12"/>
                <w:color w:val="auto"/>
              </w:rPr>
            </w:pPr>
          </w:p>
        </w:tc>
        <w:tc>
          <w:tcPr>
            <w:tcW w:w="2700" w:type="dxa"/>
            <w:vAlign w:val="bottom"/>
            <w:tcBorders>
              <w:bottom w:val="single" w:sz="8" w:color="auto"/>
              <w:right w:val="single" w:sz="8" w:color="auto"/>
            </w:tcBorders>
          </w:tcPr>
          <w:p>
            <w:pPr>
              <w:spacing w:after="0"/>
              <w:rPr>
                <w:sz w:val="12"/>
                <w:szCs w:val="12"/>
                <w:color w:val="auto"/>
              </w:rPr>
            </w:pPr>
          </w:p>
        </w:tc>
        <w:tc>
          <w:tcPr>
            <w:tcW w:w="2940" w:type="dxa"/>
            <w:vAlign w:val="bottom"/>
            <w:tcBorders>
              <w:bottom w:val="single" w:sz="8" w:color="auto"/>
              <w:right w:val="single" w:sz="8" w:color="auto"/>
            </w:tcBorders>
          </w:tcPr>
          <w:p>
            <w:pPr>
              <w:spacing w:after="0"/>
              <w:rPr>
                <w:sz w:val="12"/>
                <w:szCs w:val="12"/>
                <w:color w:val="auto"/>
              </w:rPr>
            </w:pPr>
          </w:p>
        </w:tc>
      </w:tr>
      <w:tr>
        <w:trPr>
          <w:trHeight w:val="268"/>
        </w:trPr>
        <w:tc>
          <w:tcPr>
            <w:tcW w:w="580" w:type="dxa"/>
            <w:vAlign w:val="bottom"/>
            <w:tcBorders>
              <w:left w:val="single" w:sz="8" w:color="auto"/>
              <w:right w:val="single" w:sz="8" w:color="auto"/>
            </w:tcBorders>
          </w:tcPr>
          <w:p>
            <w:pPr>
              <w:ind w:left="100"/>
              <w:spacing w:after="0" w:line="267" w:lineRule="exact"/>
              <w:rPr>
                <w:sz w:val="20"/>
                <w:szCs w:val="20"/>
                <w:color w:val="auto"/>
              </w:rPr>
            </w:pPr>
            <w:r>
              <w:rPr>
                <w:rFonts w:ascii="Times New Roman" w:cs="Times New Roman" w:eastAsia="Times New Roman" w:hAnsi="Times New Roman"/>
                <w:sz w:val="24"/>
                <w:szCs w:val="24"/>
                <w:color w:val="auto"/>
              </w:rPr>
              <w:t>2.</w:t>
            </w:r>
          </w:p>
        </w:tc>
        <w:tc>
          <w:tcPr>
            <w:tcW w:w="2720" w:type="dxa"/>
            <w:vAlign w:val="bottom"/>
            <w:tcBorders>
              <w:right w:val="single" w:sz="8" w:color="auto"/>
            </w:tcBorders>
          </w:tcPr>
          <w:p>
            <w:pPr>
              <w:ind w:left="100"/>
              <w:spacing w:after="0" w:line="267" w:lineRule="exact"/>
              <w:rPr>
                <w:sz w:val="20"/>
                <w:szCs w:val="20"/>
                <w:color w:val="auto"/>
              </w:rPr>
            </w:pPr>
            <w:r>
              <w:rPr>
                <w:rFonts w:ascii="Times New Roman" w:cs="Times New Roman" w:eastAsia="Times New Roman" w:hAnsi="Times New Roman"/>
                <w:sz w:val="24"/>
                <w:szCs w:val="24"/>
                <w:color w:val="auto"/>
              </w:rPr>
              <w:t>Public</w:t>
            </w:r>
          </w:p>
        </w:tc>
        <w:tc>
          <w:tcPr>
            <w:tcW w:w="2700" w:type="dxa"/>
            <w:vAlign w:val="bottom"/>
            <w:tcBorders>
              <w:right w:val="single" w:sz="8" w:color="auto"/>
            </w:tcBorders>
          </w:tcPr>
          <w:p>
            <w:pPr>
              <w:spacing w:after="0"/>
              <w:rPr>
                <w:sz w:val="23"/>
                <w:szCs w:val="23"/>
                <w:color w:val="auto"/>
              </w:rPr>
            </w:pPr>
          </w:p>
        </w:tc>
        <w:tc>
          <w:tcPr>
            <w:tcW w:w="2940" w:type="dxa"/>
            <w:vAlign w:val="bottom"/>
            <w:tcBorders>
              <w:right w:val="single" w:sz="8" w:color="auto"/>
            </w:tcBorders>
          </w:tcPr>
          <w:p>
            <w:pPr>
              <w:spacing w:after="0"/>
              <w:rPr>
                <w:sz w:val="23"/>
                <w:szCs w:val="23"/>
                <w:color w:val="auto"/>
              </w:rPr>
            </w:pPr>
          </w:p>
        </w:tc>
      </w:tr>
      <w:tr>
        <w:trPr>
          <w:trHeight w:val="144"/>
        </w:trPr>
        <w:tc>
          <w:tcPr>
            <w:tcW w:w="580" w:type="dxa"/>
            <w:vAlign w:val="bottom"/>
            <w:tcBorders>
              <w:left w:val="single" w:sz="8" w:color="auto"/>
              <w:bottom w:val="single" w:sz="8" w:color="auto"/>
              <w:right w:val="single" w:sz="8" w:color="auto"/>
            </w:tcBorders>
          </w:tcPr>
          <w:p>
            <w:pPr>
              <w:spacing w:after="0"/>
              <w:rPr>
                <w:sz w:val="12"/>
                <w:szCs w:val="12"/>
                <w:color w:val="auto"/>
              </w:rPr>
            </w:pPr>
          </w:p>
        </w:tc>
        <w:tc>
          <w:tcPr>
            <w:tcW w:w="2720" w:type="dxa"/>
            <w:vAlign w:val="bottom"/>
            <w:tcBorders>
              <w:bottom w:val="single" w:sz="8" w:color="auto"/>
              <w:right w:val="single" w:sz="8" w:color="auto"/>
            </w:tcBorders>
          </w:tcPr>
          <w:p>
            <w:pPr>
              <w:spacing w:after="0"/>
              <w:rPr>
                <w:sz w:val="12"/>
                <w:szCs w:val="12"/>
                <w:color w:val="auto"/>
              </w:rPr>
            </w:pPr>
          </w:p>
        </w:tc>
        <w:tc>
          <w:tcPr>
            <w:tcW w:w="2700" w:type="dxa"/>
            <w:vAlign w:val="bottom"/>
            <w:tcBorders>
              <w:bottom w:val="single" w:sz="8" w:color="auto"/>
              <w:right w:val="single" w:sz="8" w:color="auto"/>
            </w:tcBorders>
          </w:tcPr>
          <w:p>
            <w:pPr>
              <w:spacing w:after="0"/>
              <w:rPr>
                <w:sz w:val="12"/>
                <w:szCs w:val="12"/>
                <w:color w:val="auto"/>
              </w:rPr>
            </w:pPr>
          </w:p>
        </w:tc>
        <w:tc>
          <w:tcPr>
            <w:tcW w:w="2940" w:type="dxa"/>
            <w:vAlign w:val="bottom"/>
            <w:tcBorders>
              <w:bottom w:val="single" w:sz="8" w:color="auto"/>
              <w:right w:val="single" w:sz="8" w:color="auto"/>
            </w:tcBorders>
          </w:tcPr>
          <w:p>
            <w:pPr>
              <w:spacing w:after="0"/>
              <w:rPr>
                <w:sz w:val="12"/>
                <w:szCs w:val="12"/>
                <w:color w:val="auto"/>
              </w:rPr>
            </w:pPr>
          </w:p>
        </w:tc>
      </w:tr>
      <w:tr>
        <w:trPr>
          <w:trHeight w:val="270"/>
        </w:trPr>
        <w:tc>
          <w:tcPr>
            <w:tcW w:w="580" w:type="dxa"/>
            <w:vAlign w:val="bottom"/>
            <w:tcBorders>
              <w:left w:val="single" w:sz="8" w:color="auto"/>
              <w:right w:val="single" w:sz="8" w:color="auto"/>
            </w:tcBorders>
          </w:tcPr>
          <w:p>
            <w:pPr>
              <w:spacing w:after="0"/>
              <w:rPr>
                <w:sz w:val="23"/>
                <w:szCs w:val="23"/>
                <w:color w:val="auto"/>
              </w:rPr>
            </w:pPr>
          </w:p>
        </w:tc>
        <w:tc>
          <w:tcPr>
            <w:tcW w:w="2720" w:type="dxa"/>
            <w:vAlign w:val="bottom"/>
            <w:tcBorders>
              <w:right w:val="single" w:sz="8" w:color="auto"/>
            </w:tcBorders>
          </w:tcPr>
          <w:p>
            <w:pPr>
              <w:ind w:left="100"/>
              <w:spacing w:after="0" w:line="270" w:lineRule="exact"/>
              <w:rPr>
                <w:sz w:val="20"/>
                <w:szCs w:val="20"/>
                <w:color w:val="auto"/>
              </w:rPr>
            </w:pPr>
            <w:r>
              <w:rPr>
                <w:rFonts w:ascii="Times New Roman" w:cs="Times New Roman" w:eastAsia="Times New Roman" w:hAnsi="Times New Roman"/>
                <w:sz w:val="24"/>
                <w:szCs w:val="24"/>
                <w:color w:val="auto"/>
              </w:rPr>
              <w:t>Total</w:t>
            </w:r>
          </w:p>
        </w:tc>
        <w:tc>
          <w:tcPr>
            <w:tcW w:w="2700" w:type="dxa"/>
            <w:vAlign w:val="bottom"/>
            <w:tcBorders>
              <w:right w:val="single" w:sz="8" w:color="auto"/>
            </w:tcBorders>
          </w:tcPr>
          <w:p>
            <w:pPr>
              <w:spacing w:after="0"/>
              <w:rPr>
                <w:sz w:val="23"/>
                <w:szCs w:val="23"/>
                <w:color w:val="auto"/>
              </w:rPr>
            </w:pPr>
          </w:p>
        </w:tc>
        <w:tc>
          <w:tcPr>
            <w:tcW w:w="2940" w:type="dxa"/>
            <w:vAlign w:val="bottom"/>
            <w:tcBorders>
              <w:right w:val="single" w:sz="8" w:color="auto"/>
            </w:tcBorders>
          </w:tcPr>
          <w:p>
            <w:pPr>
              <w:spacing w:after="0"/>
              <w:rPr>
                <w:sz w:val="23"/>
                <w:szCs w:val="23"/>
                <w:color w:val="auto"/>
              </w:rPr>
            </w:pPr>
          </w:p>
        </w:tc>
      </w:tr>
      <w:tr>
        <w:trPr>
          <w:trHeight w:val="144"/>
        </w:trPr>
        <w:tc>
          <w:tcPr>
            <w:tcW w:w="580" w:type="dxa"/>
            <w:vAlign w:val="bottom"/>
            <w:tcBorders>
              <w:left w:val="single" w:sz="8" w:color="auto"/>
              <w:bottom w:val="single" w:sz="8" w:color="auto"/>
              <w:right w:val="single" w:sz="8" w:color="auto"/>
            </w:tcBorders>
          </w:tcPr>
          <w:p>
            <w:pPr>
              <w:spacing w:after="0"/>
              <w:rPr>
                <w:sz w:val="12"/>
                <w:szCs w:val="12"/>
                <w:color w:val="auto"/>
              </w:rPr>
            </w:pPr>
          </w:p>
        </w:tc>
        <w:tc>
          <w:tcPr>
            <w:tcW w:w="2720" w:type="dxa"/>
            <w:vAlign w:val="bottom"/>
            <w:tcBorders>
              <w:bottom w:val="single" w:sz="8" w:color="auto"/>
              <w:right w:val="single" w:sz="8" w:color="auto"/>
            </w:tcBorders>
          </w:tcPr>
          <w:p>
            <w:pPr>
              <w:spacing w:after="0"/>
              <w:rPr>
                <w:sz w:val="12"/>
                <w:szCs w:val="12"/>
                <w:color w:val="auto"/>
              </w:rPr>
            </w:pPr>
          </w:p>
        </w:tc>
        <w:tc>
          <w:tcPr>
            <w:tcW w:w="2700" w:type="dxa"/>
            <w:vAlign w:val="bottom"/>
            <w:tcBorders>
              <w:bottom w:val="single" w:sz="8" w:color="auto"/>
              <w:right w:val="single" w:sz="8" w:color="auto"/>
            </w:tcBorders>
          </w:tcPr>
          <w:p>
            <w:pPr>
              <w:spacing w:after="0"/>
              <w:rPr>
                <w:sz w:val="12"/>
                <w:szCs w:val="12"/>
                <w:color w:val="auto"/>
              </w:rPr>
            </w:pPr>
          </w:p>
        </w:tc>
        <w:tc>
          <w:tcPr>
            <w:tcW w:w="2940" w:type="dxa"/>
            <w:vAlign w:val="bottom"/>
            <w:tcBorders>
              <w:bottom w:val="single" w:sz="8" w:color="auto"/>
              <w:right w:val="single" w:sz="8" w:color="auto"/>
            </w:tcBorders>
          </w:tcPr>
          <w:p>
            <w:pPr>
              <w:spacing w:after="0"/>
              <w:rPr>
                <w:sz w:val="12"/>
                <w:szCs w:val="12"/>
                <w:color w:val="auto"/>
              </w:rPr>
            </w:pPr>
          </w:p>
        </w:tc>
      </w:tr>
    </w:tbl>
    <w:p>
      <w:pPr>
        <w:ind w:left="628"/>
        <w:spacing w:after="0" w:line="233" w:lineRule="auto"/>
        <w:rPr>
          <w:sz w:val="20"/>
          <w:szCs w:val="20"/>
          <w:color w:val="auto"/>
        </w:rPr>
      </w:pPr>
      <w:r>
        <w:rPr>
          <w:rFonts w:ascii="Times New Roman" w:cs="Times New Roman" w:eastAsia="Times New Roman" w:hAnsi="Times New Roman"/>
          <w:sz w:val="24"/>
          <w:szCs w:val="24"/>
          <w:b w:val="1"/>
          <w:bCs w:val="1"/>
          <w:color w:val="auto"/>
        </w:rPr>
        <w:t xml:space="preserve">Note: </w:t>
      </w:r>
      <w:r>
        <w:rPr>
          <w:rFonts w:ascii="Times New Roman" w:cs="Times New Roman" w:eastAsia="Times New Roman" w:hAnsi="Times New Roman"/>
          <w:sz w:val="24"/>
          <w:szCs w:val="24"/>
          <w:color w:val="auto"/>
        </w:rPr>
        <w:t>Information required for each class of shares</w:t>
      </w:r>
    </w:p>
    <w:p>
      <w:pPr>
        <w:spacing w:after="0" w:line="200" w:lineRule="exact"/>
        <w:rPr>
          <w:sz w:val="20"/>
          <w:szCs w:val="20"/>
          <w:color w:val="auto"/>
        </w:rPr>
      </w:pPr>
    </w:p>
    <w:p>
      <w:pPr>
        <w:spacing w:after="0" w:line="357" w:lineRule="exact"/>
        <w:rPr>
          <w:sz w:val="20"/>
          <w:szCs w:val="20"/>
          <w:color w:val="auto"/>
        </w:rPr>
      </w:pPr>
    </w:p>
    <w:p>
      <w:pPr>
        <w:ind w:left="568" w:hanging="568"/>
        <w:spacing w:after="0"/>
        <w:tabs>
          <w:tab w:leader="none" w:pos="568" w:val="left"/>
        </w:tabs>
        <w:numPr>
          <w:ilvl w:val="0"/>
          <w:numId w:val="110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Terms of the Present Issue:</w:t>
      </w:r>
    </w:p>
    <w:p>
      <w:pPr>
        <w:spacing w:after="0" w:line="133" w:lineRule="exact"/>
        <w:rPr>
          <w:rFonts w:ascii="Times New Roman" w:cs="Times New Roman" w:eastAsia="Times New Roman" w:hAnsi="Times New Roman"/>
          <w:sz w:val="24"/>
          <w:szCs w:val="24"/>
          <w:color w:val="auto"/>
        </w:rPr>
      </w:pPr>
    </w:p>
    <w:p>
      <w:pPr>
        <w:ind w:left="728" w:hanging="152"/>
        <w:spacing w:after="0"/>
        <w:tabs>
          <w:tab w:leader="none" w:pos="728" w:val="left"/>
        </w:tabs>
        <w:numPr>
          <w:ilvl w:val="1"/>
          <w:numId w:val="1106"/>
        </w:numPr>
        <w:rPr>
          <w:rFonts w:ascii="Symbol" w:cs="Symbol" w:eastAsia="Symbol" w:hAnsi="Symbol"/>
          <w:sz w:val="24"/>
          <w:szCs w:val="24"/>
          <w:color w:val="auto"/>
        </w:rPr>
      </w:pPr>
      <w:r>
        <w:rPr>
          <w:rFonts w:ascii="Times New Roman" w:cs="Times New Roman" w:eastAsia="Times New Roman" w:hAnsi="Times New Roman"/>
          <w:sz w:val="24"/>
          <w:szCs w:val="24"/>
          <w:color w:val="auto"/>
        </w:rPr>
        <w:t>Issue details, including issue size</w:t>
      </w:r>
    </w:p>
    <w:p>
      <w:pPr>
        <w:spacing w:after="0" w:line="138" w:lineRule="exact"/>
        <w:rPr>
          <w:rFonts w:ascii="Symbol" w:cs="Symbol" w:eastAsia="Symbol" w:hAnsi="Symbol"/>
          <w:sz w:val="24"/>
          <w:szCs w:val="24"/>
          <w:color w:val="auto"/>
        </w:rPr>
      </w:pPr>
    </w:p>
    <w:p>
      <w:pPr>
        <w:ind w:left="728" w:hanging="152"/>
        <w:spacing w:after="0"/>
        <w:tabs>
          <w:tab w:leader="none" w:pos="728" w:val="left"/>
        </w:tabs>
        <w:numPr>
          <w:ilvl w:val="1"/>
          <w:numId w:val="1106"/>
        </w:numPr>
        <w:rPr>
          <w:rFonts w:ascii="Symbol" w:cs="Symbol" w:eastAsia="Symbol" w:hAnsi="Symbol"/>
          <w:sz w:val="24"/>
          <w:szCs w:val="24"/>
          <w:color w:val="auto"/>
        </w:rPr>
      </w:pPr>
      <w:r>
        <w:rPr>
          <w:rFonts w:ascii="Times New Roman" w:cs="Times New Roman" w:eastAsia="Times New Roman" w:hAnsi="Times New Roman"/>
          <w:sz w:val="24"/>
          <w:szCs w:val="24"/>
          <w:color w:val="auto"/>
        </w:rPr>
        <w:t>Names of stock exchanges where IDRs are proposed to be listed</w:t>
      </w:r>
    </w:p>
    <w:p>
      <w:pPr>
        <w:spacing w:after="0" w:line="135" w:lineRule="exact"/>
        <w:rPr>
          <w:rFonts w:ascii="Symbol" w:cs="Symbol" w:eastAsia="Symbol" w:hAnsi="Symbol"/>
          <w:sz w:val="24"/>
          <w:szCs w:val="24"/>
          <w:color w:val="auto"/>
        </w:rPr>
      </w:pPr>
    </w:p>
    <w:p>
      <w:pPr>
        <w:ind w:left="728" w:hanging="152"/>
        <w:spacing w:after="0"/>
        <w:tabs>
          <w:tab w:leader="none" w:pos="728" w:val="left"/>
        </w:tabs>
        <w:numPr>
          <w:ilvl w:val="1"/>
          <w:numId w:val="1106"/>
        </w:numPr>
        <w:rPr>
          <w:rFonts w:ascii="Symbol" w:cs="Symbol" w:eastAsia="Symbol" w:hAnsi="Symbol"/>
          <w:sz w:val="24"/>
          <w:szCs w:val="24"/>
          <w:color w:val="auto"/>
        </w:rPr>
      </w:pPr>
      <w:r>
        <w:rPr>
          <w:rFonts w:ascii="Times New Roman" w:cs="Times New Roman" w:eastAsia="Times New Roman" w:hAnsi="Times New Roman"/>
          <w:sz w:val="24"/>
          <w:szCs w:val="24"/>
          <w:color w:val="auto"/>
        </w:rPr>
        <w:t>Designated stock exchange</w:t>
      </w:r>
    </w:p>
    <w:p>
      <w:pPr>
        <w:spacing w:after="0" w:line="137" w:lineRule="exact"/>
        <w:rPr>
          <w:rFonts w:ascii="Symbol" w:cs="Symbol" w:eastAsia="Symbol" w:hAnsi="Symbol"/>
          <w:sz w:val="24"/>
          <w:szCs w:val="24"/>
          <w:color w:val="auto"/>
        </w:rPr>
      </w:pPr>
    </w:p>
    <w:p>
      <w:pPr>
        <w:ind w:left="728" w:hanging="152"/>
        <w:spacing w:after="0"/>
        <w:tabs>
          <w:tab w:leader="none" w:pos="728" w:val="left"/>
        </w:tabs>
        <w:numPr>
          <w:ilvl w:val="1"/>
          <w:numId w:val="1106"/>
        </w:numPr>
        <w:rPr>
          <w:rFonts w:ascii="Symbol" w:cs="Symbol" w:eastAsia="Symbol" w:hAnsi="Symbol"/>
          <w:sz w:val="24"/>
          <w:szCs w:val="24"/>
          <w:color w:val="auto"/>
        </w:rPr>
      </w:pPr>
      <w:r>
        <w:rPr>
          <w:rFonts w:ascii="Times New Roman" w:cs="Times New Roman" w:eastAsia="Times New Roman" w:hAnsi="Times New Roman"/>
          <w:sz w:val="24"/>
          <w:szCs w:val="24"/>
          <w:color w:val="auto"/>
        </w:rPr>
        <w:t>Procedure</w:t>
      </w:r>
    </w:p>
    <w:p>
      <w:pPr>
        <w:spacing w:after="0" w:line="137" w:lineRule="exact"/>
        <w:rPr>
          <w:rFonts w:ascii="Symbol" w:cs="Symbol" w:eastAsia="Symbol" w:hAnsi="Symbol"/>
          <w:sz w:val="24"/>
          <w:szCs w:val="24"/>
          <w:color w:val="auto"/>
        </w:rPr>
      </w:pPr>
    </w:p>
    <w:p>
      <w:pPr>
        <w:ind w:left="728" w:hanging="152"/>
        <w:spacing w:after="0"/>
        <w:tabs>
          <w:tab w:leader="none" w:pos="728" w:val="left"/>
        </w:tabs>
        <w:numPr>
          <w:ilvl w:val="1"/>
          <w:numId w:val="1106"/>
        </w:numPr>
        <w:rPr>
          <w:rFonts w:ascii="Symbol" w:cs="Symbol" w:eastAsia="Symbol" w:hAnsi="Symbol"/>
          <w:sz w:val="24"/>
          <w:szCs w:val="24"/>
          <w:color w:val="auto"/>
        </w:rPr>
      </w:pPr>
      <w:r>
        <w:rPr>
          <w:rFonts w:ascii="Times New Roman" w:cs="Times New Roman" w:eastAsia="Times New Roman" w:hAnsi="Times New Roman"/>
          <w:sz w:val="24"/>
          <w:szCs w:val="24"/>
          <w:color w:val="auto"/>
        </w:rPr>
        <w:t>Indicative timeline</w:t>
      </w:r>
    </w:p>
    <w:p>
      <w:pPr>
        <w:spacing w:after="0" w:line="200" w:lineRule="exact"/>
        <w:rPr>
          <w:rFonts w:ascii="Symbol" w:cs="Symbol" w:eastAsia="Symbol" w:hAnsi="Symbol"/>
          <w:sz w:val="24"/>
          <w:szCs w:val="24"/>
          <w:color w:val="auto"/>
        </w:rPr>
      </w:pPr>
    </w:p>
    <w:p>
      <w:pPr>
        <w:spacing w:after="0" w:line="356" w:lineRule="exact"/>
        <w:rPr>
          <w:rFonts w:ascii="Symbol" w:cs="Symbol" w:eastAsia="Symbol" w:hAnsi="Symbol"/>
          <w:sz w:val="24"/>
          <w:szCs w:val="24"/>
          <w:color w:val="auto"/>
        </w:rPr>
      </w:pPr>
    </w:p>
    <w:p>
      <w:pPr>
        <w:ind w:left="568" w:hanging="568"/>
        <w:spacing w:after="0"/>
        <w:tabs>
          <w:tab w:leader="none" w:pos="568" w:val="left"/>
        </w:tabs>
        <w:numPr>
          <w:ilvl w:val="0"/>
          <w:numId w:val="110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Instructions for Applicants:</w:t>
      </w:r>
    </w:p>
    <w:p>
      <w:pPr>
        <w:spacing w:after="0" w:line="144" w:lineRule="exact"/>
        <w:rPr>
          <w:sz w:val="20"/>
          <w:szCs w:val="20"/>
          <w:color w:val="auto"/>
        </w:rPr>
      </w:pPr>
    </w:p>
    <w:p>
      <w:pPr>
        <w:ind w:left="1148" w:right="120" w:hanging="572"/>
        <w:spacing w:after="0" w:line="350" w:lineRule="auto"/>
        <w:tabs>
          <w:tab w:leader="none" w:pos="1148" w:val="left"/>
        </w:tabs>
        <w:numPr>
          <w:ilvl w:val="0"/>
          <w:numId w:val="110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How to apply, availability of prospectus, abridged prospectus and application forms, mode of payment and book building procedure, if relevant.</w:t>
      </w:r>
    </w:p>
    <w:p>
      <w:pPr>
        <w:spacing w:after="0" w:line="23" w:lineRule="exact"/>
        <w:rPr>
          <w:rFonts w:ascii="Times New Roman" w:cs="Times New Roman" w:eastAsia="Times New Roman" w:hAnsi="Times New Roman"/>
          <w:sz w:val="24"/>
          <w:szCs w:val="24"/>
          <w:color w:val="auto"/>
        </w:rPr>
      </w:pPr>
    </w:p>
    <w:p>
      <w:pPr>
        <w:ind w:left="1148" w:right="120" w:hanging="572"/>
        <w:spacing w:after="0" w:line="350" w:lineRule="auto"/>
        <w:tabs>
          <w:tab w:leader="none" w:pos="1148" w:val="left"/>
        </w:tabs>
        <w:numPr>
          <w:ilvl w:val="0"/>
          <w:numId w:val="110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the application form, the declaration relating to nationality and residency shall be shown prominently as under:</w:t>
      </w:r>
    </w:p>
    <w:p>
      <w:pPr>
        <w:spacing w:after="0" w:line="10" w:lineRule="exact"/>
        <w:rPr>
          <w:rFonts w:ascii="Times New Roman" w:cs="Times New Roman" w:eastAsia="Times New Roman" w:hAnsi="Times New Roman"/>
          <w:sz w:val="24"/>
          <w:szCs w:val="24"/>
          <w:color w:val="auto"/>
        </w:rPr>
      </w:pPr>
    </w:p>
    <w:p>
      <w:pPr>
        <w:ind w:left="1148"/>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"Nationality and Residency (Tick whichever is applicable)</w:t>
      </w:r>
    </w:p>
    <w:p>
      <w:pPr>
        <w:spacing w:after="0" w:line="151" w:lineRule="exact"/>
        <w:rPr>
          <w:rFonts w:ascii="Times New Roman" w:cs="Times New Roman" w:eastAsia="Times New Roman" w:hAnsi="Times New Roman"/>
          <w:sz w:val="24"/>
          <w:szCs w:val="24"/>
          <w:color w:val="auto"/>
        </w:rPr>
      </w:pPr>
    </w:p>
    <w:p>
      <w:pPr>
        <w:jc w:val="both"/>
        <w:ind w:left="1728" w:right="120" w:hanging="576"/>
        <w:spacing w:after="0" w:line="350" w:lineRule="auto"/>
        <w:tabs>
          <w:tab w:leader="none" w:pos="1728" w:val="left"/>
        </w:tabs>
        <w:numPr>
          <w:ilvl w:val="1"/>
          <w:numId w:val="1107"/>
        </w:numPr>
        <w:rPr>
          <w:rFonts w:ascii="Calibri" w:cs="Calibri" w:eastAsia="Calibri" w:hAnsi="Calibri"/>
          <w:sz w:val="22"/>
          <w:szCs w:val="22"/>
          <w:color w:val="auto"/>
        </w:rPr>
      </w:pPr>
      <w:r>
        <w:rPr>
          <w:rFonts w:ascii="Times New Roman" w:cs="Times New Roman" w:eastAsia="Times New Roman" w:hAnsi="Times New Roman"/>
          <w:sz w:val="24"/>
          <w:szCs w:val="24"/>
          <w:color w:val="auto"/>
        </w:rPr>
        <w:t>I am/We are Indian National(s) resident in India and I am/We are not applying for the said equity shares as nominee(s) of any person resident outside India or Foreign National(s).</w:t>
      </w:r>
    </w:p>
    <w:p>
      <w:pPr>
        <w:spacing w:after="0" w:line="22" w:lineRule="exact"/>
        <w:rPr>
          <w:rFonts w:ascii="Calibri" w:cs="Calibri" w:eastAsia="Calibri" w:hAnsi="Calibri"/>
          <w:sz w:val="22"/>
          <w:szCs w:val="22"/>
          <w:color w:val="auto"/>
        </w:rPr>
      </w:pPr>
    </w:p>
    <w:p>
      <w:pPr>
        <w:jc w:val="both"/>
        <w:ind w:left="1728" w:right="120" w:hanging="576"/>
        <w:spacing w:after="0" w:line="350" w:lineRule="auto"/>
        <w:tabs>
          <w:tab w:leader="none" w:pos="1728" w:val="left"/>
        </w:tabs>
        <w:numPr>
          <w:ilvl w:val="1"/>
          <w:numId w:val="1107"/>
        </w:numPr>
        <w:rPr>
          <w:rFonts w:ascii="Calibri" w:cs="Calibri" w:eastAsia="Calibri" w:hAnsi="Calibri"/>
          <w:sz w:val="22"/>
          <w:szCs w:val="22"/>
          <w:color w:val="auto"/>
        </w:rPr>
      </w:pPr>
      <w:r>
        <w:rPr>
          <w:rFonts w:ascii="Times New Roman" w:cs="Times New Roman" w:eastAsia="Times New Roman" w:hAnsi="Times New Roman"/>
          <w:sz w:val="24"/>
          <w:szCs w:val="24"/>
          <w:color w:val="auto"/>
        </w:rPr>
        <w:t>I am/We are Indian National(s) resident in India and I am/We are applying for the said equity shares as Power of Attorney holder(s) of Non- Resident Indian(s) mentioned below on non-repatriation basis.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jc w:val="center"/>
        <w:ind w:right="112"/>
        <w:spacing w:after="0"/>
        <w:rPr>
          <w:sz w:val="20"/>
          <w:szCs w:val="20"/>
          <w:color w:val="auto"/>
        </w:rPr>
      </w:pPr>
      <w:r>
        <w:rPr>
          <w:rFonts w:ascii="Times New Roman" w:cs="Times New Roman" w:eastAsia="Times New Roman" w:hAnsi="Times New Roman"/>
          <w:sz w:val="24"/>
          <w:szCs w:val="24"/>
          <w:color w:val="auto"/>
        </w:rPr>
        <w:t>353</w:t>
      </w:r>
    </w:p>
    <w:p>
      <w:pPr>
        <w:sectPr>
          <w:pgSz w:w="11900" w:h="16836" w:orient="portrait"/>
          <w:cols w:equalWidth="0" w:num="1">
            <w:col w:w="9588"/>
          </w:cols>
          <w:pgMar w:left="1152" w:top="1156" w:right="1164" w:bottom="103" w:gutter="0" w:footer="0" w:header="0"/>
        </w:sectPr>
      </w:pPr>
    </w:p>
    <w:bookmarkStart w:id="353" w:name="page354"/>
    <w:bookmarkEnd w:id="353"/>
    <w:p>
      <w:pPr>
        <w:ind w:left="1728" w:hanging="576"/>
        <w:spacing w:after="0" w:line="342" w:lineRule="auto"/>
        <w:tabs>
          <w:tab w:leader="none" w:pos="1728" w:val="left"/>
        </w:tabs>
        <w:numPr>
          <w:ilvl w:val="1"/>
          <w:numId w:val="1108"/>
        </w:numPr>
        <w:rPr>
          <w:rFonts w:ascii="Calibri" w:cs="Calibri" w:eastAsia="Calibri" w:hAnsi="Calibri"/>
          <w:sz w:val="22"/>
          <w:szCs w:val="22"/>
          <w:color w:val="auto"/>
        </w:rPr>
      </w:pPr>
      <w:r>
        <w:rPr>
          <w:rFonts w:ascii="Times New Roman" w:cs="Times New Roman" w:eastAsia="Times New Roman" w:hAnsi="Times New Roman"/>
          <w:sz w:val="24"/>
          <w:szCs w:val="24"/>
          <w:color w:val="auto"/>
        </w:rPr>
        <w:t>I am/We are Indian National(s) resident outside India and I am/We are applying for the said equity shares on my/our own behalf on non-repatriation basis."</w:t>
      </w:r>
    </w:p>
    <w:p>
      <w:pPr>
        <w:spacing w:after="0" w:line="31" w:lineRule="exact"/>
        <w:rPr>
          <w:rFonts w:ascii="Calibri" w:cs="Calibri" w:eastAsia="Calibri" w:hAnsi="Calibri"/>
          <w:sz w:val="22"/>
          <w:szCs w:val="22"/>
          <w:color w:val="auto"/>
        </w:rPr>
      </w:pPr>
    </w:p>
    <w:p>
      <w:pPr>
        <w:ind w:left="1148" w:hanging="572"/>
        <w:spacing w:after="0" w:line="348" w:lineRule="auto"/>
        <w:tabs>
          <w:tab w:leader="none" w:pos="1148" w:val="left"/>
        </w:tabs>
        <w:numPr>
          <w:ilvl w:val="0"/>
          <w:numId w:val="110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application form should contain necessary instructions/provisions for the following:</w:t>
      </w:r>
    </w:p>
    <w:p>
      <w:pPr>
        <w:spacing w:after="0" w:line="32" w:lineRule="exact"/>
        <w:rPr>
          <w:rFonts w:ascii="Times New Roman" w:cs="Times New Roman" w:eastAsia="Times New Roman" w:hAnsi="Times New Roman"/>
          <w:sz w:val="24"/>
          <w:szCs w:val="24"/>
          <w:color w:val="auto"/>
        </w:rPr>
      </w:pPr>
    </w:p>
    <w:p>
      <w:pPr>
        <w:jc w:val="both"/>
        <w:ind w:left="1728" w:hanging="576"/>
        <w:spacing w:after="0" w:line="344" w:lineRule="auto"/>
        <w:tabs>
          <w:tab w:leader="none" w:pos="1728" w:val="left"/>
        </w:tabs>
        <w:numPr>
          <w:ilvl w:val="1"/>
          <w:numId w:val="1109"/>
        </w:numPr>
        <w:rPr>
          <w:rFonts w:ascii="Calibri" w:cs="Calibri" w:eastAsia="Calibri" w:hAnsi="Calibri"/>
          <w:sz w:val="24"/>
          <w:szCs w:val="24"/>
          <w:color w:val="auto"/>
        </w:rPr>
      </w:pPr>
      <w:r>
        <w:rPr>
          <w:rFonts w:ascii="Times New Roman" w:cs="Times New Roman" w:eastAsia="Times New Roman" w:hAnsi="Times New Roman"/>
          <w:sz w:val="24"/>
          <w:szCs w:val="24"/>
          <w:color w:val="auto"/>
        </w:rPr>
        <w:t>Instructions to applicants to mention the number of application form on the reverse of the instruments to avoid misuse of instruments submitted along with the applications for shares/debentures in public issues.</w:t>
      </w:r>
    </w:p>
    <w:p>
      <w:pPr>
        <w:spacing w:after="0" w:line="35" w:lineRule="exact"/>
        <w:rPr>
          <w:sz w:val="20"/>
          <w:szCs w:val="20"/>
          <w:color w:val="auto"/>
        </w:rPr>
      </w:pPr>
    </w:p>
    <w:p>
      <w:pPr>
        <w:jc w:val="both"/>
        <w:ind w:left="1728" w:hanging="576"/>
        <w:spacing w:after="0" w:line="349" w:lineRule="auto"/>
        <w:tabs>
          <w:tab w:leader="none" w:pos="1728" w:val="left"/>
        </w:tabs>
        <w:numPr>
          <w:ilvl w:val="2"/>
          <w:numId w:val="1110"/>
        </w:numPr>
        <w:rPr>
          <w:rFonts w:ascii="Calibri" w:cs="Calibri" w:eastAsia="Calibri" w:hAnsi="Calibri"/>
          <w:sz w:val="24"/>
          <w:szCs w:val="24"/>
          <w:color w:val="auto"/>
        </w:rPr>
      </w:pPr>
      <w:r>
        <w:rPr>
          <w:rFonts w:ascii="Times New Roman" w:cs="Times New Roman" w:eastAsia="Times New Roman" w:hAnsi="Times New Roman"/>
          <w:sz w:val="24"/>
          <w:szCs w:val="24"/>
          <w:color w:val="auto"/>
        </w:rPr>
        <w:t>Provision in the application form for inserting particulars relating to bank account number and the name of the bank with whom such account is held, to enable printing of the said details in the refund orders or for refunds through Electronic Clearing System.</w:t>
      </w:r>
    </w:p>
    <w:p>
      <w:pPr>
        <w:spacing w:after="0" w:line="31" w:lineRule="exact"/>
        <w:rPr>
          <w:rFonts w:ascii="Calibri" w:cs="Calibri" w:eastAsia="Calibri" w:hAnsi="Calibri"/>
          <w:sz w:val="24"/>
          <w:szCs w:val="24"/>
          <w:color w:val="auto"/>
        </w:rPr>
      </w:pPr>
    </w:p>
    <w:p>
      <w:pPr>
        <w:jc w:val="both"/>
        <w:ind w:left="1728" w:hanging="576"/>
        <w:spacing w:after="0" w:line="348" w:lineRule="auto"/>
        <w:tabs>
          <w:tab w:leader="none" w:pos="1728" w:val="left"/>
        </w:tabs>
        <w:numPr>
          <w:ilvl w:val="2"/>
          <w:numId w:val="1110"/>
        </w:numPr>
        <w:rPr>
          <w:rFonts w:ascii="Calibri" w:cs="Calibri" w:eastAsia="Calibri" w:hAnsi="Calibri"/>
          <w:sz w:val="24"/>
          <w:szCs w:val="24"/>
          <w:color w:val="auto"/>
        </w:rPr>
      </w:pPr>
      <w:r>
        <w:rPr>
          <w:rFonts w:ascii="Times New Roman" w:cs="Times New Roman" w:eastAsia="Times New Roman" w:hAnsi="Times New Roman"/>
          <w:sz w:val="24"/>
          <w:szCs w:val="24"/>
          <w:color w:val="auto"/>
        </w:rPr>
        <w:t>Instruction to applicants to disclose Permanent Account Number in the application form, irrespective of the amount for which application/bid is made, along with the instruction that applications without Permanent Account Number would be rejected.</w:t>
      </w:r>
    </w:p>
    <w:p>
      <w:pPr>
        <w:spacing w:after="0" w:line="6" w:lineRule="exact"/>
        <w:rPr>
          <w:rFonts w:ascii="Calibri" w:cs="Calibri" w:eastAsia="Calibri" w:hAnsi="Calibri"/>
          <w:sz w:val="24"/>
          <w:szCs w:val="24"/>
          <w:color w:val="auto"/>
        </w:rPr>
      </w:pPr>
    </w:p>
    <w:p>
      <w:pPr>
        <w:ind w:left="1788" w:hanging="636"/>
        <w:spacing w:after="0"/>
        <w:tabs>
          <w:tab w:leader="none" w:pos="1788" w:val="left"/>
        </w:tabs>
        <w:numPr>
          <w:ilvl w:val="2"/>
          <w:numId w:val="1110"/>
        </w:numPr>
        <w:rPr>
          <w:rFonts w:ascii="Calibri" w:cs="Calibri" w:eastAsia="Calibri" w:hAnsi="Calibri"/>
          <w:sz w:val="24"/>
          <w:szCs w:val="24"/>
          <w:color w:val="auto"/>
        </w:rPr>
      </w:pPr>
      <w:r>
        <w:rPr>
          <w:rFonts w:ascii="Times New Roman" w:cs="Times New Roman" w:eastAsia="Times New Roman" w:hAnsi="Times New Roman"/>
          <w:sz w:val="24"/>
          <w:szCs w:val="24"/>
          <w:color w:val="auto"/>
        </w:rPr>
        <w:t>PAN/GIR number.</w:t>
      </w:r>
    </w:p>
    <w:p>
      <w:pPr>
        <w:spacing w:after="0" w:line="154" w:lineRule="exact"/>
        <w:rPr>
          <w:rFonts w:ascii="Calibri" w:cs="Calibri" w:eastAsia="Calibri" w:hAnsi="Calibri"/>
          <w:sz w:val="24"/>
          <w:szCs w:val="24"/>
          <w:color w:val="auto"/>
        </w:rPr>
      </w:pPr>
    </w:p>
    <w:p>
      <w:pPr>
        <w:jc w:val="both"/>
        <w:ind w:left="1728" w:hanging="576"/>
        <w:spacing w:after="0" w:line="344" w:lineRule="auto"/>
        <w:tabs>
          <w:tab w:leader="none" w:pos="1728" w:val="left"/>
        </w:tabs>
        <w:numPr>
          <w:ilvl w:val="2"/>
          <w:numId w:val="1110"/>
        </w:numPr>
        <w:rPr>
          <w:rFonts w:ascii="Calibri" w:cs="Calibri" w:eastAsia="Calibri" w:hAnsi="Calibri"/>
          <w:sz w:val="24"/>
          <w:szCs w:val="24"/>
          <w:color w:val="auto"/>
        </w:rPr>
      </w:pPr>
      <w:r>
        <w:rPr>
          <w:rFonts w:ascii="Times New Roman" w:cs="Times New Roman" w:eastAsia="Times New Roman" w:hAnsi="Times New Roman"/>
          <w:sz w:val="24"/>
          <w:szCs w:val="24"/>
          <w:color w:val="auto"/>
        </w:rPr>
        <w:t>Details of options, if any, to receive securities subscribed for and a statement that trading in securities on the stock exchanges in physical form will be available only subject to limits prescribed by the Board.</w:t>
      </w:r>
    </w:p>
    <w:p>
      <w:pPr>
        <w:spacing w:after="0" w:line="29" w:lineRule="exact"/>
        <w:rPr>
          <w:rFonts w:ascii="Calibri" w:cs="Calibri" w:eastAsia="Calibri" w:hAnsi="Calibri"/>
          <w:sz w:val="24"/>
          <w:szCs w:val="24"/>
          <w:color w:val="auto"/>
        </w:rPr>
      </w:pPr>
    </w:p>
    <w:p>
      <w:pPr>
        <w:jc w:val="both"/>
        <w:ind w:left="1148" w:hanging="572"/>
        <w:spacing w:after="0" w:line="354" w:lineRule="auto"/>
        <w:tabs>
          <w:tab w:leader="none" w:pos="1148" w:val="left"/>
        </w:tabs>
        <w:numPr>
          <w:ilvl w:val="1"/>
          <w:numId w:val="11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special tax benefits for issuing company and its shareholders (Only section numbers of the Income Tax Act and their substance should be mentioned, without reproducing the text of the sections).</w:t>
      </w:r>
    </w:p>
    <w:p>
      <w:pPr>
        <w:spacing w:after="0" w:line="9"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1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Restrictions on investments in IDRs/fungibility of IDRs.</w:t>
      </w:r>
    </w:p>
    <w:p>
      <w:pPr>
        <w:spacing w:after="0" w:line="200" w:lineRule="exact"/>
        <w:rPr>
          <w:rFonts w:ascii="Times New Roman" w:cs="Times New Roman" w:eastAsia="Times New Roman" w:hAnsi="Times New Roman"/>
          <w:sz w:val="24"/>
          <w:szCs w:val="24"/>
          <w:color w:val="auto"/>
        </w:rPr>
      </w:pPr>
    </w:p>
    <w:p>
      <w:pPr>
        <w:spacing w:after="0" w:line="357"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1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Particulars of the Issue:</w:t>
      </w:r>
    </w:p>
    <w:p>
      <w:pPr>
        <w:spacing w:after="0" w:line="132"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1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Objects of the issue</w:t>
      </w:r>
    </w:p>
    <w:p>
      <w:pPr>
        <w:spacing w:after="0" w:line="139"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1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Project cost</w:t>
      </w:r>
    </w:p>
    <w:p>
      <w:pPr>
        <w:spacing w:after="0" w:line="136"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1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Means of financing</w:t>
      </w:r>
    </w:p>
    <w:p>
      <w:pPr>
        <w:spacing w:after="0" w:line="139"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1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 of the Appraising Agency, if any</w:t>
      </w:r>
    </w:p>
    <w:p>
      <w:pPr>
        <w:spacing w:after="0" w:line="136"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1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 of the Monitoring Agency, if any</w:t>
      </w:r>
    </w:p>
    <w:p>
      <w:pPr>
        <w:spacing w:after="0" w:line="200" w:lineRule="exact"/>
        <w:rPr>
          <w:rFonts w:ascii="Times New Roman" w:cs="Times New Roman" w:eastAsia="Times New Roman" w:hAnsi="Times New Roman"/>
          <w:sz w:val="24"/>
          <w:szCs w:val="24"/>
          <w:color w:val="auto"/>
        </w:rPr>
      </w:pPr>
    </w:p>
    <w:p>
      <w:pPr>
        <w:spacing w:after="0" w:line="357"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1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Description of the IDRs and Rights of IDR Holders:</w:t>
      </w:r>
    </w:p>
    <w:p>
      <w:pPr>
        <w:spacing w:after="0" w:line="134"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1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Brief description of the IDRs</w:t>
      </w:r>
    </w:p>
    <w:p>
      <w:pPr>
        <w:spacing w:after="0" w:line="136"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1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Dividends, other distributions and rights of IDR holders</w:t>
      </w:r>
    </w:p>
    <w:p>
      <w:pPr>
        <w:spacing w:after="0" w:line="139"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1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Voting rights and their manner of exercise by IDR holders, if any</w:t>
      </w:r>
    </w:p>
    <w:p>
      <w:pPr>
        <w:spacing w:after="0" w:line="372"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354</w:t>
      </w:r>
    </w:p>
    <w:p>
      <w:pPr>
        <w:sectPr>
          <w:pgSz w:w="11900" w:h="16836" w:orient="portrait"/>
          <w:cols w:equalWidth="0" w:num="1">
            <w:col w:w="9468"/>
          </w:cols>
          <w:pgMar w:left="1152" w:top="1156" w:right="1284" w:bottom="103" w:gutter="0" w:footer="0" w:header="0"/>
        </w:sectPr>
      </w:pPr>
    </w:p>
    <w:bookmarkStart w:id="354" w:name="page355"/>
    <w:bookmarkEnd w:id="354"/>
    <w:p>
      <w:pPr>
        <w:ind w:left="1148" w:hanging="572"/>
        <w:spacing w:after="0"/>
        <w:tabs>
          <w:tab w:leader="none" w:pos="1148" w:val="left"/>
        </w:tabs>
        <w:numPr>
          <w:ilvl w:val="2"/>
          <w:numId w:val="11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Record dates and how the same will be disclosed</w:t>
      </w:r>
    </w:p>
    <w:p>
      <w:pPr>
        <w:spacing w:after="0" w:line="137"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2"/>
          <w:numId w:val="11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Reports and other communication to which the IDR holders will be entitled</w:t>
      </w:r>
    </w:p>
    <w:p>
      <w:pPr>
        <w:spacing w:after="0" w:line="139"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2"/>
          <w:numId w:val="11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Conversion procedure of IDRs into shares</w:t>
      </w:r>
    </w:p>
    <w:p>
      <w:pPr>
        <w:spacing w:after="0" w:line="136"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2"/>
          <w:numId w:val="11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Governing law regarding various aspects of IDRs and transactions therein.</w:t>
      </w:r>
    </w:p>
    <w:p>
      <w:pPr>
        <w:spacing w:after="0" w:line="200" w:lineRule="exact"/>
        <w:rPr>
          <w:rFonts w:ascii="Times New Roman" w:cs="Times New Roman" w:eastAsia="Times New Roman" w:hAnsi="Times New Roman"/>
          <w:sz w:val="24"/>
          <w:szCs w:val="24"/>
          <w:color w:val="auto"/>
        </w:rPr>
      </w:pPr>
    </w:p>
    <w:p>
      <w:pPr>
        <w:spacing w:after="0" w:line="352"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1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Business Model/ Business Overview and Strategy </w:t>
      </w:r>
      <w:r>
        <w:rPr>
          <w:rFonts w:ascii="Times New Roman" w:cs="Times New Roman" w:eastAsia="Times New Roman" w:hAnsi="Times New Roman"/>
          <w:sz w:val="24"/>
          <w:szCs w:val="24"/>
          <w:color w:val="auto"/>
        </w:rPr>
        <w:t>(500 word limit in total)</w:t>
      </w:r>
    </w:p>
    <w:p>
      <w:pPr>
        <w:spacing w:after="0" w:line="200" w:lineRule="exact"/>
        <w:rPr>
          <w:rFonts w:ascii="Times New Roman" w:cs="Times New Roman" w:eastAsia="Times New Roman" w:hAnsi="Times New Roman"/>
          <w:sz w:val="24"/>
          <w:szCs w:val="24"/>
          <w:color w:val="auto"/>
        </w:rPr>
      </w:pPr>
    </w:p>
    <w:p>
      <w:pPr>
        <w:spacing w:after="0" w:line="356"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1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Exchange-wise stock market data:</w:t>
      </w:r>
    </w:p>
    <w:p>
      <w:pPr>
        <w:spacing w:after="0" w:line="147" w:lineRule="exact"/>
        <w:rPr>
          <w:rFonts w:ascii="Times New Roman" w:cs="Times New Roman" w:eastAsia="Times New Roman" w:hAnsi="Times New Roman"/>
          <w:sz w:val="24"/>
          <w:szCs w:val="24"/>
          <w:color w:val="auto"/>
        </w:rPr>
      </w:pPr>
    </w:p>
    <w:p>
      <w:pPr>
        <w:ind w:left="568" w:right="80"/>
        <w:spacing w:after="0" w:line="348"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This information should updated as on the last available date before the date of the prospectus</w:t>
      </w:r>
    </w:p>
    <w:p>
      <w:pPr>
        <w:spacing w:after="0" w:line="27" w:lineRule="exact"/>
        <w:rPr>
          <w:rFonts w:ascii="Times New Roman" w:cs="Times New Roman" w:eastAsia="Times New Roman" w:hAnsi="Times New Roman"/>
          <w:sz w:val="24"/>
          <w:szCs w:val="24"/>
          <w:color w:val="auto"/>
        </w:rPr>
      </w:pPr>
    </w:p>
    <w:p>
      <w:pPr>
        <w:jc w:val="both"/>
        <w:ind w:left="1088" w:right="80" w:hanging="456"/>
        <w:spacing w:after="0" w:line="354" w:lineRule="auto"/>
        <w:tabs>
          <w:tab w:leader="none" w:pos="1088" w:val="left"/>
        </w:tabs>
        <w:numPr>
          <w:ilvl w:val="3"/>
          <w:numId w:val="1114"/>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Market price of shares for each quarter of the last three calendar years preceding the calendar year preceding the year of the issue of the prospectus (High, Low, Average Daily Trading Volume)</w:t>
      </w:r>
    </w:p>
    <w:p>
      <w:pPr>
        <w:spacing w:after="0" w:line="19" w:lineRule="exact"/>
        <w:rPr>
          <w:rFonts w:ascii="Times New Roman" w:cs="Times New Roman" w:eastAsia="Times New Roman" w:hAnsi="Times New Roman"/>
          <w:sz w:val="22"/>
          <w:szCs w:val="22"/>
          <w:color w:val="auto"/>
        </w:rPr>
      </w:pPr>
    </w:p>
    <w:p>
      <w:pPr>
        <w:ind w:left="1088" w:right="80" w:hanging="456"/>
        <w:spacing w:after="0" w:line="350" w:lineRule="auto"/>
        <w:tabs>
          <w:tab w:leader="none" w:pos="1088" w:val="left"/>
        </w:tabs>
        <w:numPr>
          <w:ilvl w:val="3"/>
          <w:numId w:val="1114"/>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Market price of shares for each month of the calendar year preceding the year of the issue of the prospectus (High, Low, Average Daily Trading Volume)</w:t>
      </w:r>
    </w:p>
    <w:p>
      <w:pPr>
        <w:spacing w:after="0" w:line="23" w:lineRule="exact"/>
        <w:rPr>
          <w:rFonts w:ascii="Times New Roman" w:cs="Times New Roman" w:eastAsia="Times New Roman" w:hAnsi="Times New Roman"/>
          <w:sz w:val="22"/>
          <w:szCs w:val="22"/>
          <w:color w:val="auto"/>
        </w:rPr>
      </w:pPr>
    </w:p>
    <w:p>
      <w:pPr>
        <w:ind w:left="1088" w:right="80" w:hanging="456"/>
        <w:spacing w:after="0" w:line="350" w:lineRule="auto"/>
        <w:tabs>
          <w:tab w:leader="none" w:pos="1088" w:val="left"/>
        </w:tabs>
        <w:numPr>
          <w:ilvl w:val="3"/>
          <w:numId w:val="1114"/>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Market price of shares for the month preceding the date of the prospectus (High, Low, Average Daily Trading Volume)</w:t>
      </w:r>
    </w:p>
    <w:p>
      <w:pPr>
        <w:spacing w:after="0" w:line="23" w:lineRule="exact"/>
        <w:rPr>
          <w:rFonts w:ascii="Times New Roman" w:cs="Times New Roman" w:eastAsia="Times New Roman" w:hAnsi="Times New Roman"/>
          <w:sz w:val="22"/>
          <w:szCs w:val="22"/>
          <w:color w:val="auto"/>
        </w:rPr>
      </w:pPr>
    </w:p>
    <w:p>
      <w:pPr>
        <w:ind w:left="1088" w:right="80" w:hanging="456"/>
        <w:spacing w:after="0" w:line="350" w:lineRule="auto"/>
        <w:tabs>
          <w:tab w:leader="none" w:pos="1088" w:val="left"/>
        </w:tabs>
        <w:numPr>
          <w:ilvl w:val="3"/>
          <w:numId w:val="1114"/>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The Opening and Closing price on the last day of the preceding month of the date of the prospectus along with the volume</w:t>
      </w:r>
    </w:p>
    <w:p>
      <w:pPr>
        <w:spacing w:after="0" w:line="200" w:lineRule="exact"/>
        <w:rPr>
          <w:rFonts w:ascii="Times New Roman" w:cs="Times New Roman" w:eastAsia="Times New Roman" w:hAnsi="Times New Roman"/>
          <w:sz w:val="22"/>
          <w:szCs w:val="22"/>
          <w:color w:val="auto"/>
        </w:rPr>
      </w:pPr>
    </w:p>
    <w:p>
      <w:pPr>
        <w:spacing w:after="0" w:line="238" w:lineRule="exact"/>
        <w:rPr>
          <w:rFonts w:ascii="Times New Roman" w:cs="Times New Roman" w:eastAsia="Times New Roman" w:hAnsi="Times New Roman"/>
          <w:sz w:val="22"/>
          <w:szCs w:val="22"/>
          <w:color w:val="auto"/>
        </w:rPr>
      </w:pPr>
    </w:p>
    <w:p>
      <w:pPr>
        <w:ind w:left="568" w:right="80" w:hanging="568"/>
        <w:spacing w:after="0" w:line="348" w:lineRule="auto"/>
        <w:tabs>
          <w:tab w:leader="none" w:pos="568" w:val="left"/>
        </w:tabs>
        <w:numPr>
          <w:ilvl w:val="0"/>
          <w:numId w:val="11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Internal Risk Factors: </w:t>
      </w:r>
      <w:r>
        <w:rPr>
          <w:rFonts w:ascii="Times New Roman" w:cs="Times New Roman" w:eastAsia="Times New Roman" w:hAnsi="Times New Roman"/>
          <w:sz w:val="24"/>
          <w:szCs w:val="24"/>
          <w:color w:val="auto"/>
        </w:rPr>
        <w:t>Minimum 5 and maximum 10 risk factors to be specified (500 word</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limit in total)</w:t>
      </w:r>
    </w:p>
    <w:p>
      <w:pPr>
        <w:spacing w:after="0" w:line="200" w:lineRule="exact"/>
        <w:rPr>
          <w:rFonts w:ascii="Times New Roman" w:cs="Times New Roman" w:eastAsia="Times New Roman" w:hAnsi="Times New Roman"/>
          <w:sz w:val="24"/>
          <w:szCs w:val="24"/>
          <w:color w:val="auto"/>
        </w:rPr>
      </w:pPr>
    </w:p>
    <w:p>
      <w:pPr>
        <w:spacing w:after="0" w:line="233"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1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Outstanding Material Litigations and Defaults</w:t>
      </w:r>
    </w:p>
    <w:p>
      <w:pPr>
        <w:spacing w:after="0" w:line="127" w:lineRule="exact"/>
        <w:rPr>
          <w:rFonts w:ascii="Times New Roman" w:cs="Times New Roman" w:eastAsia="Times New Roman" w:hAnsi="Times New Roman"/>
          <w:sz w:val="24"/>
          <w:szCs w:val="24"/>
          <w:color w:val="auto"/>
        </w:rPr>
      </w:pPr>
    </w:p>
    <w:p>
      <w:pPr>
        <w:ind w:left="888" w:hanging="333"/>
        <w:spacing w:after="0"/>
        <w:tabs>
          <w:tab w:leader="none" w:pos="888" w:val="left"/>
        </w:tabs>
        <w:numPr>
          <w:ilvl w:val="1"/>
          <w:numId w:val="1114"/>
        </w:numPr>
        <w:rPr>
          <w:rFonts w:ascii="Calibri" w:cs="Calibri" w:eastAsia="Calibri" w:hAnsi="Calibri"/>
          <w:sz w:val="22"/>
          <w:szCs w:val="22"/>
          <w:b w:val="1"/>
          <w:bCs w:val="1"/>
          <w:color w:val="auto"/>
        </w:rPr>
      </w:pPr>
      <w:r>
        <w:rPr>
          <w:rFonts w:ascii="Times New Roman" w:cs="Times New Roman" w:eastAsia="Times New Roman" w:hAnsi="Times New Roman"/>
          <w:sz w:val="24"/>
          <w:szCs w:val="24"/>
          <w:color w:val="auto"/>
        </w:rPr>
        <w:t>Total number of outstanding litigations against the company and amount involved</w:t>
      </w:r>
    </w:p>
    <w:p>
      <w:pPr>
        <w:spacing w:after="0" w:line="149" w:lineRule="exact"/>
        <w:rPr>
          <w:rFonts w:ascii="Calibri" w:cs="Calibri" w:eastAsia="Calibri" w:hAnsi="Calibri"/>
          <w:sz w:val="22"/>
          <w:szCs w:val="22"/>
          <w:b w:val="1"/>
          <w:bCs w:val="1"/>
          <w:color w:val="auto"/>
        </w:rPr>
      </w:pPr>
    </w:p>
    <w:p>
      <w:pPr>
        <w:ind w:left="888" w:right="400" w:hanging="333"/>
        <w:spacing w:after="0" w:line="344" w:lineRule="auto"/>
        <w:tabs>
          <w:tab w:leader="none" w:pos="888" w:val="left"/>
        </w:tabs>
        <w:numPr>
          <w:ilvl w:val="1"/>
          <w:numId w:val="1114"/>
        </w:numPr>
        <w:rPr>
          <w:rFonts w:ascii="Calibri" w:cs="Calibri" w:eastAsia="Calibri" w:hAnsi="Calibri"/>
          <w:sz w:val="22"/>
          <w:szCs w:val="22"/>
          <w:b w:val="1"/>
          <w:bCs w:val="1"/>
          <w:color w:val="auto"/>
        </w:rPr>
      </w:pPr>
      <w:r>
        <w:rPr>
          <w:rFonts w:ascii="Times New Roman" w:cs="Times New Roman" w:eastAsia="Times New Roman" w:hAnsi="Times New Roman"/>
          <w:sz w:val="24"/>
          <w:szCs w:val="24"/>
          <w:color w:val="auto"/>
        </w:rPr>
        <w:t>Brief details of top 5 material outstanding litigations against the company and amount involved</w:t>
      </w:r>
    </w:p>
    <w:p>
      <w:pPr>
        <w:spacing w:after="0" w:line="2" w:lineRule="exact"/>
        <w:rPr>
          <w:sz w:val="20"/>
          <w:szCs w:val="20"/>
          <w:color w:val="auto"/>
        </w:rPr>
      </w:pPr>
    </w:p>
    <w:tbl>
      <w:tblPr>
        <w:tblLayout w:type="fixed"/>
        <w:tblInd w:w="538" w:type="dxa"/>
        <w:tblCellMar>
          <w:top w:w="0" w:type="dxa"/>
          <w:left w:w="0" w:type="dxa"/>
          <w:bottom w:w="0" w:type="dxa"/>
          <w:right w:w="0" w:type="dxa"/>
        </w:tblCellMar>
      </w:tblPr>
      <w:tr>
        <w:trPr>
          <w:trHeight w:val="283"/>
        </w:trPr>
        <w:tc>
          <w:tcPr>
            <w:tcW w:w="1320" w:type="dxa"/>
            <w:vAlign w:val="bottom"/>
            <w:tcBorders>
              <w:top w:val="single" w:sz="8" w:color="auto"/>
              <w:left w:val="single" w:sz="8" w:color="auto"/>
              <w:right w:val="single" w:sz="8" w:color="auto"/>
            </w:tcBorders>
          </w:tcPr>
          <w:p>
            <w:pPr>
              <w:ind w:left="360"/>
              <w:spacing w:after="0"/>
              <w:rPr>
                <w:sz w:val="20"/>
                <w:szCs w:val="20"/>
                <w:color w:val="auto"/>
              </w:rPr>
            </w:pPr>
            <w:r>
              <w:rPr>
                <w:rFonts w:ascii="Times New Roman" w:cs="Times New Roman" w:eastAsia="Times New Roman" w:hAnsi="Times New Roman"/>
                <w:sz w:val="24"/>
                <w:szCs w:val="24"/>
                <w:b w:val="1"/>
                <w:bCs w:val="1"/>
                <w:color w:val="auto"/>
              </w:rPr>
              <w:t>Sr. No.</w:t>
            </w:r>
          </w:p>
        </w:tc>
        <w:tc>
          <w:tcPr>
            <w:tcW w:w="1940" w:type="dxa"/>
            <w:vAlign w:val="bottom"/>
            <w:tcBorders>
              <w:top w:val="single" w:sz="8" w:color="auto"/>
              <w:right w:val="single" w:sz="8" w:color="auto"/>
            </w:tcBorders>
          </w:tcPr>
          <w:p>
            <w:pPr>
              <w:ind w:left="440"/>
              <w:spacing w:after="0"/>
              <w:rPr>
                <w:sz w:val="20"/>
                <w:szCs w:val="20"/>
                <w:color w:val="auto"/>
              </w:rPr>
            </w:pPr>
            <w:r>
              <w:rPr>
                <w:rFonts w:ascii="Times New Roman" w:cs="Times New Roman" w:eastAsia="Times New Roman" w:hAnsi="Times New Roman"/>
                <w:sz w:val="24"/>
                <w:szCs w:val="24"/>
                <w:b w:val="1"/>
                <w:bCs w:val="1"/>
                <w:color w:val="auto"/>
              </w:rPr>
              <w:t>Particulars</w:t>
            </w:r>
          </w:p>
        </w:tc>
        <w:tc>
          <w:tcPr>
            <w:tcW w:w="1980" w:type="dxa"/>
            <w:vAlign w:val="bottom"/>
            <w:tcBorders>
              <w:top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b w:val="1"/>
                <w:bCs w:val="1"/>
                <w:color w:val="auto"/>
                <w:w w:val="98"/>
              </w:rPr>
              <w:t>Litigation filed by</w:t>
            </w:r>
          </w:p>
        </w:tc>
        <w:tc>
          <w:tcPr>
            <w:tcW w:w="1800" w:type="dxa"/>
            <w:vAlign w:val="bottom"/>
            <w:tcBorders>
              <w:top w:val="single" w:sz="8" w:color="auto"/>
              <w:right w:val="single" w:sz="8" w:color="auto"/>
            </w:tcBorders>
          </w:tcPr>
          <w:p>
            <w:pPr>
              <w:ind w:left="200"/>
              <w:spacing w:after="0"/>
              <w:rPr>
                <w:sz w:val="20"/>
                <w:szCs w:val="20"/>
                <w:color w:val="auto"/>
              </w:rPr>
            </w:pPr>
            <w:r>
              <w:rPr>
                <w:rFonts w:ascii="Times New Roman" w:cs="Times New Roman" w:eastAsia="Times New Roman" w:hAnsi="Times New Roman"/>
                <w:sz w:val="24"/>
                <w:szCs w:val="24"/>
                <w:b w:val="1"/>
                <w:bCs w:val="1"/>
                <w:color w:val="auto"/>
              </w:rPr>
              <w:t>Current status</w:t>
            </w:r>
          </w:p>
        </w:tc>
        <w:tc>
          <w:tcPr>
            <w:tcW w:w="1980" w:type="dxa"/>
            <w:vAlign w:val="bottom"/>
            <w:tcBorders>
              <w:top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4"/>
                <w:szCs w:val="24"/>
                <w:b w:val="1"/>
                <w:bCs w:val="1"/>
                <w:color w:val="auto"/>
              </w:rPr>
              <w:t>Amount involved</w:t>
            </w:r>
          </w:p>
        </w:tc>
      </w:tr>
      <w:tr>
        <w:trPr>
          <w:trHeight w:val="142"/>
        </w:trPr>
        <w:tc>
          <w:tcPr>
            <w:tcW w:w="1320" w:type="dxa"/>
            <w:vAlign w:val="bottom"/>
            <w:tcBorders>
              <w:left w:val="single" w:sz="8" w:color="auto"/>
              <w:bottom w:val="single" w:sz="8" w:color="auto"/>
              <w:right w:val="single" w:sz="8" w:color="auto"/>
            </w:tcBorders>
          </w:tcPr>
          <w:p>
            <w:pPr>
              <w:spacing w:after="0"/>
              <w:rPr>
                <w:sz w:val="12"/>
                <w:szCs w:val="12"/>
                <w:color w:val="auto"/>
              </w:rPr>
            </w:pPr>
          </w:p>
        </w:tc>
        <w:tc>
          <w:tcPr>
            <w:tcW w:w="1940" w:type="dxa"/>
            <w:vAlign w:val="bottom"/>
            <w:tcBorders>
              <w:bottom w:val="single" w:sz="8" w:color="auto"/>
              <w:right w:val="single" w:sz="8" w:color="auto"/>
            </w:tcBorders>
          </w:tcPr>
          <w:p>
            <w:pPr>
              <w:spacing w:after="0"/>
              <w:rPr>
                <w:sz w:val="12"/>
                <w:szCs w:val="12"/>
                <w:color w:val="auto"/>
              </w:rPr>
            </w:pPr>
          </w:p>
        </w:tc>
        <w:tc>
          <w:tcPr>
            <w:tcW w:w="1980" w:type="dxa"/>
            <w:vAlign w:val="bottom"/>
            <w:tcBorders>
              <w:bottom w:val="single" w:sz="8" w:color="auto"/>
              <w:right w:val="single" w:sz="8" w:color="auto"/>
            </w:tcBorders>
          </w:tcPr>
          <w:p>
            <w:pPr>
              <w:spacing w:after="0"/>
              <w:rPr>
                <w:sz w:val="12"/>
                <w:szCs w:val="12"/>
                <w:color w:val="auto"/>
              </w:rPr>
            </w:pPr>
          </w:p>
        </w:tc>
        <w:tc>
          <w:tcPr>
            <w:tcW w:w="1800" w:type="dxa"/>
            <w:vAlign w:val="bottom"/>
            <w:tcBorders>
              <w:bottom w:val="single" w:sz="8" w:color="auto"/>
              <w:right w:val="single" w:sz="8" w:color="auto"/>
            </w:tcBorders>
          </w:tcPr>
          <w:p>
            <w:pPr>
              <w:spacing w:after="0"/>
              <w:rPr>
                <w:sz w:val="12"/>
                <w:szCs w:val="12"/>
                <w:color w:val="auto"/>
              </w:rPr>
            </w:pPr>
          </w:p>
        </w:tc>
        <w:tc>
          <w:tcPr>
            <w:tcW w:w="1980" w:type="dxa"/>
            <w:vAlign w:val="bottom"/>
            <w:tcBorders>
              <w:bottom w:val="single" w:sz="8" w:color="auto"/>
              <w:right w:val="single" w:sz="8" w:color="auto"/>
            </w:tcBorders>
          </w:tcPr>
          <w:p>
            <w:pPr>
              <w:spacing w:after="0"/>
              <w:rPr>
                <w:sz w:val="12"/>
                <w:szCs w:val="12"/>
                <w:color w:val="auto"/>
              </w:rPr>
            </w:pPr>
          </w:p>
        </w:tc>
      </w:tr>
      <w:tr>
        <w:trPr>
          <w:trHeight w:val="402"/>
        </w:trPr>
        <w:tc>
          <w:tcPr>
            <w:tcW w:w="1320" w:type="dxa"/>
            <w:vAlign w:val="bottom"/>
            <w:tcBorders>
              <w:left w:val="single" w:sz="8" w:color="auto"/>
              <w:bottom w:val="single" w:sz="8" w:color="auto"/>
              <w:right w:val="single" w:sz="8" w:color="auto"/>
            </w:tcBorders>
          </w:tcPr>
          <w:p>
            <w:pPr>
              <w:spacing w:after="0"/>
              <w:rPr>
                <w:sz w:val="24"/>
                <w:szCs w:val="24"/>
                <w:color w:val="auto"/>
              </w:rPr>
            </w:pPr>
          </w:p>
        </w:tc>
        <w:tc>
          <w:tcPr>
            <w:tcW w:w="1940" w:type="dxa"/>
            <w:vAlign w:val="bottom"/>
            <w:tcBorders>
              <w:bottom w:val="single" w:sz="8" w:color="auto"/>
              <w:right w:val="single" w:sz="8" w:color="auto"/>
            </w:tcBorders>
          </w:tcPr>
          <w:p>
            <w:pPr>
              <w:spacing w:after="0"/>
              <w:rPr>
                <w:sz w:val="24"/>
                <w:szCs w:val="24"/>
                <w:color w:val="auto"/>
              </w:rPr>
            </w:pPr>
          </w:p>
        </w:tc>
        <w:tc>
          <w:tcPr>
            <w:tcW w:w="1980" w:type="dxa"/>
            <w:vAlign w:val="bottom"/>
            <w:tcBorders>
              <w:bottom w:val="single" w:sz="8" w:color="auto"/>
              <w:right w:val="single" w:sz="8" w:color="auto"/>
            </w:tcBorders>
          </w:tcPr>
          <w:p>
            <w:pPr>
              <w:spacing w:after="0"/>
              <w:rPr>
                <w:sz w:val="24"/>
                <w:szCs w:val="24"/>
                <w:color w:val="auto"/>
              </w:rPr>
            </w:pPr>
          </w:p>
        </w:tc>
        <w:tc>
          <w:tcPr>
            <w:tcW w:w="1800" w:type="dxa"/>
            <w:vAlign w:val="bottom"/>
            <w:tcBorders>
              <w:bottom w:val="single" w:sz="8" w:color="auto"/>
              <w:right w:val="single" w:sz="8" w:color="auto"/>
            </w:tcBorders>
          </w:tcPr>
          <w:p>
            <w:pPr>
              <w:spacing w:after="0"/>
              <w:rPr>
                <w:sz w:val="24"/>
                <w:szCs w:val="24"/>
                <w:color w:val="auto"/>
              </w:rPr>
            </w:pPr>
          </w:p>
        </w:tc>
        <w:tc>
          <w:tcPr>
            <w:tcW w:w="1980" w:type="dxa"/>
            <w:vAlign w:val="bottom"/>
            <w:tcBorders>
              <w:bottom w:val="single" w:sz="8" w:color="auto"/>
              <w:right w:val="single" w:sz="8" w:color="auto"/>
            </w:tcBorders>
          </w:tcPr>
          <w:p>
            <w:pPr>
              <w:spacing w:after="0"/>
              <w:rPr>
                <w:sz w:val="24"/>
                <w:szCs w:val="24"/>
                <w:color w:val="auto"/>
              </w:rPr>
            </w:pPr>
          </w:p>
        </w:tc>
      </w:tr>
      <w:tr>
        <w:trPr>
          <w:trHeight w:val="405"/>
        </w:trPr>
        <w:tc>
          <w:tcPr>
            <w:tcW w:w="1320" w:type="dxa"/>
            <w:vAlign w:val="bottom"/>
            <w:tcBorders>
              <w:left w:val="single" w:sz="8" w:color="auto"/>
              <w:bottom w:val="single" w:sz="8" w:color="auto"/>
              <w:right w:val="single" w:sz="8" w:color="auto"/>
            </w:tcBorders>
          </w:tcPr>
          <w:p>
            <w:pPr>
              <w:spacing w:after="0"/>
              <w:rPr>
                <w:sz w:val="24"/>
                <w:szCs w:val="24"/>
                <w:color w:val="auto"/>
              </w:rPr>
            </w:pPr>
          </w:p>
        </w:tc>
        <w:tc>
          <w:tcPr>
            <w:tcW w:w="1940" w:type="dxa"/>
            <w:vAlign w:val="bottom"/>
            <w:tcBorders>
              <w:bottom w:val="single" w:sz="8" w:color="auto"/>
              <w:right w:val="single" w:sz="8" w:color="auto"/>
            </w:tcBorders>
          </w:tcPr>
          <w:p>
            <w:pPr>
              <w:spacing w:after="0"/>
              <w:rPr>
                <w:sz w:val="24"/>
                <w:szCs w:val="24"/>
                <w:color w:val="auto"/>
              </w:rPr>
            </w:pPr>
          </w:p>
        </w:tc>
        <w:tc>
          <w:tcPr>
            <w:tcW w:w="1980" w:type="dxa"/>
            <w:vAlign w:val="bottom"/>
            <w:tcBorders>
              <w:bottom w:val="single" w:sz="8" w:color="auto"/>
              <w:right w:val="single" w:sz="8" w:color="auto"/>
            </w:tcBorders>
          </w:tcPr>
          <w:p>
            <w:pPr>
              <w:spacing w:after="0"/>
              <w:rPr>
                <w:sz w:val="24"/>
                <w:szCs w:val="24"/>
                <w:color w:val="auto"/>
              </w:rPr>
            </w:pPr>
          </w:p>
        </w:tc>
        <w:tc>
          <w:tcPr>
            <w:tcW w:w="1800" w:type="dxa"/>
            <w:vAlign w:val="bottom"/>
            <w:tcBorders>
              <w:bottom w:val="single" w:sz="8" w:color="auto"/>
              <w:right w:val="single" w:sz="8" w:color="auto"/>
            </w:tcBorders>
          </w:tcPr>
          <w:p>
            <w:pPr>
              <w:spacing w:after="0"/>
              <w:rPr>
                <w:sz w:val="24"/>
                <w:szCs w:val="24"/>
                <w:color w:val="auto"/>
              </w:rPr>
            </w:pPr>
          </w:p>
        </w:tc>
        <w:tc>
          <w:tcPr>
            <w:tcW w:w="1980" w:type="dxa"/>
            <w:vAlign w:val="bottom"/>
            <w:tcBorders>
              <w:bottom w:val="single" w:sz="8" w:color="auto"/>
              <w:right w:val="single" w:sz="8" w:color="auto"/>
            </w:tcBorders>
          </w:tcPr>
          <w:p>
            <w:pPr>
              <w:spacing w:after="0"/>
              <w:rPr>
                <w:sz w:val="24"/>
                <w:szCs w:val="24"/>
                <w:color w:val="auto"/>
              </w:rPr>
            </w:pPr>
          </w:p>
        </w:tc>
      </w:tr>
      <w:tr>
        <w:trPr>
          <w:trHeight w:val="405"/>
        </w:trPr>
        <w:tc>
          <w:tcPr>
            <w:tcW w:w="1320" w:type="dxa"/>
            <w:vAlign w:val="bottom"/>
            <w:tcBorders>
              <w:left w:val="single" w:sz="8" w:color="auto"/>
              <w:bottom w:val="single" w:sz="8" w:color="auto"/>
              <w:right w:val="single" w:sz="8" w:color="auto"/>
            </w:tcBorders>
          </w:tcPr>
          <w:p>
            <w:pPr>
              <w:spacing w:after="0"/>
              <w:rPr>
                <w:sz w:val="24"/>
                <w:szCs w:val="24"/>
                <w:color w:val="auto"/>
              </w:rPr>
            </w:pPr>
          </w:p>
        </w:tc>
        <w:tc>
          <w:tcPr>
            <w:tcW w:w="1940" w:type="dxa"/>
            <w:vAlign w:val="bottom"/>
            <w:tcBorders>
              <w:bottom w:val="single" w:sz="8" w:color="auto"/>
              <w:right w:val="single" w:sz="8" w:color="auto"/>
            </w:tcBorders>
          </w:tcPr>
          <w:p>
            <w:pPr>
              <w:spacing w:after="0"/>
              <w:rPr>
                <w:sz w:val="24"/>
                <w:szCs w:val="24"/>
                <w:color w:val="auto"/>
              </w:rPr>
            </w:pPr>
          </w:p>
        </w:tc>
        <w:tc>
          <w:tcPr>
            <w:tcW w:w="1980" w:type="dxa"/>
            <w:vAlign w:val="bottom"/>
            <w:tcBorders>
              <w:bottom w:val="single" w:sz="8" w:color="auto"/>
              <w:right w:val="single" w:sz="8" w:color="auto"/>
            </w:tcBorders>
          </w:tcPr>
          <w:p>
            <w:pPr>
              <w:spacing w:after="0"/>
              <w:rPr>
                <w:sz w:val="24"/>
                <w:szCs w:val="24"/>
                <w:color w:val="auto"/>
              </w:rPr>
            </w:pPr>
          </w:p>
        </w:tc>
        <w:tc>
          <w:tcPr>
            <w:tcW w:w="1800" w:type="dxa"/>
            <w:vAlign w:val="bottom"/>
            <w:tcBorders>
              <w:bottom w:val="single" w:sz="8" w:color="auto"/>
              <w:right w:val="single" w:sz="8" w:color="auto"/>
            </w:tcBorders>
          </w:tcPr>
          <w:p>
            <w:pPr>
              <w:spacing w:after="0"/>
              <w:rPr>
                <w:sz w:val="24"/>
                <w:szCs w:val="24"/>
                <w:color w:val="auto"/>
              </w:rPr>
            </w:pPr>
          </w:p>
        </w:tc>
        <w:tc>
          <w:tcPr>
            <w:tcW w:w="1980" w:type="dxa"/>
            <w:vAlign w:val="bottom"/>
            <w:tcBorders>
              <w:bottom w:val="single" w:sz="8" w:color="auto"/>
              <w:right w:val="single" w:sz="8" w:color="auto"/>
            </w:tcBorders>
          </w:tcPr>
          <w:p>
            <w:pPr>
              <w:spacing w:after="0"/>
              <w:rPr>
                <w:sz w:val="24"/>
                <w:szCs w:val="24"/>
                <w:color w:val="auto"/>
              </w:rPr>
            </w:pPr>
          </w:p>
        </w:tc>
      </w:tr>
      <w:tr>
        <w:trPr>
          <w:trHeight w:val="402"/>
        </w:trPr>
        <w:tc>
          <w:tcPr>
            <w:tcW w:w="1320" w:type="dxa"/>
            <w:vAlign w:val="bottom"/>
            <w:tcBorders>
              <w:left w:val="single" w:sz="8" w:color="auto"/>
              <w:bottom w:val="single" w:sz="8" w:color="auto"/>
              <w:right w:val="single" w:sz="8" w:color="auto"/>
            </w:tcBorders>
          </w:tcPr>
          <w:p>
            <w:pPr>
              <w:spacing w:after="0"/>
              <w:rPr>
                <w:sz w:val="24"/>
                <w:szCs w:val="24"/>
                <w:color w:val="auto"/>
              </w:rPr>
            </w:pPr>
          </w:p>
        </w:tc>
        <w:tc>
          <w:tcPr>
            <w:tcW w:w="1940" w:type="dxa"/>
            <w:vAlign w:val="bottom"/>
            <w:tcBorders>
              <w:bottom w:val="single" w:sz="8" w:color="auto"/>
              <w:right w:val="single" w:sz="8" w:color="auto"/>
            </w:tcBorders>
          </w:tcPr>
          <w:p>
            <w:pPr>
              <w:spacing w:after="0"/>
              <w:rPr>
                <w:sz w:val="24"/>
                <w:szCs w:val="24"/>
                <w:color w:val="auto"/>
              </w:rPr>
            </w:pPr>
          </w:p>
        </w:tc>
        <w:tc>
          <w:tcPr>
            <w:tcW w:w="1980" w:type="dxa"/>
            <w:vAlign w:val="bottom"/>
            <w:tcBorders>
              <w:bottom w:val="single" w:sz="8" w:color="auto"/>
              <w:right w:val="single" w:sz="8" w:color="auto"/>
            </w:tcBorders>
          </w:tcPr>
          <w:p>
            <w:pPr>
              <w:spacing w:after="0"/>
              <w:rPr>
                <w:sz w:val="24"/>
                <w:szCs w:val="24"/>
                <w:color w:val="auto"/>
              </w:rPr>
            </w:pPr>
          </w:p>
        </w:tc>
        <w:tc>
          <w:tcPr>
            <w:tcW w:w="1800" w:type="dxa"/>
            <w:vAlign w:val="bottom"/>
            <w:tcBorders>
              <w:bottom w:val="single" w:sz="8" w:color="auto"/>
              <w:right w:val="single" w:sz="8" w:color="auto"/>
            </w:tcBorders>
          </w:tcPr>
          <w:p>
            <w:pPr>
              <w:spacing w:after="0"/>
              <w:rPr>
                <w:sz w:val="24"/>
                <w:szCs w:val="24"/>
                <w:color w:val="auto"/>
              </w:rPr>
            </w:pPr>
          </w:p>
        </w:tc>
        <w:tc>
          <w:tcPr>
            <w:tcW w:w="1980" w:type="dxa"/>
            <w:vAlign w:val="bottom"/>
            <w:tcBorders>
              <w:bottom w:val="single" w:sz="8" w:color="auto"/>
              <w:right w:val="single" w:sz="8" w:color="auto"/>
            </w:tcBorders>
          </w:tcPr>
          <w:p>
            <w:pPr>
              <w:spacing w:after="0"/>
              <w:rPr>
                <w:sz w:val="24"/>
                <w:szCs w:val="24"/>
                <w:color w:val="auto"/>
              </w:rPr>
            </w:pPr>
          </w:p>
        </w:tc>
      </w:tr>
      <w:tr>
        <w:trPr>
          <w:trHeight w:val="405"/>
        </w:trPr>
        <w:tc>
          <w:tcPr>
            <w:tcW w:w="1320" w:type="dxa"/>
            <w:vAlign w:val="bottom"/>
            <w:tcBorders>
              <w:left w:val="single" w:sz="8" w:color="auto"/>
              <w:bottom w:val="single" w:sz="8" w:color="auto"/>
              <w:right w:val="single" w:sz="8" w:color="auto"/>
            </w:tcBorders>
          </w:tcPr>
          <w:p>
            <w:pPr>
              <w:spacing w:after="0"/>
              <w:rPr>
                <w:sz w:val="24"/>
                <w:szCs w:val="24"/>
                <w:color w:val="auto"/>
              </w:rPr>
            </w:pPr>
          </w:p>
        </w:tc>
        <w:tc>
          <w:tcPr>
            <w:tcW w:w="1940" w:type="dxa"/>
            <w:vAlign w:val="bottom"/>
            <w:tcBorders>
              <w:bottom w:val="single" w:sz="8" w:color="auto"/>
              <w:right w:val="single" w:sz="8" w:color="auto"/>
            </w:tcBorders>
          </w:tcPr>
          <w:p>
            <w:pPr>
              <w:spacing w:after="0"/>
              <w:rPr>
                <w:sz w:val="24"/>
                <w:szCs w:val="24"/>
                <w:color w:val="auto"/>
              </w:rPr>
            </w:pPr>
          </w:p>
        </w:tc>
        <w:tc>
          <w:tcPr>
            <w:tcW w:w="1980" w:type="dxa"/>
            <w:vAlign w:val="bottom"/>
            <w:tcBorders>
              <w:bottom w:val="single" w:sz="8" w:color="auto"/>
              <w:right w:val="single" w:sz="8" w:color="auto"/>
            </w:tcBorders>
          </w:tcPr>
          <w:p>
            <w:pPr>
              <w:spacing w:after="0"/>
              <w:rPr>
                <w:sz w:val="24"/>
                <w:szCs w:val="24"/>
                <w:color w:val="auto"/>
              </w:rPr>
            </w:pPr>
          </w:p>
        </w:tc>
        <w:tc>
          <w:tcPr>
            <w:tcW w:w="1800" w:type="dxa"/>
            <w:vAlign w:val="bottom"/>
            <w:tcBorders>
              <w:bottom w:val="single" w:sz="8" w:color="auto"/>
              <w:right w:val="single" w:sz="8" w:color="auto"/>
            </w:tcBorders>
          </w:tcPr>
          <w:p>
            <w:pPr>
              <w:spacing w:after="0"/>
              <w:rPr>
                <w:sz w:val="24"/>
                <w:szCs w:val="24"/>
                <w:color w:val="auto"/>
              </w:rPr>
            </w:pPr>
          </w:p>
        </w:tc>
        <w:tc>
          <w:tcPr>
            <w:tcW w:w="1980" w:type="dxa"/>
            <w:vAlign w:val="bottom"/>
            <w:tcBorders>
              <w:bottom w:val="single" w:sz="8" w:color="auto"/>
              <w:right w:val="single" w:sz="8" w:color="auto"/>
            </w:tcBorders>
          </w:tcPr>
          <w:p>
            <w:pPr>
              <w:spacing w:after="0"/>
              <w:rPr>
                <w:sz w:val="24"/>
                <w:szCs w:val="24"/>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jc w:val="center"/>
        <w:ind w:right="72"/>
        <w:spacing w:after="0"/>
        <w:rPr>
          <w:sz w:val="20"/>
          <w:szCs w:val="20"/>
          <w:color w:val="auto"/>
        </w:rPr>
      </w:pPr>
      <w:r>
        <w:rPr>
          <w:rFonts w:ascii="Times New Roman" w:cs="Times New Roman" w:eastAsia="Times New Roman" w:hAnsi="Times New Roman"/>
          <w:sz w:val="24"/>
          <w:szCs w:val="24"/>
          <w:color w:val="auto"/>
        </w:rPr>
        <w:t>355</w:t>
      </w:r>
    </w:p>
    <w:p>
      <w:pPr>
        <w:sectPr>
          <w:pgSz w:w="11900" w:h="16836" w:orient="portrait"/>
          <w:cols w:equalWidth="0" w:num="1">
            <w:col w:w="9548"/>
          </w:cols>
          <w:pgMar w:left="1152" w:top="1144" w:right="1204" w:bottom="103" w:gutter="0" w:footer="0" w:header="0"/>
        </w:sectPr>
      </w:pPr>
    </w:p>
    <w:bookmarkStart w:id="355" w:name="page356"/>
    <w:bookmarkEnd w:id="355"/>
    <w:p>
      <w:pPr>
        <w:ind w:left="568" w:right="600" w:hanging="568"/>
        <w:spacing w:after="0" w:line="348" w:lineRule="auto"/>
        <w:tabs>
          <w:tab w:leader="none" w:pos="568" w:val="left"/>
        </w:tabs>
        <w:numPr>
          <w:ilvl w:val="0"/>
          <w:numId w:val="11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Material Developments: </w:t>
      </w:r>
      <w:r>
        <w:rPr>
          <w:rFonts w:ascii="Times New Roman" w:cs="Times New Roman" w:eastAsia="Times New Roman" w:hAnsi="Times New Roman"/>
          <w:sz w:val="24"/>
          <w:szCs w:val="24"/>
          <w:color w:val="auto"/>
        </w:rPr>
        <w:t>Any material development after the date of the latest balance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sheet and its impact on performance and prospects of the company.</w:t>
      </w:r>
    </w:p>
    <w:p>
      <w:pPr>
        <w:spacing w:after="0" w:line="200" w:lineRule="exact"/>
        <w:rPr>
          <w:rFonts w:ascii="Times New Roman" w:cs="Times New Roman" w:eastAsia="Times New Roman" w:hAnsi="Times New Roman"/>
          <w:sz w:val="24"/>
          <w:szCs w:val="24"/>
          <w:color w:val="auto"/>
        </w:rPr>
      </w:pPr>
    </w:p>
    <w:p>
      <w:pPr>
        <w:spacing w:after="0" w:line="233"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1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Board of Directors</w:t>
      </w:r>
    </w:p>
    <w:p>
      <w:pPr>
        <w:spacing w:after="0" w:line="122" w:lineRule="exact"/>
        <w:rPr>
          <w:sz w:val="20"/>
          <w:szCs w:val="20"/>
          <w:color w:val="auto"/>
        </w:rPr>
      </w:pPr>
    </w:p>
    <w:tbl>
      <w:tblPr>
        <w:tblLayout w:type="fixed"/>
        <w:tblInd w:w="538" w:type="dxa"/>
        <w:tblCellMar>
          <w:top w:w="0" w:type="dxa"/>
          <w:left w:w="0" w:type="dxa"/>
          <w:bottom w:w="0" w:type="dxa"/>
          <w:right w:w="0" w:type="dxa"/>
        </w:tblCellMar>
      </w:tblPr>
      <w:tr>
        <w:trPr>
          <w:trHeight w:val="278"/>
        </w:trPr>
        <w:tc>
          <w:tcPr>
            <w:tcW w:w="900" w:type="dxa"/>
            <w:vAlign w:val="bottom"/>
            <w:tcBorders>
              <w:top w:val="single" w:sz="8" w:color="auto"/>
              <w:left w:val="single" w:sz="8" w:color="auto"/>
              <w:right w:val="single" w:sz="8" w:color="auto"/>
            </w:tcBorders>
          </w:tcPr>
          <w:p>
            <w:pPr>
              <w:spacing w:after="0"/>
              <w:rPr>
                <w:sz w:val="24"/>
                <w:szCs w:val="24"/>
                <w:color w:val="auto"/>
              </w:rPr>
            </w:pPr>
          </w:p>
        </w:tc>
        <w:tc>
          <w:tcPr>
            <w:tcW w:w="2300" w:type="dxa"/>
            <w:vAlign w:val="bottom"/>
            <w:tcBorders>
              <w:top w:val="single" w:sz="8" w:color="auto"/>
              <w:right w:val="single" w:sz="8" w:color="auto"/>
            </w:tcBorders>
          </w:tcPr>
          <w:p>
            <w:pPr>
              <w:spacing w:after="0"/>
              <w:rPr>
                <w:sz w:val="24"/>
                <w:szCs w:val="24"/>
                <w:color w:val="auto"/>
              </w:rPr>
            </w:pPr>
          </w:p>
        </w:tc>
        <w:tc>
          <w:tcPr>
            <w:tcW w:w="206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Designation</w:t>
            </w:r>
          </w:p>
        </w:tc>
        <w:tc>
          <w:tcPr>
            <w:tcW w:w="4300" w:type="dxa"/>
            <w:vAlign w:val="bottom"/>
            <w:tcBorders>
              <w:top w:val="single" w:sz="8" w:color="auto"/>
              <w:right w:val="single" w:sz="8" w:color="auto"/>
            </w:tcBorders>
          </w:tcPr>
          <w:p>
            <w:pPr>
              <w:jc w:val="center"/>
              <w:ind w:right="40"/>
              <w:spacing w:after="0"/>
              <w:rPr>
                <w:sz w:val="20"/>
                <w:szCs w:val="20"/>
                <w:color w:val="auto"/>
              </w:rPr>
            </w:pPr>
            <w:r>
              <w:rPr>
                <w:rFonts w:ascii="Times New Roman" w:cs="Times New Roman" w:eastAsia="Times New Roman" w:hAnsi="Times New Roman"/>
                <w:sz w:val="24"/>
                <w:szCs w:val="24"/>
                <w:color w:val="auto"/>
                <w:w w:val="99"/>
              </w:rPr>
              <w:t>Experience including current / past</w:t>
            </w:r>
          </w:p>
        </w:tc>
      </w:tr>
      <w:tr>
        <w:trPr>
          <w:trHeight w:val="415"/>
        </w:trPr>
        <w:tc>
          <w:tcPr>
            <w:tcW w:w="900" w:type="dxa"/>
            <w:vAlign w:val="bottom"/>
            <w:tcBorders>
              <w:left w:val="single" w:sz="8" w:color="auto"/>
              <w:right w:val="single" w:sz="8" w:color="auto"/>
            </w:tcBorders>
          </w:tcPr>
          <w:p>
            <w:pPr>
              <w:spacing w:after="0"/>
              <w:rPr>
                <w:sz w:val="24"/>
                <w:szCs w:val="24"/>
                <w:color w:val="auto"/>
              </w:rPr>
            </w:pPr>
          </w:p>
        </w:tc>
        <w:tc>
          <w:tcPr>
            <w:tcW w:w="2300" w:type="dxa"/>
            <w:vAlign w:val="bottom"/>
            <w:tcBorders>
              <w:right w:val="single" w:sz="8" w:color="auto"/>
            </w:tcBorders>
          </w:tcPr>
          <w:p>
            <w:pPr>
              <w:spacing w:after="0"/>
              <w:rPr>
                <w:sz w:val="24"/>
                <w:szCs w:val="24"/>
                <w:color w:val="auto"/>
              </w:rPr>
            </w:pPr>
          </w:p>
        </w:tc>
        <w:tc>
          <w:tcPr>
            <w:tcW w:w="20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(Independent/</w:t>
            </w:r>
          </w:p>
        </w:tc>
        <w:tc>
          <w:tcPr>
            <w:tcW w:w="4300" w:type="dxa"/>
            <w:vAlign w:val="bottom"/>
            <w:tcBorders>
              <w:right w:val="single" w:sz="8" w:color="auto"/>
            </w:tcBorders>
          </w:tcPr>
          <w:p>
            <w:pPr>
              <w:jc w:val="center"/>
              <w:ind w:right="40"/>
              <w:spacing w:after="0"/>
              <w:rPr>
                <w:sz w:val="20"/>
                <w:szCs w:val="20"/>
                <w:color w:val="auto"/>
              </w:rPr>
            </w:pPr>
            <w:r>
              <w:rPr>
                <w:rFonts w:ascii="Times New Roman" w:cs="Times New Roman" w:eastAsia="Times New Roman" w:hAnsi="Times New Roman"/>
                <w:sz w:val="24"/>
                <w:szCs w:val="24"/>
                <w:color w:val="auto"/>
                <w:w w:val="99"/>
              </w:rPr>
              <w:t>position held in other firms (20 - 40</w:t>
            </w:r>
          </w:p>
        </w:tc>
      </w:tr>
      <w:tr>
        <w:trPr>
          <w:trHeight w:val="413"/>
        </w:trPr>
        <w:tc>
          <w:tcPr>
            <w:tcW w:w="90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4"/>
              </w:rPr>
              <w:t>Sr.</w:t>
            </w:r>
          </w:p>
        </w:tc>
        <w:tc>
          <w:tcPr>
            <w:tcW w:w="2300" w:type="dxa"/>
            <w:vAlign w:val="bottom"/>
            <w:tcBorders>
              <w:right w:val="single" w:sz="8" w:color="auto"/>
            </w:tcBorders>
          </w:tcPr>
          <w:p>
            <w:pPr>
              <w:spacing w:after="0"/>
              <w:rPr>
                <w:sz w:val="24"/>
                <w:szCs w:val="24"/>
                <w:color w:val="auto"/>
              </w:rPr>
            </w:pPr>
          </w:p>
        </w:tc>
        <w:tc>
          <w:tcPr>
            <w:tcW w:w="20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Whole time /</w:t>
            </w:r>
          </w:p>
        </w:tc>
        <w:tc>
          <w:tcPr>
            <w:tcW w:w="4300" w:type="dxa"/>
            <w:vAlign w:val="bottom"/>
            <w:tcBorders>
              <w:right w:val="single" w:sz="8" w:color="auto"/>
            </w:tcBorders>
          </w:tcPr>
          <w:p>
            <w:pPr>
              <w:jc w:val="center"/>
              <w:ind w:right="40"/>
              <w:spacing w:after="0"/>
              <w:rPr>
                <w:sz w:val="20"/>
                <w:szCs w:val="20"/>
                <w:color w:val="auto"/>
              </w:rPr>
            </w:pPr>
            <w:r>
              <w:rPr>
                <w:rFonts w:ascii="Times New Roman" w:cs="Times New Roman" w:eastAsia="Times New Roman" w:hAnsi="Times New Roman"/>
                <w:sz w:val="24"/>
                <w:szCs w:val="24"/>
                <w:color w:val="auto"/>
              </w:rPr>
              <w:t>words for each Director)</w:t>
            </w:r>
          </w:p>
        </w:tc>
      </w:tr>
      <w:tr>
        <w:trPr>
          <w:trHeight w:val="415"/>
        </w:trPr>
        <w:tc>
          <w:tcPr>
            <w:tcW w:w="90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No.</w:t>
            </w:r>
          </w:p>
        </w:tc>
        <w:tc>
          <w:tcPr>
            <w:tcW w:w="2300" w:type="dxa"/>
            <w:vAlign w:val="bottom"/>
            <w:tcBorders>
              <w:right w:val="single" w:sz="8" w:color="auto"/>
            </w:tcBorders>
          </w:tcPr>
          <w:p>
            <w:pPr>
              <w:ind w:left="900"/>
              <w:spacing w:after="0"/>
              <w:rPr>
                <w:sz w:val="20"/>
                <w:szCs w:val="20"/>
                <w:color w:val="auto"/>
              </w:rPr>
            </w:pPr>
            <w:r>
              <w:rPr>
                <w:rFonts w:ascii="Times New Roman" w:cs="Times New Roman" w:eastAsia="Times New Roman" w:hAnsi="Times New Roman"/>
                <w:sz w:val="24"/>
                <w:szCs w:val="24"/>
                <w:color w:val="auto"/>
              </w:rPr>
              <w:t>Name</w:t>
            </w:r>
          </w:p>
        </w:tc>
        <w:tc>
          <w:tcPr>
            <w:tcW w:w="20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Executive /</w:t>
            </w:r>
          </w:p>
        </w:tc>
        <w:tc>
          <w:tcPr>
            <w:tcW w:w="4300" w:type="dxa"/>
            <w:vAlign w:val="bottom"/>
            <w:tcBorders>
              <w:right w:val="single" w:sz="8" w:color="auto"/>
            </w:tcBorders>
          </w:tcPr>
          <w:p>
            <w:pPr>
              <w:spacing w:after="0"/>
              <w:rPr>
                <w:sz w:val="24"/>
                <w:szCs w:val="24"/>
                <w:color w:val="auto"/>
              </w:rPr>
            </w:pPr>
          </w:p>
        </w:tc>
      </w:tr>
      <w:tr>
        <w:trPr>
          <w:trHeight w:val="413"/>
        </w:trPr>
        <w:tc>
          <w:tcPr>
            <w:tcW w:w="900" w:type="dxa"/>
            <w:vAlign w:val="bottom"/>
            <w:tcBorders>
              <w:left w:val="single" w:sz="8" w:color="auto"/>
              <w:right w:val="single" w:sz="8" w:color="auto"/>
            </w:tcBorders>
          </w:tcPr>
          <w:p>
            <w:pPr>
              <w:spacing w:after="0"/>
              <w:rPr>
                <w:sz w:val="24"/>
                <w:szCs w:val="24"/>
                <w:color w:val="auto"/>
              </w:rPr>
            </w:pPr>
          </w:p>
        </w:tc>
        <w:tc>
          <w:tcPr>
            <w:tcW w:w="2300" w:type="dxa"/>
            <w:vAlign w:val="bottom"/>
            <w:tcBorders>
              <w:right w:val="single" w:sz="8" w:color="auto"/>
            </w:tcBorders>
          </w:tcPr>
          <w:p>
            <w:pPr>
              <w:spacing w:after="0"/>
              <w:rPr>
                <w:sz w:val="24"/>
                <w:szCs w:val="24"/>
                <w:color w:val="auto"/>
              </w:rPr>
            </w:pPr>
          </w:p>
        </w:tc>
        <w:tc>
          <w:tcPr>
            <w:tcW w:w="20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Nominee)</w:t>
            </w:r>
          </w:p>
        </w:tc>
        <w:tc>
          <w:tcPr>
            <w:tcW w:w="4300" w:type="dxa"/>
            <w:vAlign w:val="bottom"/>
            <w:tcBorders>
              <w:right w:val="single" w:sz="8" w:color="auto"/>
            </w:tcBorders>
          </w:tcPr>
          <w:p>
            <w:pPr>
              <w:spacing w:after="0"/>
              <w:rPr>
                <w:sz w:val="24"/>
                <w:szCs w:val="24"/>
                <w:color w:val="auto"/>
              </w:rPr>
            </w:pPr>
          </w:p>
        </w:tc>
      </w:tr>
      <w:tr>
        <w:trPr>
          <w:trHeight w:val="147"/>
        </w:trPr>
        <w:tc>
          <w:tcPr>
            <w:tcW w:w="900" w:type="dxa"/>
            <w:vAlign w:val="bottom"/>
            <w:tcBorders>
              <w:left w:val="single" w:sz="8" w:color="auto"/>
              <w:bottom w:val="single" w:sz="8" w:color="auto"/>
              <w:right w:val="single" w:sz="8" w:color="auto"/>
            </w:tcBorders>
          </w:tcPr>
          <w:p>
            <w:pPr>
              <w:spacing w:after="0"/>
              <w:rPr>
                <w:sz w:val="12"/>
                <w:szCs w:val="12"/>
                <w:color w:val="auto"/>
              </w:rPr>
            </w:pPr>
          </w:p>
        </w:tc>
        <w:tc>
          <w:tcPr>
            <w:tcW w:w="2300" w:type="dxa"/>
            <w:vAlign w:val="bottom"/>
            <w:tcBorders>
              <w:bottom w:val="single" w:sz="8" w:color="auto"/>
              <w:right w:val="single" w:sz="8" w:color="auto"/>
            </w:tcBorders>
          </w:tcPr>
          <w:p>
            <w:pPr>
              <w:spacing w:after="0"/>
              <w:rPr>
                <w:sz w:val="12"/>
                <w:szCs w:val="12"/>
                <w:color w:val="auto"/>
              </w:rPr>
            </w:pPr>
          </w:p>
        </w:tc>
        <w:tc>
          <w:tcPr>
            <w:tcW w:w="2060" w:type="dxa"/>
            <w:vAlign w:val="bottom"/>
            <w:tcBorders>
              <w:bottom w:val="single" w:sz="8" w:color="auto"/>
              <w:right w:val="single" w:sz="8" w:color="auto"/>
            </w:tcBorders>
          </w:tcPr>
          <w:p>
            <w:pPr>
              <w:spacing w:after="0"/>
              <w:rPr>
                <w:sz w:val="12"/>
                <w:szCs w:val="12"/>
                <w:color w:val="auto"/>
              </w:rPr>
            </w:pPr>
          </w:p>
        </w:tc>
        <w:tc>
          <w:tcPr>
            <w:tcW w:w="4300" w:type="dxa"/>
            <w:vAlign w:val="bottom"/>
            <w:tcBorders>
              <w:bottom w:val="single" w:sz="8" w:color="auto"/>
              <w:right w:val="single" w:sz="8" w:color="auto"/>
            </w:tcBorders>
          </w:tcPr>
          <w:p>
            <w:pPr>
              <w:spacing w:after="0"/>
              <w:rPr>
                <w:sz w:val="12"/>
                <w:szCs w:val="12"/>
                <w:color w:val="auto"/>
              </w:rPr>
            </w:pPr>
          </w:p>
        </w:tc>
      </w:tr>
      <w:tr>
        <w:trPr>
          <w:trHeight w:val="402"/>
        </w:trPr>
        <w:tc>
          <w:tcPr>
            <w:tcW w:w="900" w:type="dxa"/>
            <w:vAlign w:val="bottom"/>
            <w:tcBorders>
              <w:left w:val="single" w:sz="8" w:color="auto"/>
              <w:bottom w:val="single" w:sz="8" w:color="auto"/>
              <w:right w:val="single" w:sz="8" w:color="auto"/>
            </w:tcBorders>
          </w:tcPr>
          <w:p>
            <w:pPr>
              <w:spacing w:after="0"/>
              <w:rPr>
                <w:sz w:val="24"/>
                <w:szCs w:val="24"/>
                <w:color w:val="auto"/>
              </w:rPr>
            </w:pPr>
          </w:p>
        </w:tc>
        <w:tc>
          <w:tcPr>
            <w:tcW w:w="2300" w:type="dxa"/>
            <w:vAlign w:val="bottom"/>
            <w:tcBorders>
              <w:bottom w:val="single" w:sz="8" w:color="auto"/>
              <w:right w:val="single" w:sz="8" w:color="auto"/>
            </w:tcBorders>
          </w:tcPr>
          <w:p>
            <w:pPr>
              <w:spacing w:after="0"/>
              <w:rPr>
                <w:sz w:val="24"/>
                <w:szCs w:val="24"/>
                <w:color w:val="auto"/>
              </w:rPr>
            </w:pPr>
          </w:p>
        </w:tc>
        <w:tc>
          <w:tcPr>
            <w:tcW w:w="2060" w:type="dxa"/>
            <w:vAlign w:val="bottom"/>
            <w:tcBorders>
              <w:bottom w:val="single" w:sz="8" w:color="auto"/>
              <w:right w:val="single" w:sz="8" w:color="auto"/>
            </w:tcBorders>
          </w:tcPr>
          <w:p>
            <w:pPr>
              <w:spacing w:after="0"/>
              <w:rPr>
                <w:sz w:val="24"/>
                <w:szCs w:val="24"/>
                <w:color w:val="auto"/>
              </w:rPr>
            </w:pPr>
          </w:p>
        </w:tc>
        <w:tc>
          <w:tcPr>
            <w:tcW w:w="4300" w:type="dxa"/>
            <w:vAlign w:val="bottom"/>
            <w:tcBorders>
              <w:bottom w:val="single" w:sz="8" w:color="auto"/>
              <w:right w:val="single" w:sz="8" w:color="auto"/>
            </w:tcBorders>
          </w:tcPr>
          <w:p>
            <w:pPr>
              <w:spacing w:after="0"/>
              <w:rPr>
                <w:sz w:val="24"/>
                <w:szCs w:val="24"/>
                <w:color w:val="auto"/>
              </w:rPr>
            </w:pPr>
          </w:p>
        </w:tc>
      </w:tr>
      <w:tr>
        <w:trPr>
          <w:trHeight w:val="405"/>
        </w:trPr>
        <w:tc>
          <w:tcPr>
            <w:tcW w:w="900" w:type="dxa"/>
            <w:vAlign w:val="bottom"/>
            <w:tcBorders>
              <w:left w:val="single" w:sz="8" w:color="auto"/>
              <w:bottom w:val="single" w:sz="8" w:color="auto"/>
              <w:right w:val="single" w:sz="8" w:color="auto"/>
            </w:tcBorders>
          </w:tcPr>
          <w:p>
            <w:pPr>
              <w:spacing w:after="0"/>
              <w:rPr>
                <w:sz w:val="24"/>
                <w:szCs w:val="24"/>
                <w:color w:val="auto"/>
              </w:rPr>
            </w:pPr>
          </w:p>
        </w:tc>
        <w:tc>
          <w:tcPr>
            <w:tcW w:w="2300" w:type="dxa"/>
            <w:vAlign w:val="bottom"/>
            <w:tcBorders>
              <w:bottom w:val="single" w:sz="8" w:color="auto"/>
              <w:right w:val="single" w:sz="8" w:color="auto"/>
            </w:tcBorders>
          </w:tcPr>
          <w:p>
            <w:pPr>
              <w:spacing w:after="0"/>
              <w:rPr>
                <w:sz w:val="24"/>
                <w:szCs w:val="24"/>
                <w:color w:val="auto"/>
              </w:rPr>
            </w:pPr>
          </w:p>
        </w:tc>
        <w:tc>
          <w:tcPr>
            <w:tcW w:w="2060" w:type="dxa"/>
            <w:vAlign w:val="bottom"/>
            <w:tcBorders>
              <w:bottom w:val="single" w:sz="8" w:color="auto"/>
              <w:right w:val="single" w:sz="8" w:color="auto"/>
            </w:tcBorders>
          </w:tcPr>
          <w:p>
            <w:pPr>
              <w:spacing w:after="0"/>
              <w:rPr>
                <w:sz w:val="24"/>
                <w:szCs w:val="24"/>
                <w:color w:val="auto"/>
              </w:rPr>
            </w:pPr>
          </w:p>
        </w:tc>
        <w:tc>
          <w:tcPr>
            <w:tcW w:w="4300" w:type="dxa"/>
            <w:vAlign w:val="bottom"/>
            <w:tcBorders>
              <w:bottom w:val="single" w:sz="8" w:color="auto"/>
              <w:right w:val="single" w:sz="8" w:color="auto"/>
            </w:tcBorders>
          </w:tcPr>
          <w:p>
            <w:pPr>
              <w:spacing w:after="0"/>
              <w:rPr>
                <w:sz w:val="24"/>
                <w:szCs w:val="24"/>
                <w:color w:val="auto"/>
              </w:rPr>
            </w:pPr>
          </w:p>
        </w:tc>
      </w:tr>
    </w:tbl>
    <w:p>
      <w:pPr>
        <w:spacing w:after="0" w:line="5" w:lineRule="exact"/>
        <w:rPr>
          <w:sz w:val="20"/>
          <w:szCs w:val="20"/>
          <w:color w:val="auto"/>
        </w:rPr>
      </w:pPr>
    </w:p>
    <w:p>
      <w:pPr>
        <w:ind w:left="568" w:right="600" w:hanging="568"/>
        <w:spacing w:after="0" w:line="348" w:lineRule="auto"/>
        <w:tabs>
          <w:tab w:leader="none" w:pos="568" w:val="left"/>
        </w:tabs>
        <w:numPr>
          <w:ilvl w:val="0"/>
          <w:numId w:val="111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Financial Performance of the Issuing company for the last three years </w:t>
      </w:r>
      <w:r>
        <w:rPr>
          <w:rFonts w:ascii="Times New Roman" w:cs="Times New Roman" w:eastAsia="Times New Roman" w:hAnsi="Times New Roman"/>
          <w:sz w:val="24"/>
          <w:szCs w:val="24"/>
          <w:color w:val="auto"/>
        </w:rPr>
        <w:t>(Figures to be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taken from the audited annual accounts in a tabular form):</w:t>
      </w:r>
    </w:p>
    <w:p>
      <w:pPr>
        <w:spacing w:after="0" w:line="27" w:lineRule="exact"/>
        <w:rPr>
          <w:rFonts w:ascii="Times New Roman" w:cs="Times New Roman" w:eastAsia="Times New Roman" w:hAnsi="Times New Roman"/>
          <w:sz w:val="24"/>
          <w:szCs w:val="24"/>
          <w:color w:val="auto"/>
        </w:rPr>
      </w:pPr>
    </w:p>
    <w:p>
      <w:pPr>
        <w:ind w:left="1148" w:right="600" w:hanging="572"/>
        <w:spacing w:after="0" w:line="348" w:lineRule="auto"/>
        <w:tabs>
          <w:tab w:leader="none" w:pos="1148" w:val="left"/>
        </w:tabs>
        <w:numPr>
          <w:ilvl w:val="1"/>
          <w:numId w:val="111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Balance Sheet Data: Equity Capital, Reserves (State Revaluation Reserve, the year of revaluation and its monetary effect on assets) and borrowings</w:t>
      </w:r>
    </w:p>
    <w:p>
      <w:pPr>
        <w:spacing w:after="0" w:line="15"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11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Profit and Loss data: Sales, Gross profit, Net profit, dividend paid, if any</w:t>
      </w:r>
    </w:p>
    <w:p>
      <w:pPr>
        <w:spacing w:after="0" w:line="149" w:lineRule="exact"/>
        <w:rPr>
          <w:rFonts w:ascii="Times New Roman" w:cs="Times New Roman" w:eastAsia="Times New Roman" w:hAnsi="Times New Roman"/>
          <w:sz w:val="24"/>
          <w:szCs w:val="24"/>
          <w:color w:val="auto"/>
        </w:rPr>
      </w:pPr>
    </w:p>
    <w:p>
      <w:pPr>
        <w:ind w:left="1148" w:right="600" w:hanging="572"/>
        <w:spacing w:after="0" w:line="350" w:lineRule="auto"/>
        <w:tabs>
          <w:tab w:leader="none" w:pos="1148" w:val="left"/>
        </w:tabs>
        <w:numPr>
          <w:ilvl w:val="1"/>
          <w:numId w:val="111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change in accounting policies during the last three years and their effect on the profits and the reserves of the issuing company</w:t>
      </w:r>
    </w:p>
    <w:p>
      <w:pPr>
        <w:spacing w:after="0" w:line="23" w:lineRule="exact"/>
        <w:rPr>
          <w:rFonts w:ascii="Times New Roman" w:cs="Times New Roman" w:eastAsia="Times New Roman" w:hAnsi="Times New Roman"/>
          <w:sz w:val="24"/>
          <w:szCs w:val="24"/>
          <w:color w:val="auto"/>
        </w:rPr>
      </w:pPr>
    </w:p>
    <w:p>
      <w:pPr>
        <w:ind w:left="1148" w:right="600" w:hanging="572"/>
        <w:spacing w:after="0" w:line="350" w:lineRule="auto"/>
        <w:tabs>
          <w:tab w:leader="none" w:pos="1148" w:val="left"/>
        </w:tabs>
        <w:numPr>
          <w:ilvl w:val="1"/>
          <w:numId w:val="111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Following information as extracted from the report of the auditors reproduced in the main prospectus:</w:t>
      </w:r>
    </w:p>
    <w:p>
      <w:pPr>
        <w:spacing w:after="0" w:line="3" w:lineRule="exact"/>
        <w:rPr>
          <w:rFonts w:ascii="Times New Roman" w:cs="Times New Roman" w:eastAsia="Times New Roman" w:hAnsi="Times New Roman"/>
          <w:sz w:val="24"/>
          <w:szCs w:val="24"/>
          <w:color w:val="auto"/>
        </w:rPr>
      </w:pPr>
    </w:p>
    <w:p>
      <w:pPr>
        <w:ind w:left="1648" w:hanging="568"/>
        <w:spacing w:after="0"/>
        <w:tabs>
          <w:tab w:leader="none" w:pos="1648" w:val="left"/>
        </w:tabs>
        <w:numPr>
          <w:ilvl w:val="2"/>
          <w:numId w:val="1116"/>
        </w:numPr>
        <w:rPr>
          <w:rFonts w:ascii="Calibri" w:cs="Calibri" w:eastAsia="Calibri" w:hAnsi="Calibri"/>
          <w:sz w:val="22"/>
          <w:szCs w:val="22"/>
          <w:color w:val="auto"/>
        </w:rPr>
      </w:pPr>
      <w:r>
        <w:rPr>
          <w:rFonts w:ascii="Times New Roman" w:cs="Times New Roman" w:eastAsia="Times New Roman" w:hAnsi="Times New Roman"/>
          <w:sz w:val="24"/>
          <w:szCs w:val="24"/>
          <w:color w:val="auto"/>
        </w:rPr>
        <w:t>net profit before accounting for extra ordinary items</w:t>
      </w:r>
    </w:p>
    <w:p>
      <w:pPr>
        <w:spacing w:after="0" w:line="132" w:lineRule="exact"/>
        <w:rPr>
          <w:rFonts w:ascii="Calibri" w:cs="Calibri" w:eastAsia="Calibri" w:hAnsi="Calibri"/>
          <w:sz w:val="22"/>
          <w:szCs w:val="22"/>
          <w:color w:val="auto"/>
        </w:rPr>
      </w:pPr>
    </w:p>
    <w:p>
      <w:pPr>
        <w:ind w:left="1648" w:hanging="568"/>
        <w:spacing w:after="0"/>
        <w:tabs>
          <w:tab w:leader="none" w:pos="1648" w:val="left"/>
        </w:tabs>
        <w:numPr>
          <w:ilvl w:val="2"/>
          <w:numId w:val="1116"/>
        </w:numPr>
        <w:rPr>
          <w:rFonts w:ascii="Calibri" w:cs="Calibri" w:eastAsia="Calibri" w:hAnsi="Calibri"/>
          <w:sz w:val="22"/>
          <w:szCs w:val="22"/>
          <w:color w:val="auto"/>
        </w:rPr>
      </w:pPr>
      <w:r>
        <w:rPr>
          <w:rFonts w:ascii="Times New Roman" w:cs="Times New Roman" w:eastAsia="Times New Roman" w:hAnsi="Times New Roman"/>
          <w:sz w:val="24"/>
          <w:szCs w:val="24"/>
          <w:color w:val="auto"/>
        </w:rPr>
        <w:t>extra ordinary items</w:t>
      </w:r>
    </w:p>
    <w:p>
      <w:pPr>
        <w:spacing w:after="0" w:line="129" w:lineRule="exact"/>
        <w:rPr>
          <w:rFonts w:ascii="Calibri" w:cs="Calibri" w:eastAsia="Calibri" w:hAnsi="Calibri"/>
          <w:sz w:val="22"/>
          <w:szCs w:val="22"/>
          <w:color w:val="auto"/>
        </w:rPr>
      </w:pPr>
    </w:p>
    <w:p>
      <w:pPr>
        <w:ind w:left="1648" w:hanging="568"/>
        <w:spacing w:after="0"/>
        <w:tabs>
          <w:tab w:leader="none" w:pos="1648" w:val="left"/>
        </w:tabs>
        <w:numPr>
          <w:ilvl w:val="2"/>
          <w:numId w:val="1116"/>
        </w:numPr>
        <w:rPr>
          <w:rFonts w:ascii="Calibri" w:cs="Calibri" w:eastAsia="Calibri" w:hAnsi="Calibri"/>
          <w:sz w:val="22"/>
          <w:szCs w:val="22"/>
          <w:color w:val="auto"/>
        </w:rPr>
      </w:pPr>
      <w:r>
        <w:rPr>
          <w:rFonts w:ascii="Times New Roman" w:cs="Times New Roman" w:eastAsia="Times New Roman" w:hAnsi="Times New Roman"/>
          <w:sz w:val="24"/>
          <w:szCs w:val="24"/>
          <w:color w:val="auto"/>
        </w:rPr>
        <w:t>net profit after accounting for extra ordinary items</w:t>
      </w:r>
    </w:p>
    <w:p>
      <w:pPr>
        <w:spacing w:after="0" w:line="200" w:lineRule="exact"/>
        <w:rPr>
          <w:rFonts w:ascii="Calibri" w:cs="Calibri" w:eastAsia="Calibri" w:hAnsi="Calibri"/>
          <w:sz w:val="22"/>
          <w:szCs w:val="22"/>
          <w:color w:val="auto"/>
        </w:rPr>
      </w:pPr>
    </w:p>
    <w:p>
      <w:pPr>
        <w:spacing w:after="0" w:line="352" w:lineRule="exact"/>
        <w:rPr>
          <w:rFonts w:ascii="Calibri" w:cs="Calibri" w:eastAsia="Calibri" w:hAnsi="Calibri"/>
          <w:sz w:val="22"/>
          <w:szCs w:val="22"/>
          <w:color w:val="auto"/>
        </w:rPr>
      </w:pPr>
    </w:p>
    <w:p>
      <w:pPr>
        <w:ind w:left="568" w:hanging="568"/>
        <w:spacing w:after="0"/>
        <w:tabs>
          <w:tab w:leader="none" w:pos="568" w:val="left"/>
        </w:tabs>
        <w:numPr>
          <w:ilvl w:val="0"/>
          <w:numId w:val="111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Disclosure on Investor Grievances and Redressal System</w:t>
      </w:r>
    </w:p>
    <w:p>
      <w:pPr>
        <w:spacing w:after="0" w:line="200" w:lineRule="exact"/>
        <w:rPr>
          <w:rFonts w:ascii="Times New Roman" w:cs="Times New Roman" w:eastAsia="Times New Roman" w:hAnsi="Times New Roman"/>
          <w:sz w:val="24"/>
          <w:szCs w:val="24"/>
          <w:color w:val="auto"/>
        </w:rPr>
      </w:pPr>
    </w:p>
    <w:p>
      <w:pPr>
        <w:spacing w:after="0" w:line="364" w:lineRule="exact"/>
        <w:rPr>
          <w:rFonts w:ascii="Times New Roman" w:cs="Times New Roman" w:eastAsia="Times New Roman" w:hAnsi="Times New Roman"/>
          <w:sz w:val="24"/>
          <w:szCs w:val="24"/>
          <w:color w:val="auto"/>
        </w:rPr>
      </w:pPr>
    </w:p>
    <w:p>
      <w:pPr>
        <w:ind w:left="568" w:right="600" w:hanging="568"/>
        <w:spacing w:after="0" w:line="350" w:lineRule="auto"/>
        <w:tabs>
          <w:tab w:leader="none" w:pos="568" w:val="left"/>
        </w:tabs>
        <w:numPr>
          <w:ilvl w:val="0"/>
          <w:numId w:val="111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Information relating to relevant provisions of taxation law, tax treaties and their impact for IDR holders.</w:t>
      </w:r>
    </w:p>
    <w:p>
      <w:pPr>
        <w:spacing w:after="0" w:line="200" w:lineRule="exact"/>
        <w:rPr>
          <w:rFonts w:ascii="Times New Roman" w:cs="Times New Roman" w:eastAsia="Times New Roman" w:hAnsi="Times New Roman"/>
          <w:sz w:val="24"/>
          <w:szCs w:val="24"/>
          <w:color w:val="auto"/>
        </w:rPr>
      </w:pPr>
    </w:p>
    <w:p>
      <w:pPr>
        <w:spacing w:after="0" w:line="226"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11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Brief details of the domestic depository, overseas custodian bank and depository agreement.</w:t>
      </w:r>
    </w:p>
    <w:p>
      <w:pPr>
        <w:spacing w:after="0" w:line="200" w:lineRule="exact"/>
        <w:rPr>
          <w:rFonts w:ascii="Times New Roman" w:cs="Times New Roman" w:eastAsia="Times New Roman" w:hAnsi="Times New Roman"/>
          <w:sz w:val="24"/>
          <w:szCs w:val="24"/>
          <w:color w:val="auto"/>
        </w:rPr>
      </w:pPr>
    </w:p>
    <w:p>
      <w:pPr>
        <w:spacing w:after="0" w:line="352"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11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Signatories to the Prospectus.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ind w:left="4548"/>
        <w:spacing w:after="0"/>
        <w:rPr>
          <w:sz w:val="20"/>
          <w:szCs w:val="20"/>
          <w:color w:val="auto"/>
        </w:rPr>
      </w:pPr>
      <w:r>
        <w:rPr>
          <w:rFonts w:ascii="Times New Roman" w:cs="Times New Roman" w:eastAsia="Times New Roman" w:hAnsi="Times New Roman"/>
          <w:sz w:val="24"/>
          <w:szCs w:val="24"/>
          <w:color w:val="auto"/>
        </w:rPr>
        <w:t>356</w:t>
      </w:r>
    </w:p>
    <w:p>
      <w:pPr>
        <w:sectPr>
          <w:pgSz w:w="11900" w:h="16836" w:orient="portrait"/>
          <w:cols w:equalWidth="0" w:num="1">
            <w:col w:w="10068"/>
          </w:cols>
          <w:pgMar w:left="1152" w:top="1156" w:right="684" w:bottom="103" w:gutter="0" w:footer="0" w:header="0"/>
        </w:sectPr>
      </w:pPr>
    </w:p>
    <w:bookmarkStart w:id="356" w:name="page357"/>
    <w:bookmarkEnd w:id="356"/>
    <w:p>
      <w:pPr>
        <w:ind w:left="428"/>
        <w:spacing w:after="0"/>
        <w:rPr>
          <w:sz w:val="20"/>
          <w:szCs w:val="20"/>
          <w:color w:val="auto"/>
        </w:rPr>
      </w:pPr>
      <w:r>
        <w:rPr>
          <w:rFonts w:ascii="Times New Roman" w:cs="Times New Roman" w:eastAsia="Times New Roman" w:hAnsi="Times New Roman"/>
          <w:sz w:val="24"/>
          <w:szCs w:val="24"/>
          <w:b w:val="1"/>
          <w:bCs w:val="1"/>
          <w:color w:val="auto"/>
        </w:rPr>
        <w:t>Part C - Disclosures in the addendum to an offer document for rights issue of Indian</w:t>
      </w:r>
    </w:p>
    <w:p>
      <w:pPr>
        <w:spacing w:after="0" w:line="137" w:lineRule="exact"/>
        <w:rPr>
          <w:sz w:val="20"/>
          <w:szCs w:val="20"/>
          <w:color w:val="auto"/>
        </w:rPr>
      </w:pPr>
    </w:p>
    <w:p>
      <w:pPr>
        <w:ind w:left="3768"/>
        <w:spacing w:after="0"/>
        <w:rPr>
          <w:sz w:val="20"/>
          <w:szCs w:val="20"/>
          <w:color w:val="auto"/>
        </w:rPr>
      </w:pPr>
      <w:r>
        <w:rPr>
          <w:rFonts w:ascii="Times New Roman" w:cs="Times New Roman" w:eastAsia="Times New Roman" w:hAnsi="Times New Roman"/>
          <w:sz w:val="24"/>
          <w:szCs w:val="24"/>
          <w:b w:val="1"/>
          <w:bCs w:val="1"/>
          <w:color w:val="auto"/>
        </w:rPr>
        <w:t>depository receipts</w:t>
      </w:r>
    </w:p>
    <w:p>
      <w:pPr>
        <w:spacing w:after="0" w:line="139" w:lineRule="exact"/>
        <w:rPr>
          <w:sz w:val="20"/>
          <w:szCs w:val="20"/>
          <w:color w:val="auto"/>
        </w:rPr>
      </w:pPr>
    </w:p>
    <w:p>
      <w:pPr>
        <w:ind w:left="3748"/>
        <w:spacing w:after="0"/>
        <w:rPr>
          <w:sz w:val="20"/>
          <w:szCs w:val="20"/>
          <w:color w:val="auto"/>
        </w:rPr>
      </w:pPr>
      <w:r>
        <w:rPr>
          <w:rFonts w:ascii="Times New Roman" w:cs="Times New Roman" w:eastAsia="Times New Roman" w:hAnsi="Times New Roman"/>
          <w:sz w:val="24"/>
          <w:szCs w:val="24"/>
          <w:b w:val="1"/>
          <w:bCs w:val="1"/>
          <w:color w:val="auto"/>
        </w:rPr>
        <w:t>[See regulation 218 (2)]</w:t>
      </w:r>
    </w:p>
    <w:p>
      <w:pPr>
        <w:spacing w:after="0" w:line="200" w:lineRule="exact"/>
        <w:rPr>
          <w:sz w:val="20"/>
          <w:szCs w:val="20"/>
          <w:color w:val="auto"/>
        </w:rPr>
      </w:pPr>
    </w:p>
    <w:p>
      <w:pPr>
        <w:spacing w:after="0" w:line="359" w:lineRule="exact"/>
        <w:rPr>
          <w:sz w:val="20"/>
          <w:szCs w:val="20"/>
          <w:color w:val="auto"/>
        </w:rPr>
      </w:pPr>
    </w:p>
    <w:p>
      <w:pPr>
        <w:ind w:left="428" w:hanging="428"/>
        <w:spacing w:after="0" w:line="348" w:lineRule="auto"/>
        <w:tabs>
          <w:tab w:leader="none" w:pos="428" w:val="left"/>
        </w:tabs>
        <w:numPr>
          <w:ilvl w:val="0"/>
          <w:numId w:val="11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listed issuer making a rights issue of IDRs shall make the disclosures as specified in this Part in the form of an addendum to the offer document.</w:t>
      </w:r>
    </w:p>
    <w:p>
      <w:pPr>
        <w:spacing w:after="0" w:line="27" w:lineRule="exact"/>
        <w:rPr>
          <w:rFonts w:ascii="Times New Roman" w:cs="Times New Roman" w:eastAsia="Times New Roman" w:hAnsi="Times New Roman"/>
          <w:sz w:val="24"/>
          <w:szCs w:val="24"/>
          <w:color w:val="auto"/>
        </w:rPr>
      </w:pPr>
    </w:p>
    <w:p>
      <w:pPr>
        <w:jc w:val="both"/>
        <w:ind w:left="428" w:hanging="428"/>
        <w:spacing w:after="0" w:line="358" w:lineRule="auto"/>
        <w:tabs>
          <w:tab w:leader="none" w:pos="428" w:val="left"/>
        </w:tabs>
        <w:numPr>
          <w:ilvl w:val="0"/>
          <w:numId w:val="11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Notwithstanding the above, where disclosures of matters similar or equivalent to those set out in this Schedule are required by home country regulations to be made in a particular form or by reference to particular requirements of such regulations, the same shall prevail over the requirements of this Schedule and shall be deemed to be complied with by disclosures made in the offer document on the basis of the home country regulations, but a reference shall be made in the addendum, to the concerned page numbers of the offer document where such disclosures are made.</w:t>
      </w:r>
    </w:p>
    <w:p>
      <w:pPr>
        <w:spacing w:after="0" w:line="200" w:lineRule="exact"/>
        <w:rPr>
          <w:rFonts w:ascii="Times New Roman" w:cs="Times New Roman" w:eastAsia="Times New Roman" w:hAnsi="Times New Roman"/>
          <w:sz w:val="24"/>
          <w:szCs w:val="24"/>
          <w:color w:val="auto"/>
        </w:rPr>
      </w:pPr>
    </w:p>
    <w:p>
      <w:pPr>
        <w:spacing w:after="0" w:line="211" w:lineRule="exact"/>
        <w:rPr>
          <w:rFonts w:ascii="Times New Roman" w:cs="Times New Roman" w:eastAsia="Times New Roman" w:hAnsi="Times New Roman"/>
          <w:sz w:val="24"/>
          <w:szCs w:val="24"/>
          <w:color w:val="auto"/>
        </w:rPr>
      </w:pPr>
    </w:p>
    <w:p>
      <w:pPr>
        <w:ind w:left="728" w:hanging="368"/>
        <w:spacing w:after="0"/>
        <w:tabs>
          <w:tab w:leader="none" w:pos="728" w:val="left"/>
        </w:tabs>
        <w:numPr>
          <w:ilvl w:val="1"/>
          <w:numId w:val="1117"/>
        </w:numPr>
        <w:rPr>
          <w:rFonts w:ascii="Calibri" w:cs="Calibri" w:eastAsia="Calibri" w:hAnsi="Calibri"/>
          <w:sz w:val="22"/>
          <w:szCs w:val="22"/>
          <w:b w:val="1"/>
          <w:bCs w:val="1"/>
          <w:color w:val="auto"/>
        </w:rPr>
      </w:pPr>
      <w:r>
        <w:rPr>
          <w:rFonts w:ascii="Times New Roman" w:cs="Times New Roman" w:eastAsia="Times New Roman" w:hAnsi="Times New Roman"/>
          <w:sz w:val="24"/>
          <w:szCs w:val="24"/>
          <w:b w:val="1"/>
          <w:bCs w:val="1"/>
          <w:color w:val="auto"/>
        </w:rPr>
        <w:t>Cover page</w:t>
      </w:r>
      <w:r>
        <w:rPr>
          <w:rFonts w:ascii="Times New Roman" w:cs="Times New Roman" w:eastAsia="Times New Roman" w:hAnsi="Times New Roman"/>
          <w:sz w:val="24"/>
          <w:szCs w:val="24"/>
          <w:color w:val="auto"/>
        </w:rPr>
        <w:t>:</w:t>
      </w:r>
    </w:p>
    <w:p>
      <w:pPr>
        <w:spacing w:after="0" w:line="129" w:lineRule="exact"/>
        <w:rPr>
          <w:rFonts w:ascii="Calibri" w:cs="Calibri" w:eastAsia="Calibri" w:hAnsi="Calibri"/>
          <w:sz w:val="22"/>
          <w:szCs w:val="22"/>
          <w:b w:val="1"/>
          <w:bCs w:val="1"/>
          <w:color w:val="auto"/>
        </w:rPr>
      </w:pPr>
    </w:p>
    <w:p>
      <w:pPr>
        <w:ind w:left="1088" w:hanging="368"/>
        <w:spacing w:after="0"/>
        <w:tabs>
          <w:tab w:leader="none" w:pos="1088" w:val="left"/>
        </w:tabs>
        <w:numPr>
          <w:ilvl w:val="2"/>
          <w:numId w:val="1117"/>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Front cover page</w:t>
      </w:r>
      <w:r>
        <w:rPr>
          <w:rFonts w:ascii="Times New Roman" w:cs="Times New Roman" w:eastAsia="Times New Roman" w:hAnsi="Times New Roman"/>
          <w:sz w:val="24"/>
          <w:szCs w:val="24"/>
          <w:color w:val="auto"/>
        </w:rPr>
        <w:t>:</w:t>
      </w:r>
    </w:p>
    <w:p>
      <w:pPr>
        <w:spacing w:after="0" w:line="151" w:lineRule="exact"/>
        <w:rPr>
          <w:rFonts w:ascii="Calibri" w:cs="Calibri" w:eastAsia="Calibri" w:hAnsi="Calibri"/>
          <w:sz w:val="22"/>
          <w:szCs w:val="22"/>
          <w:color w:val="auto"/>
        </w:rPr>
      </w:pPr>
    </w:p>
    <w:p>
      <w:pPr>
        <w:ind w:left="1628" w:hanging="495"/>
        <w:spacing w:after="0" w:line="342" w:lineRule="auto"/>
        <w:tabs>
          <w:tab w:leader="none" w:pos="1611" w:val="left"/>
        </w:tabs>
        <w:numPr>
          <w:ilvl w:val="3"/>
          <w:numId w:val="1117"/>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front outside cover page of the addendum for a rights offering shall contain the following details:</w:t>
      </w:r>
    </w:p>
    <w:p>
      <w:pPr>
        <w:spacing w:after="0" w:line="31" w:lineRule="exact"/>
        <w:rPr>
          <w:rFonts w:ascii="Calibri" w:cs="Calibri" w:eastAsia="Calibri" w:hAnsi="Calibri"/>
          <w:sz w:val="22"/>
          <w:szCs w:val="22"/>
          <w:color w:val="auto"/>
        </w:rPr>
      </w:pPr>
    </w:p>
    <w:p>
      <w:pPr>
        <w:jc w:val="both"/>
        <w:ind w:left="1988" w:hanging="351"/>
        <w:spacing w:after="0" w:line="354" w:lineRule="auto"/>
        <w:tabs>
          <w:tab w:leader="none" w:pos="1988" w:val="left"/>
        </w:tabs>
        <w:numPr>
          <w:ilvl w:val="4"/>
          <w:numId w:val="1117"/>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The name of the issuer, its logo, address of its registered office, principal office in India, its telephone number, fax number, contact person, website address and e-mail address.</w:t>
      </w:r>
    </w:p>
    <w:p>
      <w:pPr>
        <w:spacing w:after="0" w:line="7" w:lineRule="exact"/>
        <w:rPr>
          <w:rFonts w:ascii="Times New Roman" w:cs="Times New Roman" w:eastAsia="Times New Roman" w:hAnsi="Times New Roman"/>
          <w:sz w:val="22"/>
          <w:szCs w:val="22"/>
          <w:color w:val="auto"/>
        </w:rPr>
      </w:pPr>
    </w:p>
    <w:p>
      <w:pPr>
        <w:ind w:left="1988" w:hanging="351"/>
        <w:spacing w:after="0"/>
        <w:tabs>
          <w:tab w:leader="none" w:pos="1988" w:val="left"/>
        </w:tabs>
        <w:numPr>
          <w:ilvl w:val="4"/>
          <w:numId w:val="1117"/>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The number and price of IDRs offered and issue size, as may be applicable.</w:t>
      </w:r>
    </w:p>
    <w:p>
      <w:pPr>
        <w:spacing w:after="0" w:line="139" w:lineRule="exact"/>
        <w:rPr>
          <w:rFonts w:ascii="Times New Roman" w:cs="Times New Roman" w:eastAsia="Times New Roman" w:hAnsi="Times New Roman"/>
          <w:sz w:val="22"/>
          <w:szCs w:val="22"/>
          <w:color w:val="auto"/>
        </w:rPr>
      </w:pPr>
    </w:p>
    <w:p>
      <w:pPr>
        <w:ind w:left="1988" w:hanging="351"/>
        <w:spacing w:after="0"/>
        <w:tabs>
          <w:tab w:leader="none" w:pos="1988" w:val="left"/>
        </w:tabs>
        <w:numPr>
          <w:ilvl w:val="4"/>
          <w:numId w:val="1117"/>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The following disclaimer and advisory on general risk:</w:t>
      </w:r>
    </w:p>
    <w:p>
      <w:pPr>
        <w:spacing w:after="0" w:line="149" w:lineRule="exact"/>
        <w:rPr>
          <w:rFonts w:ascii="Times New Roman" w:cs="Times New Roman" w:eastAsia="Times New Roman" w:hAnsi="Times New Roman"/>
          <w:sz w:val="22"/>
          <w:szCs w:val="22"/>
          <w:color w:val="auto"/>
        </w:rPr>
      </w:pPr>
    </w:p>
    <w:p>
      <w:pPr>
        <w:jc w:val="both"/>
        <w:ind w:left="1988"/>
        <w:spacing w:after="0" w:line="358" w:lineRule="auto"/>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"Investment in IDRs involves a degree of risk and investors should not invest any funds in this offer unless they can afford to take the risk of losing their investment. Investors are advised to read the risk factors carefully before taking an investment decision in this offering. For taking an investment decision, investors must rely on their own examination of the issuer and the offer including the risks involved. The securities being offered in the issue have not been recommended or approved by Securities and Exchange Board of India (SEBI) nor does SEBI guarantee the accuracy or adequacy of this document."</w:t>
      </w:r>
    </w:p>
    <w:p>
      <w:pPr>
        <w:spacing w:after="0" w:line="22" w:lineRule="exact"/>
        <w:rPr>
          <w:rFonts w:ascii="Times New Roman" w:cs="Times New Roman" w:eastAsia="Times New Roman" w:hAnsi="Times New Roman"/>
          <w:sz w:val="22"/>
          <w:szCs w:val="22"/>
          <w:color w:val="auto"/>
        </w:rPr>
      </w:pPr>
    </w:p>
    <w:p>
      <w:pPr>
        <w:ind w:left="1988" w:hanging="351"/>
        <w:spacing w:after="0" w:line="348" w:lineRule="auto"/>
        <w:tabs>
          <w:tab w:leader="none" w:pos="1988" w:val="left"/>
        </w:tabs>
        <w:numPr>
          <w:ilvl w:val="4"/>
          <w:numId w:val="1117"/>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Specific attention of investors shall be invited to the statement of “Risk factors” given on page number(s) ….. under the section “General Risks”.</w:t>
      </w: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357</w:t>
      </w:r>
    </w:p>
    <w:p>
      <w:pPr>
        <w:sectPr>
          <w:pgSz w:w="11900" w:h="16836" w:orient="portrait"/>
          <w:cols w:equalWidth="0" w:num="1">
            <w:col w:w="9468"/>
          </w:cols>
          <w:pgMar w:left="1152" w:top="1149" w:right="1284" w:bottom="103" w:gutter="0" w:footer="0" w:header="0"/>
        </w:sectPr>
      </w:pPr>
    </w:p>
    <w:bookmarkStart w:id="357" w:name="page358"/>
    <w:bookmarkEnd w:id="357"/>
    <w:p>
      <w:pPr>
        <w:jc w:val="both"/>
        <w:ind w:left="1700" w:hanging="351"/>
        <w:spacing w:after="0" w:line="356" w:lineRule="auto"/>
        <w:tabs>
          <w:tab w:leader="none" w:pos="1700" w:val="left"/>
        </w:tabs>
        <w:numPr>
          <w:ilvl w:val="2"/>
          <w:numId w:val="1118"/>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Save where a form of responsibility statement is required in the offer document in accordance with the home country regulations, the following clause on ‘Issuer’s Absolute Responsibility’ shall be incorporated in a box format:</w:t>
      </w:r>
    </w:p>
    <w:p>
      <w:pPr>
        <w:spacing w:after="0" w:line="18" w:lineRule="exact"/>
        <w:rPr>
          <w:rFonts w:ascii="Times New Roman" w:cs="Times New Roman" w:eastAsia="Times New Roman" w:hAnsi="Times New Roman"/>
          <w:sz w:val="22"/>
          <w:szCs w:val="22"/>
          <w:color w:val="auto"/>
        </w:rPr>
      </w:pPr>
    </w:p>
    <w:p>
      <w:pPr>
        <w:jc w:val="both"/>
        <w:ind w:left="1700"/>
        <w:spacing w:after="0" w:line="360" w:lineRule="auto"/>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“The issuer, having made all reasonable inquiries, accepts responsibility for and confirms that the offer document and the addendum contains all information with regard to the issuer and the issue, which is material in the context of the issue, that the information contained in the offer document and the addendum is true and correct in all material respects and is not misleading in any material respect, that the opinions and intentions expressed herein are honestly held and that there are no other facts, the omission of which make these documents as a whole or any of such information or the expression of any such opinions or intentions misleading in any material respect.”</w:t>
      </w:r>
    </w:p>
    <w:p>
      <w:pPr>
        <w:spacing w:after="0" w:line="200" w:lineRule="exact"/>
        <w:rPr>
          <w:rFonts w:ascii="Times New Roman" w:cs="Times New Roman" w:eastAsia="Times New Roman" w:hAnsi="Times New Roman"/>
          <w:sz w:val="22"/>
          <w:szCs w:val="22"/>
          <w:color w:val="auto"/>
        </w:rPr>
      </w:pPr>
    </w:p>
    <w:p>
      <w:pPr>
        <w:spacing w:after="0" w:line="214" w:lineRule="exact"/>
        <w:rPr>
          <w:rFonts w:ascii="Times New Roman" w:cs="Times New Roman" w:eastAsia="Times New Roman" w:hAnsi="Times New Roman"/>
          <w:sz w:val="22"/>
          <w:szCs w:val="22"/>
          <w:color w:val="auto"/>
        </w:rPr>
      </w:pPr>
    </w:p>
    <w:p>
      <w:pPr>
        <w:jc w:val="both"/>
        <w:ind w:left="1700" w:hanging="351"/>
        <w:spacing w:after="0" w:line="356" w:lineRule="auto"/>
        <w:tabs>
          <w:tab w:leader="none" w:pos="1700" w:val="left"/>
        </w:tabs>
        <w:numPr>
          <w:ilvl w:val="2"/>
          <w:numId w:val="1118"/>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The name, logo and address of the lead manager(s) and the designation of the officers/employees who have signed the due diligence certificate and filed the offer document and the addendum with the Board, along with their telephone numbers, fax numbers, website addresses and e-mail addresses.</w:t>
      </w:r>
    </w:p>
    <w:p>
      <w:pPr>
        <w:spacing w:after="0" w:line="200" w:lineRule="exact"/>
        <w:rPr>
          <w:rFonts w:ascii="Times New Roman" w:cs="Times New Roman" w:eastAsia="Times New Roman" w:hAnsi="Times New Roman"/>
          <w:sz w:val="22"/>
          <w:szCs w:val="22"/>
          <w:color w:val="auto"/>
        </w:rPr>
      </w:pPr>
    </w:p>
    <w:p>
      <w:pPr>
        <w:spacing w:after="0" w:line="231" w:lineRule="exact"/>
        <w:rPr>
          <w:rFonts w:ascii="Times New Roman" w:cs="Times New Roman" w:eastAsia="Times New Roman" w:hAnsi="Times New Roman"/>
          <w:sz w:val="22"/>
          <w:szCs w:val="22"/>
          <w:color w:val="auto"/>
        </w:rPr>
      </w:pPr>
    </w:p>
    <w:p>
      <w:pPr>
        <w:ind w:left="1700" w:hanging="351"/>
        <w:spacing w:after="0" w:line="350" w:lineRule="auto"/>
        <w:tabs>
          <w:tab w:leader="none" w:pos="1700" w:val="left"/>
        </w:tabs>
        <w:numPr>
          <w:ilvl w:val="2"/>
          <w:numId w:val="1118"/>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The name, logo and address of the registrar to the issue, along with its telephone number, fax number, website address and e-mail address.</w:t>
      </w:r>
    </w:p>
    <w:p>
      <w:pPr>
        <w:spacing w:after="0" w:line="10" w:lineRule="exact"/>
        <w:rPr>
          <w:rFonts w:ascii="Times New Roman" w:cs="Times New Roman" w:eastAsia="Times New Roman" w:hAnsi="Times New Roman"/>
          <w:sz w:val="22"/>
          <w:szCs w:val="22"/>
          <w:color w:val="auto"/>
        </w:rPr>
      </w:pPr>
    </w:p>
    <w:p>
      <w:pPr>
        <w:ind w:left="1700" w:hanging="351"/>
        <w:spacing w:after="0"/>
        <w:tabs>
          <w:tab w:leader="none" w:pos="1700" w:val="left"/>
        </w:tabs>
        <w:numPr>
          <w:ilvl w:val="2"/>
          <w:numId w:val="1118"/>
        </w:numPr>
        <w:rPr>
          <w:rFonts w:ascii="Times New Roman" w:cs="Times New Roman" w:eastAsia="Times New Roman" w:hAnsi="Times New Roman"/>
          <w:sz w:val="22"/>
          <w:szCs w:val="22"/>
          <w:color w:val="auto"/>
        </w:rPr>
      </w:pPr>
      <w:r>
        <w:rPr>
          <w:rFonts w:ascii="Times New Roman" w:cs="Times New Roman" w:eastAsia="Times New Roman" w:hAnsi="Times New Roman"/>
          <w:sz w:val="24"/>
          <w:szCs w:val="24"/>
          <w:color w:val="auto"/>
        </w:rPr>
        <w:t>Issue schedule:</w:t>
      </w:r>
    </w:p>
    <w:p>
      <w:pPr>
        <w:spacing w:after="0" w:line="139" w:lineRule="exact"/>
        <w:rPr>
          <w:rFonts w:ascii="Times New Roman" w:cs="Times New Roman" w:eastAsia="Times New Roman" w:hAnsi="Times New Roman"/>
          <w:sz w:val="22"/>
          <w:szCs w:val="22"/>
          <w:color w:val="auto"/>
        </w:rPr>
      </w:pPr>
    </w:p>
    <w:p>
      <w:pPr>
        <w:ind w:left="2280" w:hanging="407"/>
        <w:spacing w:after="0"/>
        <w:tabs>
          <w:tab w:leader="none" w:pos="2280" w:val="left"/>
        </w:tabs>
        <w:numPr>
          <w:ilvl w:val="3"/>
          <w:numId w:val="11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Date of opening of the issue.</w:t>
      </w:r>
    </w:p>
    <w:p>
      <w:pPr>
        <w:spacing w:after="0" w:line="137" w:lineRule="exact"/>
        <w:rPr>
          <w:rFonts w:ascii="Times New Roman" w:cs="Times New Roman" w:eastAsia="Times New Roman" w:hAnsi="Times New Roman"/>
          <w:sz w:val="24"/>
          <w:szCs w:val="24"/>
          <w:color w:val="auto"/>
        </w:rPr>
      </w:pPr>
    </w:p>
    <w:p>
      <w:pPr>
        <w:ind w:left="2280" w:hanging="407"/>
        <w:spacing w:after="0"/>
        <w:tabs>
          <w:tab w:leader="none" w:pos="2280" w:val="left"/>
        </w:tabs>
        <w:numPr>
          <w:ilvl w:val="3"/>
          <w:numId w:val="11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Date of closing of the issue.</w:t>
      </w:r>
    </w:p>
    <w:p>
      <w:pPr>
        <w:spacing w:after="0" w:line="139" w:lineRule="exact"/>
        <w:rPr>
          <w:rFonts w:ascii="Times New Roman" w:cs="Times New Roman" w:eastAsia="Times New Roman" w:hAnsi="Times New Roman"/>
          <w:sz w:val="24"/>
          <w:szCs w:val="24"/>
          <w:color w:val="auto"/>
        </w:rPr>
      </w:pPr>
    </w:p>
    <w:p>
      <w:pPr>
        <w:ind w:left="2280" w:hanging="407"/>
        <w:spacing w:after="0"/>
        <w:tabs>
          <w:tab w:leader="none" w:pos="2280" w:val="left"/>
        </w:tabs>
        <w:numPr>
          <w:ilvl w:val="3"/>
          <w:numId w:val="11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Last date for request for split.</w:t>
      </w:r>
    </w:p>
    <w:p>
      <w:pPr>
        <w:spacing w:after="0" w:line="149" w:lineRule="exact"/>
        <w:rPr>
          <w:rFonts w:ascii="Times New Roman" w:cs="Times New Roman" w:eastAsia="Times New Roman" w:hAnsi="Times New Roman"/>
          <w:sz w:val="24"/>
          <w:szCs w:val="24"/>
          <w:color w:val="auto"/>
        </w:rPr>
      </w:pPr>
    </w:p>
    <w:p>
      <w:pPr>
        <w:jc w:val="both"/>
        <w:ind w:left="2300" w:hanging="427"/>
        <w:spacing w:after="0" w:line="354" w:lineRule="auto"/>
        <w:tabs>
          <w:tab w:leader="none" w:pos="2281" w:val="left"/>
        </w:tabs>
        <w:numPr>
          <w:ilvl w:val="3"/>
          <w:numId w:val="11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names of the stock exchanges where the IDRs of the issuer are listed and the details of in-principle approval for listing of the IDRs proposed to be offered in the rights issue.</w:t>
      </w:r>
    </w:p>
    <w:p>
      <w:pPr>
        <w:spacing w:after="0" w:line="200" w:lineRule="exact"/>
        <w:rPr>
          <w:rFonts w:ascii="Times New Roman" w:cs="Times New Roman" w:eastAsia="Times New Roman" w:hAnsi="Times New Roman"/>
          <w:sz w:val="24"/>
          <w:szCs w:val="24"/>
          <w:color w:val="auto"/>
        </w:rPr>
      </w:pPr>
    </w:p>
    <w:p>
      <w:pPr>
        <w:spacing w:after="0" w:line="234" w:lineRule="exact"/>
        <w:rPr>
          <w:rFonts w:ascii="Times New Roman" w:cs="Times New Roman" w:eastAsia="Times New Roman" w:hAnsi="Times New Roman"/>
          <w:sz w:val="24"/>
          <w:szCs w:val="24"/>
          <w:color w:val="auto"/>
        </w:rPr>
      </w:pPr>
    </w:p>
    <w:p>
      <w:pPr>
        <w:ind w:left="800" w:hanging="368"/>
        <w:spacing w:after="0" w:line="344" w:lineRule="auto"/>
        <w:tabs>
          <w:tab w:leader="none" w:pos="800" w:val="left"/>
        </w:tabs>
        <w:numPr>
          <w:ilvl w:val="1"/>
          <w:numId w:val="1119"/>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 xml:space="preserve">Back cover pages: </w:t>
      </w:r>
      <w:r>
        <w:rPr>
          <w:rFonts w:ascii="Times New Roman" w:cs="Times New Roman" w:eastAsia="Times New Roman" w:hAnsi="Times New Roman"/>
          <w:sz w:val="24"/>
          <w:szCs w:val="24"/>
          <w:color w:val="auto"/>
        </w:rPr>
        <w:t>The back inside cover page and back outside cover page of the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addendum shall be in white.</w:t>
      </w:r>
    </w:p>
    <w:p>
      <w:pPr>
        <w:spacing w:after="0" w:line="200" w:lineRule="exact"/>
        <w:rPr>
          <w:rFonts w:ascii="Calibri" w:cs="Calibri" w:eastAsia="Calibri" w:hAnsi="Calibri"/>
          <w:sz w:val="22"/>
          <w:szCs w:val="22"/>
          <w:color w:val="auto"/>
        </w:rPr>
      </w:pPr>
    </w:p>
    <w:p>
      <w:pPr>
        <w:spacing w:after="0" w:line="227" w:lineRule="exact"/>
        <w:rPr>
          <w:rFonts w:ascii="Calibri" w:cs="Calibri" w:eastAsia="Calibri" w:hAnsi="Calibri"/>
          <w:sz w:val="22"/>
          <w:szCs w:val="22"/>
          <w:color w:val="auto"/>
        </w:rPr>
      </w:pPr>
    </w:p>
    <w:p>
      <w:pPr>
        <w:ind w:left="440" w:hanging="368"/>
        <w:spacing w:after="0"/>
        <w:tabs>
          <w:tab w:leader="none" w:pos="440" w:val="left"/>
        </w:tabs>
        <w:numPr>
          <w:ilvl w:val="0"/>
          <w:numId w:val="1120"/>
        </w:numPr>
        <w:rPr>
          <w:rFonts w:ascii="Calibri" w:cs="Calibri" w:eastAsia="Calibri" w:hAnsi="Calibri"/>
          <w:sz w:val="22"/>
          <w:szCs w:val="22"/>
          <w:b w:val="1"/>
          <w:bCs w:val="1"/>
          <w:color w:val="auto"/>
        </w:rPr>
      </w:pPr>
      <w:r>
        <w:rPr>
          <w:rFonts w:ascii="Times New Roman" w:cs="Times New Roman" w:eastAsia="Times New Roman" w:hAnsi="Times New Roman"/>
          <w:sz w:val="24"/>
          <w:szCs w:val="24"/>
          <w:b w:val="1"/>
          <w:bCs w:val="1"/>
          <w:color w:val="auto"/>
        </w:rPr>
        <w:t>Instructions for applicants: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358</w:t>
      </w:r>
    </w:p>
    <w:p>
      <w:pPr>
        <w:sectPr>
          <w:pgSz w:w="11900" w:h="16836" w:orient="portrait"/>
          <w:cols w:equalWidth="0" w:num="1">
            <w:col w:w="9180"/>
          </w:cols>
          <w:pgMar w:left="1440" w:top="1156" w:right="1284" w:bottom="103" w:gutter="0" w:footer="0" w:header="0"/>
        </w:sectPr>
      </w:pPr>
    </w:p>
    <w:bookmarkStart w:id="358" w:name="page359"/>
    <w:bookmarkEnd w:id="358"/>
    <w:p>
      <w:pPr>
        <w:jc w:val="both"/>
        <w:ind w:left="800" w:hanging="368"/>
        <w:spacing w:after="0" w:line="350" w:lineRule="auto"/>
        <w:tabs>
          <w:tab w:leader="none" w:pos="800" w:val="left"/>
        </w:tabs>
        <w:numPr>
          <w:ilvl w:val="1"/>
          <w:numId w:val="1121"/>
        </w:numPr>
        <w:rPr>
          <w:rFonts w:ascii="Calibri" w:cs="Calibri" w:eastAsia="Calibri" w:hAnsi="Calibri"/>
          <w:sz w:val="22"/>
          <w:szCs w:val="22"/>
          <w:color w:val="auto"/>
        </w:rPr>
      </w:pPr>
      <w:r>
        <w:rPr>
          <w:rFonts w:ascii="Times New Roman" w:cs="Times New Roman" w:eastAsia="Times New Roman" w:hAnsi="Times New Roman"/>
          <w:sz w:val="24"/>
          <w:szCs w:val="24"/>
          <w:color w:val="auto"/>
        </w:rPr>
        <w:t>Disclosure in relation to the process for announcement of record date, terms of payments and procedure and time schedule for allotment and issue of certificates, credit of IDRs to the investors’ demat account.</w:t>
      </w:r>
    </w:p>
    <w:p>
      <w:pPr>
        <w:spacing w:after="0" w:line="23" w:lineRule="exact"/>
        <w:rPr>
          <w:rFonts w:ascii="Calibri" w:cs="Calibri" w:eastAsia="Calibri" w:hAnsi="Calibri"/>
          <w:sz w:val="22"/>
          <w:szCs w:val="22"/>
          <w:color w:val="auto"/>
        </w:rPr>
      </w:pPr>
    </w:p>
    <w:p>
      <w:pPr>
        <w:ind w:left="800" w:hanging="368"/>
        <w:spacing w:after="0" w:line="344" w:lineRule="auto"/>
        <w:tabs>
          <w:tab w:leader="none" w:pos="800" w:val="left"/>
        </w:tabs>
        <w:numPr>
          <w:ilvl w:val="1"/>
          <w:numId w:val="1121"/>
        </w:numPr>
        <w:rPr>
          <w:rFonts w:ascii="Calibri" w:cs="Calibri" w:eastAsia="Calibri" w:hAnsi="Calibri"/>
          <w:sz w:val="22"/>
          <w:szCs w:val="22"/>
          <w:color w:val="auto"/>
        </w:rPr>
      </w:pPr>
      <w:r>
        <w:rPr>
          <w:rFonts w:ascii="Times New Roman" w:cs="Times New Roman" w:eastAsia="Times New Roman" w:hAnsi="Times New Roman"/>
          <w:sz w:val="24"/>
          <w:szCs w:val="24"/>
          <w:color w:val="auto"/>
        </w:rPr>
        <w:t>How to apply, availability of application forms and offer document for rights offering and mode of payment for all category of investors.</w:t>
      </w:r>
    </w:p>
    <w:p>
      <w:pPr>
        <w:spacing w:after="0" w:line="26" w:lineRule="exact"/>
        <w:rPr>
          <w:rFonts w:ascii="Calibri" w:cs="Calibri" w:eastAsia="Calibri" w:hAnsi="Calibri"/>
          <w:sz w:val="22"/>
          <w:szCs w:val="22"/>
          <w:color w:val="auto"/>
        </w:rPr>
      </w:pPr>
    </w:p>
    <w:p>
      <w:pPr>
        <w:ind w:left="800" w:hanging="368"/>
        <w:spacing w:after="0" w:line="344" w:lineRule="auto"/>
        <w:tabs>
          <w:tab w:leader="none" w:pos="800" w:val="left"/>
        </w:tabs>
        <w:numPr>
          <w:ilvl w:val="1"/>
          <w:numId w:val="1121"/>
        </w:numPr>
        <w:rPr>
          <w:rFonts w:ascii="Calibri" w:cs="Calibri" w:eastAsia="Calibri" w:hAnsi="Calibri"/>
          <w:sz w:val="22"/>
          <w:szCs w:val="22"/>
          <w:color w:val="auto"/>
        </w:rPr>
      </w:pPr>
      <w:r>
        <w:rPr>
          <w:rFonts w:ascii="Times New Roman" w:cs="Times New Roman" w:eastAsia="Times New Roman" w:hAnsi="Times New Roman"/>
          <w:sz w:val="24"/>
          <w:szCs w:val="24"/>
          <w:color w:val="auto"/>
        </w:rPr>
        <w:t>A statement that the IDR holders who have not received the application form may, along with the requisite application money, apply in writing on a plain paper.</w:t>
      </w:r>
    </w:p>
    <w:p>
      <w:pPr>
        <w:spacing w:after="0" w:line="26" w:lineRule="exact"/>
        <w:rPr>
          <w:rFonts w:ascii="Calibri" w:cs="Calibri" w:eastAsia="Calibri" w:hAnsi="Calibri"/>
          <w:sz w:val="22"/>
          <w:szCs w:val="22"/>
          <w:color w:val="auto"/>
        </w:rPr>
      </w:pPr>
    </w:p>
    <w:p>
      <w:pPr>
        <w:jc w:val="both"/>
        <w:ind w:left="800" w:hanging="368"/>
        <w:spacing w:after="0" w:line="356" w:lineRule="auto"/>
        <w:tabs>
          <w:tab w:leader="none" w:pos="800" w:val="left"/>
        </w:tabs>
        <w:numPr>
          <w:ilvl w:val="2"/>
          <w:numId w:val="1121"/>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format to enable the IDR holders to make the application on plain paper specifying therein necessary particulars such as name, address, ratio of rights issue, issue price, number of IDRs held, ledger folio numbers, depository participant ID, client ID, number of IDRs entitled and applied for, additional IDRs if any, amount to be paid along with application, and particulars of cheque, etc. to be drawn in favour of the issuer’s account.</w:t>
      </w:r>
    </w:p>
    <w:p>
      <w:pPr>
        <w:spacing w:after="0" w:line="17" w:lineRule="exact"/>
        <w:rPr>
          <w:rFonts w:ascii="Calibri" w:cs="Calibri" w:eastAsia="Calibri" w:hAnsi="Calibri"/>
          <w:sz w:val="22"/>
          <w:szCs w:val="22"/>
          <w:color w:val="auto"/>
        </w:rPr>
      </w:pPr>
    </w:p>
    <w:p>
      <w:pPr>
        <w:jc w:val="both"/>
        <w:ind w:left="800" w:hanging="368"/>
        <w:spacing w:after="0" w:line="350" w:lineRule="auto"/>
        <w:tabs>
          <w:tab w:leader="none" w:pos="800" w:val="left"/>
        </w:tabs>
        <w:numPr>
          <w:ilvl w:val="2"/>
          <w:numId w:val="1121"/>
        </w:numPr>
        <w:rPr>
          <w:rFonts w:ascii="Calibri" w:cs="Calibri" w:eastAsia="Calibri" w:hAnsi="Calibri"/>
          <w:sz w:val="22"/>
          <w:szCs w:val="22"/>
          <w:color w:val="auto"/>
        </w:rPr>
      </w:pPr>
      <w:r>
        <w:rPr>
          <w:rFonts w:ascii="Times New Roman" w:cs="Times New Roman" w:eastAsia="Times New Roman" w:hAnsi="Times New Roman"/>
          <w:sz w:val="24"/>
          <w:szCs w:val="24"/>
          <w:color w:val="auto"/>
        </w:rPr>
        <w:t>A statement that the IDR holders making the application otherwise than on the application form shall not renounce their rights and shall not utilise the application form for any purpose including renunciation even if it is received subsequently.</w:t>
      </w:r>
    </w:p>
    <w:p>
      <w:pPr>
        <w:spacing w:after="0" w:line="25" w:lineRule="exact"/>
        <w:rPr>
          <w:rFonts w:ascii="Calibri" w:cs="Calibri" w:eastAsia="Calibri" w:hAnsi="Calibri"/>
          <w:sz w:val="22"/>
          <w:szCs w:val="22"/>
          <w:color w:val="auto"/>
        </w:rPr>
      </w:pPr>
    </w:p>
    <w:p>
      <w:pPr>
        <w:ind w:left="800" w:hanging="368"/>
        <w:spacing w:after="0" w:line="342" w:lineRule="auto"/>
        <w:tabs>
          <w:tab w:leader="none" w:pos="800" w:val="left"/>
        </w:tabs>
        <w:numPr>
          <w:ilvl w:val="2"/>
          <w:numId w:val="1121"/>
        </w:numPr>
        <w:rPr>
          <w:rFonts w:ascii="Calibri" w:cs="Calibri" w:eastAsia="Calibri" w:hAnsi="Calibri"/>
          <w:sz w:val="22"/>
          <w:szCs w:val="22"/>
          <w:color w:val="auto"/>
        </w:rPr>
      </w:pPr>
      <w:r>
        <w:rPr>
          <w:rFonts w:ascii="Times New Roman" w:cs="Times New Roman" w:eastAsia="Times New Roman" w:hAnsi="Times New Roman"/>
          <w:sz w:val="24"/>
          <w:szCs w:val="24"/>
          <w:color w:val="auto"/>
        </w:rPr>
        <w:t>Provisions relating to punishment for fictitious applications, including the disclosures that any person who:</w:t>
      </w:r>
    </w:p>
    <w:p>
      <w:pPr>
        <w:spacing w:after="0" w:line="31" w:lineRule="exact"/>
        <w:rPr>
          <w:rFonts w:ascii="Calibri" w:cs="Calibri" w:eastAsia="Calibri" w:hAnsi="Calibri"/>
          <w:sz w:val="22"/>
          <w:szCs w:val="22"/>
          <w:color w:val="auto"/>
        </w:rPr>
      </w:pPr>
    </w:p>
    <w:p>
      <w:pPr>
        <w:ind w:left="1160" w:hanging="368"/>
        <w:spacing w:after="0" w:line="348" w:lineRule="auto"/>
        <w:tabs>
          <w:tab w:leader="none" w:pos="1160" w:val="left"/>
        </w:tabs>
        <w:numPr>
          <w:ilvl w:val="3"/>
          <w:numId w:val="11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makes in a fictitious name an application to a company for acquiring, or subscribing for, any IDRs therein, or</w:t>
      </w:r>
    </w:p>
    <w:p>
      <w:pPr>
        <w:spacing w:after="0" w:line="27" w:lineRule="exact"/>
        <w:rPr>
          <w:rFonts w:ascii="Times New Roman" w:cs="Times New Roman" w:eastAsia="Times New Roman" w:hAnsi="Times New Roman"/>
          <w:sz w:val="24"/>
          <w:szCs w:val="24"/>
          <w:color w:val="auto"/>
        </w:rPr>
      </w:pPr>
    </w:p>
    <w:p>
      <w:pPr>
        <w:jc w:val="both"/>
        <w:ind w:left="1160" w:hanging="368"/>
        <w:spacing w:after="0" w:line="354" w:lineRule="auto"/>
        <w:tabs>
          <w:tab w:leader="none" w:pos="1160" w:val="left"/>
        </w:tabs>
        <w:numPr>
          <w:ilvl w:val="3"/>
          <w:numId w:val="11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otherwise induces a company to allot, or register any transfer of, IDRs therein to such person, or any other person in a fictitious name, shall be punishable in accordance with the provisions of law.</w:t>
      </w:r>
    </w:p>
    <w:p>
      <w:pPr>
        <w:ind w:left="800" w:hanging="368"/>
        <w:spacing w:after="0"/>
        <w:tabs>
          <w:tab w:leader="none" w:pos="800" w:val="left"/>
        </w:tabs>
        <w:numPr>
          <w:ilvl w:val="2"/>
          <w:numId w:val="1121"/>
        </w:numPr>
        <w:rPr>
          <w:rFonts w:ascii="Calibri" w:cs="Calibri" w:eastAsia="Calibri" w:hAnsi="Calibri"/>
          <w:sz w:val="22"/>
          <w:szCs w:val="22"/>
          <w:color w:val="auto"/>
        </w:rPr>
      </w:pPr>
      <w:r>
        <w:rPr>
          <w:rFonts w:ascii="Times New Roman" w:cs="Times New Roman" w:eastAsia="Times New Roman" w:hAnsi="Times New Roman"/>
          <w:sz w:val="24"/>
          <w:szCs w:val="24"/>
          <w:color w:val="auto"/>
        </w:rPr>
        <w:t>Mode of making refunds:</w:t>
      </w:r>
    </w:p>
    <w:p>
      <w:pPr>
        <w:spacing w:after="0" w:line="151" w:lineRule="exact"/>
        <w:rPr>
          <w:rFonts w:ascii="Calibri" w:cs="Calibri" w:eastAsia="Calibri" w:hAnsi="Calibri"/>
          <w:sz w:val="22"/>
          <w:szCs w:val="22"/>
          <w:color w:val="auto"/>
        </w:rPr>
      </w:pPr>
    </w:p>
    <w:p>
      <w:pPr>
        <w:ind w:left="1940" w:hanging="500"/>
        <w:spacing w:after="0" w:line="348" w:lineRule="auto"/>
        <w:tabs>
          <w:tab w:leader="none" w:pos="1940" w:val="left"/>
        </w:tabs>
        <w:numPr>
          <w:ilvl w:val="4"/>
          <w:numId w:val="11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mode in which the issuer shall make refunds to applicants in case of oversubscription or failure to list.</w:t>
      </w:r>
    </w:p>
    <w:p>
      <w:pPr>
        <w:spacing w:after="0" w:line="27" w:lineRule="exact"/>
        <w:rPr>
          <w:rFonts w:ascii="Times New Roman" w:cs="Times New Roman" w:eastAsia="Times New Roman" w:hAnsi="Times New Roman"/>
          <w:sz w:val="24"/>
          <w:szCs w:val="24"/>
          <w:color w:val="auto"/>
        </w:rPr>
      </w:pPr>
    </w:p>
    <w:p>
      <w:pPr>
        <w:jc w:val="both"/>
        <w:ind w:left="1940" w:hanging="500"/>
        <w:spacing w:after="0" w:line="354" w:lineRule="auto"/>
        <w:tabs>
          <w:tab w:leader="none" w:pos="1940" w:val="left"/>
        </w:tabs>
        <w:numPr>
          <w:ilvl w:val="4"/>
          <w:numId w:val="11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 issuer proposes to use more than one mode of making refunds to applicants, the respective cases where each such mode will be adopted shall be disclosed.</w:t>
      </w:r>
    </w:p>
    <w:p>
      <w:pPr>
        <w:spacing w:after="0" w:line="200" w:lineRule="exact"/>
        <w:rPr>
          <w:rFonts w:ascii="Times New Roman" w:cs="Times New Roman" w:eastAsia="Times New Roman" w:hAnsi="Times New Roman"/>
          <w:sz w:val="24"/>
          <w:szCs w:val="24"/>
          <w:color w:val="auto"/>
        </w:rPr>
      </w:pPr>
    </w:p>
    <w:p>
      <w:pPr>
        <w:spacing w:after="0" w:line="220" w:lineRule="exact"/>
        <w:rPr>
          <w:rFonts w:ascii="Times New Roman" w:cs="Times New Roman" w:eastAsia="Times New Roman" w:hAnsi="Times New Roman"/>
          <w:sz w:val="24"/>
          <w:szCs w:val="24"/>
          <w:color w:val="auto"/>
        </w:rPr>
      </w:pPr>
    </w:p>
    <w:p>
      <w:pPr>
        <w:ind w:left="440" w:hanging="368"/>
        <w:spacing w:after="0"/>
        <w:tabs>
          <w:tab w:leader="none" w:pos="440" w:val="left"/>
        </w:tabs>
        <w:numPr>
          <w:ilvl w:val="0"/>
          <w:numId w:val="1122"/>
        </w:numPr>
        <w:rPr>
          <w:rFonts w:ascii="Calibri" w:cs="Calibri" w:eastAsia="Calibri" w:hAnsi="Calibri"/>
          <w:sz w:val="22"/>
          <w:szCs w:val="22"/>
          <w:b w:val="1"/>
          <w:bCs w:val="1"/>
          <w:color w:val="auto"/>
        </w:rPr>
      </w:pPr>
      <w:r>
        <w:rPr>
          <w:rFonts w:ascii="Times New Roman" w:cs="Times New Roman" w:eastAsia="Times New Roman" w:hAnsi="Times New Roman"/>
          <w:sz w:val="24"/>
          <w:szCs w:val="24"/>
          <w:b w:val="1"/>
          <w:bCs w:val="1"/>
          <w:color w:val="auto"/>
        </w:rPr>
        <w:t>General information:</w:t>
      </w:r>
    </w:p>
    <w:p>
      <w:pPr>
        <w:spacing w:after="0" w:line="144" w:lineRule="exact"/>
        <w:rPr>
          <w:rFonts w:ascii="Calibri" w:cs="Calibri" w:eastAsia="Calibri" w:hAnsi="Calibri"/>
          <w:sz w:val="22"/>
          <w:szCs w:val="22"/>
          <w:b w:val="1"/>
          <w:bCs w:val="1"/>
          <w:color w:val="auto"/>
        </w:rPr>
      </w:pPr>
    </w:p>
    <w:p>
      <w:pPr>
        <w:jc w:val="both"/>
        <w:ind w:left="800" w:hanging="440"/>
        <w:spacing w:after="0" w:line="356" w:lineRule="auto"/>
        <w:tabs>
          <w:tab w:leader="none" w:pos="800" w:val="left"/>
        </w:tabs>
        <w:numPr>
          <w:ilvl w:val="1"/>
          <w:numId w:val="11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 address and contact information including telephone numbers, fax numbers, contact person, website addresses and e-mail addresses of the domestic depository, the overseas custodian bank with the address of its office in India, the merchant banker, the underwriter to the issue, syndicate member(s), bankers to the issue, self certified</w:t>
      </w:r>
    </w:p>
    <w:p>
      <w:pPr>
        <w:spacing w:after="0" w:line="263"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359</w:t>
      </w:r>
    </w:p>
    <w:p>
      <w:pPr>
        <w:sectPr>
          <w:pgSz w:w="11900" w:h="16836" w:orient="portrait"/>
          <w:cols w:equalWidth="0" w:num="1">
            <w:col w:w="9180"/>
          </w:cols>
          <w:pgMar w:left="1440" w:top="1156" w:right="1284" w:bottom="103" w:gutter="0" w:footer="0" w:header="0"/>
        </w:sectPr>
      </w:pPr>
    </w:p>
    <w:bookmarkStart w:id="359" w:name="page360"/>
    <w:bookmarkEnd w:id="359"/>
    <w:p>
      <w:pPr>
        <w:ind w:left="800"/>
        <w:spacing w:after="0" w:line="348" w:lineRule="auto"/>
        <w:rPr>
          <w:sz w:val="20"/>
          <w:szCs w:val="20"/>
          <w:color w:val="auto"/>
        </w:rPr>
      </w:pPr>
      <w:r>
        <w:rPr>
          <w:rFonts w:ascii="Times New Roman" w:cs="Times New Roman" w:eastAsia="Times New Roman" w:hAnsi="Times New Roman"/>
          <w:sz w:val="24"/>
          <w:szCs w:val="24"/>
          <w:color w:val="auto"/>
        </w:rPr>
        <w:t>syndicate banks, auditors of the issuer, legal advisors to the issue and any other intermediary which may be appointed in connection with the issue of IDRs.</w:t>
      </w:r>
    </w:p>
    <w:p>
      <w:pPr>
        <w:spacing w:after="0" w:line="16" w:lineRule="exact"/>
        <w:rPr>
          <w:sz w:val="20"/>
          <w:szCs w:val="20"/>
          <w:color w:val="auto"/>
        </w:rPr>
      </w:pPr>
    </w:p>
    <w:p>
      <w:pPr>
        <w:ind w:left="800" w:hanging="440"/>
        <w:spacing w:after="0"/>
        <w:tabs>
          <w:tab w:leader="none" w:pos="800" w:val="left"/>
        </w:tabs>
        <w:numPr>
          <w:ilvl w:val="0"/>
          <w:numId w:val="11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Names, addresses and contact information of experts and counsel.</w:t>
      </w:r>
    </w:p>
    <w:p>
      <w:pPr>
        <w:spacing w:after="0" w:line="149" w:lineRule="exact"/>
        <w:rPr>
          <w:rFonts w:ascii="Times New Roman" w:cs="Times New Roman" w:eastAsia="Times New Roman" w:hAnsi="Times New Roman"/>
          <w:sz w:val="24"/>
          <w:szCs w:val="24"/>
          <w:color w:val="auto"/>
        </w:rPr>
      </w:pPr>
    </w:p>
    <w:p>
      <w:pPr>
        <w:ind w:left="800" w:hanging="440"/>
        <w:spacing w:after="0" w:line="350" w:lineRule="auto"/>
        <w:tabs>
          <w:tab w:leader="none" w:pos="800" w:val="left"/>
        </w:tabs>
        <w:numPr>
          <w:ilvl w:val="0"/>
          <w:numId w:val="11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names, addresses, telephone numbers, fax numbers and e-mail addresses of the Company Secretary and compliance officer of the issuer in India.</w:t>
      </w:r>
    </w:p>
    <w:p>
      <w:pPr>
        <w:spacing w:after="0" w:line="23" w:lineRule="exact"/>
        <w:rPr>
          <w:rFonts w:ascii="Times New Roman" w:cs="Times New Roman" w:eastAsia="Times New Roman" w:hAnsi="Times New Roman"/>
          <w:sz w:val="24"/>
          <w:szCs w:val="24"/>
          <w:color w:val="auto"/>
        </w:rPr>
      </w:pPr>
    </w:p>
    <w:p>
      <w:pPr>
        <w:ind w:left="800" w:hanging="440"/>
        <w:spacing w:after="0" w:line="350" w:lineRule="auto"/>
        <w:tabs>
          <w:tab w:leader="none" w:pos="800" w:val="left"/>
        </w:tabs>
        <w:numPr>
          <w:ilvl w:val="0"/>
          <w:numId w:val="11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statement of inter-se allocation of responsibilities among lead manager(s), where more than one merchant banker is associated with the issue.</w:t>
      </w:r>
    </w:p>
    <w:p>
      <w:pPr>
        <w:spacing w:after="0" w:line="10" w:lineRule="exact"/>
        <w:rPr>
          <w:rFonts w:ascii="Times New Roman" w:cs="Times New Roman" w:eastAsia="Times New Roman" w:hAnsi="Times New Roman"/>
          <w:sz w:val="24"/>
          <w:szCs w:val="24"/>
          <w:color w:val="auto"/>
        </w:rPr>
      </w:pPr>
    </w:p>
    <w:p>
      <w:pPr>
        <w:ind w:left="800" w:hanging="440"/>
        <w:spacing w:after="0"/>
        <w:tabs>
          <w:tab w:leader="none" w:pos="800" w:val="left"/>
        </w:tabs>
        <w:numPr>
          <w:ilvl w:val="0"/>
          <w:numId w:val="11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details of underwriting of the IDRs, if any:</w:t>
      </w:r>
    </w:p>
    <w:p>
      <w:pPr>
        <w:spacing w:after="0" w:line="156" w:lineRule="exact"/>
        <w:rPr>
          <w:rFonts w:ascii="Times New Roman" w:cs="Times New Roman" w:eastAsia="Times New Roman" w:hAnsi="Times New Roman"/>
          <w:sz w:val="24"/>
          <w:szCs w:val="24"/>
          <w:color w:val="auto"/>
        </w:rPr>
      </w:pPr>
    </w:p>
    <w:p>
      <w:pPr>
        <w:ind w:left="1940" w:hanging="500"/>
        <w:spacing w:after="0" w:line="333" w:lineRule="auto"/>
        <w:tabs>
          <w:tab w:leader="none" w:pos="1940" w:val="left"/>
        </w:tabs>
        <w:numPr>
          <w:ilvl w:val="1"/>
          <w:numId w:val="1123"/>
        </w:numPr>
        <w:rPr>
          <w:rFonts w:ascii="Calibri" w:cs="Calibri" w:eastAsia="Calibri" w:hAnsi="Calibri"/>
          <w:sz w:val="24"/>
          <w:szCs w:val="24"/>
          <w:color w:val="auto"/>
        </w:rPr>
      </w:pPr>
      <w:r>
        <w:rPr>
          <w:rFonts w:ascii="Times New Roman" w:cs="Times New Roman" w:eastAsia="Times New Roman" w:hAnsi="Times New Roman"/>
          <w:sz w:val="24"/>
          <w:szCs w:val="24"/>
          <w:color w:val="auto"/>
        </w:rPr>
        <w:t>The names, address, telephone numbers, fax numbers and e-mail address of the underwriters and the amount underwritten by them.</w:t>
      </w:r>
    </w:p>
    <w:p>
      <w:pPr>
        <w:spacing w:after="0" w:line="43" w:lineRule="exact"/>
        <w:rPr>
          <w:rFonts w:ascii="Calibri" w:cs="Calibri" w:eastAsia="Calibri" w:hAnsi="Calibri"/>
          <w:sz w:val="24"/>
          <w:szCs w:val="24"/>
          <w:color w:val="auto"/>
        </w:rPr>
      </w:pPr>
    </w:p>
    <w:p>
      <w:pPr>
        <w:jc w:val="both"/>
        <w:ind w:left="1940" w:hanging="500"/>
        <w:spacing w:after="0" w:line="344" w:lineRule="auto"/>
        <w:tabs>
          <w:tab w:leader="none" w:pos="1940" w:val="left"/>
        </w:tabs>
        <w:numPr>
          <w:ilvl w:val="1"/>
          <w:numId w:val="1123"/>
        </w:numPr>
        <w:rPr>
          <w:rFonts w:ascii="Calibri" w:cs="Calibri" w:eastAsia="Calibri" w:hAnsi="Calibri"/>
          <w:sz w:val="24"/>
          <w:szCs w:val="24"/>
          <w:color w:val="auto"/>
        </w:rPr>
      </w:pPr>
      <w:r>
        <w:rPr>
          <w:rFonts w:ascii="Times New Roman" w:cs="Times New Roman" w:eastAsia="Times New Roman" w:hAnsi="Times New Roman"/>
          <w:sz w:val="24"/>
          <w:szCs w:val="24"/>
          <w:color w:val="auto"/>
        </w:rPr>
        <w:t>A declaration by the board of directors of the issuer that, as far as the directors are aware, the underwriters of IDRs have sufficient resources to discharge their respective obligations.</w:t>
      </w:r>
    </w:p>
    <w:p>
      <w:pPr>
        <w:spacing w:after="0" w:line="17" w:lineRule="exact"/>
        <w:rPr>
          <w:rFonts w:ascii="Calibri" w:cs="Calibri" w:eastAsia="Calibri" w:hAnsi="Calibri"/>
          <w:sz w:val="24"/>
          <w:szCs w:val="24"/>
          <w:color w:val="auto"/>
        </w:rPr>
      </w:pPr>
    </w:p>
    <w:p>
      <w:pPr>
        <w:ind w:left="800" w:hanging="440"/>
        <w:spacing w:after="0"/>
        <w:tabs>
          <w:tab w:leader="none" w:pos="800" w:val="left"/>
        </w:tabs>
        <w:numPr>
          <w:ilvl w:val="0"/>
          <w:numId w:val="11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partial underwriting of the issue, the extent of underwriting.</w:t>
      </w:r>
    </w:p>
    <w:p>
      <w:pPr>
        <w:spacing w:after="0" w:line="151" w:lineRule="exact"/>
        <w:rPr>
          <w:rFonts w:ascii="Times New Roman" w:cs="Times New Roman" w:eastAsia="Times New Roman" w:hAnsi="Times New Roman"/>
          <w:sz w:val="24"/>
          <w:szCs w:val="24"/>
          <w:color w:val="auto"/>
        </w:rPr>
      </w:pPr>
    </w:p>
    <w:p>
      <w:pPr>
        <w:ind w:left="800" w:hanging="440"/>
        <w:spacing w:after="0" w:line="348" w:lineRule="auto"/>
        <w:tabs>
          <w:tab w:leader="none" w:pos="800" w:val="left"/>
        </w:tabs>
        <w:numPr>
          <w:ilvl w:val="0"/>
          <w:numId w:val="11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details of final underwriting arrangement in the addendum for rights offering filed with the designated stock exchange, indicating actual number of IDRs underwritten.</w:t>
      </w:r>
    </w:p>
    <w:p>
      <w:pPr>
        <w:spacing w:after="0" w:line="13" w:lineRule="exact"/>
        <w:rPr>
          <w:rFonts w:ascii="Times New Roman" w:cs="Times New Roman" w:eastAsia="Times New Roman" w:hAnsi="Times New Roman"/>
          <w:sz w:val="24"/>
          <w:szCs w:val="24"/>
          <w:color w:val="auto"/>
        </w:rPr>
      </w:pPr>
    </w:p>
    <w:p>
      <w:pPr>
        <w:ind w:left="800" w:hanging="440"/>
        <w:spacing w:after="0"/>
        <w:tabs>
          <w:tab w:leader="none" w:pos="800" w:val="left"/>
        </w:tabs>
        <w:numPr>
          <w:ilvl w:val="0"/>
          <w:numId w:val="11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Method and expected timetable of the issue.</w:t>
      </w:r>
    </w:p>
    <w:p>
      <w:pPr>
        <w:spacing w:after="0" w:line="151" w:lineRule="exact"/>
        <w:rPr>
          <w:rFonts w:ascii="Times New Roman" w:cs="Times New Roman" w:eastAsia="Times New Roman" w:hAnsi="Times New Roman"/>
          <w:sz w:val="24"/>
          <w:szCs w:val="24"/>
          <w:color w:val="auto"/>
        </w:rPr>
      </w:pPr>
    </w:p>
    <w:p>
      <w:pPr>
        <w:jc w:val="both"/>
        <w:ind w:left="800" w:hanging="440"/>
        <w:spacing w:after="0" w:line="354" w:lineRule="auto"/>
        <w:tabs>
          <w:tab w:leader="none" w:pos="800" w:val="left"/>
        </w:tabs>
        <w:numPr>
          <w:ilvl w:val="0"/>
          <w:numId w:val="11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statement by the issuing company that all monies received out of issue of IDR shall be transferred to a separate domestic bank account, name and address of the bank and the nature and number of the account to which the amount shall be credited.</w:t>
      </w:r>
    </w:p>
    <w:p>
      <w:pPr>
        <w:spacing w:after="0" w:line="19" w:lineRule="exact"/>
        <w:rPr>
          <w:rFonts w:ascii="Times New Roman" w:cs="Times New Roman" w:eastAsia="Times New Roman" w:hAnsi="Times New Roman"/>
          <w:sz w:val="24"/>
          <w:szCs w:val="24"/>
          <w:color w:val="auto"/>
        </w:rPr>
      </w:pPr>
    </w:p>
    <w:p>
      <w:pPr>
        <w:ind w:left="800" w:hanging="440"/>
        <w:spacing w:after="0" w:line="350" w:lineRule="auto"/>
        <w:tabs>
          <w:tab w:leader="none" w:pos="800" w:val="left"/>
        </w:tabs>
        <w:numPr>
          <w:ilvl w:val="0"/>
          <w:numId w:val="11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availability of the offer document along with the addendum and forms, i.e., date, time, place etc.</w:t>
      </w:r>
    </w:p>
    <w:p>
      <w:pPr>
        <w:spacing w:after="0" w:line="10" w:lineRule="exact"/>
        <w:rPr>
          <w:rFonts w:ascii="Times New Roman" w:cs="Times New Roman" w:eastAsia="Times New Roman" w:hAnsi="Times New Roman"/>
          <w:sz w:val="24"/>
          <w:szCs w:val="24"/>
          <w:color w:val="auto"/>
        </w:rPr>
      </w:pPr>
    </w:p>
    <w:p>
      <w:pPr>
        <w:ind w:left="800" w:hanging="440"/>
        <w:spacing w:after="0"/>
        <w:tabs>
          <w:tab w:leader="none" w:pos="800" w:val="left"/>
        </w:tabs>
        <w:numPr>
          <w:ilvl w:val="0"/>
          <w:numId w:val="11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Amount and mode of payment seeking issue of IDRs.</w:t>
      </w:r>
    </w:p>
    <w:p>
      <w:pPr>
        <w:spacing w:after="0" w:line="152" w:lineRule="exact"/>
        <w:rPr>
          <w:rFonts w:ascii="Times New Roman" w:cs="Times New Roman" w:eastAsia="Times New Roman" w:hAnsi="Times New Roman"/>
          <w:sz w:val="24"/>
          <w:szCs w:val="24"/>
          <w:color w:val="auto"/>
        </w:rPr>
      </w:pPr>
    </w:p>
    <w:p>
      <w:pPr>
        <w:ind w:left="800" w:hanging="440"/>
        <w:spacing w:after="0" w:line="348" w:lineRule="auto"/>
        <w:tabs>
          <w:tab w:leader="none" w:pos="800" w:val="left"/>
        </w:tabs>
        <w:numPr>
          <w:ilvl w:val="0"/>
          <w:numId w:val="11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brief statement about the history, corporate structure and business overview of the issuer and major events in the past.</w:t>
      </w:r>
    </w:p>
    <w:p>
      <w:pPr>
        <w:spacing w:after="0" w:line="27" w:lineRule="exact"/>
        <w:rPr>
          <w:rFonts w:ascii="Times New Roman" w:cs="Times New Roman" w:eastAsia="Times New Roman" w:hAnsi="Times New Roman"/>
          <w:sz w:val="24"/>
          <w:szCs w:val="24"/>
          <w:color w:val="auto"/>
        </w:rPr>
      </w:pPr>
    </w:p>
    <w:p>
      <w:pPr>
        <w:jc w:val="both"/>
        <w:ind w:left="800" w:hanging="440"/>
        <w:spacing w:after="0" w:line="356" w:lineRule="auto"/>
        <w:tabs>
          <w:tab w:leader="none" w:pos="800" w:val="left"/>
        </w:tabs>
        <w:numPr>
          <w:ilvl w:val="0"/>
          <w:numId w:val="11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brief status or statement on the compliance status of the issuer of its obligations under Depositary Agreement and the provisions of the listing agreement entered between the issuer and the stock exchanges, wherever its securities are listed, including the listing agreement entered with stock exchanges in India.</w:t>
      </w:r>
    </w:p>
    <w:p>
      <w:pPr>
        <w:spacing w:after="0" w:line="200" w:lineRule="exact"/>
        <w:rPr>
          <w:sz w:val="20"/>
          <w:szCs w:val="20"/>
          <w:color w:val="auto"/>
        </w:rPr>
      </w:pPr>
    </w:p>
    <w:p>
      <w:pPr>
        <w:spacing w:after="0" w:line="211" w:lineRule="exact"/>
        <w:rPr>
          <w:sz w:val="20"/>
          <w:szCs w:val="20"/>
          <w:color w:val="auto"/>
        </w:rPr>
      </w:pPr>
    </w:p>
    <w:p>
      <w:pPr>
        <w:ind w:left="80"/>
        <w:spacing w:after="0"/>
        <w:rPr>
          <w:sz w:val="20"/>
          <w:szCs w:val="20"/>
          <w:color w:val="auto"/>
        </w:rPr>
      </w:pPr>
      <w:r>
        <w:rPr>
          <w:rFonts w:ascii="Calibri" w:cs="Calibri" w:eastAsia="Calibri" w:hAnsi="Calibri"/>
          <w:sz w:val="22"/>
          <w:szCs w:val="22"/>
          <w:b w:val="1"/>
          <w:bCs w:val="1"/>
          <w:color w:val="auto"/>
        </w:rPr>
        <w:t xml:space="preserve">(IV) </w:t>
      </w:r>
      <w:r>
        <w:rPr>
          <w:rFonts w:ascii="Times New Roman" w:cs="Times New Roman" w:eastAsia="Times New Roman" w:hAnsi="Times New Roman"/>
          <w:sz w:val="24"/>
          <w:szCs w:val="24"/>
          <w:b w:val="1"/>
          <w:bCs w:val="1"/>
          <w:color w:val="auto"/>
        </w:rPr>
        <w:t>Management (Board of Directors):</w:t>
      </w:r>
    </w:p>
    <w:p>
      <w:pPr>
        <w:spacing w:after="0" w:line="148" w:lineRule="exact"/>
        <w:rPr>
          <w:sz w:val="20"/>
          <w:szCs w:val="20"/>
          <w:color w:val="auto"/>
        </w:rPr>
      </w:pPr>
    </w:p>
    <w:p>
      <w:pPr>
        <w:jc w:val="both"/>
        <w:ind w:left="800" w:hanging="512"/>
        <w:spacing w:after="0" w:line="344" w:lineRule="auto"/>
        <w:tabs>
          <w:tab w:leader="none" w:pos="800" w:val="left"/>
        </w:tabs>
        <w:numPr>
          <w:ilvl w:val="0"/>
          <w:numId w:val="1124"/>
        </w:numPr>
        <w:rPr>
          <w:rFonts w:ascii="Calibri" w:cs="Calibri" w:eastAsia="Calibri" w:hAnsi="Calibri"/>
          <w:sz w:val="24"/>
          <w:szCs w:val="24"/>
          <w:color w:val="auto"/>
        </w:rPr>
      </w:pPr>
      <w:r>
        <w:rPr>
          <w:rFonts w:ascii="Times New Roman" w:cs="Times New Roman" w:eastAsia="Times New Roman" w:hAnsi="Times New Roman"/>
          <w:sz w:val="24"/>
          <w:szCs w:val="24"/>
          <w:color w:val="auto"/>
        </w:rPr>
        <w:t>Name, date of birth, age, qualifications, experience, address, occupation and date of expiration of the current term of office of executive or whole time directors, giving their directorships in other companies, as the case may be.</w:t>
      </w:r>
    </w:p>
    <w:p>
      <w:pPr>
        <w:spacing w:after="0" w:line="5" w:lineRule="exact"/>
        <w:rPr>
          <w:rFonts w:ascii="Calibri" w:cs="Calibri" w:eastAsia="Calibri" w:hAnsi="Calibri"/>
          <w:sz w:val="24"/>
          <w:szCs w:val="24"/>
          <w:color w:val="auto"/>
        </w:rPr>
      </w:pPr>
    </w:p>
    <w:p>
      <w:pPr>
        <w:ind w:left="800" w:hanging="512"/>
        <w:spacing w:after="0"/>
        <w:tabs>
          <w:tab w:leader="none" w:pos="800" w:val="left"/>
        </w:tabs>
        <w:numPr>
          <w:ilvl w:val="0"/>
          <w:numId w:val="1124"/>
        </w:numPr>
        <w:rPr>
          <w:rFonts w:ascii="Calibri" w:cs="Calibri" w:eastAsia="Calibri" w:hAnsi="Calibri"/>
          <w:sz w:val="24"/>
          <w:szCs w:val="24"/>
          <w:color w:val="auto"/>
        </w:rPr>
      </w:pPr>
      <w:r>
        <w:rPr>
          <w:rFonts w:ascii="Times New Roman" w:cs="Times New Roman" w:eastAsia="Times New Roman" w:hAnsi="Times New Roman"/>
          <w:sz w:val="24"/>
          <w:szCs w:val="24"/>
          <w:color w:val="auto"/>
        </w:rPr>
        <w:t>The nature of any family relationship between any of the directors.</w:t>
      </w:r>
    </w:p>
    <w:p>
      <w:pPr>
        <w:spacing w:after="0" w:line="377"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360</w:t>
      </w:r>
    </w:p>
    <w:p>
      <w:pPr>
        <w:sectPr>
          <w:pgSz w:w="11900" w:h="16836" w:orient="portrait"/>
          <w:cols w:equalWidth="0" w:num="1">
            <w:col w:w="9180"/>
          </w:cols>
          <w:pgMar w:left="1440" w:top="1156" w:right="1284" w:bottom="103" w:gutter="0" w:footer="0" w:header="0"/>
        </w:sectPr>
      </w:pPr>
    </w:p>
    <w:bookmarkStart w:id="360" w:name="page361"/>
    <w:bookmarkEnd w:id="360"/>
    <w:p>
      <w:pPr>
        <w:jc w:val="both"/>
        <w:ind w:left="800" w:hanging="512"/>
        <w:spacing w:after="0" w:line="344" w:lineRule="auto"/>
        <w:tabs>
          <w:tab w:leader="none" w:pos="800" w:val="left"/>
        </w:tabs>
        <w:numPr>
          <w:ilvl w:val="1"/>
          <w:numId w:val="1125"/>
        </w:numPr>
        <w:rPr>
          <w:rFonts w:ascii="Calibri" w:cs="Calibri" w:eastAsia="Calibri" w:hAnsi="Calibri"/>
          <w:sz w:val="24"/>
          <w:szCs w:val="24"/>
          <w:color w:val="auto"/>
        </w:rPr>
      </w:pPr>
      <w:r>
        <w:rPr>
          <w:rFonts w:ascii="Times New Roman" w:cs="Times New Roman" w:eastAsia="Times New Roman" w:hAnsi="Times New Roman"/>
          <w:sz w:val="24"/>
          <w:szCs w:val="24"/>
          <w:color w:val="auto"/>
        </w:rPr>
        <w:t>Any arrangement or understanding with major shareholders, customers, suppliers or others, pursuant to which of the directors was selected as a director or member of senior management.</w:t>
      </w:r>
    </w:p>
    <w:p>
      <w:pPr>
        <w:spacing w:after="0" w:line="34" w:lineRule="exact"/>
        <w:rPr>
          <w:rFonts w:ascii="Calibri" w:cs="Calibri" w:eastAsia="Calibri" w:hAnsi="Calibri"/>
          <w:sz w:val="24"/>
          <w:szCs w:val="24"/>
          <w:color w:val="auto"/>
        </w:rPr>
      </w:pPr>
    </w:p>
    <w:p>
      <w:pPr>
        <w:jc w:val="both"/>
        <w:ind w:left="800" w:hanging="512"/>
        <w:spacing w:after="0" w:line="344" w:lineRule="auto"/>
        <w:tabs>
          <w:tab w:leader="none" w:pos="800" w:val="left"/>
        </w:tabs>
        <w:numPr>
          <w:ilvl w:val="1"/>
          <w:numId w:val="1125"/>
        </w:numPr>
        <w:rPr>
          <w:rFonts w:ascii="Calibri" w:cs="Calibri" w:eastAsia="Calibri" w:hAnsi="Calibri"/>
          <w:sz w:val="24"/>
          <w:szCs w:val="24"/>
          <w:color w:val="auto"/>
        </w:rPr>
      </w:pPr>
      <w:r>
        <w:rPr>
          <w:rFonts w:ascii="Times New Roman" w:cs="Times New Roman" w:eastAsia="Times New Roman" w:hAnsi="Times New Roman"/>
          <w:sz w:val="24"/>
          <w:szCs w:val="24"/>
          <w:color w:val="auto"/>
        </w:rPr>
        <w:t>Details of service contracts entered into by the directors with the issuer providing for benefits upon termination of employment and a distinct negative statement in the absence of any such contract.</w:t>
      </w:r>
    </w:p>
    <w:p>
      <w:pPr>
        <w:spacing w:after="0" w:line="200" w:lineRule="exact"/>
        <w:rPr>
          <w:rFonts w:ascii="Calibri" w:cs="Calibri" w:eastAsia="Calibri" w:hAnsi="Calibri"/>
          <w:sz w:val="24"/>
          <w:szCs w:val="24"/>
          <w:color w:val="auto"/>
        </w:rPr>
      </w:pPr>
    </w:p>
    <w:p>
      <w:pPr>
        <w:spacing w:after="0" w:line="230" w:lineRule="exact"/>
        <w:rPr>
          <w:rFonts w:ascii="Calibri" w:cs="Calibri" w:eastAsia="Calibri" w:hAnsi="Calibri"/>
          <w:sz w:val="24"/>
          <w:szCs w:val="24"/>
          <w:color w:val="auto"/>
        </w:rPr>
      </w:pPr>
    </w:p>
    <w:p>
      <w:pPr>
        <w:ind w:left="440" w:hanging="368"/>
        <w:spacing w:after="0"/>
        <w:tabs>
          <w:tab w:leader="none" w:pos="440" w:val="left"/>
        </w:tabs>
        <w:numPr>
          <w:ilvl w:val="0"/>
          <w:numId w:val="1126"/>
        </w:numPr>
        <w:rPr>
          <w:rFonts w:ascii="Calibri" w:cs="Calibri" w:eastAsia="Calibri" w:hAnsi="Calibri"/>
          <w:sz w:val="22"/>
          <w:szCs w:val="22"/>
          <w:b w:val="1"/>
          <w:bCs w:val="1"/>
          <w:color w:val="auto"/>
        </w:rPr>
      </w:pPr>
      <w:r>
        <w:rPr>
          <w:rFonts w:ascii="Times New Roman" w:cs="Times New Roman" w:eastAsia="Times New Roman" w:hAnsi="Times New Roman"/>
          <w:sz w:val="24"/>
          <w:szCs w:val="24"/>
          <w:b w:val="1"/>
          <w:bCs w:val="1"/>
          <w:color w:val="auto"/>
        </w:rPr>
        <w:t>Financial information of the issuer:</w:t>
      </w:r>
    </w:p>
    <w:p>
      <w:pPr>
        <w:spacing w:after="0" w:line="147" w:lineRule="exact"/>
        <w:rPr>
          <w:rFonts w:ascii="Calibri" w:cs="Calibri" w:eastAsia="Calibri" w:hAnsi="Calibri"/>
          <w:sz w:val="22"/>
          <w:szCs w:val="22"/>
          <w:b w:val="1"/>
          <w:bCs w:val="1"/>
          <w:color w:val="auto"/>
        </w:rPr>
      </w:pPr>
    </w:p>
    <w:p>
      <w:pPr>
        <w:jc w:val="both"/>
        <w:ind w:left="800" w:hanging="512"/>
        <w:spacing w:after="0" w:line="355" w:lineRule="auto"/>
        <w:tabs>
          <w:tab w:leader="none" w:pos="800" w:val="left"/>
        </w:tabs>
        <w:numPr>
          <w:ilvl w:val="1"/>
          <w:numId w:val="1126"/>
        </w:numPr>
        <w:rPr>
          <w:rFonts w:ascii="Calibri" w:cs="Calibri" w:eastAsia="Calibri" w:hAnsi="Calibri"/>
          <w:sz w:val="22"/>
          <w:szCs w:val="22"/>
          <w:color w:val="auto"/>
        </w:rPr>
      </w:pPr>
      <w:r>
        <w:rPr>
          <w:rFonts w:ascii="Times New Roman" w:cs="Times New Roman" w:eastAsia="Times New Roman" w:hAnsi="Times New Roman"/>
          <w:sz w:val="24"/>
          <w:szCs w:val="24"/>
          <w:color w:val="auto"/>
        </w:rPr>
        <w:t>Convenience translation of the latest annual audited statements of consolidated profit and losses, assets and liabilities and cash flows, in Indian Rupees at the closing rate of exchange, as at the date on which the financial information is presented, as filed with the stock exchanges, pursuant to relevant provisions of the Securities and Exchange Board of India (Listing Obligations and Disclosure Requirements) Regulations, 2015.</w:t>
      </w:r>
    </w:p>
    <w:p>
      <w:pPr>
        <w:spacing w:after="0" w:line="17" w:lineRule="exact"/>
        <w:rPr>
          <w:rFonts w:ascii="Calibri" w:cs="Calibri" w:eastAsia="Calibri" w:hAnsi="Calibri"/>
          <w:sz w:val="22"/>
          <w:szCs w:val="22"/>
          <w:color w:val="auto"/>
        </w:rPr>
      </w:pPr>
    </w:p>
    <w:p>
      <w:pPr>
        <w:jc w:val="both"/>
        <w:ind w:left="800" w:hanging="512"/>
        <w:spacing w:after="0" w:line="355" w:lineRule="auto"/>
        <w:tabs>
          <w:tab w:leader="none" w:pos="800" w:val="left"/>
        </w:tabs>
        <w:numPr>
          <w:ilvl w:val="1"/>
          <w:numId w:val="1126"/>
        </w:numPr>
        <w:rPr>
          <w:rFonts w:ascii="Calibri" w:cs="Calibri" w:eastAsia="Calibri" w:hAnsi="Calibri"/>
          <w:sz w:val="22"/>
          <w:szCs w:val="22"/>
          <w:color w:val="auto"/>
        </w:rPr>
      </w:pPr>
      <w:r>
        <w:rPr>
          <w:rFonts w:ascii="Times New Roman" w:cs="Times New Roman" w:eastAsia="Times New Roman" w:hAnsi="Times New Roman"/>
          <w:sz w:val="24"/>
          <w:szCs w:val="24"/>
          <w:color w:val="auto"/>
        </w:rPr>
        <w:t>Convenience translation of the latest periodical financial results, in Indian Rupees (at the closing rate of exchange as at the date on which the financial information is presented), as filed with the stock exchanges, pursuant to relevant provisions of the Securities and Exchange Board of India (Listing Obligations and Disclosure Requirements) Regulations, 2015.</w:t>
      </w:r>
    </w:p>
    <w:p>
      <w:pPr>
        <w:ind w:left="800" w:hanging="512"/>
        <w:spacing w:after="0"/>
        <w:tabs>
          <w:tab w:leader="none" w:pos="800" w:val="left"/>
        </w:tabs>
        <w:numPr>
          <w:ilvl w:val="1"/>
          <w:numId w:val="1126"/>
        </w:numPr>
        <w:rPr>
          <w:rFonts w:ascii="Calibri" w:cs="Calibri" w:eastAsia="Calibri" w:hAnsi="Calibri"/>
          <w:sz w:val="22"/>
          <w:szCs w:val="22"/>
          <w:color w:val="auto"/>
        </w:rPr>
      </w:pPr>
      <w:r>
        <w:rPr>
          <w:rFonts w:ascii="Times New Roman" w:cs="Times New Roman" w:eastAsia="Times New Roman" w:hAnsi="Times New Roman"/>
          <w:sz w:val="24"/>
          <w:szCs w:val="24"/>
          <w:color w:val="auto"/>
        </w:rPr>
        <w:t>One standard financial unit shall be used in the Letter of Offer.</w:t>
      </w:r>
    </w:p>
    <w:p>
      <w:pPr>
        <w:spacing w:after="0" w:line="151" w:lineRule="exact"/>
        <w:rPr>
          <w:rFonts w:ascii="Calibri" w:cs="Calibri" w:eastAsia="Calibri" w:hAnsi="Calibri"/>
          <w:sz w:val="22"/>
          <w:szCs w:val="22"/>
          <w:color w:val="auto"/>
        </w:rPr>
      </w:pPr>
    </w:p>
    <w:p>
      <w:pPr>
        <w:ind w:left="800" w:hanging="512"/>
        <w:spacing w:after="0" w:line="342" w:lineRule="auto"/>
        <w:tabs>
          <w:tab w:leader="none" w:pos="800" w:val="left"/>
        </w:tabs>
        <w:numPr>
          <w:ilvl w:val="1"/>
          <w:numId w:val="1126"/>
        </w:numPr>
        <w:rPr>
          <w:rFonts w:ascii="Calibri" w:cs="Calibri" w:eastAsia="Calibri" w:hAnsi="Calibri"/>
          <w:sz w:val="22"/>
          <w:szCs w:val="22"/>
          <w:color w:val="auto"/>
        </w:rPr>
      </w:pPr>
      <w:r>
        <w:rPr>
          <w:rFonts w:ascii="Times New Roman" w:cs="Times New Roman" w:eastAsia="Times New Roman" w:hAnsi="Times New Roman"/>
          <w:sz w:val="24"/>
          <w:szCs w:val="24"/>
          <w:color w:val="auto"/>
        </w:rPr>
        <w:t>Link from where the investors can download the soft copy of detailed Annual Report of the issuer and their periodical filings.</w:t>
      </w:r>
    </w:p>
    <w:p>
      <w:pPr>
        <w:spacing w:after="0" w:line="200" w:lineRule="exact"/>
        <w:rPr>
          <w:sz w:val="20"/>
          <w:szCs w:val="20"/>
          <w:color w:val="auto"/>
        </w:rPr>
      </w:pPr>
    </w:p>
    <w:p>
      <w:pPr>
        <w:spacing w:after="0" w:line="224" w:lineRule="exact"/>
        <w:rPr>
          <w:sz w:val="20"/>
          <w:szCs w:val="20"/>
          <w:color w:val="auto"/>
        </w:rPr>
      </w:pPr>
    </w:p>
    <w:p>
      <w:pPr>
        <w:ind w:left="80"/>
        <w:spacing w:after="0"/>
        <w:rPr>
          <w:sz w:val="20"/>
          <w:szCs w:val="20"/>
          <w:color w:val="auto"/>
        </w:rPr>
      </w:pPr>
      <w:r>
        <w:rPr>
          <w:rFonts w:ascii="Calibri" w:cs="Calibri" w:eastAsia="Calibri" w:hAnsi="Calibri"/>
          <w:sz w:val="22"/>
          <w:szCs w:val="22"/>
          <w:b w:val="1"/>
          <w:bCs w:val="1"/>
          <w:color w:val="auto"/>
        </w:rPr>
        <w:t xml:space="preserve">(VI) </w:t>
      </w:r>
      <w:r>
        <w:rPr>
          <w:rFonts w:ascii="Times New Roman" w:cs="Times New Roman" w:eastAsia="Times New Roman" w:hAnsi="Times New Roman"/>
          <w:sz w:val="24"/>
          <w:szCs w:val="24"/>
          <w:b w:val="1"/>
          <w:bCs w:val="1"/>
          <w:color w:val="auto"/>
        </w:rPr>
        <w:t>Risk factors:</w:t>
      </w:r>
    </w:p>
    <w:p>
      <w:pPr>
        <w:spacing w:after="0" w:line="124" w:lineRule="exact"/>
        <w:rPr>
          <w:sz w:val="20"/>
          <w:szCs w:val="20"/>
          <w:color w:val="auto"/>
        </w:rPr>
      </w:pPr>
    </w:p>
    <w:p>
      <w:pPr>
        <w:ind w:left="800" w:hanging="512"/>
        <w:spacing w:after="0"/>
        <w:tabs>
          <w:tab w:leader="none" w:pos="800" w:val="left"/>
        </w:tabs>
        <w:numPr>
          <w:ilvl w:val="1"/>
          <w:numId w:val="1127"/>
        </w:numPr>
        <w:rPr>
          <w:rFonts w:ascii="Calibri" w:cs="Calibri" w:eastAsia="Calibri" w:hAnsi="Calibri"/>
          <w:sz w:val="22"/>
          <w:szCs w:val="22"/>
          <w:color w:val="auto"/>
        </w:rPr>
      </w:pPr>
      <w:r>
        <w:rPr>
          <w:rFonts w:ascii="Times New Roman" w:cs="Times New Roman" w:eastAsia="Times New Roman" w:hAnsi="Times New Roman"/>
          <w:sz w:val="24"/>
          <w:szCs w:val="24"/>
          <w:color w:val="auto"/>
        </w:rPr>
        <w:t>Risk factors shall be disclosed as follows:</w:t>
      </w:r>
    </w:p>
    <w:p>
      <w:pPr>
        <w:spacing w:after="0" w:line="124" w:lineRule="exact"/>
        <w:rPr>
          <w:rFonts w:ascii="Calibri" w:cs="Calibri" w:eastAsia="Calibri" w:hAnsi="Calibri"/>
          <w:sz w:val="22"/>
          <w:szCs w:val="22"/>
          <w:color w:val="auto"/>
        </w:rPr>
      </w:pPr>
    </w:p>
    <w:p>
      <w:pPr>
        <w:ind w:left="1160" w:hanging="368"/>
        <w:spacing w:after="0"/>
        <w:tabs>
          <w:tab w:leader="none" w:pos="1160" w:val="left"/>
        </w:tabs>
        <w:numPr>
          <w:ilvl w:val="2"/>
          <w:numId w:val="1127"/>
        </w:numPr>
        <w:rPr>
          <w:rFonts w:ascii="Calibri" w:cs="Calibri" w:eastAsia="Calibri" w:hAnsi="Calibri"/>
          <w:sz w:val="24"/>
          <w:szCs w:val="24"/>
          <w:color w:val="auto"/>
        </w:rPr>
      </w:pPr>
      <w:r>
        <w:rPr>
          <w:rFonts w:ascii="Times New Roman" w:cs="Times New Roman" w:eastAsia="Times New Roman" w:hAnsi="Times New Roman"/>
          <w:sz w:val="24"/>
          <w:szCs w:val="24"/>
          <w:color w:val="auto"/>
        </w:rPr>
        <w:t>Risk factors associated with the issuing company’s business</w:t>
      </w:r>
    </w:p>
    <w:p>
      <w:pPr>
        <w:spacing w:after="0" w:line="127" w:lineRule="exact"/>
        <w:rPr>
          <w:rFonts w:ascii="Calibri" w:cs="Calibri" w:eastAsia="Calibri" w:hAnsi="Calibri"/>
          <w:sz w:val="24"/>
          <w:szCs w:val="24"/>
          <w:color w:val="auto"/>
        </w:rPr>
      </w:pPr>
    </w:p>
    <w:p>
      <w:pPr>
        <w:ind w:left="1160" w:hanging="368"/>
        <w:spacing w:after="0"/>
        <w:tabs>
          <w:tab w:leader="none" w:pos="1160" w:val="left"/>
        </w:tabs>
        <w:numPr>
          <w:ilvl w:val="2"/>
          <w:numId w:val="1127"/>
        </w:numPr>
        <w:rPr>
          <w:rFonts w:ascii="Calibri" w:cs="Calibri" w:eastAsia="Calibri" w:hAnsi="Calibri"/>
          <w:sz w:val="24"/>
          <w:szCs w:val="24"/>
          <w:color w:val="auto"/>
        </w:rPr>
      </w:pPr>
      <w:r>
        <w:rPr>
          <w:rFonts w:ascii="Times New Roman" w:cs="Times New Roman" w:eastAsia="Times New Roman" w:hAnsi="Times New Roman"/>
          <w:sz w:val="24"/>
          <w:szCs w:val="24"/>
          <w:color w:val="auto"/>
        </w:rPr>
        <w:t>Risk factors associated with the country of the issuing company proposing to issue</w:t>
      </w:r>
    </w:p>
    <w:p>
      <w:pPr>
        <w:spacing w:after="0" w:line="136" w:lineRule="exact"/>
        <w:rPr>
          <w:rFonts w:ascii="Calibri" w:cs="Calibri" w:eastAsia="Calibri" w:hAnsi="Calibri"/>
          <w:sz w:val="24"/>
          <w:szCs w:val="24"/>
          <w:color w:val="auto"/>
        </w:rPr>
      </w:pPr>
    </w:p>
    <w:p>
      <w:pPr>
        <w:ind w:left="1160"/>
        <w:spacing w:after="0"/>
        <w:rPr>
          <w:rFonts w:ascii="Calibri" w:cs="Calibri" w:eastAsia="Calibri" w:hAnsi="Calibri"/>
          <w:sz w:val="24"/>
          <w:szCs w:val="24"/>
          <w:color w:val="auto"/>
        </w:rPr>
      </w:pPr>
      <w:r>
        <w:rPr>
          <w:rFonts w:ascii="Times New Roman" w:cs="Times New Roman" w:eastAsia="Times New Roman" w:hAnsi="Times New Roman"/>
          <w:sz w:val="24"/>
          <w:szCs w:val="24"/>
          <w:color w:val="auto"/>
        </w:rPr>
        <w:t>IDR</w:t>
      </w:r>
    </w:p>
    <w:p>
      <w:pPr>
        <w:spacing w:after="0" w:line="127" w:lineRule="exact"/>
        <w:rPr>
          <w:rFonts w:ascii="Calibri" w:cs="Calibri" w:eastAsia="Calibri" w:hAnsi="Calibri"/>
          <w:sz w:val="24"/>
          <w:szCs w:val="24"/>
          <w:color w:val="auto"/>
        </w:rPr>
      </w:pPr>
    </w:p>
    <w:p>
      <w:pPr>
        <w:ind w:left="1160" w:hanging="368"/>
        <w:spacing w:after="0"/>
        <w:tabs>
          <w:tab w:leader="none" w:pos="1160" w:val="left"/>
        </w:tabs>
        <w:numPr>
          <w:ilvl w:val="2"/>
          <w:numId w:val="1127"/>
        </w:numPr>
        <w:rPr>
          <w:rFonts w:ascii="Calibri" w:cs="Calibri" w:eastAsia="Calibri" w:hAnsi="Calibri"/>
          <w:sz w:val="24"/>
          <w:szCs w:val="24"/>
          <w:color w:val="auto"/>
        </w:rPr>
      </w:pPr>
      <w:r>
        <w:rPr>
          <w:rFonts w:ascii="Times New Roman" w:cs="Times New Roman" w:eastAsia="Times New Roman" w:hAnsi="Times New Roman"/>
          <w:sz w:val="24"/>
          <w:szCs w:val="24"/>
          <w:color w:val="auto"/>
        </w:rPr>
        <w:t>Risk factors associated with the IDR / underlying shares</w:t>
      </w:r>
    </w:p>
    <w:p>
      <w:pPr>
        <w:spacing w:after="0" w:line="149" w:lineRule="exact"/>
        <w:rPr>
          <w:rFonts w:ascii="Calibri" w:cs="Calibri" w:eastAsia="Calibri" w:hAnsi="Calibri"/>
          <w:sz w:val="24"/>
          <w:szCs w:val="24"/>
          <w:color w:val="auto"/>
        </w:rPr>
      </w:pPr>
    </w:p>
    <w:p>
      <w:pPr>
        <w:jc w:val="both"/>
        <w:ind w:left="800" w:hanging="548"/>
        <w:spacing w:after="0" w:line="350" w:lineRule="auto"/>
        <w:tabs>
          <w:tab w:leader="none" w:pos="800" w:val="left"/>
        </w:tabs>
        <w:numPr>
          <w:ilvl w:val="0"/>
          <w:numId w:val="1128"/>
        </w:numPr>
        <w:rPr>
          <w:rFonts w:ascii="Calibri" w:cs="Calibri" w:eastAsia="Calibri" w:hAnsi="Calibri"/>
          <w:sz w:val="22"/>
          <w:szCs w:val="22"/>
          <w:color w:val="auto"/>
        </w:rPr>
      </w:pPr>
      <w:r>
        <w:rPr>
          <w:rFonts w:ascii="Times New Roman" w:cs="Times New Roman" w:eastAsia="Times New Roman" w:hAnsi="Times New Roman"/>
          <w:sz w:val="24"/>
          <w:szCs w:val="24"/>
          <w:color w:val="auto"/>
        </w:rPr>
        <w:t>Risk factors shall be classified as those which are specific to the project and internal to the issuing company and those which are external and beyond the control of the issuing company.</w:t>
      </w:r>
    </w:p>
    <w:p>
      <w:pPr>
        <w:spacing w:after="0" w:line="23" w:lineRule="exact"/>
        <w:rPr>
          <w:rFonts w:ascii="Calibri" w:cs="Calibri" w:eastAsia="Calibri" w:hAnsi="Calibri"/>
          <w:sz w:val="22"/>
          <w:szCs w:val="22"/>
          <w:color w:val="auto"/>
        </w:rPr>
      </w:pPr>
    </w:p>
    <w:p>
      <w:pPr>
        <w:ind w:left="800" w:hanging="548"/>
        <w:spacing w:after="0" w:line="344" w:lineRule="auto"/>
        <w:tabs>
          <w:tab w:leader="none" w:pos="800" w:val="left"/>
        </w:tabs>
        <w:numPr>
          <w:ilvl w:val="0"/>
          <w:numId w:val="1128"/>
        </w:numPr>
        <w:rPr>
          <w:rFonts w:ascii="Calibri" w:cs="Calibri" w:eastAsia="Calibri" w:hAnsi="Calibri"/>
          <w:sz w:val="22"/>
          <w:szCs w:val="22"/>
          <w:color w:val="auto"/>
        </w:rPr>
      </w:pPr>
      <w:r>
        <w:rPr>
          <w:rFonts w:ascii="Times New Roman" w:cs="Times New Roman" w:eastAsia="Times New Roman" w:hAnsi="Times New Roman"/>
          <w:sz w:val="24"/>
          <w:szCs w:val="24"/>
          <w:color w:val="auto"/>
        </w:rPr>
        <w:t>Risk factors shall be determined on the basis of their materiality. Materiality shall be decided taking the following factors into account:</w:t>
      </w:r>
    </w:p>
    <w:p>
      <w:pPr>
        <w:spacing w:after="0" w:line="31" w:lineRule="exact"/>
        <w:rPr>
          <w:rFonts w:ascii="Calibri" w:cs="Calibri" w:eastAsia="Calibri" w:hAnsi="Calibri"/>
          <w:sz w:val="22"/>
          <w:szCs w:val="22"/>
          <w:color w:val="auto"/>
        </w:rPr>
      </w:pPr>
    </w:p>
    <w:p>
      <w:pPr>
        <w:ind w:left="1300" w:hanging="508"/>
        <w:spacing w:after="0" w:line="335" w:lineRule="auto"/>
        <w:tabs>
          <w:tab w:leader="none" w:pos="1300" w:val="left"/>
        </w:tabs>
        <w:numPr>
          <w:ilvl w:val="2"/>
          <w:numId w:val="1128"/>
        </w:numPr>
        <w:rPr>
          <w:rFonts w:ascii="Calibri" w:cs="Calibri" w:eastAsia="Calibri" w:hAnsi="Calibri"/>
          <w:sz w:val="24"/>
          <w:szCs w:val="24"/>
          <w:color w:val="auto"/>
        </w:rPr>
      </w:pPr>
      <w:r>
        <w:rPr>
          <w:rFonts w:ascii="Times New Roman" w:cs="Times New Roman" w:eastAsia="Times New Roman" w:hAnsi="Times New Roman"/>
          <w:sz w:val="24"/>
          <w:szCs w:val="24"/>
          <w:color w:val="auto"/>
        </w:rPr>
        <w:t>Some events may not be material individually but may be found material collectively</w:t>
      </w:r>
    </w:p>
    <w:p>
      <w:pPr>
        <w:spacing w:after="0" w:line="252"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361</w:t>
      </w:r>
    </w:p>
    <w:p>
      <w:pPr>
        <w:sectPr>
          <w:pgSz w:w="11900" w:h="16836" w:orient="portrait"/>
          <w:cols w:equalWidth="0" w:num="1">
            <w:col w:w="9180"/>
          </w:cols>
          <w:pgMar w:left="1440" w:top="1161" w:right="1284" w:bottom="103" w:gutter="0" w:footer="0" w:header="0"/>
        </w:sectPr>
      </w:pPr>
    </w:p>
    <w:bookmarkStart w:id="361" w:name="page362"/>
    <w:bookmarkEnd w:id="361"/>
    <w:p>
      <w:pPr>
        <w:ind w:left="1300" w:hanging="508"/>
        <w:spacing w:after="0"/>
        <w:tabs>
          <w:tab w:leader="none" w:pos="1300" w:val="left"/>
        </w:tabs>
        <w:numPr>
          <w:ilvl w:val="0"/>
          <w:numId w:val="1129"/>
        </w:numPr>
        <w:rPr>
          <w:rFonts w:ascii="Calibri" w:cs="Calibri" w:eastAsia="Calibri" w:hAnsi="Calibri"/>
          <w:sz w:val="24"/>
          <w:szCs w:val="24"/>
          <w:color w:val="auto"/>
        </w:rPr>
      </w:pPr>
      <w:r>
        <w:rPr>
          <w:rFonts w:ascii="Times New Roman" w:cs="Times New Roman" w:eastAsia="Times New Roman" w:hAnsi="Times New Roman"/>
          <w:sz w:val="24"/>
          <w:szCs w:val="24"/>
          <w:color w:val="auto"/>
        </w:rPr>
        <w:t>Some events may have material impact qualitatively instead of quantitatively</w:t>
      </w:r>
    </w:p>
    <w:p>
      <w:pPr>
        <w:spacing w:after="0" w:line="154" w:lineRule="exact"/>
        <w:rPr>
          <w:rFonts w:ascii="Calibri" w:cs="Calibri" w:eastAsia="Calibri" w:hAnsi="Calibri"/>
          <w:sz w:val="24"/>
          <w:szCs w:val="24"/>
          <w:color w:val="auto"/>
        </w:rPr>
      </w:pPr>
    </w:p>
    <w:p>
      <w:pPr>
        <w:ind w:left="1300" w:hanging="508"/>
        <w:spacing w:after="0" w:line="335" w:lineRule="auto"/>
        <w:tabs>
          <w:tab w:leader="none" w:pos="1300" w:val="left"/>
        </w:tabs>
        <w:numPr>
          <w:ilvl w:val="0"/>
          <w:numId w:val="1129"/>
        </w:numPr>
        <w:rPr>
          <w:rFonts w:ascii="Calibri" w:cs="Calibri" w:eastAsia="Calibri" w:hAnsi="Calibri"/>
          <w:sz w:val="24"/>
          <w:szCs w:val="24"/>
          <w:color w:val="auto"/>
        </w:rPr>
      </w:pPr>
      <w:r>
        <w:rPr>
          <w:rFonts w:ascii="Times New Roman" w:cs="Times New Roman" w:eastAsia="Times New Roman" w:hAnsi="Times New Roman"/>
          <w:sz w:val="24"/>
          <w:szCs w:val="24"/>
          <w:color w:val="auto"/>
        </w:rPr>
        <w:t>Some events may not be material at present but may be having material impacts in future.</w:t>
      </w:r>
    </w:p>
    <w:p>
      <w:pPr>
        <w:spacing w:after="0" w:line="200" w:lineRule="exact"/>
        <w:rPr>
          <w:sz w:val="20"/>
          <w:szCs w:val="20"/>
          <w:color w:val="auto"/>
        </w:rPr>
      </w:pPr>
    </w:p>
    <w:p>
      <w:pPr>
        <w:spacing w:after="0" w:line="229" w:lineRule="exact"/>
        <w:rPr>
          <w:sz w:val="20"/>
          <w:szCs w:val="20"/>
          <w:color w:val="auto"/>
        </w:rPr>
      </w:pPr>
    </w:p>
    <w:p>
      <w:pPr>
        <w:ind w:left="80"/>
        <w:spacing w:after="0"/>
        <w:rPr>
          <w:sz w:val="20"/>
          <w:szCs w:val="20"/>
          <w:color w:val="auto"/>
        </w:rPr>
      </w:pPr>
      <w:r>
        <w:rPr>
          <w:rFonts w:ascii="Calibri" w:cs="Calibri" w:eastAsia="Calibri" w:hAnsi="Calibri"/>
          <w:sz w:val="22"/>
          <w:szCs w:val="22"/>
          <w:b w:val="1"/>
          <w:bCs w:val="1"/>
          <w:color w:val="auto"/>
        </w:rPr>
        <w:t xml:space="preserve">(VII) </w:t>
      </w:r>
      <w:r>
        <w:rPr>
          <w:rFonts w:ascii="Times New Roman" w:cs="Times New Roman" w:eastAsia="Times New Roman" w:hAnsi="Times New Roman"/>
          <w:sz w:val="24"/>
          <w:szCs w:val="24"/>
          <w:b w:val="1"/>
          <w:bCs w:val="1"/>
          <w:color w:val="auto"/>
        </w:rPr>
        <w:t>Capital structure:</w:t>
      </w:r>
    </w:p>
    <w:p>
      <w:pPr>
        <w:spacing w:after="0" w:line="140" w:lineRule="exact"/>
        <w:rPr>
          <w:sz w:val="20"/>
          <w:szCs w:val="20"/>
          <w:color w:val="auto"/>
        </w:rPr>
      </w:pPr>
    </w:p>
    <w:p>
      <w:pPr>
        <w:jc w:val="both"/>
        <w:ind w:left="800" w:hanging="512"/>
        <w:spacing w:after="0" w:line="350" w:lineRule="auto"/>
        <w:tabs>
          <w:tab w:leader="none" w:pos="800" w:val="left"/>
        </w:tabs>
        <w:numPr>
          <w:ilvl w:val="0"/>
          <w:numId w:val="1130"/>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authorised, issued and subscribed capital after suitable incorporation of the outstanding convertible securities (number of securities, description and aggregate nominal value).</w:t>
      </w:r>
    </w:p>
    <w:p>
      <w:pPr>
        <w:spacing w:after="0" w:line="6" w:lineRule="exact"/>
        <w:rPr>
          <w:rFonts w:ascii="Calibri" w:cs="Calibri" w:eastAsia="Calibri" w:hAnsi="Calibri"/>
          <w:sz w:val="22"/>
          <w:szCs w:val="22"/>
          <w:color w:val="auto"/>
        </w:rPr>
      </w:pPr>
    </w:p>
    <w:p>
      <w:pPr>
        <w:ind w:left="800" w:hanging="512"/>
        <w:spacing w:after="0"/>
        <w:tabs>
          <w:tab w:leader="none" w:pos="800" w:val="left"/>
        </w:tabs>
        <w:numPr>
          <w:ilvl w:val="0"/>
          <w:numId w:val="1130"/>
        </w:numPr>
        <w:rPr>
          <w:rFonts w:ascii="Calibri" w:cs="Calibri" w:eastAsia="Calibri" w:hAnsi="Calibri"/>
          <w:sz w:val="22"/>
          <w:szCs w:val="22"/>
          <w:color w:val="auto"/>
        </w:rPr>
      </w:pPr>
      <w:r>
        <w:rPr>
          <w:rFonts w:ascii="Times New Roman" w:cs="Times New Roman" w:eastAsia="Times New Roman" w:hAnsi="Times New Roman"/>
          <w:sz w:val="24"/>
          <w:szCs w:val="24"/>
          <w:color w:val="auto"/>
        </w:rPr>
        <w:t>Paid-up capital.(segregating IDRs).</w:t>
      </w:r>
    </w:p>
    <w:p>
      <w:pPr>
        <w:spacing w:after="0" w:line="129" w:lineRule="exact"/>
        <w:rPr>
          <w:rFonts w:ascii="Calibri" w:cs="Calibri" w:eastAsia="Calibri" w:hAnsi="Calibri"/>
          <w:sz w:val="22"/>
          <w:szCs w:val="22"/>
          <w:color w:val="auto"/>
        </w:rPr>
      </w:pPr>
    </w:p>
    <w:p>
      <w:pPr>
        <w:ind w:left="800" w:hanging="512"/>
        <w:spacing w:after="0"/>
        <w:tabs>
          <w:tab w:leader="none" w:pos="800" w:val="left"/>
        </w:tabs>
        <w:numPr>
          <w:ilvl w:val="0"/>
          <w:numId w:val="1130"/>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following details of outstanding instruments:</w:t>
      </w:r>
    </w:p>
    <w:p>
      <w:pPr>
        <w:spacing w:after="0" w:line="132" w:lineRule="exact"/>
        <w:rPr>
          <w:rFonts w:ascii="Calibri" w:cs="Calibri" w:eastAsia="Calibri" w:hAnsi="Calibri"/>
          <w:sz w:val="22"/>
          <w:szCs w:val="22"/>
          <w:color w:val="auto"/>
        </w:rPr>
      </w:pPr>
    </w:p>
    <w:p>
      <w:pPr>
        <w:ind w:left="1160" w:hanging="368"/>
        <w:spacing w:after="0"/>
        <w:tabs>
          <w:tab w:leader="none" w:pos="1160" w:val="left"/>
        </w:tabs>
        <w:numPr>
          <w:ilvl w:val="1"/>
          <w:numId w:val="1130"/>
        </w:numPr>
        <w:rPr>
          <w:rFonts w:ascii="Calibri" w:cs="Calibri" w:eastAsia="Calibri" w:hAnsi="Calibri"/>
          <w:sz w:val="22"/>
          <w:szCs w:val="22"/>
          <w:color w:val="auto"/>
        </w:rPr>
      </w:pPr>
      <w:r>
        <w:rPr>
          <w:rFonts w:ascii="Times New Roman" w:cs="Times New Roman" w:eastAsia="Times New Roman" w:hAnsi="Times New Roman"/>
          <w:sz w:val="24"/>
          <w:szCs w:val="24"/>
          <w:color w:val="auto"/>
        </w:rPr>
        <w:t>Details of options, if any.</w:t>
      </w:r>
    </w:p>
    <w:p>
      <w:pPr>
        <w:spacing w:after="0" w:line="129" w:lineRule="exact"/>
        <w:rPr>
          <w:rFonts w:ascii="Calibri" w:cs="Calibri" w:eastAsia="Calibri" w:hAnsi="Calibri"/>
          <w:sz w:val="22"/>
          <w:szCs w:val="22"/>
          <w:color w:val="auto"/>
        </w:rPr>
      </w:pPr>
    </w:p>
    <w:p>
      <w:pPr>
        <w:ind w:left="1160" w:hanging="368"/>
        <w:spacing w:after="0"/>
        <w:tabs>
          <w:tab w:leader="none" w:pos="1160" w:val="left"/>
        </w:tabs>
        <w:numPr>
          <w:ilvl w:val="1"/>
          <w:numId w:val="1130"/>
        </w:numPr>
        <w:rPr>
          <w:rFonts w:ascii="Calibri" w:cs="Calibri" w:eastAsia="Calibri" w:hAnsi="Calibri"/>
          <w:sz w:val="22"/>
          <w:szCs w:val="22"/>
          <w:color w:val="auto"/>
        </w:rPr>
      </w:pPr>
      <w:r>
        <w:rPr>
          <w:rFonts w:ascii="Times New Roman" w:cs="Times New Roman" w:eastAsia="Times New Roman" w:hAnsi="Times New Roman"/>
          <w:sz w:val="24"/>
          <w:szCs w:val="24"/>
          <w:color w:val="auto"/>
        </w:rPr>
        <w:t>Details of convertible securities, if any.</w:t>
      </w:r>
    </w:p>
    <w:p>
      <w:pPr>
        <w:spacing w:after="0" w:line="200" w:lineRule="exact"/>
        <w:rPr>
          <w:rFonts w:ascii="Calibri" w:cs="Calibri" w:eastAsia="Calibri" w:hAnsi="Calibri"/>
          <w:sz w:val="22"/>
          <w:szCs w:val="22"/>
          <w:color w:val="auto"/>
        </w:rPr>
      </w:pPr>
    </w:p>
    <w:p>
      <w:pPr>
        <w:spacing w:after="0" w:line="364" w:lineRule="exact"/>
        <w:rPr>
          <w:rFonts w:ascii="Calibri" w:cs="Calibri" w:eastAsia="Calibri" w:hAnsi="Calibri"/>
          <w:sz w:val="22"/>
          <w:szCs w:val="22"/>
          <w:color w:val="auto"/>
        </w:rPr>
      </w:pPr>
    </w:p>
    <w:p>
      <w:pPr>
        <w:ind w:left="800" w:hanging="512"/>
        <w:spacing w:after="0" w:line="344" w:lineRule="auto"/>
        <w:tabs>
          <w:tab w:leader="none" w:pos="800" w:val="left"/>
        </w:tabs>
        <w:numPr>
          <w:ilvl w:val="0"/>
          <w:numId w:val="1130"/>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shareholding pattern and IDR holding pattern as per the latest filing with the stock exchange(s).</w:t>
      </w:r>
    </w:p>
    <w:p>
      <w:pPr>
        <w:spacing w:after="0" w:line="26" w:lineRule="exact"/>
        <w:rPr>
          <w:rFonts w:ascii="Calibri" w:cs="Calibri" w:eastAsia="Calibri" w:hAnsi="Calibri"/>
          <w:sz w:val="22"/>
          <w:szCs w:val="22"/>
          <w:color w:val="auto"/>
        </w:rPr>
      </w:pPr>
    </w:p>
    <w:p>
      <w:pPr>
        <w:ind w:left="800" w:hanging="512"/>
        <w:spacing w:after="0" w:line="342" w:lineRule="auto"/>
        <w:tabs>
          <w:tab w:leader="none" w:pos="800" w:val="left"/>
        </w:tabs>
        <w:numPr>
          <w:ilvl w:val="0"/>
          <w:numId w:val="1130"/>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details of the shareholders holding more than three per cent. of the share capital of the issuer.</w:t>
      </w:r>
    </w:p>
    <w:p>
      <w:pPr>
        <w:spacing w:after="0" w:line="31" w:lineRule="exact"/>
        <w:rPr>
          <w:rFonts w:ascii="Calibri" w:cs="Calibri" w:eastAsia="Calibri" w:hAnsi="Calibri"/>
          <w:sz w:val="22"/>
          <w:szCs w:val="22"/>
          <w:color w:val="auto"/>
        </w:rPr>
      </w:pPr>
    </w:p>
    <w:p>
      <w:pPr>
        <w:ind w:left="800" w:hanging="512"/>
        <w:spacing w:after="0" w:line="342" w:lineRule="auto"/>
        <w:tabs>
          <w:tab w:leader="none" w:pos="800" w:val="left"/>
        </w:tabs>
        <w:numPr>
          <w:ilvl w:val="0"/>
          <w:numId w:val="1130"/>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details of IDRs lock-in, pledge of and encumbrance on such IDRs held by promoters, if applicable.</w:t>
      </w:r>
    </w:p>
    <w:p>
      <w:pPr>
        <w:spacing w:after="0" w:line="31" w:lineRule="exact"/>
        <w:rPr>
          <w:rFonts w:ascii="Calibri" w:cs="Calibri" w:eastAsia="Calibri" w:hAnsi="Calibri"/>
          <w:sz w:val="22"/>
          <w:szCs w:val="22"/>
          <w:color w:val="auto"/>
        </w:rPr>
      </w:pPr>
    </w:p>
    <w:p>
      <w:pPr>
        <w:jc w:val="both"/>
        <w:ind w:left="800" w:hanging="512"/>
        <w:spacing w:after="0" w:line="355" w:lineRule="auto"/>
        <w:tabs>
          <w:tab w:leader="none" w:pos="800" w:val="left"/>
        </w:tabs>
        <w:numPr>
          <w:ilvl w:val="0"/>
          <w:numId w:val="1130"/>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details of IDRs acquired by promoters and promoter group, if applicable in the last six months immediately preceding the date of filing of the offer document along with addendum for rights offering with the designated stock exchange, in case of a fast track issue and in any other case, the date of filing draft offer document along with addendum for rights offering with the Board.</w:t>
      </w:r>
    </w:p>
    <w:p>
      <w:pPr>
        <w:spacing w:after="0" w:line="200" w:lineRule="exact"/>
        <w:rPr>
          <w:sz w:val="20"/>
          <w:szCs w:val="20"/>
          <w:color w:val="auto"/>
        </w:rPr>
      </w:pPr>
    </w:p>
    <w:p>
      <w:pPr>
        <w:spacing w:after="0" w:line="213" w:lineRule="exact"/>
        <w:rPr>
          <w:sz w:val="20"/>
          <w:szCs w:val="20"/>
          <w:color w:val="auto"/>
        </w:rPr>
      </w:pPr>
    </w:p>
    <w:p>
      <w:pPr>
        <w:ind w:left="80"/>
        <w:spacing w:after="0"/>
        <w:rPr>
          <w:sz w:val="20"/>
          <w:szCs w:val="20"/>
          <w:color w:val="auto"/>
        </w:rPr>
      </w:pPr>
      <w:r>
        <w:rPr>
          <w:rFonts w:ascii="Calibri" w:cs="Calibri" w:eastAsia="Calibri" w:hAnsi="Calibri"/>
          <w:sz w:val="22"/>
          <w:szCs w:val="22"/>
          <w:b w:val="1"/>
          <w:bCs w:val="1"/>
          <w:color w:val="auto"/>
        </w:rPr>
        <w:t xml:space="preserve">(VIII)  </w:t>
      </w:r>
      <w:r>
        <w:rPr>
          <w:rFonts w:ascii="Times New Roman" w:cs="Times New Roman" w:eastAsia="Times New Roman" w:hAnsi="Times New Roman"/>
          <w:sz w:val="24"/>
          <w:szCs w:val="24"/>
          <w:b w:val="1"/>
          <w:bCs w:val="1"/>
          <w:color w:val="auto"/>
        </w:rPr>
        <w:t>Particulars of the issue:</w:t>
      </w:r>
    </w:p>
    <w:p>
      <w:pPr>
        <w:spacing w:after="0" w:line="121" w:lineRule="exact"/>
        <w:rPr>
          <w:sz w:val="20"/>
          <w:szCs w:val="20"/>
          <w:color w:val="auto"/>
        </w:rPr>
      </w:pPr>
    </w:p>
    <w:p>
      <w:pPr>
        <w:ind w:left="800" w:hanging="512"/>
        <w:spacing w:after="0"/>
        <w:tabs>
          <w:tab w:leader="none" w:pos="800" w:val="left"/>
        </w:tabs>
        <w:numPr>
          <w:ilvl w:val="0"/>
          <w:numId w:val="1131"/>
        </w:numPr>
        <w:rPr>
          <w:rFonts w:ascii="Calibri" w:cs="Calibri" w:eastAsia="Calibri" w:hAnsi="Calibri"/>
          <w:sz w:val="22"/>
          <w:szCs w:val="22"/>
          <w:color w:val="auto"/>
        </w:rPr>
      </w:pPr>
      <w:r>
        <w:rPr>
          <w:rFonts w:ascii="Times New Roman" w:cs="Times New Roman" w:eastAsia="Times New Roman" w:hAnsi="Times New Roman"/>
          <w:sz w:val="24"/>
          <w:szCs w:val="24"/>
          <w:color w:val="auto"/>
        </w:rPr>
        <w:t>Objects of the Issue:</w:t>
      </w:r>
    </w:p>
    <w:p>
      <w:pPr>
        <w:spacing w:after="0" w:line="132" w:lineRule="exact"/>
        <w:rPr>
          <w:rFonts w:ascii="Calibri" w:cs="Calibri" w:eastAsia="Calibri" w:hAnsi="Calibri"/>
          <w:sz w:val="22"/>
          <w:szCs w:val="22"/>
          <w:color w:val="auto"/>
        </w:rPr>
      </w:pPr>
    </w:p>
    <w:p>
      <w:pPr>
        <w:ind w:left="1940" w:hanging="500"/>
        <w:spacing w:after="0"/>
        <w:tabs>
          <w:tab w:leader="none" w:pos="1940" w:val="left"/>
        </w:tabs>
        <w:numPr>
          <w:ilvl w:val="1"/>
          <w:numId w:val="1131"/>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purpose of the issue.</w:t>
      </w:r>
    </w:p>
    <w:p>
      <w:pPr>
        <w:spacing w:after="0" w:line="149" w:lineRule="exact"/>
        <w:rPr>
          <w:rFonts w:ascii="Calibri" w:cs="Calibri" w:eastAsia="Calibri" w:hAnsi="Calibri"/>
          <w:sz w:val="22"/>
          <w:szCs w:val="22"/>
          <w:color w:val="auto"/>
        </w:rPr>
      </w:pPr>
    </w:p>
    <w:p>
      <w:pPr>
        <w:ind w:left="1940" w:hanging="500"/>
        <w:spacing w:after="0" w:line="344" w:lineRule="auto"/>
        <w:tabs>
          <w:tab w:leader="none" w:pos="1940" w:val="left"/>
        </w:tabs>
        <w:numPr>
          <w:ilvl w:val="1"/>
          <w:numId w:val="1131"/>
        </w:numPr>
        <w:rPr>
          <w:rFonts w:ascii="Calibri" w:cs="Calibri" w:eastAsia="Calibri" w:hAnsi="Calibri"/>
          <w:sz w:val="22"/>
          <w:szCs w:val="22"/>
          <w:color w:val="auto"/>
        </w:rPr>
      </w:pPr>
      <w:r>
        <w:rPr>
          <w:rFonts w:ascii="Times New Roman" w:cs="Times New Roman" w:eastAsia="Times New Roman" w:hAnsi="Times New Roman"/>
          <w:sz w:val="24"/>
          <w:szCs w:val="24"/>
          <w:color w:val="auto"/>
        </w:rPr>
        <w:t>Break-up of the cost of project for which the money is raised through the IDR issue.</w:t>
      </w:r>
    </w:p>
    <w:p>
      <w:pPr>
        <w:spacing w:after="0" w:line="7" w:lineRule="exact"/>
        <w:rPr>
          <w:rFonts w:ascii="Calibri" w:cs="Calibri" w:eastAsia="Calibri" w:hAnsi="Calibri"/>
          <w:sz w:val="22"/>
          <w:szCs w:val="22"/>
          <w:color w:val="auto"/>
        </w:rPr>
      </w:pPr>
    </w:p>
    <w:p>
      <w:pPr>
        <w:ind w:left="1940" w:hanging="500"/>
        <w:spacing w:after="0"/>
        <w:tabs>
          <w:tab w:leader="none" w:pos="1940" w:val="left"/>
        </w:tabs>
        <w:numPr>
          <w:ilvl w:val="1"/>
          <w:numId w:val="1131"/>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means of financing such project.</w:t>
      </w:r>
    </w:p>
    <w:p>
      <w:pPr>
        <w:spacing w:after="0" w:line="151" w:lineRule="exact"/>
        <w:rPr>
          <w:rFonts w:ascii="Calibri" w:cs="Calibri" w:eastAsia="Calibri" w:hAnsi="Calibri"/>
          <w:sz w:val="22"/>
          <w:szCs w:val="22"/>
          <w:color w:val="auto"/>
        </w:rPr>
      </w:pPr>
    </w:p>
    <w:p>
      <w:pPr>
        <w:ind w:left="1940" w:hanging="500"/>
        <w:spacing w:after="0" w:line="342" w:lineRule="auto"/>
        <w:tabs>
          <w:tab w:leader="none" w:pos="1940" w:val="left"/>
        </w:tabs>
        <w:numPr>
          <w:ilvl w:val="1"/>
          <w:numId w:val="1131"/>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proposed deployment status of the proceeds at each stage of the project.</w:t>
      </w:r>
    </w:p>
    <w:p>
      <w:pPr>
        <w:spacing w:after="0" w:line="31" w:lineRule="exact"/>
        <w:rPr>
          <w:rFonts w:ascii="Calibri" w:cs="Calibri" w:eastAsia="Calibri" w:hAnsi="Calibri"/>
          <w:sz w:val="22"/>
          <w:szCs w:val="22"/>
          <w:color w:val="auto"/>
        </w:rPr>
      </w:pPr>
    </w:p>
    <w:p>
      <w:pPr>
        <w:ind w:left="1940" w:hanging="500"/>
        <w:spacing w:after="0" w:line="342" w:lineRule="auto"/>
        <w:tabs>
          <w:tab w:leader="none" w:pos="1940" w:val="left"/>
        </w:tabs>
        <w:numPr>
          <w:ilvl w:val="1"/>
          <w:numId w:val="1131"/>
        </w:numPr>
        <w:rPr>
          <w:rFonts w:ascii="Calibri" w:cs="Calibri" w:eastAsia="Calibri" w:hAnsi="Calibri"/>
          <w:sz w:val="22"/>
          <w:szCs w:val="22"/>
          <w:color w:val="auto"/>
        </w:rPr>
      </w:pPr>
      <w:r>
        <w:rPr>
          <w:rFonts w:ascii="Times New Roman" w:cs="Times New Roman" w:eastAsia="Times New Roman" w:hAnsi="Times New Roman"/>
          <w:sz w:val="24"/>
          <w:szCs w:val="24"/>
          <w:color w:val="auto"/>
        </w:rPr>
        <w:t>Interest of promoters (if any) and directors, as applicable to the project or objects of the issue.</w:t>
      </w:r>
    </w:p>
    <w:p>
      <w:pPr>
        <w:spacing w:after="0" w:line="266"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362</w:t>
      </w:r>
    </w:p>
    <w:p>
      <w:pPr>
        <w:sectPr>
          <w:pgSz w:w="11900" w:h="16836" w:orient="portrait"/>
          <w:cols w:equalWidth="0" w:num="1">
            <w:col w:w="9180"/>
          </w:cols>
          <w:pgMar w:left="1440" w:top="1132" w:right="1284" w:bottom="103" w:gutter="0" w:footer="0" w:header="0"/>
        </w:sectPr>
      </w:pPr>
    </w:p>
    <w:bookmarkStart w:id="362" w:name="page363"/>
    <w:bookmarkEnd w:id="362"/>
    <w:p>
      <w:pPr>
        <w:ind w:left="800" w:hanging="512"/>
        <w:spacing w:after="0" w:line="342" w:lineRule="auto"/>
        <w:tabs>
          <w:tab w:leader="none" w:pos="800" w:val="left"/>
        </w:tabs>
        <w:numPr>
          <w:ilvl w:val="0"/>
          <w:numId w:val="1132"/>
        </w:numPr>
        <w:rPr>
          <w:rFonts w:ascii="Calibri" w:cs="Calibri" w:eastAsia="Calibri" w:hAnsi="Calibri"/>
          <w:sz w:val="22"/>
          <w:szCs w:val="22"/>
          <w:color w:val="auto"/>
        </w:rPr>
      </w:pPr>
      <w:r>
        <w:rPr>
          <w:rFonts w:ascii="Times New Roman" w:cs="Times New Roman" w:eastAsia="Times New Roman" w:hAnsi="Times New Roman"/>
          <w:sz w:val="24"/>
          <w:szCs w:val="24"/>
          <w:color w:val="auto"/>
        </w:rPr>
        <w:t>Interim Use of Funds: The issuer company shall keep funds in a bank having a credit rating of 'A' or above by an international credit rating agency.</w:t>
      </w:r>
    </w:p>
    <w:p>
      <w:pPr>
        <w:spacing w:after="0" w:line="12" w:lineRule="exact"/>
        <w:rPr>
          <w:rFonts w:ascii="Calibri" w:cs="Calibri" w:eastAsia="Calibri" w:hAnsi="Calibri"/>
          <w:sz w:val="22"/>
          <w:szCs w:val="22"/>
          <w:color w:val="auto"/>
        </w:rPr>
      </w:pPr>
    </w:p>
    <w:p>
      <w:pPr>
        <w:ind w:left="800" w:hanging="512"/>
        <w:spacing w:after="0"/>
        <w:tabs>
          <w:tab w:leader="none" w:pos="800" w:val="left"/>
        </w:tabs>
        <w:numPr>
          <w:ilvl w:val="0"/>
          <w:numId w:val="1132"/>
        </w:numPr>
        <w:rPr>
          <w:rFonts w:ascii="Calibri" w:cs="Calibri" w:eastAsia="Calibri" w:hAnsi="Calibri"/>
          <w:sz w:val="22"/>
          <w:szCs w:val="22"/>
          <w:color w:val="auto"/>
        </w:rPr>
      </w:pPr>
      <w:r>
        <w:rPr>
          <w:rFonts w:ascii="Times New Roman" w:cs="Times New Roman" w:eastAsia="Times New Roman" w:hAnsi="Times New Roman"/>
          <w:sz w:val="24"/>
          <w:szCs w:val="24"/>
          <w:color w:val="auto"/>
        </w:rPr>
        <w:t>Any special tax benefits to the IDR holders.</w:t>
      </w:r>
    </w:p>
    <w:p>
      <w:pPr>
        <w:spacing w:after="0" w:line="200" w:lineRule="exact"/>
        <w:rPr>
          <w:sz w:val="20"/>
          <w:szCs w:val="20"/>
          <w:color w:val="auto"/>
        </w:rPr>
      </w:pPr>
    </w:p>
    <w:p>
      <w:pPr>
        <w:spacing w:after="0" w:line="344" w:lineRule="exact"/>
        <w:rPr>
          <w:sz w:val="20"/>
          <w:szCs w:val="20"/>
          <w:color w:val="auto"/>
        </w:rPr>
      </w:pPr>
    </w:p>
    <w:p>
      <w:pPr>
        <w:ind w:left="80"/>
        <w:spacing w:after="0"/>
        <w:rPr>
          <w:sz w:val="20"/>
          <w:szCs w:val="20"/>
          <w:color w:val="auto"/>
        </w:rPr>
      </w:pPr>
      <w:r>
        <w:rPr>
          <w:rFonts w:ascii="Calibri" w:cs="Calibri" w:eastAsia="Calibri" w:hAnsi="Calibri"/>
          <w:sz w:val="22"/>
          <w:szCs w:val="22"/>
          <w:b w:val="1"/>
          <w:bCs w:val="1"/>
          <w:color w:val="auto"/>
        </w:rPr>
        <w:t xml:space="preserve">(IX) </w:t>
      </w:r>
      <w:r>
        <w:rPr>
          <w:rFonts w:ascii="Times New Roman" w:cs="Times New Roman" w:eastAsia="Times New Roman" w:hAnsi="Times New Roman"/>
          <w:sz w:val="24"/>
          <w:szCs w:val="24"/>
          <w:b w:val="1"/>
          <w:bCs w:val="1"/>
          <w:color w:val="auto"/>
        </w:rPr>
        <w:t>Market price information and other information concerning the shares/ IDRs:</w:t>
      </w:r>
    </w:p>
    <w:p>
      <w:pPr>
        <w:spacing w:after="0" w:line="140" w:lineRule="exact"/>
        <w:rPr>
          <w:sz w:val="20"/>
          <w:szCs w:val="20"/>
          <w:color w:val="auto"/>
        </w:rPr>
      </w:pPr>
    </w:p>
    <w:p>
      <w:pPr>
        <w:jc w:val="both"/>
        <w:ind w:left="940"/>
        <w:spacing w:after="0" w:line="354" w:lineRule="auto"/>
        <w:rPr>
          <w:sz w:val="20"/>
          <w:szCs w:val="20"/>
          <w:color w:val="auto"/>
        </w:rPr>
      </w:pPr>
      <w:r>
        <w:rPr>
          <w:rFonts w:ascii="Times New Roman" w:cs="Times New Roman" w:eastAsia="Times New Roman" w:hAnsi="Times New Roman"/>
          <w:sz w:val="24"/>
          <w:szCs w:val="24"/>
          <w:color w:val="auto"/>
        </w:rPr>
        <w:t>Following information should be provided exchange-wise, if the securities are listed in more than one exchange. This information should be updated as on last practicable date before the date of the offer document.</w:t>
      </w:r>
    </w:p>
    <w:p>
      <w:pPr>
        <w:spacing w:after="0" w:line="200" w:lineRule="exact"/>
        <w:rPr>
          <w:sz w:val="20"/>
          <w:szCs w:val="20"/>
          <w:color w:val="auto"/>
        </w:rPr>
      </w:pPr>
    </w:p>
    <w:p>
      <w:pPr>
        <w:spacing w:after="0" w:line="235" w:lineRule="exact"/>
        <w:rPr>
          <w:sz w:val="20"/>
          <w:szCs w:val="20"/>
          <w:color w:val="auto"/>
        </w:rPr>
      </w:pPr>
    </w:p>
    <w:p>
      <w:pPr>
        <w:ind w:left="800" w:hanging="512"/>
        <w:spacing w:after="0" w:line="344" w:lineRule="auto"/>
        <w:tabs>
          <w:tab w:leader="none" w:pos="800" w:val="left"/>
        </w:tabs>
        <w:numPr>
          <w:ilvl w:val="1"/>
          <w:numId w:val="1133"/>
        </w:numPr>
        <w:rPr>
          <w:rFonts w:ascii="Calibri" w:cs="Calibri" w:eastAsia="Calibri" w:hAnsi="Calibri"/>
          <w:sz w:val="22"/>
          <w:szCs w:val="22"/>
          <w:color w:val="auto"/>
        </w:rPr>
      </w:pPr>
      <w:r>
        <w:rPr>
          <w:rFonts w:ascii="Times New Roman" w:cs="Times New Roman" w:eastAsia="Times New Roman" w:hAnsi="Times New Roman"/>
          <w:sz w:val="24"/>
          <w:szCs w:val="24"/>
          <w:color w:val="auto"/>
        </w:rPr>
        <w:t>Week-end prices for the last four weeks and highest and lowest prices of equity shares during the period with the relative dates.</w:t>
      </w:r>
    </w:p>
    <w:p>
      <w:pPr>
        <w:spacing w:after="0" w:line="26" w:lineRule="exact"/>
        <w:rPr>
          <w:rFonts w:ascii="Calibri" w:cs="Calibri" w:eastAsia="Calibri" w:hAnsi="Calibri"/>
          <w:sz w:val="22"/>
          <w:szCs w:val="22"/>
          <w:color w:val="auto"/>
        </w:rPr>
      </w:pPr>
    </w:p>
    <w:p>
      <w:pPr>
        <w:ind w:left="800" w:hanging="512"/>
        <w:spacing w:after="0" w:line="344" w:lineRule="auto"/>
        <w:tabs>
          <w:tab w:leader="none" w:pos="800" w:val="left"/>
        </w:tabs>
        <w:numPr>
          <w:ilvl w:val="1"/>
          <w:numId w:val="1133"/>
        </w:numPr>
        <w:rPr>
          <w:rFonts w:ascii="Calibri" w:cs="Calibri" w:eastAsia="Calibri" w:hAnsi="Calibri"/>
          <w:sz w:val="22"/>
          <w:szCs w:val="22"/>
          <w:color w:val="auto"/>
        </w:rPr>
      </w:pPr>
      <w:r>
        <w:rPr>
          <w:rFonts w:ascii="Times New Roman" w:cs="Times New Roman" w:eastAsia="Times New Roman" w:hAnsi="Times New Roman"/>
          <w:sz w:val="24"/>
          <w:szCs w:val="24"/>
          <w:color w:val="auto"/>
        </w:rPr>
        <w:t>Stock market quotation of shares of the company (high/low price in each of the last three years and monthly high/low price during the last six months).</w:t>
      </w:r>
    </w:p>
    <w:p>
      <w:pPr>
        <w:spacing w:after="0" w:line="7" w:lineRule="exact"/>
        <w:rPr>
          <w:rFonts w:ascii="Calibri" w:cs="Calibri" w:eastAsia="Calibri" w:hAnsi="Calibri"/>
          <w:sz w:val="22"/>
          <w:szCs w:val="22"/>
          <w:color w:val="auto"/>
        </w:rPr>
      </w:pPr>
    </w:p>
    <w:p>
      <w:pPr>
        <w:ind w:left="800" w:hanging="512"/>
        <w:spacing w:after="0"/>
        <w:tabs>
          <w:tab w:leader="none" w:pos="800" w:val="left"/>
        </w:tabs>
        <w:numPr>
          <w:ilvl w:val="1"/>
          <w:numId w:val="1133"/>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same details shall be provided for IDRs listed in stock exchange.</w:t>
      </w:r>
    </w:p>
    <w:p>
      <w:pPr>
        <w:spacing w:after="0" w:line="200" w:lineRule="exact"/>
        <w:rPr>
          <w:rFonts w:ascii="Calibri" w:cs="Calibri" w:eastAsia="Calibri" w:hAnsi="Calibri"/>
          <w:sz w:val="22"/>
          <w:szCs w:val="22"/>
          <w:color w:val="auto"/>
        </w:rPr>
      </w:pPr>
    </w:p>
    <w:p>
      <w:pPr>
        <w:spacing w:after="0" w:line="349" w:lineRule="exact"/>
        <w:rPr>
          <w:rFonts w:ascii="Calibri" w:cs="Calibri" w:eastAsia="Calibri" w:hAnsi="Calibri"/>
          <w:sz w:val="22"/>
          <w:szCs w:val="22"/>
          <w:color w:val="auto"/>
        </w:rPr>
      </w:pPr>
    </w:p>
    <w:p>
      <w:pPr>
        <w:ind w:left="440" w:hanging="368"/>
        <w:spacing w:after="0"/>
        <w:tabs>
          <w:tab w:leader="none" w:pos="440" w:val="left"/>
        </w:tabs>
        <w:numPr>
          <w:ilvl w:val="0"/>
          <w:numId w:val="1134"/>
        </w:numPr>
        <w:rPr>
          <w:rFonts w:ascii="Calibri" w:cs="Calibri" w:eastAsia="Calibri" w:hAnsi="Calibri"/>
          <w:sz w:val="22"/>
          <w:szCs w:val="22"/>
          <w:b w:val="1"/>
          <w:bCs w:val="1"/>
          <w:color w:val="auto"/>
        </w:rPr>
      </w:pPr>
      <w:r>
        <w:rPr>
          <w:rFonts w:ascii="Times New Roman" w:cs="Times New Roman" w:eastAsia="Times New Roman" w:hAnsi="Times New Roman"/>
          <w:sz w:val="24"/>
          <w:szCs w:val="24"/>
          <w:b w:val="1"/>
          <w:bCs w:val="1"/>
          <w:color w:val="auto"/>
        </w:rPr>
        <w:t>Exchange rates:</w:t>
      </w:r>
    </w:p>
    <w:p>
      <w:pPr>
        <w:spacing w:after="0" w:line="147" w:lineRule="exact"/>
        <w:rPr>
          <w:rFonts w:ascii="Calibri" w:cs="Calibri" w:eastAsia="Calibri" w:hAnsi="Calibri"/>
          <w:sz w:val="22"/>
          <w:szCs w:val="22"/>
          <w:b w:val="1"/>
          <w:bCs w:val="1"/>
          <w:color w:val="auto"/>
        </w:rPr>
      </w:pPr>
    </w:p>
    <w:p>
      <w:pPr>
        <w:ind w:left="800" w:hanging="512"/>
        <w:spacing w:after="0" w:line="342" w:lineRule="auto"/>
        <w:tabs>
          <w:tab w:leader="none" w:pos="800" w:val="left"/>
        </w:tabs>
        <w:numPr>
          <w:ilvl w:val="1"/>
          <w:numId w:val="1134"/>
        </w:numPr>
        <w:rPr>
          <w:rFonts w:ascii="Calibri" w:cs="Calibri" w:eastAsia="Calibri" w:hAnsi="Calibri"/>
          <w:sz w:val="22"/>
          <w:szCs w:val="22"/>
          <w:color w:val="auto"/>
        </w:rPr>
      </w:pPr>
      <w:r>
        <w:rPr>
          <w:rFonts w:ascii="Times New Roman" w:cs="Times New Roman" w:eastAsia="Times New Roman" w:hAnsi="Times New Roman"/>
          <w:sz w:val="24"/>
          <w:szCs w:val="24"/>
          <w:color w:val="auto"/>
        </w:rPr>
        <w:t>Brief history of the pattern of exchange rates between the country of incorporation/where shares are listed and India.</w:t>
      </w:r>
    </w:p>
    <w:p>
      <w:pPr>
        <w:spacing w:after="0" w:line="11" w:lineRule="exact"/>
        <w:rPr>
          <w:rFonts w:ascii="Calibri" w:cs="Calibri" w:eastAsia="Calibri" w:hAnsi="Calibri"/>
          <w:sz w:val="22"/>
          <w:szCs w:val="22"/>
          <w:color w:val="auto"/>
        </w:rPr>
      </w:pPr>
    </w:p>
    <w:p>
      <w:pPr>
        <w:ind w:left="800" w:hanging="512"/>
        <w:spacing w:after="0"/>
        <w:tabs>
          <w:tab w:leader="none" w:pos="800" w:val="left"/>
        </w:tabs>
        <w:numPr>
          <w:ilvl w:val="1"/>
          <w:numId w:val="1134"/>
        </w:numPr>
        <w:rPr>
          <w:rFonts w:ascii="Calibri" w:cs="Calibri" w:eastAsia="Calibri" w:hAnsi="Calibri"/>
          <w:sz w:val="22"/>
          <w:szCs w:val="22"/>
          <w:color w:val="auto"/>
        </w:rPr>
      </w:pPr>
      <w:r>
        <w:rPr>
          <w:rFonts w:ascii="Times New Roman" w:cs="Times New Roman" w:eastAsia="Times New Roman" w:hAnsi="Times New Roman"/>
          <w:sz w:val="24"/>
          <w:szCs w:val="24"/>
          <w:color w:val="auto"/>
        </w:rPr>
        <w:t>High, Low, Average Rates for the last twelve months.</w:t>
      </w:r>
    </w:p>
    <w:p>
      <w:pPr>
        <w:spacing w:after="0" w:line="200" w:lineRule="exact"/>
        <w:rPr>
          <w:sz w:val="20"/>
          <w:szCs w:val="20"/>
          <w:color w:val="auto"/>
        </w:rPr>
      </w:pPr>
    </w:p>
    <w:p>
      <w:pPr>
        <w:spacing w:after="0" w:line="344" w:lineRule="exact"/>
        <w:rPr>
          <w:sz w:val="20"/>
          <w:szCs w:val="20"/>
          <w:color w:val="auto"/>
        </w:rPr>
      </w:pPr>
    </w:p>
    <w:p>
      <w:pPr>
        <w:ind w:left="80"/>
        <w:spacing w:after="0"/>
        <w:rPr>
          <w:sz w:val="20"/>
          <w:szCs w:val="20"/>
          <w:color w:val="auto"/>
        </w:rPr>
      </w:pPr>
      <w:r>
        <w:rPr>
          <w:rFonts w:ascii="Calibri" w:cs="Calibri" w:eastAsia="Calibri" w:hAnsi="Calibri"/>
          <w:sz w:val="22"/>
          <w:szCs w:val="22"/>
          <w:b w:val="1"/>
          <w:bCs w:val="1"/>
          <w:color w:val="auto"/>
        </w:rPr>
        <w:t xml:space="preserve">(XI) </w:t>
      </w:r>
      <w:r>
        <w:rPr>
          <w:rFonts w:ascii="Times New Roman" w:cs="Times New Roman" w:eastAsia="Times New Roman" w:hAnsi="Times New Roman"/>
          <w:sz w:val="24"/>
          <w:szCs w:val="24"/>
          <w:b w:val="1"/>
          <w:bCs w:val="1"/>
          <w:color w:val="auto"/>
        </w:rPr>
        <w:t>Material litigations and defaults:</w:t>
      </w:r>
    </w:p>
    <w:p>
      <w:pPr>
        <w:spacing w:after="0" w:line="140" w:lineRule="exact"/>
        <w:rPr>
          <w:sz w:val="20"/>
          <w:szCs w:val="20"/>
          <w:color w:val="auto"/>
        </w:rPr>
      </w:pPr>
    </w:p>
    <w:p>
      <w:pPr>
        <w:jc w:val="both"/>
        <w:ind w:left="800" w:hanging="512"/>
        <w:spacing w:after="0" w:line="350" w:lineRule="auto"/>
        <w:tabs>
          <w:tab w:leader="none" w:pos="800" w:val="left"/>
        </w:tabs>
        <w:numPr>
          <w:ilvl w:val="0"/>
          <w:numId w:val="1135"/>
        </w:numPr>
        <w:rPr>
          <w:rFonts w:ascii="Calibri" w:cs="Calibri" w:eastAsia="Calibri" w:hAnsi="Calibri"/>
          <w:sz w:val="22"/>
          <w:szCs w:val="22"/>
          <w:color w:val="auto"/>
        </w:rPr>
      </w:pPr>
      <w:r>
        <w:rPr>
          <w:rFonts w:ascii="Times New Roman" w:cs="Times New Roman" w:eastAsia="Times New Roman" w:hAnsi="Times New Roman"/>
          <w:sz w:val="24"/>
          <w:szCs w:val="24"/>
          <w:color w:val="auto"/>
        </w:rPr>
        <w:t>Material litigation/liabilities/defaults including arrears/potential liabilities of the issuing company, its promoters/controlling shareholders/directors and its subsidiaries and associates.</w:t>
      </w:r>
    </w:p>
    <w:p>
      <w:pPr>
        <w:spacing w:after="0" w:line="25" w:lineRule="exact"/>
        <w:rPr>
          <w:rFonts w:ascii="Calibri" w:cs="Calibri" w:eastAsia="Calibri" w:hAnsi="Calibri"/>
          <w:sz w:val="22"/>
          <w:szCs w:val="22"/>
          <w:color w:val="auto"/>
        </w:rPr>
      </w:pPr>
    </w:p>
    <w:p>
      <w:pPr>
        <w:jc w:val="both"/>
        <w:ind w:left="800" w:hanging="512"/>
        <w:spacing w:after="0" w:line="353" w:lineRule="auto"/>
        <w:tabs>
          <w:tab w:leader="none" w:pos="800" w:val="left"/>
        </w:tabs>
        <w:numPr>
          <w:ilvl w:val="0"/>
          <w:numId w:val="1135"/>
        </w:numPr>
        <w:rPr>
          <w:rFonts w:ascii="Calibri" w:cs="Calibri" w:eastAsia="Calibri" w:hAnsi="Calibri"/>
          <w:sz w:val="22"/>
          <w:szCs w:val="22"/>
          <w:color w:val="auto"/>
        </w:rPr>
      </w:pPr>
      <w:r>
        <w:rPr>
          <w:rFonts w:ascii="Times New Roman" w:cs="Times New Roman" w:eastAsia="Times New Roman" w:hAnsi="Times New Roman"/>
          <w:sz w:val="24"/>
          <w:szCs w:val="24"/>
          <w:color w:val="auto"/>
        </w:rPr>
        <w:t>Materiality shall be determined on the basis of factors which are specific to the project and to the issuing company, its promoters/controlling shareholders/directors, its subsidiaries and associates, which may have a bearing on the performance of the issuing company.</w:t>
      </w:r>
    </w:p>
    <w:p>
      <w:pPr>
        <w:spacing w:after="0" w:line="2" w:lineRule="exact"/>
        <w:rPr>
          <w:rFonts w:ascii="Calibri" w:cs="Calibri" w:eastAsia="Calibri" w:hAnsi="Calibri"/>
          <w:sz w:val="22"/>
          <w:szCs w:val="22"/>
          <w:color w:val="auto"/>
        </w:rPr>
      </w:pPr>
    </w:p>
    <w:p>
      <w:pPr>
        <w:ind w:left="800" w:hanging="512"/>
        <w:spacing w:after="0"/>
        <w:tabs>
          <w:tab w:leader="none" w:pos="800" w:val="left"/>
        </w:tabs>
        <w:numPr>
          <w:ilvl w:val="0"/>
          <w:numId w:val="1135"/>
        </w:numPr>
        <w:rPr>
          <w:rFonts w:ascii="Calibri" w:cs="Calibri" w:eastAsia="Calibri" w:hAnsi="Calibri"/>
          <w:sz w:val="22"/>
          <w:szCs w:val="22"/>
          <w:color w:val="auto"/>
        </w:rPr>
      </w:pPr>
      <w:r>
        <w:rPr>
          <w:rFonts w:ascii="Times New Roman" w:cs="Times New Roman" w:eastAsia="Times New Roman" w:hAnsi="Times New Roman"/>
          <w:sz w:val="24"/>
          <w:szCs w:val="24"/>
          <w:color w:val="auto"/>
        </w:rPr>
        <w:t>Materiality shall be decided taking the following factors into account:</w:t>
      </w:r>
    </w:p>
    <w:p>
      <w:pPr>
        <w:spacing w:after="0" w:line="149" w:lineRule="exact"/>
        <w:rPr>
          <w:rFonts w:ascii="Calibri" w:cs="Calibri" w:eastAsia="Calibri" w:hAnsi="Calibri"/>
          <w:sz w:val="22"/>
          <w:szCs w:val="22"/>
          <w:color w:val="auto"/>
        </w:rPr>
      </w:pPr>
    </w:p>
    <w:p>
      <w:pPr>
        <w:ind w:left="1300" w:hanging="508"/>
        <w:spacing w:after="0" w:line="344" w:lineRule="auto"/>
        <w:tabs>
          <w:tab w:leader="none" w:pos="1300" w:val="left"/>
        </w:tabs>
        <w:numPr>
          <w:ilvl w:val="1"/>
          <w:numId w:val="1135"/>
        </w:numPr>
        <w:rPr>
          <w:rFonts w:ascii="Calibri" w:cs="Calibri" w:eastAsia="Calibri" w:hAnsi="Calibri"/>
          <w:sz w:val="22"/>
          <w:szCs w:val="22"/>
          <w:color w:val="auto"/>
        </w:rPr>
      </w:pPr>
      <w:r>
        <w:rPr>
          <w:rFonts w:ascii="Times New Roman" w:cs="Times New Roman" w:eastAsia="Times New Roman" w:hAnsi="Times New Roman"/>
          <w:sz w:val="24"/>
          <w:szCs w:val="24"/>
          <w:color w:val="auto"/>
        </w:rPr>
        <w:t>Some litigation/defaults may not be material individually but may be found material collectively.</w:t>
      </w:r>
    </w:p>
    <w:p>
      <w:pPr>
        <w:spacing w:after="0" w:line="26" w:lineRule="exact"/>
        <w:rPr>
          <w:rFonts w:ascii="Calibri" w:cs="Calibri" w:eastAsia="Calibri" w:hAnsi="Calibri"/>
          <w:sz w:val="22"/>
          <w:szCs w:val="22"/>
          <w:color w:val="auto"/>
        </w:rPr>
      </w:pPr>
    </w:p>
    <w:p>
      <w:pPr>
        <w:ind w:left="1300" w:hanging="508"/>
        <w:spacing w:after="0" w:line="344" w:lineRule="auto"/>
        <w:tabs>
          <w:tab w:leader="none" w:pos="1300" w:val="left"/>
        </w:tabs>
        <w:numPr>
          <w:ilvl w:val="1"/>
          <w:numId w:val="1135"/>
        </w:numPr>
        <w:rPr>
          <w:rFonts w:ascii="Calibri" w:cs="Calibri" w:eastAsia="Calibri" w:hAnsi="Calibri"/>
          <w:sz w:val="22"/>
          <w:szCs w:val="22"/>
          <w:color w:val="auto"/>
        </w:rPr>
      </w:pPr>
      <w:r>
        <w:rPr>
          <w:rFonts w:ascii="Times New Roman" w:cs="Times New Roman" w:eastAsia="Times New Roman" w:hAnsi="Times New Roman"/>
          <w:sz w:val="24"/>
          <w:szCs w:val="24"/>
          <w:color w:val="auto"/>
        </w:rPr>
        <w:t>Some litigation/defaults may have material impact qualitatively instead of quantitatively.</w:t>
      </w:r>
    </w:p>
    <w:p>
      <w:pPr>
        <w:spacing w:after="0" w:line="26" w:lineRule="exact"/>
        <w:rPr>
          <w:rFonts w:ascii="Calibri" w:cs="Calibri" w:eastAsia="Calibri" w:hAnsi="Calibri"/>
          <w:sz w:val="22"/>
          <w:szCs w:val="22"/>
          <w:color w:val="auto"/>
        </w:rPr>
      </w:pPr>
    </w:p>
    <w:p>
      <w:pPr>
        <w:ind w:left="1300" w:hanging="508"/>
        <w:spacing w:after="0" w:line="344" w:lineRule="auto"/>
        <w:tabs>
          <w:tab w:leader="none" w:pos="1300" w:val="left"/>
        </w:tabs>
        <w:numPr>
          <w:ilvl w:val="1"/>
          <w:numId w:val="1135"/>
        </w:numPr>
        <w:rPr>
          <w:rFonts w:ascii="Calibri" w:cs="Calibri" w:eastAsia="Calibri" w:hAnsi="Calibri"/>
          <w:sz w:val="22"/>
          <w:szCs w:val="22"/>
          <w:color w:val="auto"/>
        </w:rPr>
      </w:pPr>
      <w:r>
        <w:rPr>
          <w:rFonts w:ascii="Times New Roman" w:cs="Times New Roman" w:eastAsia="Times New Roman" w:hAnsi="Times New Roman"/>
          <w:sz w:val="24"/>
          <w:szCs w:val="24"/>
          <w:color w:val="auto"/>
        </w:rPr>
        <w:t>Some litigation/defaults may not be material at present but may be having a material impact in future.</w:t>
      </w:r>
    </w:p>
    <w:p>
      <w:pPr>
        <w:spacing w:after="0" w:line="271"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363</w:t>
      </w:r>
    </w:p>
    <w:p>
      <w:pPr>
        <w:sectPr>
          <w:pgSz w:w="11900" w:h="16836" w:orient="portrait"/>
          <w:cols w:equalWidth="0" w:num="1">
            <w:col w:w="9180"/>
          </w:cols>
          <w:pgMar w:left="1440" w:top="1156" w:right="1284" w:bottom="103" w:gutter="0" w:footer="0" w:header="0"/>
        </w:sectPr>
      </w:pPr>
    </w:p>
    <w:bookmarkStart w:id="363" w:name="page364"/>
    <w:bookmarkEnd w:id="363"/>
    <w:p>
      <w:pPr>
        <w:spacing w:after="0" w:line="109" w:lineRule="exact"/>
        <w:rPr>
          <w:sz w:val="20"/>
          <w:szCs w:val="20"/>
          <w:color w:val="auto"/>
        </w:rPr>
      </w:pPr>
    </w:p>
    <w:p>
      <w:pPr>
        <w:ind w:left="80"/>
        <w:spacing w:after="0"/>
        <w:rPr>
          <w:sz w:val="20"/>
          <w:szCs w:val="20"/>
          <w:color w:val="auto"/>
        </w:rPr>
      </w:pPr>
      <w:r>
        <w:rPr>
          <w:rFonts w:ascii="Calibri" w:cs="Calibri" w:eastAsia="Calibri" w:hAnsi="Calibri"/>
          <w:sz w:val="22"/>
          <w:szCs w:val="22"/>
          <w:b w:val="1"/>
          <w:bCs w:val="1"/>
          <w:color w:val="auto"/>
        </w:rPr>
        <w:t xml:space="preserve">(XII)  </w:t>
      </w:r>
      <w:r>
        <w:rPr>
          <w:rFonts w:ascii="Times New Roman" w:cs="Times New Roman" w:eastAsia="Times New Roman" w:hAnsi="Times New Roman"/>
          <w:sz w:val="24"/>
          <w:szCs w:val="24"/>
          <w:b w:val="1"/>
          <w:bCs w:val="1"/>
          <w:color w:val="auto"/>
        </w:rPr>
        <w:t>Material development:</w:t>
      </w:r>
    </w:p>
    <w:p>
      <w:pPr>
        <w:spacing w:after="0" w:line="143" w:lineRule="exact"/>
        <w:rPr>
          <w:sz w:val="20"/>
          <w:szCs w:val="20"/>
          <w:color w:val="auto"/>
        </w:rPr>
      </w:pPr>
    </w:p>
    <w:p>
      <w:pPr>
        <w:jc w:val="both"/>
        <w:ind w:left="940"/>
        <w:spacing w:after="0" w:line="354" w:lineRule="auto"/>
        <w:rPr>
          <w:sz w:val="20"/>
          <w:szCs w:val="20"/>
          <w:color w:val="auto"/>
        </w:rPr>
      </w:pPr>
      <w:r>
        <w:rPr>
          <w:rFonts w:ascii="Times New Roman" w:cs="Times New Roman" w:eastAsia="Times New Roman" w:hAnsi="Times New Roman"/>
          <w:sz w:val="24"/>
          <w:szCs w:val="24"/>
          <w:color w:val="auto"/>
        </w:rPr>
        <w:t>Any material development after the date of the latest balance sheet and its impact on performance and prospects of the issuer in accordance with the home country regulations.</w:t>
      </w:r>
    </w:p>
    <w:p>
      <w:pPr>
        <w:spacing w:after="0" w:line="200" w:lineRule="exact"/>
        <w:rPr>
          <w:sz w:val="20"/>
          <w:szCs w:val="20"/>
          <w:color w:val="auto"/>
        </w:rPr>
      </w:pPr>
    </w:p>
    <w:p>
      <w:pPr>
        <w:spacing w:after="0" w:line="214" w:lineRule="exact"/>
        <w:rPr>
          <w:sz w:val="20"/>
          <w:szCs w:val="20"/>
          <w:color w:val="auto"/>
        </w:rPr>
      </w:pPr>
    </w:p>
    <w:p>
      <w:pPr>
        <w:ind w:left="80"/>
        <w:spacing w:after="0"/>
        <w:rPr>
          <w:sz w:val="20"/>
          <w:szCs w:val="20"/>
          <w:color w:val="auto"/>
        </w:rPr>
      </w:pPr>
      <w:r>
        <w:rPr>
          <w:rFonts w:ascii="Calibri" w:cs="Calibri" w:eastAsia="Calibri" w:hAnsi="Calibri"/>
          <w:sz w:val="22"/>
          <w:szCs w:val="22"/>
          <w:b w:val="1"/>
          <w:bCs w:val="1"/>
          <w:color w:val="auto"/>
        </w:rPr>
        <w:t xml:space="preserve">(XIII) </w:t>
      </w:r>
      <w:r>
        <w:rPr>
          <w:rFonts w:ascii="Times New Roman" w:cs="Times New Roman" w:eastAsia="Times New Roman" w:hAnsi="Times New Roman"/>
          <w:sz w:val="24"/>
          <w:szCs w:val="24"/>
          <w:b w:val="1"/>
          <w:bCs w:val="1"/>
          <w:color w:val="auto"/>
        </w:rPr>
        <w:t>Material contracts and documents for inspection:</w:t>
      </w:r>
    </w:p>
    <w:p>
      <w:pPr>
        <w:spacing w:after="0" w:line="140" w:lineRule="exact"/>
        <w:rPr>
          <w:sz w:val="20"/>
          <w:szCs w:val="20"/>
          <w:color w:val="auto"/>
        </w:rPr>
      </w:pPr>
    </w:p>
    <w:p>
      <w:pPr>
        <w:jc w:val="both"/>
        <w:ind w:left="940"/>
        <w:spacing w:after="0" w:line="357" w:lineRule="auto"/>
        <w:rPr>
          <w:sz w:val="20"/>
          <w:szCs w:val="20"/>
          <w:color w:val="auto"/>
        </w:rPr>
      </w:pPr>
      <w:r>
        <w:rPr>
          <w:rFonts w:ascii="Times New Roman" w:cs="Times New Roman" w:eastAsia="Times New Roman" w:hAnsi="Times New Roman"/>
          <w:sz w:val="24"/>
          <w:szCs w:val="24"/>
          <w:color w:val="auto"/>
        </w:rPr>
        <w:t>Place at which inspection of the documents specified under rule 7 of the Companies (Issue of Indian Depository Receipts) Rules, 2004, the offer document along with the addendum, the financial statements and auditor's report thereof will be allowed during the normal business hours.</w:t>
      </w:r>
    </w:p>
    <w:p>
      <w:pPr>
        <w:spacing w:after="0" w:line="200" w:lineRule="exact"/>
        <w:rPr>
          <w:sz w:val="20"/>
          <w:szCs w:val="20"/>
          <w:color w:val="auto"/>
        </w:rPr>
      </w:pPr>
    </w:p>
    <w:p>
      <w:pPr>
        <w:spacing w:after="0" w:line="209" w:lineRule="exact"/>
        <w:rPr>
          <w:sz w:val="20"/>
          <w:szCs w:val="20"/>
          <w:color w:val="auto"/>
        </w:rPr>
      </w:pPr>
    </w:p>
    <w:p>
      <w:pPr>
        <w:ind w:left="80"/>
        <w:spacing w:after="0"/>
        <w:rPr>
          <w:sz w:val="20"/>
          <w:szCs w:val="20"/>
          <w:color w:val="auto"/>
        </w:rPr>
      </w:pPr>
      <w:r>
        <w:rPr>
          <w:rFonts w:ascii="Calibri" w:cs="Calibri" w:eastAsia="Calibri" w:hAnsi="Calibri"/>
          <w:sz w:val="22"/>
          <w:szCs w:val="22"/>
          <w:b w:val="1"/>
          <w:bCs w:val="1"/>
          <w:color w:val="auto"/>
        </w:rPr>
        <w:t xml:space="preserve">(XIV) </w:t>
      </w:r>
      <w:r>
        <w:rPr>
          <w:rFonts w:ascii="Times New Roman" w:cs="Times New Roman" w:eastAsia="Times New Roman" w:hAnsi="Times New Roman"/>
          <w:sz w:val="24"/>
          <w:szCs w:val="24"/>
          <w:b w:val="1"/>
          <w:bCs w:val="1"/>
          <w:color w:val="auto"/>
        </w:rPr>
        <w:t>Other regulatory and statutory disclosures:</w:t>
      </w:r>
    </w:p>
    <w:p>
      <w:pPr>
        <w:spacing w:after="0" w:line="121" w:lineRule="exact"/>
        <w:rPr>
          <w:sz w:val="20"/>
          <w:szCs w:val="20"/>
          <w:color w:val="auto"/>
        </w:rPr>
      </w:pPr>
    </w:p>
    <w:p>
      <w:pPr>
        <w:ind w:left="800" w:hanging="512"/>
        <w:spacing w:after="0"/>
        <w:tabs>
          <w:tab w:leader="none" w:pos="800" w:val="left"/>
        </w:tabs>
        <w:numPr>
          <w:ilvl w:val="0"/>
          <w:numId w:val="1136"/>
        </w:numPr>
        <w:rPr>
          <w:rFonts w:ascii="Calibri" w:cs="Calibri" w:eastAsia="Calibri" w:hAnsi="Calibri"/>
          <w:sz w:val="22"/>
          <w:szCs w:val="22"/>
          <w:color w:val="auto"/>
        </w:rPr>
      </w:pPr>
      <w:r>
        <w:rPr>
          <w:rFonts w:ascii="Times New Roman" w:cs="Times New Roman" w:eastAsia="Times New Roman" w:hAnsi="Times New Roman"/>
          <w:sz w:val="24"/>
          <w:szCs w:val="24"/>
          <w:color w:val="auto"/>
        </w:rPr>
        <w:t>Authority for the issue and details of resolution passed for the issue.</w:t>
      </w:r>
    </w:p>
    <w:p>
      <w:pPr>
        <w:spacing w:after="0" w:line="151" w:lineRule="exact"/>
        <w:rPr>
          <w:rFonts w:ascii="Calibri" w:cs="Calibri" w:eastAsia="Calibri" w:hAnsi="Calibri"/>
          <w:sz w:val="22"/>
          <w:szCs w:val="22"/>
          <w:color w:val="auto"/>
        </w:rPr>
      </w:pPr>
    </w:p>
    <w:p>
      <w:pPr>
        <w:jc w:val="both"/>
        <w:ind w:left="800" w:hanging="512"/>
        <w:spacing w:after="0" w:line="355" w:lineRule="auto"/>
        <w:tabs>
          <w:tab w:leader="none" w:pos="800" w:val="left"/>
        </w:tabs>
        <w:numPr>
          <w:ilvl w:val="0"/>
          <w:numId w:val="1136"/>
        </w:numPr>
        <w:rPr>
          <w:rFonts w:ascii="Calibri" w:cs="Calibri" w:eastAsia="Calibri" w:hAnsi="Calibri"/>
          <w:sz w:val="22"/>
          <w:szCs w:val="22"/>
          <w:color w:val="auto"/>
        </w:rPr>
      </w:pPr>
      <w:r>
        <w:rPr>
          <w:rFonts w:ascii="Times New Roman" w:cs="Times New Roman" w:eastAsia="Times New Roman" w:hAnsi="Times New Roman"/>
          <w:sz w:val="24"/>
          <w:szCs w:val="24"/>
          <w:color w:val="auto"/>
        </w:rPr>
        <w:t>A statement by the issuer that the issuer, promoters, directors or person(s) in control of the promoter or the issuer, if applicable, have not been prohibited from accessing or operating in the capital markets or restrained from buying, selling or dealing in securities under any order or direction passed by the Board or the securities regulator of its home country.</w:t>
      </w:r>
    </w:p>
    <w:p>
      <w:pPr>
        <w:spacing w:after="0" w:line="17" w:lineRule="exact"/>
        <w:rPr>
          <w:rFonts w:ascii="Calibri" w:cs="Calibri" w:eastAsia="Calibri" w:hAnsi="Calibri"/>
          <w:sz w:val="22"/>
          <w:szCs w:val="22"/>
          <w:color w:val="auto"/>
        </w:rPr>
      </w:pPr>
    </w:p>
    <w:p>
      <w:pPr>
        <w:jc w:val="both"/>
        <w:ind w:left="800" w:hanging="512"/>
        <w:spacing w:after="0" w:line="350" w:lineRule="auto"/>
        <w:tabs>
          <w:tab w:leader="none" w:pos="800" w:val="left"/>
        </w:tabs>
        <w:numPr>
          <w:ilvl w:val="0"/>
          <w:numId w:val="1136"/>
        </w:numPr>
        <w:rPr>
          <w:rFonts w:ascii="Calibri" w:cs="Calibri" w:eastAsia="Calibri" w:hAnsi="Calibri"/>
          <w:sz w:val="22"/>
          <w:szCs w:val="22"/>
          <w:color w:val="auto"/>
        </w:rPr>
      </w:pPr>
      <w:r>
        <w:rPr>
          <w:rFonts w:ascii="Times New Roman" w:cs="Times New Roman" w:eastAsia="Times New Roman" w:hAnsi="Times New Roman"/>
          <w:sz w:val="24"/>
          <w:szCs w:val="24"/>
          <w:color w:val="auto"/>
        </w:rPr>
        <w:t>It may be disclosed whether the issuer, promoters, the relatives of promoters, group companies, if applicable, are identified as wilful defaulters in India or in its home country.</w:t>
      </w:r>
    </w:p>
    <w:p>
      <w:pPr>
        <w:spacing w:after="0" w:line="5" w:lineRule="exact"/>
        <w:rPr>
          <w:rFonts w:ascii="Calibri" w:cs="Calibri" w:eastAsia="Calibri" w:hAnsi="Calibri"/>
          <w:sz w:val="22"/>
          <w:szCs w:val="22"/>
          <w:color w:val="auto"/>
        </w:rPr>
      </w:pPr>
    </w:p>
    <w:p>
      <w:pPr>
        <w:ind w:left="800" w:hanging="512"/>
        <w:spacing w:after="0"/>
        <w:tabs>
          <w:tab w:leader="none" w:pos="800" w:val="left"/>
        </w:tabs>
        <w:numPr>
          <w:ilvl w:val="0"/>
          <w:numId w:val="1136"/>
        </w:numPr>
        <w:rPr>
          <w:rFonts w:ascii="Calibri" w:cs="Calibri" w:eastAsia="Calibri" w:hAnsi="Calibri"/>
          <w:sz w:val="22"/>
          <w:szCs w:val="22"/>
          <w:color w:val="auto"/>
        </w:rPr>
      </w:pPr>
      <w:r>
        <w:rPr>
          <w:rFonts w:ascii="Times New Roman" w:cs="Times New Roman" w:eastAsia="Times New Roman" w:hAnsi="Times New Roman"/>
          <w:sz w:val="24"/>
          <w:szCs w:val="24"/>
          <w:color w:val="auto"/>
        </w:rPr>
        <w:t>Disclaimer clauses:</w:t>
      </w:r>
    </w:p>
    <w:p>
      <w:pPr>
        <w:spacing w:after="0" w:line="148" w:lineRule="exact"/>
        <w:rPr>
          <w:rFonts w:ascii="Calibri" w:cs="Calibri" w:eastAsia="Calibri" w:hAnsi="Calibri"/>
          <w:sz w:val="22"/>
          <w:szCs w:val="22"/>
          <w:color w:val="auto"/>
        </w:rPr>
      </w:pPr>
    </w:p>
    <w:p>
      <w:pPr>
        <w:ind w:left="800"/>
        <w:spacing w:after="0"/>
        <w:rPr>
          <w:rFonts w:ascii="Calibri" w:cs="Calibri" w:eastAsia="Calibri" w:hAnsi="Calibri"/>
          <w:sz w:val="22"/>
          <w:szCs w:val="22"/>
          <w:color w:val="auto"/>
        </w:rPr>
      </w:pPr>
      <w:r>
        <w:rPr>
          <w:rFonts w:ascii="Times New Roman" w:cs="Times New Roman" w:eastAsia="Times New Roman" w:hAnsi="Times New Roman"/>
          <w:sz w:val="23"/>
          <w:szCs w:val="23"/>
          <w:color w:val="auto"/>
        </w:rPr>
        <w:t>The addendum for rights offering shall contain the following disclaimer clauses in bold</w:t>
      </w:r>
    </w:p>
    <w:p>
      <w:pPr>
        <w:spacing w:after="0" w:line="139" w:lineRule="exact"/>
        <w:rPr>
          <w:sz w:val="20"/>
          <w:szCs w:val="20"/>
          <w:color w:val="auto"/>
        </w:rPr>
      </w:pPr>
    </w:p>
    <w:p>
      <w:pPr>
        <w:ind w:left="800"/>
        <w:spacing w:after="0"/>
        <w:rPr>
          <w:sz w:val="20"/>
          <w:szCs w:val="20"/>
          <w:color w:val="auto"/>
        </w:rPr>
      </w:pPr>
      <w:r>
        <w:rPr>
          <w:rFonts w:ascii="Times New Roman" w:cs="Times New Roman" w:eastAsia="Times New Roman" w:hAnsi="Times New Roman"/>
          <w:sz w:val="24"/>
          <w:szCs w:val="24"/>
          <w:color w:val="auto"/>
        </w:rPr>
        <w:t>capital letters:</w:t>
      </w:r>
    </w:p>
    <w:p>
      <w:pPr>
        <w:spacing w:after="0" w:line="130" w:lineRule="exact"/>
        <w:rPr>
          <w:sz w:val="20"/>
          <w:szCs w:val="20"/>
          <w:color w:val="auto"/>
        </w:rPr>
      </w:pPr>
    </w:p>
    <w:p>
      <w:pPr>
        <w:ind w:left="1320" w:hanging="508"/>
        <w:spacing w:after="0"/>
        <w:tabs>
          <w:tab w:leader="none" w:pos="1320" w:val="left"/>
        </w:tabs>
        <w:numPr>
          <w:ilvl w:val="0"/>
          <w:numId w:val="1137"/>
        </w:numPr>
        <w:rPr>
          <w:rFonts w:ascii="Calibri" w:cs="Calibri" w:eastAsia="Calibri" w:hAnsi="Calibri"/>
          <w:sz w:val="22"/>
          <w:szCs w:val="22"/>
          <w:color w:val="auto"/>
        </w:rPr>
      </w:pPr>
      <w:r>
        <w:rPr>
          <w:rFonts w:ascii="Times New Roman" w:cs="Times New Roman" w:eastAsia="Times New Roman" w:hAnsi="Times New Roman"/>
          <w:sz w:val="24"/>
          <w:szCs w:val="24"/>
          <w:color w:val="auto"/>
        </w:rPr>
        <w:t>Disclaimer Statement with respect to SEBI:</w:t>
      </w:r>
    </w:p>
    <w:p>
      <w:pPr>
        <w:spacing w:after="0" w:line="139" w:lineRule="exact"/>
        <w:rPr>
          <w:sz w:val="20"/>
          <w:szCs w:val="20"/>
          <w:color w:val="auto"/>
        </w:rPr>
      </w:pPr>
    </w:p>
    <w:p>
      <w:pPr>
        <w:ind w:left="1240"/>
        <w:spacing w:after="0"/>
        <w:rPr>
          <w:sz w:val="20"/>
          <w:szCs w:val="20"/>
          <w:color w:val="auto"/>
        </w:rPr>
      </w:pPr>
      <w:r>
        <w:rPr>
          <w:rFonts w:ascii="Times New Roman" w:cs="Times New Roman" w:eastAsia="Times New Roman" w:hAnsi="Times New Roman"/>
          <w:sz w:val="24"/>
          <w:szCs w:val="24"/>
          <w:i w:val="1"/>
          <w:iCs w:val="1"/>
          <w:color w:val="auto"/>
        </w:rPr>
        <w:t>(To be written in bold capital letter)</w:t>
      </w:r>
    </w:p>
    <w:p>
      <w:pPr>
        <w:spacing w:after="0" w:line="149" w:lineRule="exact"/>
        <w:rPr>
          <w:sz w:val="20"/>
          <w:szCs w:val="20"/>
          <w:color w:val="auto"/>
        </w:rPr>
      </w:pPr>
    </w:p>
    <w:p>
      <w:pPr>
        <w:jc w:val="both"/>
        <w:ind w:left="1240"/>
        <w:spacing w:after="0" w:line="358" w:lineRule="auto"/>
        <w:rPr>
          <w:sz w:val="20"/>
          <w:szCs w:val="20"/>
          <w:color w:val="auto"/>
        </w:rPr>
      </w:pPr>
      <w:r>
        <w:rPr>
          <w:rFonts w:ascii="Times New Roman" w:cs="Times New Roman" w:eastAsia="Times New Roman" w:hAnsi="Times New Roman"/>
          <w:sz w:val="24"/>
          <w:szCs w:val="24"/>
          <w:color w:val="auto"/>
        </w:rPr>
        <w:t>"It is to be distinctly understood that submission of the offer document and the addendum to SEBI should not in any way be deemed or construed that the same has been cleared or approved by SEBI. SEBI does not take any responsibility either for the financial soundness of any scheme or the project for which the issue is proposed to be made or for the correctness of the statements made or opinions expressed in the offer document and the addendum. Lead manager(s), has certified that the disclosures made in the addendum are generally adequate and are in conformity with SEBI (Issue of Capital and Disclosure Requirements)</w:t>
      </w:r>
    </w:p>
    <w:p>
      <w:pPr>
        <w:spacing w:after="0" w:line="264"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364</w:t>
      </w:r>
    </w:p>
    <w:p>
      <w:pPr>
        <w:sectPr>
          <w:pgSz w:w="11900" w:h="16836" w:orient="portrait"/>
          <w:cols w:equalWidth="0" w:num="1">
            <w:col w:w="9180"/>
          </w:cols>
          <w:pgMar w:left="1440" w:top="1440" w:right="1284" w:bottom="103" w:gutter="0" w:footer="0" w:header="0"/>
        </w:sectPr>
      </w:pPr>
    </w:p>
    <w:bookmarkStart w:id="364" w:name="page365"/>
    <w:bookmarkEnd w:id="364"/>
    <w:p>
      <w:pPr>
        <w:jc w:val="both"/>
        <w:ind w:left="1240"/>
        <w:spacing w:after="0" w:line="354" w:lineRule="auto"/>
        <w:rPr>
          <w:sz w:val="20"/>
          <w:szCs w:val="20"/>
          <w:color w:val="auto"/>
        </w:rPr>
      </w:pPr>
      <w:r>
        <w:rPr>
          <w:rFonts w:ascii="Times New Roman" w:cs="Times New Roman" w:eastAsia="Times New Roman" w:hAnsi="Times New Roman"/>
          <w:sz w:val="24"/>
          <w:szCs w:val="24"/>
          <w:color w:val="auto"/>
        </w:rPr>
        <w:t>Regulations, 2018 in force for the time being. This requirement is to facilitate investors to take an informed decision for making investment in the proposed issue.</w:t>
      </w:r>
    </w:p>
    <w:p>
      <w:pPr>
        <w:spacing w:after="0" w:line="200" w:lineRule="exact"/>
        <w:rPr>
          <w:sz w:val="20"/>
          <w:szCs w:val="20"/>
          <w:color w:val="auto"/>
        </w:rPr>
      </w:pPr>
    </w:p>
    <w:p>
      <w:pPr>
        <w:spacing w:after="0" w:line="235" w:lineRule="exact"/>
        <w:rPr>
          <w:sz w:val="20"/>
          <w:szCs w:val="20"/>
          <w:color w:val="auto"/>
        </w:rPr>
      </w:pPr>
    </w:p>
    <w:p>
      <w:pPr>
        <w:jc w:val="both"/>
        <w:ind w:left="1240"/>
        <w:spacing w:after="0" w:line="357" w:lineRule="auto"/>
        <w:rPr>
          <w:sz w:val="20"/>
          <w:szCs w:val="20"/>
          <w:color w:val="auto"/>
        </w:rPr>
      </w:pPr>
      <w:r>
        <w:rPr>
          <w:rFonts w:ascii="Times New Roman" w:cs="Times New Roman" w:eastAsia="Times New Roman" w:hAnsi="Times New Roman"/>
          <w:sz w:val="24"/>
          <w:szCs w:val="24"/>
          <w:color w:val="auto"/>
        </w:rPr>
        <w:t>It should also be clearly understood that while the issuer is primarily responsible for the correctness, adequacy and disclosure of all relevant information in the addendum, the lead manager(s) is expected to exercise due diligence to ensure that the issuer discharges its responsibility adequately in this behalf and towards this purpose, the lead manager(s) ……. has furnished to the Securities and Exchange</w:t>
      </w:r>
    </w:p>
    <w:p>
      <w:pPr>
        <w:spacing w:after="0" w:line="5" w:lineRule="exact"/>
        <w:rPr>
          <w:sz w:val="20"/>
          <w:szCs w:val="20"/>
          <w:color w:val="auto"/>
        </w:rPr>
      </w:pPr>
    </w:p>
    <w:p>
      <w:pPr>
        <w:ind w:left="1240"/>
        <w:spacing w:after="0"/>
        <w:rPr>
          <w:sz w:val="20"/>
          <w:szCs w:val="20"/>
          <w:color w:val="auto"/>
        </w:rPr>
      </w:pPr>
      <w:r>
        <w:rPr>
          <w:rFonts w:ascii="Times New Roman" w:cs="Times New Roman" w:eastAsia="Times New Roman" w:hAnsi="Times New Roman"/>
          <w:sz w:val="24"/>
          <w:szCs w:val="24"/>
          <w:color w:val="auto"/>
        </w:rPr>
        <w:t>Board  of  India  (SEBI)  a  due  diligence  certificate  dated  …….which  reads  as</w:t>
      </w:r>
    </w:p>
    <w:p>
      <w:pPr>
        <w:spacing w:after="0" w:line="139" w:lineRule="exact"/>
        <w:rPr>
          <w:sz w:val="20"/>
          <w:szCs w:val="20"/>
          <w:color w:val="auto"/>
        </w:rPr>
      </w:pPr>
    </w:p>
    <w:p>
      <w:pPr>
        <w:ind w:left="1240"/>
        <w:spacing w:after="0"/>
        <w:rPr>
          <w:sz w:val="20"/>
          <w:szCs w:val="20"/>
          <w:color w:val="auto"/>
        </w:rPr>
      </w:pPr>
      <w:r>
        <w:rPr>
          <w:rFonts w:ascii="Times New Roman" w:cs="Times New Roman" w:eastAsia="Times New Roman" w:hAnsi="Times New Roman"/>
          <w:sz w:val="24"/>
          <w:szCs w:val="24"/>
          <w:color w:val="auto"/>
        </w:rPr>
        <w:t xml:space="preserve">follows: </w:t>
      </w:r>
      <w:r>
        <w:rPr>
          <w:rFonts w:ascii="Times New Roman" w:cs="Times New Roman" w:eastAsia="Times New Roman" w:hAnsi="Times New Roman"/>
          <w:sz w:val="24"/>
          <w:szCs w:val="24"/>
          <w:i w:val="1"/>
          <w:iCs w:val="1"/>
          <w:color w:val="auto"/>
        </w:rPr>
        <w:t>(due diligence certificate submitted to the Board to be reproduced here)</w:t>
      </w:r>
    </w:p>
    <w:p>
      <w:pPr>
        <w:spacing w:after="0" w:line="200" w:lineRule="exact"/>
        <w:rPr>
          <w:sz w:val="20"/>
          <w:szCs w:val="20"/>
          <w:color w:val="auto"/>
        </w:rPr>
      </w:pPr>
    </w:p>
    <w:p>
      <w:pPr>
        <w:spacing w:after="0" w:line="364" w:lineRule="exact"/>
        <w:rPr>
          <w:sz w:val="20"/>
          <w:szCs w:val="20"/>
          <w:color w:val="auto"/>
        </w:rPr>
      </w:pPr>
    </w:p>
    <w:p>
      <w:pPr>
        <w:jc w:val="both"/>
        <w:ind w:left="1240"/>
        <w:spacing w:after="0" w:line="357" w:lineRule="auto"/>
        <w:rPr>
          <w:sz w:val="20"/>
          <w:szCs w:val="20"/>
          <w:color w:val="auto"/>
        </w:rPr>
      </w:pPr>
      <w:r>
        <w:rPr>
          <w:rFonts w:ascii="Times New Roman" w:cs="Times New Roman" w:eastAsia="Times New Roman" w:hAnsi="Times New Roman"/>
          <w:sz w:val="24"/>
          <w:szCs w:val="24"/>
          <w:color w:val="auto"/>
        </w:rPr>
        <w:t>The filing of the offer document along with the addendum does not, however, absolve the issuer from any liabilities under the Companies (Issue of Indian Depository Receipts) Rules, 2004 or from the requirement of obtaining such statutory or other clearances as may be required for the purpose of the proposed issue. SEBI further reserves the right to take up, at any point of time, with the lead manager(s) any irregularities or lapses in the offer document and the addendum."</w:t>
      </w:r>
    </w:p>
    <w:p>
      <w:pPr>
        <w:spacing w:after="0" w:line="200" w:lineRule="exact"/>
        <w:rPr>
          <w:sz w:val="20"/>
          <w:szCs w:val="20"/>
          <w:color w:val="auto"/>
        </w:rPr>
      </w:pPr>
    </w:p>
    <w:p>
      <w:pPr>
        <w:spacing w:after="0" w:line="215" w:lineRule="exact"/>
        <w:rPr>
          <w:sz w:val="20"/>
          <w:szCs w:val="20"/>
          <w:color w:val="auto"/>
        </w:rPr>
      </w:pPr>
    </w:p>
    <w:p>
      <w:pPr>
        <w:ind w:left="1280" w:hanging="468"/>
        <w:spacing w:after="0"/>
        <w:tabs>
          <w:tab w:leader="none" w:pos="1280" w:val="left"/>
        </w:tabs>
        <w:numPr>
          <w:ilvl w:val="0"/>
          <w:numId w:val="1138"/>
        </w:numPr>
        <w:rPr>
          <w:rFonts w:ascii="Calibri" w:cs="Calibri" w:eastAsia="Calibri" w:hAnsi="Calibri"/>
          <w:sz w:val="22"/>
          <w:szCs w:val="22"/>
          <w:color w:val="auto"/>
        </w:rPr>
      </w:pPr>
      <w:r>
        <w:rPr>
          <w:rFonts w:ascii="Times New Roman" w:cs="Times New Roman" w:eastAsia="Times New Roman" w:hAnsi="Times New Roman"/>
          <w:sz w:val="24"/>
          <w:szCs w:val="24"/>
          <w:color w:val="auto"/>
        </w:rPr>
        <w:t>Disclaimer Statement from the issuer and lead manager(s):</w:t>
      </w:r>
    </w:p>
    <w:p>
      <w:pPr>
        <w:spacing w:after="0" w:line="151" w:lineRule="exact"/>
        <w:rPr>
          <w:sz w:val="20"/>
          <w:szCs w:val="20"/>
          <w:color w:val="auto"/>
        </w:rPr>
      </w:pPr>
    </w:p>
    <w:p>
      <w:pPr>
        <w:jc w:val="both"/>
        <w:ind w:left="1320"/>
        <w:spacing w:after="0" w:line="357" w:lineRule="auto"/>
        <w:rPr>
          <w:sz w:val="20"/>
          <w:szCs w:val="20"/>
          <w:color w:val="auto"/>
        </w:rPr>
      </w:pPr>
      <w:r>
        <w:rPr>
          <w:rFonts w:ascii="Times New Roman" w:cs="Times New Roman" w:eastAsia="Times New Roman" w:hAnsi="Times New Roman"/>
          <w:sz w:val="24"/>
          <w:szCs w:val="24"/>
          <w:color w:val="auto"/>
        </w:rPr>
        <w:t>A statement to the effect that the issuer and the lead manager(s) accept no responsibility for statements made otherwise than in the offer document for the rights offering or in the advertisement or any other material issued by or at the instance of the issuer and that anyone placing reliance on any other source of information would be doing so at their own risk.</w:t>
      </w:r>
    </w:p>
    <w:p>
      <w:pPr>
        <w:spacing w:after="0" w:line="200" w:lineRule="exact"/>
        <w:rPr>
          <w:sz w:val="20"/>
          <w:szCs w:val="20"/>
          <w:color w:val="auto"/>
        </w:rPr>
      </w:pPr>
    </w:p>
    <w:p>
      <w:pPr>
        <w:spacing w:after="0" w:line="232" w:lineRule="exact"/>
        <w:rPr>
          <w:sz w:val="20"/>
          <w:szCs w:val="20"/>
          <w:color w:val="auto"/>
        </w:rPr>
      </w:pPr>
    </w:p>
    <w:p>
      <w:pPr>
        <w:jc w:val="both"/>
        <w:ind w:left="1240"/>
        <w:spacing w:after="0" w:line="357" w:lineRule="auto"/>
        <w:rPr>
          <w:sz w:val="20"/>
          <w:szCs w:val="20"/>
          <w:color w:val="auto"/>
        </w:rPr>
      </w:pPr>
      <w:r>
        <w:rPr>
          <w:rFonts w:ascii="Times New Roman" w:cs="Times New Roman" w:eastAsia="Times New Roman" w:hAnsi="Times New Roman"/>
          <w:sz w:val="24"/>
          <w:szCs w:val="24"/>
          <w:color w:val="auto"/>
        </w:rPr>
        <w:t>Investors who invest in the issue will be deemed to have been represented by the issuer and lead manager and their respective directors, officers, agents, affiliates and representatives that they are eligible under all applicable laws, rules, regulations, guidelines and approvals to acquire IDRs of the Company, and are relying on independent advice / evaluation as to their ability and quantum of investment in this issue.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365</w:t>
      </w:r>
    </w:p>
    <w:p>
      <w:pPr>
        <w:sectPr>
          <w:pgSz w:w="11900" w:h="16836" w:orient="portrait"/>
          <w:cols w:equalWidth="0" w:num="1">
            <w:col w:w="9180"/>
          </w:cols>
          <w:pgMar w:left="1440" w:top="1156" w:right="1284" w:bottom="103" w:gutter="0" w:footer="0" w:header="0"/>
        </w:sectPr>
      </w:pPr>
    </w:p>
    <w:bookmarkStart w:id="365" w:name="page366"/>
    <w:bookmarkEnd w:id="365"/>
    <w:p>
      <w:pPr>
        <w:jc w:val="both"/>
        <w:ind w:left="1240" w:hanging="431"/>
        <w:spacing w:after="0" w:line="350" w:lineRule="auto"/>
        <w:tabs>
          <w:tab w:leader="none" w:pos="1209" w:val="left"/>
        </w:tabs>
        <w:numPr>
          <w:ilvl w:val="1"/>
          <w:numId w:val="1139"/>
        </w:numPr>
        <w:rPr>
          <w:rFonts w:ascii="Calibri" w:cs="Calibri" w:eastAsia="Calibri" w:hAnsi="Calibri"/>
          <w:sz w:val="22"/>
          <w:szCs w:val="22"/>
          <w:color w:val="auto"/>
        </w:rPr>
      </w:pPr>
      <w:r>
        <w:rPr>
          <w:rFonts w:ascii="Times New Roman" w:cs="Times New Roman" w:eastAsia="Times New Roman" w:hAnsi="Times New Roman"/>
          <w:sz w:val="24"/>
          <w:szCs w:val="24"/>
          <w:color w:val="auto"/>
        </w:rPr>
        <w:t>Disclaimer in respect of jurisdiction: A brief paragraph mentioning the jurisdiction under which provisions of law and the rules and regulations are applicable to the offer document for rights offering.</w:t>
      </w:r>
    </w:p>
    <w:p>
      <w:pPr>
        <w:spacing w:after="0" w:line="200" w:lineRule="exact"/>
        <w:rPr>
          <w:rFonts w:ascii="Calibri" w:cs="Calibri" w:eastAsia="Calibri" w:hAnsi="Calibri"/>
          <w:sz w:val="22"/>
          <w:szCs w:val="22"/>
          <w:color w:val="auto"/>
        </w:rPr>
      </w:pPr>
    </w:p>
    <w:p>
      <w:pPr>
        <w:spacing w:after="0" w:line="219" w:lineRule="exact"/>
        <w:rPr>
          <w:rFonts w:ascii="Calibri" w:cs="Calibri" w:eastAsia="Calibri" w:hAnsi="Calibri"/>
          <w:sz w:val="22"/>
          <w:szCs w:val="22"/>
          <w:color w:val="auto"/>
        </w:rPr>
      </w:pPr>
    </w:p>
    <w:p>
      <w:pPr>
        <w:ind w:left="1220" w:hanging="408"/>
        <w:spacing w:after="0"/>
        <w:tabs>
          <w:tab w:leader="none" w:pos="1220" w:val="left"/>
        </w:tabs>
        <w:numPr>
          <w:ilvl w:val="1"/>
          <w:numId w:val="1139"/>
        </w:numPr>
        <w:rPr>
          <w:rFonts w:ascii="Calibri" w:cs="Calibri" w:eastAsia="Calibri" w:hAnsi="Calibri"/>
          <w:sz w:val="22"/>
          <w:szCs w:val="22"/>
          <w:color w:val="auto"/>
        </w:rPr>
      </w:pPr>
      <w:r>
        <w:rPr>
          <w:rFonts w:ascii="Times New Roman" w:cs="Times New Roman" w:eastAsia="Times New Roman" w:hAnsi="Times New Roman"/>
          <w:sz w:val="24"/>
          <w:szCs w:val="24"/>
          <w:color w:val="auto"/>
        </w:rPr>
        <w:t>Disclaimer statement of the stock exchanges, if any.</w:t>
      </w:r>
    </w:p>
    <w:p>
      <w:pPr>
        <w:spacing w:after="0" w:line="200" w:lineRule="exact"/>
        <w:rPr>
          <w:rFonts w:ascii="Calibri" w:cs="Calibri" w:eastAsia="Calibri" w:hAnsi="Calibri"/>
          <w:sz w:val="22"/>
          <w:szCs w:val="22"/>
          <w:color w:val="auto"/>
        </w:rPr>
      </w:pPr>
    </w:p>
    <w:p>
      <w:pPr>
        <w:spacing w:after="0" w:line="344" w:lineRule="exact"/>
        <w:rPr>
          <w:rFonts w:ascii="Calibri" w:cs="Calibri" w:eastAsia="Calibri" w:hAnsi="Calibri"/>
          <w:sz w:val="22"/>
          <w:szCs w:val="22"/>
          <w:color w:val="auto"/>
        </w:rPr>
      </w:pPr>
    </w:p>
    <w:p>
      <w:pPr>
        <w:ind w:left="1220" w:hanging="408"/>
        <w:spacing w:after="0"/>
        <w:tabs>
          <w:tab w:leader="none" w:pos="1220" w:val="left"/>
        </w:tabs>
        <w:numPr>
          <w:ilvl w:val="1"/>
          <w:numId w:val="1139"/>
        </w:numPr>
        <w:rPr>
          <w:rFonts w:ascii="Calibri" w:cs="Calibri" w:eastAsia="Calibri" w:hAnsi="Calibri"/>
          <w:sz w:val="22"/>
          <w:szCs w:val="22"/>
          <w:color w:val="auto"/>
        </w:rPr>
      </w:pPr>
      <w:r>
        <w:rPr>
          <w:rFonts w:ascii="Times New Roman" w:cs="Times New Roman" w:eastAsia="Times New Roman" w:hAnsi="Times New Roman"/>
          <w:sz w:val="24"/>
          <w:szCs w:val="24"/>
          <w:color w:val="auto"/>
        </w:rPr>
        <w:t>Disclaimer statement of the Reserve Bank of India (if applicable).</w:t>
      </w:r>
    </w:p>
    <w:p>
      <w:pPr>
        <w:spacing w:after="0" w:line="200" w:lineRule="exact"/>
        <w:rPr>
          <w:rFonts w:ascii="Calibri" w:cs="Calibri" w:eastAsia="Calibri" w:hAnsi="Calibri"/>
          <w:sz w:val="22"/>
          <w:szCs w:val="22"/>
          <w:color w:val="auto"/>
        </w:rPr>
      </w:pPr>
    </w:p>
    <w:p>
      <w:pPr>
        <w:spacing w:after="0" w:line="364" w:lineRule="exact"/>
        <w:rPr>
          <w:rFonts w:ascii="Calibri" w:cs="Calibri" w:eastAsia="Calibri" w:hAnsi="Calibri"/>
          <w:sz w:val="22"/>
          <w:szCs w:val="22"/>
          <w:color w:val="auto"/>
        </w:rPr>
      </w:pPr>
    </w:p>
    <w:p>
      <w:pPr>
        <w:ind w:left="800" w:hanging="512"/>
        <w:spacing w:after="0" w:line="342" w:lineRule="auto"/>
        <w:tabs>
          <w:tab w:leader="none" w:pos="800" w:val="left"/>
        </w:tabs>
        <w:numPr>
          <w:ilvl w:val="0"/>
          <w:numId w:val="1140"/>
        </w:numPr>
        <w:rPr>
          <w:rFonts w:ascii="Calibri" w:cs="Calibri" w:eastAsia="Calibri" w:hAnsi="Calibri"/>
          <w:sz w:val="22"/>
          <w:szCs w:val="22"/>
          <w:color w:val="auto"/>
        </w:rPr>
      </w:pPr>
      <w:r>
        <w:rPr>
          <w:rFonts w:ascii="Times New Roman" w:cs="Times New Roman" w:eastAsia="Times New Roman" w:hAnsi="Times New Roman"/>
          <w:sz w:val="24"/>
          <w:szCs w:val="24"/>
          <w:color w:val="auto"/>
        </w:rPr>
        <w:t>Broad details of fees payable to various intermediaries involved in the IDR rights offering.</w:t>
      </w:r>
    </w:p>
    <w:p>
      <w:pPr>
        <w:spacing w:after="0" w:line="200" w:lineRule="exact"/>
        <w:rPr>
          <w:rFonts w:ascii="Calibri" w:cs="Calibri" w:eastAsia="Calibri" w:hAnsi="Calibri"/>
          <w:sz w:val="22"/>
          <w:szCs w:val="22"/>
          <w:color w:val="auto"/>
        </w:rPr>
      </w:pPr>
    </w:p>
    <w:p>
      <w:pPr>
        <w:spacing w:after="0" w:line="244" w:lineRule="exact"/>
        <w:rPr>
          <w:rFonts w:ascii="Calibri" w:cs="Calibri" w:eastAsia="Calibri" w:hAnsi="Calibri"/>
          <w:sz w:val="22"/>
          <w:szCs w:val="22"/>
          <w:color w:val="auto"/>
        </w:rPr>
      </w:pPr>
    </w:p>
    <w:p>
      <w:pPr>
        <w:jc w:val="both"/>
        <w:ind w:left="800" w:hanging="512"/>
        <w:spacing w:after="0" w:line="350" w:lineRule="auto"/>
        <w:tabs>
          <w:tab w:leader="none" w:pos="800" w:val="left"/>
        </w:tabs>
        <w:numPr>
          <w:ilvl w:val="0"/>
          <w:numId w:val="1140"/>
        </w:numPr>
        <w:rPr>
          <w:rFonts w:ascii="Calibri" w:cs="Calibri" w:eastAsia="Calibri" w:hAnsi="Calibri"/>
          <w:sz w:val="22"/>
          <w:szCs w:val="22"/>
          <w:color w:val="auto"/>
        </w:rPr>
      </w:pPr>
      <w:r>
        <w:rPr>
          <w:rFonts w:ascii="Times New Roman" w:cs="Times New Roman" w:eastAsia="Times New Roman" w:hAnsi="Times New Roman"/>
          <w:sz w:val="24"/>
          <w:szCs w:val="24"/>
          <w:color w:val="auto"/>
        </w:rPr>
        <w:t>Arrangements or any mechanism evolved by the issuer for redressal of investor grievances in respect of IDRs and the time normally taken by it for disposal of various types of investor grievances.</w:t>
      </w:r>
    </w:p>
    <w:p>
      <w:pPr>
        <w:spacing w:after="0" w:line="200" w:lineRule="exact"/>
        <w:rPr>
          <w:sz w:val="20"/>
          <w:szCs w:val="20"/>
          <w:color w:val="auto"/>
        </w:rPr>
      </w:pPr>
    </w:p>
    <w:p>
      <w:pPr>
        <w:spacing w:after="0" w:line="218" w:lineRule="exact"/>
        <w:rPr>
          <w:sz w:val="20"/>
          <w:szCs w:val="20"/>
          <w:color w:val="auto"/>
        </w:rPr>
      </w:pPr>
    </w:p>
    <w:p>
      <w:pPr>
        <w:ind w:left="80"/>
        <w:spacing w:after="0"/>
        <w:rPr>
          <w:sz w:val="20"/>
          <w:szCs w:val="20"/>
          <w:color w:val="auto"/>
        </w:rPr>
      </w:pPr>
      <w:r>
        <w:rPr>
          <w:rFonts w:ascii="Calibri" w:cs="Calibri" w:eastAsia="Calibri" w:hAnsi="Calibri"/>
          <w:sz w:val="22"/>
          <w:szCs w:val="22"/>
          <w:b w:val="1"/>
          <w:bCs w:val="1"/>
          <w:color w:val="auto"/>
        </w:rPr>
        <w:t xml:space="preserve">(XV)  </w:t>
      </w:r>
      <w:r>
        <w:rPr>
          <w:rFonts w:ascii="Times New Roman" w:cs="Times New Roman" w:eastAsia="Times New Roman" w:hAnsi="Times New Roman"/>
          <w:sz w:val="24"/>
          <w:szCs w:val="24"/>
          <w:b w:val="1"/>
          <w:bCs w:val="1"/>
          <w:color w:val="auto"/>
        </w:rPr>
        <w:t>Undertakings by the issuer in connection with the issue:</w:t>
      </w:r>
    </w:p>
    <w:p>
      <w:pPr>
        <w:spacing w:after="0" w:line="131"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4"/>
          <w:szCs w:val="24"/>
          <w:color w:val="auto"/>
        </w:rPr>
        <w:t>The issuer shall undertake that:</w:t>
      </w:r>
    </w:p>
    <w:p>
      <w:pPr>
        <w:spacing w:after="0" w:line="149" w:lineRule="exact"/>
        <w:rPr>
          <w:sz w:val="20"/>
          <w:szCs w:val="20"/>
          <w:color w:val="auto"/>
        </w:rPr>
      </w:pPr>
    </w:p>
    <w:p>
      <w:pPr>
        <w:ind w:left="1060" w:hanging="628"/>
        <w:spacing w:after="0" w:line="350" w:lineRule="auto"/>
        <w:tabs>
          <w:tab w:leader="none" w:pos="1060" w:val="left"/>
        </w:tabs>
        <w:numPr>
          <w:ilvl w:val="0"/>
          <w:numId w:val="114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complaints received in respect of the issue shall be attended to by the issuer expeditiously and satisfactorily.</w:t>
      </w:r>
    </w:p>
    <w:p>
      <w:pPr>
        <w:spacing w:after="0" w:line="23" w:lineRule="exact"/>
        <w:rPr>
          <w:rFonts w:ascii="Times New Roman" w:cs="Times New Roman" w:eastAsia="Times New Roman" w:hAnsi="Times New Roman"/>
          <w:sz w:val="24"/>
          <w:szCs w:val="24"/>
          <w:color w:val="auto"/>
        </w:rPr>
      </w:pPr>
    </w:p>
    <w:p>
      <w:pPr>
        <w:jc w:val="both"/>
        <w:ind w:left="1060" w:hanging="628"/>
        <w:spacing w:after="0" w:line="354" w:lineRule="auto"/>
        <w:tabs>
          <w:tab w:leader="none" w:pos="1060" w:val="left"/>
        </w:tabs>
        <w:numPr>
          <w:ilvl w:val="0"/>
          <w:numId w:val="114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that steps for completion of the necessary formalities for listing and commencement of trading at all stock exchanges where the IDRs are to be listed are taken within seven working days of closing of the issue.</w:t>
      </w:r>
    </w:p>
    <w:p>
      <w:pPr>
        <w:spacing w:after="0" w:line="22" w:lineRule="exact"/>
        <w:rPr>
          <w:rFonts w:ascii="Times New Roman" w:cs="Times New Roman" w:eastAsia="Times New Roman" w:hAnsi="Times New Roman"/>
          <w:sz w:val="24"/>
          <w:szCs w:val="24"/>
          <w:color w:val="auto"/>
        </w:rPr>
      </w:pPr>
    </w:p>
    <w:p>
      <w:pPr>
        <w:ind w:left="1060" w:hanging="628"/>
        <w:spacing w:after="0" w:line="348" w:lineRule="auto"/>
        <w:tabs>
          <w:tab w:leader="none" w:pos="1060" w:val="left"/>
        </w:tabs>
        <w:numPr>
          <w:ilvl w:val="0"/>
          <w:numId w:val="114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funds required for making refunds to unsuccessful applicants as per the mode(s) disclosed shall be made available to the registrar to the issue by the issuer.</w:t>
      </w:r>
    </w:p>
    <w:p>
      <w:pPr>
        <w:spacing w:after="0" w:line="28" w:lineRule="exact"/>
        <w:rPr>
          <w:rFonts w:ascii="Times New Roman" w:cs="Times New Roman" w:eastAsia="Times New Roman" w:hAnsi="Times New Roman"/>
          <w:sz w:val="24"/>
          <w:szCs w:val="24"/>
          <w:color w:val="auto"/>
        </w:rPr>
      </w:pPr>
    </w:p>
    <w:p>
      <w:pPr>
        <w:jc w:val="both"/>
        <w:ind w:left="1060" w:hanging="628"/>
        <w:spacing w:after="0" w:line="356" w:lineRule="auto"/>
        <w:tabs>
          <w:tab w:leader="none" w:pos="1060" w:val="left"/>
        </w:tabs>
        <w:numPr>
          <w:ilvl w:val="0"/>
          <w:numId w:val="114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that where refunds are made through electronic transfer of funds, a suitable communication shall be sent to the applicant within 15 days of closure of the issue giving details of the bank where refunds shall be credited along with amount and expected date of electronic credit of refund.</w:t>
      </w:r>
    </w:p>
    <w:p>
      <w:pPr>
        <w:spacing w:after="0" w:line="6" w:lineRule="exact"/>
        <w:rPr>
          <w:rFonts w:ascii="Times New Roman" w:cs="Times New Roman" w:eastAsia="Times New Roman" w:hAnsi="Times New Roman"/>
          <w:sz w:val="24"/>
          <w:szCs w:val="24"/>
          <w:color w:val="auto"/>
        </w:rPr>
      </w:pPr>
    </w:p>
    <w:p>
      <w:pPr>
        <w:ind w:left="1060" w:hanging="628"/>
        <w:spacing w:after="0"/>
        <w:tabs>
          <w:tab w:leader="none" w:pos="1060" w:val="left"/>
        </w:tabs>
        <w:numPr>
          <w:ilvl w:val="0"/>
          <w:numId w:val="114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that adequate arrangements shall be made to collect all applications.</w:t>
      </w:r>
    </w:p>
    <w:p>
      <w:pPr>
        <w:spacing w:after="0" w:line="149" w:lineRule="exact"/>
        <w:rPr>
          <w:rFonts w:ascii="Times New Roman" w:cs="Times New Roman" w:eastAsia="Times New Roman" w:hAnsi="Times New Roman"/>
          <w:sz w:val="24"/>
          <w:szCs w:val="24"/>
          <w:color w:val="auto"/>
        </w:rPr>
      </w:pPr>
    </w:p>
    <w:p>
      <w:pPr>
        <w:jc w:val="both"/>
        <w:ind w:left="1060" w:hanging="628"/>
        <w:spacing w:after="0" w:line="354" w:lineRule="auto"/>
        <w:tabs>
          <w:tab w:leader="none" w:pos="1060" w:val="left"/>
        </w:tabs>
        <w:numPr>
          <w:ilvl w:val="0"/>
          <w:numId w:val="114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that adequate arrangements shall be made to collect all ASBA applications and to consider them similar to non-ASBA applications while finalizing the basis of allotment.</w:t>
      </w:r>
    </w:p>
    <w:p>
      <w:pPr>
        <w:spacing w:after="0" w:line="22" w:lineRule="exact"/>
        <w:rPr>
          <w:rFonts w:ascii="Times New Roman" w:cs="Times New Roman" w:eastAsia="Times New Roman" w:hAnsi="Times New Roman"/>
          <w:sz w:val="24"/>
          <w:szCs w:val="24"/>
          <w:color w:val="auto"/>
        </w:rPr>
      </w:pPr>
    </w:p>
    <w:p>
      <w:pPr>
        <w:ind w:left="1060" w:hanging="628"/>
        <w:spacing w:after="0" w:line="348" w:lineRule="auto"/>
        <w:tabs>
          <w:tab w:leader="none" w:pos="1060" w:val="left"/>
        </w:tabs>
        <w:numPr>
          <w:ilvl w:val="0"/>
          <w:numId w:val="114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that the IDRs shall be credited to the demat account / refunds made within a period of fifteen days and interest in case of delay in refund at the prescribed rate.</w:t>
      </w: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366</w:t>
      </w:r>
    </w:p>
    <w:p>
      <w:pPr>
        <w:sectPr>
          <w:pgSz w:w="11900" w:h="16836" w:orient="portrait"/>
          <w:cols w:equalWidth="0" w:num="1">
            <w:col w:w="9180"/>
          </w:cols>
          <w:pgMar w:left="1440" w:top="1156" w:right="1284" w:bottom="103" w:gutter="0" w:footer="0" w:header="0"/>
        </w:sectPr>
      </w:pPr>
    </w:p>
    <w:bookmarkStart w:id="366" w:name="page367"/>
    <w:bookmarkEnd w:id="366"/>
    <w:p>
      <w:pPr>
        <w:ind w:left="620" w:hanging="539"/>
        <w:spacing w:after="0" w:line="314" w:lineRule="auto"/>
        <w:rPr>
          <w:sz w:val="20"/>
          <w:szCs w:val="20"/>
          <w:color w:val="auto"/>
        </w:rPr>
      </w:pPr>
      <w:r>
        <w:rPr>
          <w:rFonts w:ascii="Calibri" w:cs="Calibri" w:eastAsia="Calibri" w:hAnsi="Calibri"/>
          <w:sz w:val="22"/>
          <w:szCs w:val="22"/>
          <w:b w:val="1"/>
          <w:bCs w:val="1"/>
          <w:color w:val="auto"/>
        </w:rPr>
        <w:t xml:space="preserve">(XVI) </w:t>
      </w:r>
      <w:r>
        <w:rPr>
          <w:rFonts w:ascii="Times New Roman" w:cs="Times New Roman" w:eastAsia="Times New Roman" w:hAnsi="Times New Roman"/>
          <w:sz w:val="24"/>
          <w:szCs w:val="24"/>
          <w:b w:val="1"/>
          <w:bCs w:val="1"/>
          <w:color w:val="auto"/>
        </w:rPr>
        <w:t>Utilisation of issue proceeds:</w:t>
      </w:r>
      <w:r>
        <w:rPr>
          <w:rFonts w:ascii="Calibri" w:cs="Calibri" w:eastAsia="Calibri" w:hAnsi="Calibri"/>
          <w:sz w:val="22"/>
          <w:szCs w:val="22"/>
          <w:b w:val="1"/>
          <w:bCs w:val="1"/>
          <w:color w:val="auto"/>
        </w:rPr>
        <w:t xml:space="preserve"> </w:t>
      </w:r>
      <w:r>
        <w:rPr>
          <w:rFonts w:ascii="Times New Roman" w:cs="Times New Roman" w:eastAsia="Times New Roman" w:hAnsi="Times New Roman"/>
          <w:sz w:val="24"/>
          <w:szCs w:val="24"/>
          <w:color w:val="auto"/>
        </w:rPr>
        <w:t>The addendum for the rights offering shall contain a</w:t>
      </w:r>
      <w:r>
        <w:rPr>
          <w:rFonts w:ascii="Calibri" w:cs="Calibri" w:eastAsia="Calibri" w:hAnsi="Calibri"/>
          <w:sz w:val="22"/>
          <w:szCs w:val="22"/>
          <w:b w:val="1"/>
          <w:bCs w:val="1"/>
          <w:color w:val="auto"/>
        </w:rPr>
        <w:t xml:space="preserve"> </w:t>
      </w:r>
      <w:r>
        <w:rPr>
          <w:rFonts w:ascii="Times New Roman" w:cs="Times New Roman" w:eastAsia="Times New Roman" w:hAnsi="Times New Roman"/>
          <w:sz w:val="24"/>
          <w:szCs w:val="24"/>
          <w:color w:val="auto"/>
        </w:rPr>
        <w:t>statement of the board of directors of the issuer in relation to the use of issue proceeds.</w:t>
      </w:r>
    </w:p>
    <w:p>
      <w:pPr>
        <w:spacing w:after="0" w:line="200" w:lineRule="exact"/>
        <w:rPr>
          <w:sz w:val="20"/>
          <w:szCs w:val="20"/>
          <w:color w:val="auto"/>
        </w:rPr>
      </w:pPr>
    </w:p>
    <w:p>
      <w:pPr>
        <w:spacing w:after="0" w:line="254" w:lineRule="exact"/>
        <w:rPr>
          <w:sz w:val="20"/>
          <w:szCs w:val="20"/>
          <w:color w:val="auto"/>
        </w:rPr>
      </w:pPr>
    </w:p>
    <w:p>
      <w:pPr>
        <w:ind w:left="80"/>
        <w:spacing w:after="0"/>
        <w:rPr>
          <w:sz w:val="20"/>
          <w:szCs w:val="20"/>
          <w:color w:val="auto"/>
        </w:rPr>
      </w:pPr>
      <w:r>
        <w:rPr>
          <w:rFonts w:ascii="Calibri" w:cs="Calibri" w:eastAsia="Calibri" w:hAnsi="Calibri"/>
          <w:sz w:val="22"/>
          <w:szCs w:val="22"/>
          <w:b w:val="1"/>
          <w:bCs w:val="1"/>
          <w:color w:val="auto"/>
        </w:rPr>
        <w:t xml:space="preserve">(XVII) </w:t>
      </w:r>
      <w:r>
        <w:rPr>
          <w:rFonts w:ascii="Times New Roman" w:cs="Times New Roman" w:eastAsia="Times New Roman" w:hAnsi="Times New Roman"/>
          <w:sz w:val="24"/>
          <w:szCs w:val="24"/>
          <w:b w:val="1"/>
          <w:bCs w:val="1"/>
          <w:color w:val="auto"/>
        </w:rPr>
        <w:t>Restrictions on foreign ownership of Indian securities, if any:</w:t>
      </w:r>
    </w:p>
    <w:p>
      <w:pPr>
        <w:spacing w:after="0" w:line="123" w:lineRule="exact"/>
        <w:rPr>
          <w:sz w:val="20"/>
          <w:szCs w:val="20"/>
          <w:color w:val="auto"/>
        </w:rPr>
      </w:pPr>
    </w:p>
    <w:p>
      <w:pPr>
        <w:ind w:left="1360" w:hanging="424"/>
        <w:spacing w:after="0"/>
        <w:tabs>
          <w:tab w:leader="none" w:pos="1360" w:val="left"/>
        </w:tabs>
        <w:numPr>
          <w:ilvl w:val="0"/>
          <w:numId w:val="1142"/>
        </w:numPr>
        <w:rPr>
          <w:rFonts w:ascii="Calibri" w:cs="Calibri" w:eastAsia="Calibri" w:hAnsi="Calibri"/>
          <w:sz w:val="22"/>
          <w:szCs w:val="22"/>
          <w:color w:val="auto"/>
        </w:rPr>
      </w:pPr>
      <w:r>
        <w:rPr>
          <w:rFonts w:ascii="Times New Roman" w:cs="Times New Roman" w:eastAsia="Times New Roman" w:hAnsi="Times New Roman"/>
          <w:sz w:val="24"/>
          <w:szCs w:val="24"/>
          <w:color w:val="auto"/>
        </w:rPr>
        <w:t>Investment by NRIs.</w:t>
      </w:r>
    </w:p>
    <w:p>
      <w:pPr>
        <w:spacing w:after="0" w:line="129" w:lineRule="exact"/>
        <w:rPr>
          <w:rFonts w:ascii="Calibri" w:cs="Calibri" w:eastAsia="Calibri" w:hAnsi="Calibri"/>
          <w:sz w:val="22"/>
          <w:szCs w:val="22"/>
          <w:color w:val="auto"/>
        </w:rPr>
      </w:pPr>
    </w:p>
    <w:p>
      <w:pPr>
        <w:ind w:left="1360" w:hanging="424"/>
        <w:spacing w:after="0"/>
        <w:tabs>
          <w:tab w:leader="none" w:pos="1360" w:val="left"/>
        </w:tabs>
        <w:numPr>
          <w:ilvl w:val="0"/>
          <w:numId w:val="1142"/>
        </w:numPr>
        <w:rPr>
          <w:rFonts w:ascii="Calibri" w:cs="Calibri" w:eastAsia="Calibri" w:hAnsi="Calibri"/>
          <w:sz w:val="22"/>
          <w:szCs w:val="22"/>
          <w:color w:val="auto"/>
        </w:rPr>
      </w:pPr>
      <w:r>
        <w:rPr>
          <w:rFonts w:ascii="Times New Roman" w:cs="Times New Roman" w:eastAsia="Times New Roman" w:hAnsi="Times New Roman"/>
          <w:sz w:val="24"/>
          <w:szCs w:val="24"/>
          <w:color w:val="auto"/>
        </w:rPr>
        <w:t>Investment by [foreign portfolio investors].</w:t>
      </w:r>
    </w:p>
    <w:p>
      <w:pPr>
        <w:spacing w:after="0" w:line="200" w:lineRule="exact"/>
        <w:rPr>
          <w:sz w:val="20"/>
          <w:szCs w:val="20"/>
          <w:color w:val="auto"/>
        </w:rPr>
      </w:pPr>
    </w:p>
    <w:p>
      <w:pPr>
        <w:spacing w:after="0" w:line="345" w:lineRule="exact"/>
        <w:rPr>
          <w:sz w:val="20"/>
          <w:szCs w:val="20"/>
          <w:color w:val="auto"/>
        </w:rPr>
      </w:pPr>
    </w:p>
    <w:p>
      <w:pPr>
        <w:ind w:left="80"/>
        <w:spacing w:after="0"/>
        <w:tabs>
          <w:tab w:leader="none" w:pos="1140" w:val="left"/>
        </w:tabs>
        <w:rPr>
          <w:sz w:val="20"/>
          <w:szCs w:val="20"/>
          <w:color w:val="auto"/>
        </w:rPr>
      </w:pPr>
      <w:r>
        <w:rPr>
          <w:rFonts w:ascii="Calibri" w:cs="Calibri" w:eastAsia="Calibri" w:hAnsi="Calibri"/>
          <w:sz w:val="22"/>
          <w:szCs w:val="22"/>
          <w:b w:val="1"/>
          <w:bCs w:val="1"/>
          <w:color w:val="auto"/>
        </w:rPr>
        <w:t>(XVIII)</w:t>
      </w:r>
      <w:r>
        <w:rPr>
          <w:sz w:val="20"/>
          <w:szCs w:val="20"/>
          <w:color w:val="auto"/>
        </w:rPr>
        <w:tab/>
      </w:r>
      <w:r>
        <w:rPr>
          <w:rFonts w:ascii="Times New Roman" w:cs="Times New Roman" w:eastAsia="Times New Roman" w:hAnsi="Times New Roman"/>
          <w:sz w:val="24"/>
          <w:szCs w:val="24"/>
          <w:b w:val="1"/>
          <w:bCs w:val="1"/>
          <w:color w:val="auto"/>
        </w:rPr>
        <w:t xml:space="preserve">Any other material disclosures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as deemed necessary</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b w:val="1"/>
          <w:bCs w:val="1"/>
          <w:color w:val="auto"/>
        </w:rPr>
        <w:t>:</w:t>
      </w:r>
    </w:p>
    <w:p>
      <w:pPr>
        <w:spacing w:after="0" w:line="200" w:lineRule="exact"/>
        <w:rPr>
          <w:sz w:val="20"/>
          <w:szCs w:val="20"/>
          <w:color w:val="auto"/>
        </w:rPr>
      </w:pPr>
    </w:p>
    <w:p>
      <w:pPr>
        <w:spacing w:after="0" w:line="344" w:lineRule="exact"/>
        <w:rPr>
          <w:sz w:val="20"/>
          <w:szCs w:val="20"/>
          <w:color w:val="auto"/>
        </w:rPr>
      </w:pPr>
    </w:p>
    <w:p>
      <w:pPr>
        <w:ind w:left="80"/>
        <w:spacing w:after="0"/>
        <w:rPr>
          <w:sz w:val="20"/>
          <w:szCs w:val="20"/>
          <w:color w:val="auto"/>
        </w:rPr>
      </w:pPr>
      <w:r>
        <w:rPr>
          <w:rFonts w:ascii="Calibri" w:cs="Calibri" w:eastAsia="Calibri" w:hAnsi="Calibri"/>
          <w:sz w:val="22"/>
          <w:szCs w:val="22"/>
          <w:b w:val="1"/>
          <w:bCs w:val="1"/>
          <w:color w:val="auto"/>
        </w:rPr>
        <w:t xml:space="preserve">(XIX) </w:t>
      </w:r>
      <w:r>
        <w:rPr>
          <w:rFonts w:ascii="Times New Roman" w:cs="Times New Roman" w:eastAsia="Times New Roman" w:hAnsi="Times New Roman"/>
          <w:sz w:val="24"/>
          <w:szCs w:val="24"/>
          <w:b w:val="1"/>
          <w:bCs w:val="1"/>
          <w:color w:val="auto"/>
        </w:rPr>
        <w:t>Declaration:</w:t>
      </w:r>
    </w:p>
    <w:p>
      <w:pPr>
        <w:spacing w:after="0" w:line="143" w:lineRule="exact"/>
        <w:rPr>
          <w:sz w:val="20"/>
          <w:szCs w:val="20"/>
          <w:color w:val="auto"/>
        </w:rPr>
      </w:pPr>
    </w:p>
    <w:p>
      <w:pPr>
        <w:jc w:val="both"/>
        <w:ind w:left="1160" w:hanging="744"/>
        <w:spacing w:after="0" w:line="357" w:lineRule="auto"/>
        <w:tabs>
          <w:tab w:leader="none" w:pos="1160" w:val="left"/>
        </w:tabs>
        <w:numPr>
          <w:ilvl w:val="0"/>
          <w:numId w:val="114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addendum for the rights offering shall be approved by the Board of Directors of the issuer and shall be signed by all directors, the Chief Executive Officer, i.e., the Managing Director or Manager within the meaning of the respective applicable corporate laws of the home country and the Chief Financial Officer, i.e., the whole-time finance director or any other person heading the finance function and discharging that function.</w:t>
      </w:r>
    </w:p>
    <w:p>
      <w:pPr>
        <w:spacing w:after="0" w:line="9" w:lineRule="exact"/>
        <w:rPr>
          <w:rFonts w:ascii="Times New Roman" w:cs="Times New Roman" w:eastAsia="Times New Roman" w:hAnsi="Times New Roman"/>
          <w:sz w:val="24"/>
          <w:szCs w:val="24"/>
          <w:color w:val="auto"/>
        </w:rPr>
      </w:pPr>
    </w:p>
    <w:p>
      <w:pPr>
        <w:ind w:left="1160" w:hanging="744"/>
        <w:spacing w:after="0"/>
        <w:tabs>
          <w:tab w:leader="none" w:pos="1160" w:val="left"/>
        </w:tabs>
        <w:numPr>
          <w:ilvl w:val="0"/>
          <w:numId w:val="114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following statement shall be disclosed:</w:t>
      </w:r>
    </w:p>
    <w:p>
      <w:pPr>
        <w:spacing w:after="0" w:line="149" w:lineRule="exact"/>
        <w:rPr>
          <w:sz w:val="20"/>
          <w:szCs w:val="20"/>
          <w:color w:val="auto"/>
        </w:rPr>
      </w:pPr>
    </w:p>
    <w:p>
      <w:pPr>
        <w:jc w:val="both"/>
        <w:ind w:left="1560"/>
        <w:spacing w:after="0" w:line="358" w:lineRule="auto"/>
        <w:rPr>
          <w:sz w:val="20"/>
          <w:szCs w:val="20"/>
          <w:color w:val="auto"/>
        </w:rPr>
      </w:pPr>
      <w:r>
        <w:rPr>
          <w:rFonts w:ascii="Times New Roman" w:cs="Times New Roman" w:eastAsia="Times New Roman" w:hAnsi="Times New Roman"/>
          <w:sz w:val="24"/>
          <w:szCs w:val="24"/>
          <w:color w:val="auto"/>
        </w:rPr>
        <w:t>“No statement made in this addendum contravenes any of the provisions of the applicable corporate laws in the home country or of provisions of Companies (Issue of Indian Depository Receipts) Rules, 2004. All the legal requirements connected with the issue as also the Regulations, guidelines, instructions, etc., issued by SEBI, Government and any other competent authority in this behalf, have been duly complied with.”</w:t>
      </w:r>
    </w:p>
    <w:p>
      <w:pPr>
        <w:spacing w:after="0" w:line="15" w:lineRule="exact"/>
        <w:rPr>
          <w:sz w:val="20"/>
          <w:szCs w:val="20"/>
          <w:color w:val="auto"/>
        </w:rPr>
      </w:pPr>
    </w:p>
    <w:p>
      <w:pPr>
        <w:ind w:left="1160" w:hanging="744"/>
        <w:spacing w:after="0" w:line="350" w:lineRule="auto"/>
        <w:tabs>
          <w:tab w:leader="none" w:pos="1160" w:val="left"/>
        </w:tabs>
        <w:numPr>
          <w:ilvl w:val="0"/>
          <w:numId w:val="114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signatories shall further certify that all disclosures made in the offer document and the addendum for rights offering are true and correct.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4"/>
          <w:szCs w:val="24"/>
          <w:color w:val="auto"/>
        </w:rPr>
        <w:t>367</w:t>
      </w:r>
    </w:p>
    <w:p>
      <w:pPr>
        <w:sectPr>
          <w:pgSz w:w="11900" w:h="16836" w:orient="portrait"/>
          <w:cols w:equalWidth="0" w:num="1">
            <w:col w:w="9180"/>
          </w:cols>
          <w:pgMar w:left="1440" w:top="1156" w:right="1284" w:bottom="103" w:gutter="0" w:footer="0" w:header="0"/>
        </w:sectPr>
      </w:pPr>
    </w:p>
    <w:bookmarkStart w:id="367" w:name="page368"/>
    <w:bookmarkEnd w:id="367"/>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Part D - Disclosures in an abridged letter of offer for rights issue of Indian depository</w:t>
      </w:r>
    </w:p>
    <w:p>
      <w:pPr>
        <w:spacing w:after="0" w:line="137"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receipts</w:t>
      </w:r>
    </w:p>
    <w:p>
      <w:pPr>
        <w:spacing w:after="0" w:line="13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[See regulation 222(1)]</w:t>
      </w:r>
    </w:p>
    <w:p>
      <w:pPr>
        <w:spacing w:after="0" w:line="200" w:lineRule="exact"/>
        <w:rPr>
          <w:sz w:val="20"/>
          <w:szCs w:val="20"/>
          <w:color w:val="auto"/>
        </w:rPr>
      </w:pPr>
    </w:p>
    <w:p>
      <w:pPr>
        <w:spacing w:after="0" w:line="359" w:lineRule="exact"/>
        <w:rPr>
          <w:sz w:val="20"/>
          <w:szCs w:val="20"/>
          <w:color w:val="auto"/>
        </w:rPr>
      </w:pPr>
    </w:p>
    <w:p>
      <w:pPr>
        <w:jc w:val="both"/>
        <w:ind w:left="508" w:hanging="508"/>
        <w:spacing w:after="0" w:line="354" w:lineRule="auto"/>
        <w:tabs>
          <w:tab w:leader="none" w:pos="508" w:val="left"/>
        </w:tabs>
        <w:numPr>
          <w:ilvl w:val="0"/>
          <w:numId w:val="114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listed issuer making a rights issue of IDRs shall make disclosures, as required under its home country regulations, if any, and as specified in Part B of this Schedule, in the abridged letter of offer for rights offering.</w:t>
      </w:r>
    </w:p>
    <w:p>
      <w:pPr>
        <w:spacing w:after="0" w:line="19" w:lineRule="exact"/>
        <w:rPr>
          <w:rFonts w:ascii="Times New Roman" w:cs="Times New Roman" w:eastAsia="Times New Roman" w:hAnsi="Times New Roman"/>
          <w:sz w:val="24"/>
          <w:szCs w:val="24"/>
          <w:color w:val="auto"/>
        </w:rPr>
      </w:pPr>
    </w:p>
    <w:p>
      <w:pPr>
        <w:jc w:val="both"/>
        <w:ind w:left="508" w:hanging="508"/>
        <w:spacing w:after="0" w:line="357" w:lineRule="auto"/>
        <w:tabs>
          <w:tab w:leader="none" w:pos="508" w:val="left"/>
        </w:tabs>
        <w:numPr>
          <w:ilvl w:val="0"/>
          <w:numId w:val="114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Notwithstanding the above, where disclosures of matters similar or equivalent to those set out in this Schedule are required to be made in a particular form or by reference to particular requirements of home country regulations, the same shall prevail over the requirements of this Schedule and shall be deemed to be complied with by such disclosures made in the offer document on the basis of the home country regulations.</w:t>
      </w:r>
    </w:p>
    <w:p>
      <w:pPr>
        <w:spacing w:after="0" w:line="19" w:lineRule="exact"/>
        <w:rPr>
          <w:rFonts w:ascii="Times New Roman" w:cs="Times New Roman" w:eastAsia="Times New Roman" w:hAnsi="Times New Roman"/>
          <w:sz w:val="24"/>
          <w:szCs w:val="24"/>
          <w:color w:val="auto"/>
        </w:rPr>
      </w:pPr>
    </w:p>
    <w:p>
      <w:pPr>
        <w:jc w:val="both"/>
        <w:ind w:left="508" w:hanging="508"/>
        <w:spacing w:after="0" w:line="354" w:lineRule="auto"/>
        <w:tabs>
          <w:tab w:leader="none" w:pos="508" w:val="left"/>
        </w:tabs>
        <w:numPr>
          <w:ilvl w:val="0"/>
          <w:numId w:val="114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order in which items shall appear in the abridged letter of offer for rights offering shall correspond, wherever applicable, to the order in which items appear in the offer document and the addendum for rights offering.</w:t>
      </w:r>
    </w:p>
    <w:p>
      <w:pPr>
        <w:spacing w:after="0" w:line="7" w:lineRule="exact"/>
        <w:rPr>
          <w:rFonts w:ascii="Times New Roman" w:cs="Times New Roman" w:eastAsia="Times New Roman" w:hAnsi="Times New Roman"/>
          <w:sz w:val="24"/>
          <w:szCs w:val="24"/>
          <w:color w:val="auto"/>
        </w:rPr>
      </w:pPr>
    </w:p>
    <w:p>
      <w:pPr>
        <w:ind w:left="508" w:hanging="508"/>
        <w:spacing w:after="0"/>
        <w:tabs>
          <w:tab w:leader="none" w:pos="508" w:val="left"/>
        </w:tabs>
        <w:numPr>
          <w:ilvl w:val="0"/>
          <w:numId w:val="114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abridged letter of offer for rights offering shall also include the following disclosures:</w:t>
      </w:r>
    </w:p>
    <w:p>
      <w:pPr>
        <w:spacing w:after="0" w:line="132" w:lineRule="exact"/>
        <w:rPr>
          <w:rFonts w:ascii="Times New Roman" w:cs="Times New Roman" w:eastAsia="Times New Roman" w:hAnsi="Times New Roman"/>
          <w:sz w:val="24"/>
          <w:szCs w:val="24"/>
          <w:color w:val="auto"/>
        </w:rPr>
      </w:pPr>
    </w:p>
    <w:p>
      <w:pPr>
        <w:ind w:left="1448" w:hanging="944"/>
        <w:spacing w:after="0"/>
        <w:tabs>
          <w:tab w:leader="none" w:pos="1448" w:val="left"/>
        </w:tabs>
        <w:numPr>
          <w:ilvl w:val="1"/>
          <w:numId w:val="1145"/>
        </w:numPr>
        <w:rPr>
          <w:rFonts w:ascii="Calibri" w:cs="Calibri" w:eastAsia="Calibri" w:hAnsi="Calibri"/>
          <w:sz w:val="22"/>
          <w:szCs w:val="22"/>
          <w:color w:val="auto"/>
        </w:rPr>
      </w:pPr>
      <w:r>
        <w:rPr>
          <w:rFonts w:ascii="Times New Roman" w:cs="Times New Roman" w:eastAsia="Times New Roman" w:hAnsi="Times New Roman"/>
          <w:sz w:val="24"/>
          <w:szCs w:val="24"/>
          <w:color w:val="auto"/>
        </w:rPr>
        <w:t>Provisions pertaining to applications forms;</w:t>
      </w:r>
    </w:p>
    <w:p>
      <w:pPr>
        <w:spacing w:after="0" w:line="129" w:lineRule="exact"/>
        <w:rPr>
          <w:rFonts w:ascii="Calibri" w:cs="Calibri" w:eastAsia="Calibri" w:hAnsi="Calibri"/>
          <w:sz w:val="22"/>
          <w:szCs w:val="22"/>
          <w:color w:val="auto"/>
        </w:rPr>
      </w:pPr>
    </w:p>
    <w:p>
      <w:pPr>
        <w:ind w:left="1448" w:hanging="944"/>
        <w:spacing w:after="0"/>
        <w:tabs>
          <w:tab w:leader="none" w:pos="1448" w:val="left"/>
        </w:tabs>
        <w:numPr>
          <w:ilvl w:val="1"/>
          <w:numId w:val="1145"/>
        </w:numPr>
        <w:rPr>
          <w:rFonts w:ascii="Calibri" w:cs="Calibri" w:eastAsia="Calibri" w:hAnsi="Calibri"/>
          <w:sz w:val="22"/>
          <w:szCs w:val="22"/>
          <w:color w:val="auto"/>
        </w:rPr>
      </w:pPr>
      <w:r>
        <w:rPr>
          <w:rFonts w:ascii="Times New Roman" w:cs="Times New Roman" w:eastAsia="Times New Roman" w:hAnsi="Times New Roman"/>
          <w:sz w:val="24"/>
          <w:szCs w:val="24"/>
          <w:color w:val="auto"/>
        </w:rPr>
        <w:t>Rights entitlement ratio;</w:t>
      </w:r>
    </w:p>
    <w:p>
      <w:pPr>
        <w:spacing w:after="0" w:line="132" w:lineRule="exact"/>
        <w:rPr>
          <w:rFonts w:ascii="Calibri" w:cs="Calibri" w:eastAsia="Calibri" w:hAnsi="Calibri"/>
          <w:sz w:val="22"/>
          <w:szCs w:val="22"/>
          <w:color w:val="auto"/>
        </w:rPr>
      </w:pPr>
    </w:p>
    <w:p>
      <w:pPr>
        <w:ind w:left="1448" w:hanging="944"/>
        <w:spacing w:after="0"/>
        <w:tabs>
          <w:tab w:leader="none" w:pos="1448" w:val="left"/>
        </w:tabs>
        <w:numPr>
          <w:ilvl w:val="1"/>
          <w:numId w:val="1145"/>
        </w:numPr>
        <w:rPr>
          <w:rFonts w:ascii="Calibri" w:cs="Calibri" w:eastAsia="Calibri" w:hAnsi="Calibri"/>
          <w:sz w:val="22"/>
          <w:szCs w:val="22"/>
          <w:color w:val="auto"/>
        </w:rPr>
      </w:pPr>
      <w:r>
        <w:rPr>
          <w:rFonts w:ascii="Times New Roman" w:cs="Times New Roman" w:eastAsia="Times New Roman" w:hAnsi="Times New Roman"/>
          <w:sz w:val="24"/>
          <w:szCs w:val="24"/>
          <w:color w:val="auto"/>
        </w:rPr>
        <w:t>Fractional entitlements;</w:t>
      </w:r>
    </w:p>
    <w:p>
      <w:pPr>
        <w:spacing w:after="0" w:line="129" w:lineRule="exact"/>
        <w:rPr>
          <w:rFonts w:ascii="Calibri" w:cs="Calibri" w:eastAsia="Calibri" w:hAnsi="Calibri"/>
          <w:sz w:val="22"/>
          <w:szCs w:val="22"/>
          <w:color w:val="auto"/>
        </w:rPr>
      </w:pPr>
    </w:p>
    <w:p>
      <w:pPr>
        <w:ind w:left="1448" w:hanging="944"/>
        <w:spacing w:after="0"/>
        <w:tabs>
          <w:tab w:leader="none" w:pos="1448" w:val="left"/>
        </w:tabs>
        <w:numPr>
          <w:ilvl w:val="1"/>
          <w:numId w:val="1145"/>
        </w:numPr>
        <w:rPr>
          <w:rFonts w:ascii="Calibri" w:cs="Calibri" w:eastAsia="Calibri" w:hAnsi="Calibri"/>
          <w:sz w:val="22"/>
          <w:szCs w:val="22"/>
          <w:color w:val="auto"/>
        </w:rPr>
      </w:pPr>
      <w:r>
        <w:rPr>
          <w:rFonts w:ascii="Times New Roman" w:cs="Times New Roman" w:eastAsia="Times New Roman" w:hAnsi="Times New Roman"/>
          <w:sz w:val="24"/>
          <w:szCs w:val="24"/>
          <w:color w:val="auto"/>
        </w:rPr>
        <w:t>Renunciation;</w:t>
      </w:r>
    </w:p>
    <w:p>
      <w:pPr>
        <w:spacing w:after="0" w:line="132" w:lineRule="exact"/>
        <w:rPr>
          <w:rFonts w:ascii="Calibri" w:cs="Calibri" w:eastAsia="Calibri" w:hAnsi="Calibri"/>
          <w:sz w:val="22"/>
          <w:szCs w:val="22"/>
          <w:color w:val="auto"/>
        </w:rPr>
      </w:pPr>
    </w:p>
    <w:p>
      <w:pPr>
        <w:ind w:left="1448" w:hanging="944"/>
        <w:spacing w:after="0"/>
        <w:tabs>
          <w:tab w:leader="none" w:pos="1448" w:val="left"/>
        </w:tabs>
        <w:numPr>
          <w:ilvl w:val="1"/>
          <w:numId w:val="1145"/>
        </w:numPr>
        <w:rPr>
          <w:rFonts w:ascii="Calibri" w:cs="Calibri" w:eastAsia="Calibri" w:hAnsi="Calibri"/>
          <w:sz w:val="22"/>
          <w:szCs w:val="22"/>
          <w:color w:val="auto"/>
        </w:rPr>
      </w:pPr>
      <w:r>
        <w:rPr>
          <w:rFonts w:ascii="Times New Roman" w:cs="Times New Roman" w:eastAsia="Times New Roman" w:hAnsi="Times New Roman"/>
          <w:sz w:val="24"/>
          <w:szCs w:val="24"/>
          <w:color w:val="auto"/>
        </w:rPr>
        <w:t>Application for Additional IDRs;</w:t>
      </w:r>
    </w:p>
    <w:p>
      <w:pPr>
        <w:spacing w:after="0" w:line="129" w:lineRule="exact"/>
        <w:rPr>
          <w:rFonts w:ascii="Calibri" w:cs="Calibri" w:eastAsia="Calibri" w:hAnsi="Calibri"/>
          <w:sz w:val="22"/>
          <w:szCs w:val="22"/>
          <w:color w:val="auto"/>
        </w:rPr>
      </w:pPr>
    </w:p>
    <w:p>
      <w:pPr>
        <w:ind w:left="1448" w:hanging="944"/>
        <w:spacing w:after="0"/>
        <w:tabs>
          <w:tab w:leader="none" w:pos="1448" w:val="left"/>
        </w:tabs>
        <w:numPr>
          <w:ilvl w:val="1"/>
          <w:numId w:val="1145"/>
        </w:numPr>
        <w:rPr>
          <w:rFonts w:ascii="Calibri" w:cs="Calibri" w:eastAsia="Calibri" w:hAnsi="Calibri"/>
          <w:sz w:val="22"/>
          <w:szCs w:val="22"/>
          <w:color w:val="auto"/>
        </w:rPr>
      </w:pPr>
      <w:r>
        <w:rPr>
          <w:rFonts w:ascii="Times New Roman" w:cs="Times New Roman" w:eastAsia="Times New Roman" w:hAnsi="Times New Roman"/>
          <w:sz w:val="24"/>
          <w:szCs w:val="24"/>
          <w:color w:val="auto"/>
        </w:rPr>
        <w:t>Intention of promoters to subscribe to their rights entitlement, if any.</w:t>
      </w:r>
    </w:p>
    <w:p>
      <w:pPr>
        <w:spacing w:after="0" w:line="200" w:lineRule="exact"/>
        <w:rPr>
          <w:rFonts w:ascii="Calibri" w:cs="Calibri" w:eastAsia="Calibri" w:hAnsi="Calibri"/>
          <w:sz w:val="22"/>
          <w:szCs w:val="22"/>
          <w:color w:val="auto"/>
        </w:rPr>
      </w:pPr>
    </w:p>
    <w:p>
      <w:pPr>
        <w:spacing w:after="0" w:line="352" w:lineRule="exact"/>
        <w:rPr>
          <w:rFonts w:ascii="Calibri" w:cs="Calibri" w:eastAsia="Calibri" w:hAnsi="Calibri"/>
          <w:sz w:val="22"/>
          <w:szCs w:val="22"/>
          <w:color w:val="auto"/>
        </w:rPr>
      </w:pPr>
    </w:p>
    <w:p>
      <w:pPr>
        <w:ind w:left="508" w:hanging="508"/>
        <w:spacing w:after="0"/>
        <w:tabs>
          <w:tab w:leader="none" w:pos="508" w:val="left"/>
        </w:tabs>
        <w:numPr>
          <w:ilvl w:val="0"/>
          <w:numId w:val="114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General Instructions:</w:t>
      </w:r>
    </w:p>
    <w:p>
      <w:pPr>
        <w:spacing w:after="0" w:line="151" w:lineRule="exact"/>
        <w:rPr>
          <w:rFonts w:ascii="Times New Roman" w:cs="Times New Roman" w:eastAsia="Times New Roman" w:hAnsi="Times New Roman"/>
          <w:sz w:val="24"/>
          <w:szCs w:val="24"/>
          <w:color w:val="auto"/>
        </w:rPr>
      </w:pPr>
    </w:p>
    <w:p>
      <w:pPr>
        <w:ind w:left="728" w:hanging="216"/>
        <w:spacing w:after="0" w:line="348"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1. The information to be provided under each of the heads specified below shall be as per the requirement of Part A of this Schedule except when specified otherwise.</w:t>
      </w:r>
    </w:p>
    <w:p>
      <w:pPr>
        <w:spacing w:after="0" w:line="27" w:lineRule="exact"/>
        <w:rPr>
          <w:rFonts w:ascii="Times New Roman" w:cs="Times New Roman" w:eastAsia="Times New Roman" w:hAnsi="Times New Roman"/>
          <w:sz w:val="24"/>
          <w:szCs w:val="24"/>
          <w:color w:val="auto"/>
        </w:rPr>
      </w:pPr>
    </w:p>
    <w:p>
      <w:pPr>
        <w:ind w:left="728" w:hanging="216"/>
        <w:spacing w:after="0" w:line="348"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2. The abridged prospectus shall be printed in a font size which shall not be visually smaller than Times New Roman size 11 (or equivalent) with 1.0 line spacing.</w:t>
      </w:r>
    </w:p>
    <w:p>
      <w:pPr>
        <w:spacing w:after="0" w:line="27" w:lineRule="exact"/>
        <w:rPr>
          <w:rFonts w:ascii="Times New Roman" w:cs="Times New Roman" w:eastAsia="Times New Roman" w:hAnsi="Times New Roman"/>
          <w:sz w:val="24"/>
          <w:szCs w:val="24"/>
          <w:color w:val="auto"/>
        </w:rPr>
      </w:pPr>
    </w:p>
    <w:p>
      <w:pPr>
        <w:ind w:left="728" w:hanging="216"/>
        <w:spacing w:after="0" w:line="348"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3. The application form shall be so positioned that on the tearing-off of the application form, no part of the information given in the abridged letter of offer is mutilated.</w:t>
      </w:r>
    </w:p>
    <w:p>
      <w:pPr>
        <w:spacing w:after="0" w:line="200" w:lineRule="exact"/>
        <w:rPr>
          <w:sz w:val="20"/>
          <w:szCs w:val="20"/>
          <w:color w:val="auto"/>
        </w:rPr>
      </w:pPr>
    </w:p>
    <w:p>
      <w:pPr>
        <w:spacing w:after="0" w:line="241" w:lineRule="exact"/>
        <w:rPr>
          <w:sz w:val="20"/>
          <w:szCs w:val="20"/>
          <w:color w:val="auto"/>
        </w:rPr>
      </w:pPr>
    </w:p>
    <w:p>
      <w:pPr>
        <w:ind w:left="8"/>
        <w:spacing w:after="0" w:line="350" w:lineRule="auto"/>
        <w:rPr>
          <w:sz w:val="20"/>
          <w:szCs w:val="20"/>
          <w:color w:val="auto"/>
        </w:rPr>
      </w:pPr>
      <w:r>
        <w:rPr>
          <w:rFonts w:ascii="Times New Roman" w:cs="Times New Roman" w:eastAsia="Times New Roman" w:hAnsi="Times New Roman"/>
          <w:sz w:val="24"/>
          <w:szCs w:val="24"/>
          <w:color w:val="auto"/>
        </w:rPr>
        <w:t>The abridged letter of offer for the issue of Indian Depository Receipts (IDR) shall contain the following disclosures:</w:t>
      </w:r>
    </w:p>
    <w:p>
      <w:pPr>
        <w:spacing w:after="0" w:line="200" w:lineRule="exact"/>
        <w:rPr>
          <w:sz w:val="20"/>
          <w:szCs w:val="20"/>
          <w:color w:val="auto"/>
        </w:rPr>
      </w:pPr>
    </w:p>
    <w:p>
      <w:pPr>
        <w:spacing w:after="0" w:line="231" w:lineRule="exact"/>
        <w:rPr>
          <w:sz w:val="20"/>
          <w:szCs w:val="20"/>
          <w:color w:val="auto"/>
        </w:rPr>
      </w:pPr>
    </w:p>
    <w:p>
      <w:pPr>
        <w:ind w:left="508" w:hanging="508"/>
        <w:spacing w:after="0"/>
        <w:tabs>
          <w:tab w:leader="none" w:pos="508" w:val="left"/>
        </w:tabs>
        <w:numPr>
          <w:ilvl w:val="0"/>
          <w:numId w:val="114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Instructions for applicants:</w:t>
      </w:r>
    </w:p>
    <w:p>
      <w:pPr>
        <w:spacing w:after="0" w:line="38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368</w:t>
      </w:r>
    </w:p>
    <w:p>
      <w:pPr>
        <w:sectPr>
          <w:pgSz w:w="11900" w:h="16836" w:orient="portrait"/>
          <w:cols w:equalWidth="0" w:num="1">
            <w:col w:w="9468"/>
          </w:cols>
          <w:pgMar w:left="1152" w:top="1149" w:right="1284" w:bottom="103" w:gutter="0" w:footer="0" w:header="0"/>
        </w:sectPr>
      </w:pPr>
    </w:p>
    <w:bookmarkStart w:id="368" w:name="page369"/>
    <w:bookmarkEnd w:id="368"/>
    <w:p>
      <w:pPr>
        <w:ind w:left="508" w:right="340"/>
        <w:spacing w:after="0" w:line="348" w:lineRule="auto"/>
        <w:rPr>
          <w:sz w:val="20"/>
          <w:szCs w:val="20"/>
          <w:color w:val="auto"/>
        </w:rPr>
      </w:pPr>
      <w:r>
        <w:rPr>
          <w:rFonts w:ascii="Times New Roman" w:cs="Times New Roman" w:eastAsia="Times New Roman" w:hAnsi="Times New Roman"/>
          <w:sz w:val="24"/>
          <w:szCs w:val="24"/>
          <w:color w:val="auto"/>
        </w:rPr>
        <w:t>How to apply, availability of letter of offer, abridged letter of offer and application forms, mode of payment and how to apply through white sheet, if relevant.</w:t>
      </w:r>
    </w:p>
    <w:p>
      <w:pPr>
        <w:spacing w:after="0" w:line="200" w:lineRule="exact"/>
        <w:rPr>
          <w:sz w:val="20"/>
          <w:szCs w:val="20"/>
          <w:color w:val="auto"/>
        </w:rPr>
      </w:pPr>
    </w:p>
    <w:p>
      <w:pPr>
        <w:spacing w:after="0" w:line="229" w:lineRule="exact"/>
        <w:rPr>
          <w:sz w:val="20"/>
          <w:szCs w:val="20"/>
          <w:color w:val="auto"/>
        </w:rPr>
      </w:pPr>
    </w:p>
    <w:p>
      <w:pPr>
        <w:ind w:left="508" w:hanging="508"/>
        <w:spacing w:after="0"/>
        <w:tabs>
          <w:tab w:leader="none" w:pos="508" w:val="left"/>
        </w:tabs>
        <w:numPr>
          <w:ilvl w:val="0"/>
          <w:numId w:val="11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General information</w:t>
      </w:r>
      <w:r>
        <w:rPr>
          <w:rFonts w:ascii="Times New Roman" w:cs="Times New Roman" w:eastAsia="Times New Roman" w:hAnsi="Times New Roman"/>
          <w:sz w:val="24"/>
          <w:szCs w:val="24"/>
          <w:color w:val="auto"/>
        </w:rPr>
        <w:t>:</w:t>
      </w:r>
    </w:p>
    <w:p>
      <w:pPr>
        <w:spacing w:after="0" w:line="151" w:lineRule="exact"/>
        <w:rPr>
          <w:rFonts w:ascii="Times New Roman" w:cs="Times New Roman" w:eastAsia="Times New Roman" w:hAnsi="Times New Roman"/>
          <w:sz w:val="24"/>
          <w:szCs w:val="24"/>
          <w:color w:val="auto"/>
        </w:rPr>
      </w:pPr>
    </w:p>
    <w:p>
      <w:pPr>
        <w:jc w:val="both"/>
        <w:ind w:left="1088" w:hanging="512"/>
        <w:spacing w:after="0" w:line="353" w:lineRule="auto"/>
        <w:tabs>
          <w:tab w:leader="none" w:pos="1088" w:val="left"/>
        </w:tabs>
        <w:numPr>
          <w:ilvl w:val="1"/>
          <w:numId w:val="1147"/>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name of the issuing company and address of the registered office of the issuing company, along with telephone number, fax number, e-mail address and website address, and where there has been a change in the address of the registered office or name of the issuing company, details thereof.</w:t>
      </w:r>
    </w:p>
    <w:p>
      <w:pPr>
        <w:spacing w:after="0" w:line="22" w:lineRule="exact"/>
        <w:rPr>
          <w:rFonts w:ascii="Calibri" w:cs="Calibri" w:eastAsia="Calibri" w:hAnsi="Calibri"/>
          <w:sz w:val="22"/>
          <w:szCs w:val="22"/>
          <w:color w:val="auto"/>
        </w:rPr>
      </w:pPr>
    </w:p>
    <w:p>
      <w:pPr>
        <w:ind w:left="1088" w:hanging="512"/>
        <w:spacing w:after="0" w:line="342" w:lineRule="auto"/>
        <w:tabs>
          <w:tab w:leader="none" w:pos="1088" w:val="left"/>
        </w:tabs>
        <w:numPr>
          <w:ilvl w:val="1"/>
          <w:numId w:val="1147"/>
        </w:numPr>
        <w:rPr>
          <w:rFonts w:ascii="Calibri" w:cs="Calibri" w:eastAsia="Calibri" w:hAnsi="Calibri"/>
          <w:sz w:val="22"/>
          <w:szCs w:val="22"/>
          <w:color w:val="auto"/>
        </w:rPr>
      </w:pPr>
      <w:r>
        <w:rPr>
          <w:rFonts w:ascii="Times New Roman" w:cs="Times New Roman" w:eastAsia="Times New Roman" w:hAnsi="Times New Roman"/>
          <w:sz w:val="24"/>
          <w:szCs w:val="24"/>
          <w:color w:val="auto"/>
        </w:rPr>
        <w:t>Name, address and contact information of the principal office of the issuing company in India.</w:t>
      </w:r>
    </w:p>
    <w:p>
      <w:pPr>
        <w:spacing w:after="0" w:line="31" w:lineRule="exact"/>
        <w:rPr>
          <w:rFonts w:ascii="Calibri" w:cs="Calibri" w:eastAsia="Calibri" w:hAnsi="Calibri"/>
          <w:sz w:val="22"/>
          <w:szCs w:val="22"/>
          <w:color w:val="auto"/>
        </w:rPr>
      </w:pPr>
    </w:p>
    <w:p>
      <w:pPr>
        <w:jc w:val="both"/>
        <w:ind w:left="1088" w:hanging="512"/>
        <w:spacing w:after="0" w:line="353" w:lineRule="auto"/>
        <w:tabs>
          <w:tab w:leader="none" w:pos="1088" w:val="left"/>
        </w:tabs>
        <w:numPr>
          <w:ilvl w:val="1"/>
          <w:numId w:val="1147"/>
        </w:numPr>
        <w:rPr>
          <w:rFonts w:ascii="Calibri" w:cs="Calibri" w:eastAsia="Calibri" w:hAnsi="Calibri"/>
          <w:sz w:val="22"/>
          <w:szCs w:val="22"/>
          <w:color w:val="auto"/>
        </w:rPr>
      </w:pPr>
      <w:r>
        <w:rPr>
          <w:rFonts w:ascii="Times New Roman" w:cs="Times New Roman" w:eastAsia="Times New Roman" w:hAnsi="Times New Roman"/>
          <w:sz w:val="24"/>
          <w:szCs w:val="24"/>
          <w:color w:val="auto"/>
        </w:rPr>
        <w:t>Name, address and contact information of the domestic depository, the overseas custodian bank with the address of its office in India, the merchant banker, the underwriter to the issue, advisors to the issue and any other intermediary which may be appointed in connection with the issue of IDRs.</w:t>
      </w:r>
    </w:p>
    <w:p>
      <w:pPr>
        <w:spacing w:after="0" w:line="2" w:lineRule="exact"/>
        <w:rPr>
          <w:rFonts w:ascii="Calibri" w:cs="Calibri" w:eastAsia="Calibri" w:hAnsi="Calibri"/>
          <w:sz w:val="22"/>
          <w:szCs w:val="22"/>
          <w:color w:val="auto"/>
        </w:rPr>
      </w:pPr>
    </w:p>
    <w:p>
      <w:pPr>
        <w:ind w:left="1088" w:hanging="512"/>
        <w:spacing w:after="0"/>
        <w:tabs>
          <w:tab w:leader="none" w:pos="1088" w:val="left"/>
        </w:tabs>
        <w:numPr>
          <w:ilvl w:val="1"/>
          <w:numId w:val="1147"/>
        </w:numPr>
        <w:rPr>
          <w:rFonts w:ascii="Calibri" w:cs="Calibri" w:eastAsia="Calibri" w:hAnsi="Calibri"/>
          <w:sz w:val="22"/>
          <w:szCs w:val="22"/>
          <w:color w:val="auto"/>
        </w:rPr>
      </w:pPr>
      <w:r>
        <w:rPr>
          <w:rFonts w:ascii="Times New Roman" w:cs="Times New Roman" w:eastAsia="Times New Roman" w:hAnsi="Times New Roman"/>
          <w:sz w:val="24"/>
          <w:szCs w:val="24"/>
          <w:color w:val="auto"/>
        </w:rPr>
        <w:t>Names, addresses and contact information of experts and counsel.</w:t>
      </w:r>
    </w:p>
    <w:p>
      <w:pPr>
        <w:spacing w:after="0" w:line="149" w:lineRule="exact"/>
        <w:rPr>
          <w:rFonts w:ascii="Calibri" w:cs="Calibri" w:eastAsia="Calibri" w:hAnsi="Calibri"/>
          <w:sz w:val="22"/>
          <w:szCs w:val="22"/>
          <w:color w:val="auto"/>
        </w:rPr>
      </w:pPr>
    </w:p>
    <w:p>
      <w:pPr>
        <w:ind w:left="1088" w:hanging="512"/>
        <w:spacing w:after="0" w:line="344" w:lineRule="auto"/>
        <w:tabs>
          <w:tab w:leader="none" w:pos="1088" w:val="left"/>
        </w:tabs>
        <w:numPr>
          <w:ilvl w:val="1"/>
          <w:numId w:val="1147"/>
        </w:numPr>
        <w:rPr>
          <w:rFonts w:ascii="Calibri" w:cs="Calibri" w:eastAsia="Calibri" w:hAnsi="Calibri"/>
          <w:sz w:val="22"/>
          <w:szCs w:val="22"/>
          <w:color w:val="auto"/>
        </w:rPr>
      </w:pPr>
      <w:r>
        <w:rPr>
          <w:rFonts w:ascii="Times New Roman" w:cs="Times New Roman" w:eastAsia="Times New Roman" w:hAnsi="Times New Roman"/>
          <w:sz w:val="24"/>
          <w:szCs w:val="24"/>
          <w:color w:val="auto"/>
        </w:rPr>
        <w:t>Name, address and contact information of the compliance officer in relation to the issue of IDRs. The compliance officer should be placed in India.</w:t>
      </w:r>
    </w:p>
    <w:p>
      <w:pPr>
        <w:spacing w:after="0" w:line="26" w:lineRule="exact"/>
        <w:rPr>
          <w:rFonts w:ascii="Calibri" w:cs="Calibri" w:eastAsia="Calibri" w:hAnsi="Calibri"/>
          <w:sz w:val="22"/>
          <w:szCs w:val="22"/>
          <w:color w:val="auto"/>
        </w:rPr>
      </w:pPr>
    </w:p>
    <w:p>
      <w:pPr>
        <w:ind w:left="1088" w:hanging="512"/>
        <w:spacing w:after="0" w:line="344" w:lineRule="auto"/>
        <w:tabs>
          <w:tab w:leader="none" w:pos="1088" w:val="left"/>
        </w:tabs>
        <w:numPr>
          <w:ilvl w:val="1"/>
          <w:numId w:val="1147"/>
        </w:numPr>
        <w:rPr>
          <w:rFonts w:ascii="Calibri" w:cs="Calibri" w:eastAsia="Calibri" w:hAnsi="Calibri"/>
          <w:sz w:val="22"/>
          <w:szCs w:val="22"/>
          <w:color w:val="auto"/>
        </w:rPr>
      </w:pPr>
      <w:r>
        <w:rPr>
          <w:rFonts w:ascii="Times New Roman" w:cs="Times New Roman" w:eastAsia="Times New Roman" w:hAnsi="Times New Roman"/>
          <w:sz w:val="24"/>
          <w:szCs w:val="24"/>
          <w:color w:val="auto"/>
        </w:rPr>
        <w:t>Name, address and contact information of stock exchanges where applications are made or proposed to be made for listing of the IDRs.</w:t>
      </w:r>
    </w:p>
    <w:p>
      <w:pPr>
        <w:spacing w:after="0" w:line="7" w:lineRule="exact"/>
        <w:rPr>
          <w:rFonts w:ascii="Calibri" w:cs="Calibri" w:eastAsia="Calibri" w:hAnsi="Calibri"/>
          <w:sz w:val="22"/>
          <w:szCs w:val="22"/>
          <w:color w:val="auto"/>
        </w:rPr>
      </w:pPr>
    </w:p>
    <w:p>
      <w:pPr>
        <w:ind w:left="1088" w:hanging="512"/>
        <w:spacing w:after="0"/>
        <w:tabs>
          <w:tab w:leader="none" w:pos="1088" w:val="left"/>
        </w:tabs>
        <w:numPr>
          <w:ilvl w:val="1"/>
          <w:numId w:val="1147"/>
        </w:numPr>
        <w:rPr>
          <w:rFonts w:ascii="Calibri" w:cs="Calibri" w:eastAsia="Calibri" w:hAnsi="Calibri"/>
          <w:sz w:val="22"/>
          <w:szCs w:val="22"/>
          <w:color w:val="auto"/>
        </w:rPr>
      </w:pPr>
      <w:r>
        <w:rPr>
          <w:rFonts w:ascii="Times New Roman" w:cs="Times New Roman" w:eastAsia="Times New Roman" w:hAnsi="Times New Roman"/>
          <w:sz w:val="24"/>
          <w:szCs w:val="24"/>
          <w:color w:val="auto"/>
        </w:rPr>
        <w:t>Disclosure about provisions relating to punishment for fictitious applications.</w:t>
      </w:r>
    </w:p>
    <w:p>
      <w:pPr>
        <w:spacing w:after="0" w:line="132" w:lineRule="exact"/>
        <w:rPr>
          <w:rFonts w:ascii="Calibri" w:cs="Calibri" w:eastAsia="Calibri" w:hAnsi="Calibri"/>
          <w:sz w:val="22"/>
          <w:szCs w:val="22"/>
          <w:color w:val="auto"/>
        </w:rPr>
      </w:pPr>
    </w:p>
    <w:p>
      <w:pPr>
        <w:ind w:left="1088" w:hanging="512"/>
        <w:spacing w:after="0"/>
        <w:tabs>
          <w:tab w:leader="none" w:pos="1088" w:val="left"/>
        </w:tabs>
        <w:numPr>
          <w:ilvl w:val="1"/>
          <w:numId w:val="1147"/>
        </w:numPr>
        <w:rPr>
          <w:rFonts w:ascii="Calibri" w:cs="Calibri" w:eastAsia="Calibri" w:hAnsi="Calibri"/>
          <w:sz w:val="22"/>
          <w:szCs w:val="22"/>
          <w:color w:val="auto"/>
        </w:rPr>
      </w:pPr>
      <w:r>
        <w:rPr>
          <w:rFonts w:ascii="Times New Roman" w:cs="Times New Roman" w:eastAsia="Times New Roman" w:hAnsi="Times New Roman"/>
          <w:sz w:val="24"/>
          <w:szCs w:val="24"/>
          <w:color w:val="auto"/>
        </w:rPr>
        <w:t>Statement/declaration for refund of excess subscription.</w:t>
      </w:r>
    </w:p>
    <w:p>
      <w:pPr>
        <w:spacing w:after="0" w:line="149" w:lineRule="exact"/>
        <w:rPr>
          <w:rFonts w:ascii="Calibri" w:cs="Calibri" w:eastAsia="Calibri" w:hAnsi="Calibri"/>
          <w:sz w:val="22"/>
          <w:szCs w:val="22"/>
          <w:color w:val="auto"/>
        </w:rPr>
      </w:pPr>
    </w:p>
    <w:p>
      <w:pPr>
        <w:jc w:val="both"/>
        <w:ind w:left="1088" w:hanging="512"/>
        <w:spacing w:after="0" w:line="350" w:lineRule="auto"/>
        <w:tabs>
          <w:tab w:leader="none" w:pos="1088" w:val="left"/>
        </w:tabs>
        <w:numPr>
          <w:ilvl w:val="1"/>
          <w:numId w:val="1147"/>
        </w:numPr>
        <w:rPr>
          <w:rFonts w:ascii="Calibri" w:cs="Calibri" w:eastAsia="Calibri" w:hAnsi="Calibri"/>
          <w:sz w:val="22"/>
          <w:szCs w:val="22"/>
          <w:color w:val="auto"/>
        </w:rPr>
      </w:pPr>
      <w:r>
        <w:rPr>
          <w:rFonts w:ascii="Times New Roman" w:cs="Times New Roman" w:eastAsia="Times New Roman" w:hAnsi="Times New Roman"/>
          <w:sz w:val="24"/>
          <w:szCs w:val="24"/>
          <w:color w:val="auto"/>
        </w:rPr>
        <w:t>Statement that an interest of 15 per cent. p.a. would be paid to the investors if the allotments letters / refund orders are not despatched within 15 days of the closure of the rights issue, as the case may be.</w:t>
      </w:r>
    </w:p>
    <w:p>
      <w:pPr>
        <w:spacing w:after="0" w:line="25" w:lineRule="exact"/>
        <w:rPr>
          <w:rFonts w:ascii="Calibri" w:cs="Calibri" w:eastAsia="Calibri" w:hAnsi="Calibri"/>
          <w:sz w:val="22"/>
          <w:szCs w:val="22"/>
          <w:color w:val="auto"/>
        </w:rPr>
      </w:pPr>
    </w:p>
    <w:p>
      <w:pPr>
        <w:ind w:left="1088" w:hanging="512"/>
        <w:spacing w:after="0" w:line="342" w:lineRule="auto"/>
        <w:tabs>
          <w:tab w:leader="none" w:pos="1088" w:val="left"/>
        </w:tabs>
        <w:numPr>
          <w:ilvl w:val="1"/>
          <w:numId w:val="1147"/>
        </w:numPr>
        <w:rPr>
          <w:rFonts w:ascii="Calibri" w:cs="Calibri" w:eastAsia="Calibri" w:hAnsi="Calibri"/>
          <w:sz w:val="22"/>
          <w:szCs w:val="22"/>
          <w:color w:val="auto"/>
        </w:rPr>
      </w:pPr>
      <w:r>
        <w:rPr>
          <w:rFonts w:ascii="Times New Roman" w:cs="Times New Roman" w:eastAsia="Times New Roman" w:hAnsi="Times New Roman"/>
          <w:sz w:val="24"/>
          <w:szCs w:val="24"/>
          <w:color w:val="auto"/>
        </w:rPr>
        <w:t>Declaration about issue of allotment letters/certificates/ IDR within the stipulated period.</w:t>
      </w:r>
    </w:p>
    <w:p>
      <w:pPr>
        <w:spacing w:after="0" w:line="11" w:lineRule="exact"/>
        <w:rPr>
          <w:rFonts w:ascii="Calibri" w:cs="Calibri" w:eastAsia="Calibri" w:hAnsi="Calibri"/>
          <w:sz w:val="22"/>
          <w:szCs w:val="22"/>
          <w:color w:val="auto"/>
        </w:rPr>
      </w:pPr>
    </w:p>
    <w:p>
      <w:pPr>
        <w:ind w:left="1088" w:hanging="512"/>
        <w:spacing w:after="0"/>
        <w:tabs>
          <w:tab w:leader="none" w:pos="1088" w:val="left"/>
        </w:tabs>
        <w:numPr>
          <w:ilvl w:val="1"/>
          <w:numId w:val="1147"/>
        </w:numPr>
        <w:rPr>
          <w:rFonts w:ascii="Calibri" w:cs="Calibri" w:eastAsia="Calibri" w:hAnsi="Calibri"/>
          <w:sz w:val="22"/>
          <w:szCs w:val="22"/>
          <w:color w:val="auto"/>
        </w:rPr>
      </w:pPr>
      <w:r>
        <w:rPr>
          <w:rFonts w:ascii="Times New Roman" w:cs="Times New Roman" w:eastAsia="Times New Roman" w:hAnsi="Times New Roman"/>
          <w:sz w:val="24"/>
          <w:szCs w:val="24"/>
          <w:color w:val="auto"/>
        </w:rPr>
        <w:t>Date of opening of issue.</w:t>
      </w:r>
    </w:p>
    <w:p>
      <w:pPr>
        <w:spacing w:after="0" w:line="129" w:lineRule="exact"/>
        <w:rPr>
          <w:rFonts w:ascii="Calibri" w:cs="Calibri" w:eastAsia="Calibri" w:hAnsi="Calibri"/>
          <w:sz w:val="22"/>
          <w:szCs w:val="22"/>
          <w:color w:val="auto"/>
        </w:rPr>
      </w:pPr>
    </w:p>
    <w:p>
      <w:pPr>
        <w:ind w:left="1088" w:hanging="512"/>
        <w:spacing w:after="0"/>
        <w:tabs>
          <w:tab w:leader="none" w:pos="1088" w:val="left"/>
        </w:tabs>
        <w:numPr>
          <w:ilvl w:val="1"/>
          <w:numId w:val="1147"/>
        </w:numPr>
        <w:rPr>
          <w:rFonts w:ascii="Calibri" w:cs="Calibri" w:eastAsia="Calibri" w:hAnsi="Calibri"/>
          <w:sz w:val="22"/>
          <w:szCs w:val="22"/>
          <w:color w:val="auto"/>
        </w:rPr>
      </w:pPr>
      <w:r>
        <w:rPr>
          <w:rFonts w:ascii="Times New Roman" w:cs="Times New Roman" w:eastAsia="Times New Roman" w:hAnsi="Times New Roman"/>
          <w:sz w:val="24"/>
          <w:szCs w:val="24"/>
          <w:color w:val="auto"/>
        </w:rPr>
        <w:t>Date of closing of issue.</w:t>
      </w:r>
    </w:p>
    <w:p>
      <w:pPr>
        <w:spacing w:after="0" w:line="132" w:lineRule="exact"/>
        <w:rPr>
          <w:rFonts w:ascii="Calibri" w:cs="Calibri" w:eastAsia="Calibri" w:hAnsi="Calibri"/>
          <w:sz w:val="22"/>
          <w:szCs w:val="22"/>
          <w:color w:val="auto"/>
        </w:rPr>
      </w:pPr>
    </w:p>
    <w:p>
      <w:pPr>
        <w:ind w:left="1088" w:hanging="512"/>
        <w:spacing w:after="0"/>
        <w:tabs>
          <w:tab w:leader="none" w:pos="1088" w:val="left"/>
        </w:tabs>
        <w:numPr>
          <w:ilvl w:val="1"/>
          <w:numId w:val="1147"/>
        </w:numPr>
        <w:rPr>
          <w:rFonts w:ascii="Calibri" w:cs="Calibri" w:eastAsia="Calibri" w:hAnsi="Calibri"/>
          <w:sz w:val="22"/>
          <w:szCs w:val="22"/>
          <w:color w:val="auto"/>
        </w:rPr>
      </w:pPr>
      <w:r>
        <w:rPr>
          <w:rFonts w:ascii="Times New Roman" w:cs="Times New Roman" w:eastAsia="Times New Roman" w:hAnsi="Times New Roman"/>
          <w:sz w:val="24"/>
          <w:szCs w:val="24"/>
          <w:color w:val="auto"/>
        </w:rPr>
        <w:t>Last date for request for split.</w:t>
      </w:r>
    </w:p>
    <w:p>
      <w:pPr>
        <w:spacing w:after="0" w:line="129" w:lineRule="exact"/>
        <w:rPr>
          <w:rFonts w:ascii="Calibri" w:cs="Calibri" w:eastAsia="Calibri" w:hAnsi="Calibri"/>
          <w:sz w:val="22"/>
          <w:szCs w:val="22"/>
          <w:color w:val="auto"/>
        </w:rPr>
      </w:pPr>
    </w:p>
    <w:p>
      <w:pPr>
        <w:ind w:left="1088" w:hanging="512"/>
        <w:spacing w:after="0"/>
        <w:tabs>
          <w:tab w:leader="none" w:pos="1088" w:val="left"/>
        </w:tabs>
        <w:numPr>
          <w:ilvl w:val="1"/>
          <w:numId w:val="1147"/>
        </w:numPr>
        <w:rPr>
          <w:rFonts w:ascii="Calibri" w:cs="Calibri" w:eastAsia="Calibri" w:hAnsi="Calibri"/>
          <w:sz w:val="22"/>
          <w:szCs w:val="22"/>
          <w:color w:val="auto"/>
        </w:rPr>
      </w:pPr>
      <w:r>
        <w:rPr>
          <w:rFonts w:ascii="Times New Roman" w:cs="Times New Roman" w:eastAsia="Times New Roman" w:hAnsi="Times New Roman"/>
          <w:sz w:val="24"/>
          <w:szCs w:val="24"/>
          <w:color w:val="auto"/>
        </w:rPr>
        <w:t>Method and Expected Timetable of the issue.</w:t>
      </w:r>
    </w:p>
    <w:p>
      <w:pPr>
        <w:spacing w:after="0" w:line="132" w:lineRule="exact"/>
        <w:rPr>
          <w:rFonts w:ascii="Calibri" w:cs="Calibri" w:eastAsia="Calibri" w:hAnsi="Calibri"/>
          <w:sz w:val="22"/>
          <w:szCs w:val="22"/>
          <w:color w:val="auto"/>
        </w:rPr>
      </w:pPr>
    </w:p>
    <w:p>
      <w:pPr>
        <w:ind w:left="1088" w:hanging="512"/>
        <w:spacing w:after="0"/>
        <w:tabs>
          <w:tab w:leader="none" w:pos="1088" w:val="left"/>
        </w:tabs>
        <w:numPr>
          <w:ilvl w:val="1"/>
          <w:numId w:val="1147"/>
        </w:numPr>
        <w:rPr>
          <w:rFonts w:ascii="Calibri" w:cs="Calibri" w:eastAsia="Calibri" w:hAnsi="Calibri"/>
          <w:sz w:val="22"/>
          <w:szCs w:val="22"/>
          <w:color w:val="auto"/>
        </w:rPr>
      </w:pPr>
      <w:r>
        <w:rPr>
          <w:rFonts w:ascii="Times New Roman" w:cs="Times New Roman" w:eastAsia="Times New Roman" w:hAnsi="Times New Roman"/>
          <w:sz w:val="24"/>
          <w:szCs w:val="24"/>
          <w:color w:val="auto"/>
        </w:rPr>
        <w:t>Date of earliest closing of the issue.</w:t>
      </w:r>
    </w:p>
    <w:p>
      <w:pPr>
        <w:spacing w:after="0" w:line="149" w:lineRule="exact"/>
        <w:rPr>
          <w:rFonts w:ascii="Calibri" w:cs="Calibri" w:eastAsia="Calibri" w:hAnsi="Calibri"/>
          <w:sz w:val="22"/>
          <w:szCs w:val="22"/>
          <w:color w:val="auto"/>
        </w:rPr>
      </w:pPr>
    </w:p>
    <w:p>
      <w:pPr>
        <w:jc w:val="both"/>
        <w:ind w:left="1088" w:hanging="512"/>
        <w:spacing w:after="0" w:line="350" w:lineRule="auto"/>
        <w:tabs>
          <w:tab w:leader="none" w:pos="1088" w:val="left"/>
        </w:tabs>
        <w:numPr>
          <w:ilvl w:val="1"/>
          <w:numId w:val="1147"/>
        </w:numPr>
        <w:rPr>
          <w:rFonts w:ascii="Calibri" w:cs="Calibri" w:eastAsia="Calibri" w:hAnsi="Calibri"/>
          <w:sz w:val="22"/>
          <w:szCs w:val="22"/>
          <w:color w:val="auto"/>
        </w:rPr>
      </w:pPr>
      <w:r>
        <w:rPr>
          <w:rFonts w:ascii="Times New Roman" w:cs="Times New Roman" w:eastAsia="Times New Roman" w:hAnsi="Times New Roman"/>
          <w:sz w:val="24"/>
          <w:szCs w:val="24"/>
          <w:color w:val="auto"/>
        </w:rPr>
        <w:t>Declaration by the merchant banker with regard to adequacy of resources of underwriters to discharge their respective obligations, in case of being required to do so.</w:t>
      </w: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369</w:t>
      </w:r>
    </w:p>
    <w:p>
      <w:pPr>
        <w:sectPr>
          <w:pgSz w:w="11900" w:h="16836" w:orient="portrait"/>
          <w:cols w:equalWidth="0" w:num="1">
            <w:col w:w="9468"/>
          </w:cols>
          <w:pgMar w:left="1152" w:top="1156" w:right="1284" w:bottom="103" w:gutter="0" w:footer="0" w:header="0"/>
        </w:sectPr>
      </w:pPr>
    </w:p>
    <w:bookmarkStart w:id="369" w:name="page370"/>
    <w:bookmarkEnd w:id="369"/>
    <w:p>
      <w:pPr>
        <w:jc w:val="both"/>
        <w:ind w:left="1088" w:hanging="512"/>
        <w:spacing w:after="0" w:line="350" w:lineRule="auto"/>
        <w:tabs>
          <w:tab w:leader="none" w:pos="1088" w:val="left"/>
        </w:tabs>
        <w:numPr>
          <w:ilvl w:val="1"/>
          <w:numId w:val="1148"/>
        </w:numPr>
        <w:rPr>
          <w:rFonts w:ascii="Calibri" w:cs="Calibri" w:eastAsia="Calibri" w:hAnsi="Calibri"/>
          <w:sz w:val="22"/>
          <w:szCs w:val="22"/>
          <w:color w:val="auto"/>
        </w:rPr>
      </w:pPr>
      <w:r>
        <w:rPr>
          <w:rFonts w:ascii="Times New Roman" w:cs="Times New Roman" w:eastAsia="Times New Roman" w:hAnsi="Times New Roman"/>
          <w:sz w:val="24"/>
          <w:szCs w:val="24"/>
          <w:color w:val="auto"/>
        </w:rPr>
        <w:t>A statement by the issuing company that all monies received out of issue of IDR shall be transferred to a separate domestic bank account, name and address of the bank and the nature and number of the account to which the amount shall be credited.</w:t>
      </w:r>
    </w:p>
    <w:p>
      <w:pPr>
        <w:spacing w:after="0" w:line="3" w:lineRule="exact"/>
        <w:rPr>
          <w:rFonts w:ascii="Calibri" w:cs="Calibri" w:eastAsia="Calibri" w:hAnsi="Calibri"/>
          <w:sz w:val="22"/>
          <w:szCs w:val="22"/>
          <w:color w:val="auto"/>
        </w:rPr>
      </w:pPr>
    </w:p>
    <w:p>
      <w:pPr>
        <w:ind w:left="1088" w:hanging="512"/>
        <w:spacing w:after="0"/>
        <w:tabs>
          <w:tab w:leader="none" w:pos="1088" w:val="left"/>
        </w:tabs>
        <w:numPr>
          <w:ilvl w:val="1"/>
          <w:numId w:val="1148"/>
        </w:numPr>
        <w:rPr>
          <w:rFonts w:ascii="Calibri" w:cs="Calibri" w:eastAsia="Calibri" w:hAnsi="Calibri"/>
          <w:sz w:val="22"/>
          <w:szCs w:val="22"/>
          <w:color w:val="auto"/>
        </w:rPr>
      </w:pPr>
      <w:r>
        <w:rPr>
          <w:rFonts w:ascii="Times New Roman" w:cs="Times New Roman" w:eastAsia="Times New Roman" w:hAnsi="Times New Roman"/>
          <w:sz w:val="24"/>
          <w:szCs w:val="24"/>
          <w:color w:val="auto"/>
        </w:rPr>
        <w:t>Details of availability of letter of offer and forms, i.e., date, time, place etc.</w:t>
      </w:r>
    </w:p>
    <w:p>
      <w:pPr>
        <w:spacing w:after="0" w:line="132" w:lineRule="exact"/>
        <w:rPr>
          <w:rFonts w:ascii="Calibri" w:cs="Calibri" w:eastAsia="Calibri" w:hAnsi="Calibri"/>
          <w:sz w:val="22"/>
          <w:szCs w:val="22"/>
          <w:color w:val="auto"/>
        </w:rPr>
      </w:pPr>
    </w:p>
    <w:p>
      <w:pPr>
        <w:ind w:left="1088" w:hanging="512"/>
        <w:spacing w:after="0"/>
        <w:tabs>
          <w:tab w:leader="none" w:pos="1088" w:val="left"/>
        </w:tabs>
        <w:numPr>
          <w:ilvl w:val="1"/>
          <w:numId w:val="1148"/>
        </w:numPr>
        <w:rPr>
          <w:rFonts w:ascii="Calibri" w:cs="Calibri" w:eastAsia="Calibri" w:hAnsi="Calibri"/>
          <w:sz w:val="22"/>
          <w:szCs w:val="22"/>
          <w:color w:val="auto"/>
        </w:rPr>
      </w:pPr>
      <w:r>
        <w:rPr>
          <w:rFonts w:ascii="Times New Roman" w:cs="Times New Roman" w:eastAsia="Times New Roman" w:hAnsi="Times New Roman"/>
          <w:sz w:val="24"/>
          <w:szCs w:val="24"/>
          <w:color w:val="auto"/>
        </w:rPr>
        <w:t>Amount and mode of payment seeking issue of IDRs.</w:t>
      </w:r>
    </w:p>
    <w:p>
      <w:pPr>
        <w:spacing w:after="0" w:line="129" w:lineRule="exact"/>
        <w:rPr>
          <w:rFonts w:ascii="Calibri" w:cs="Calibri" w:eastAsia="Calibri" w:hAnsi="Calibri"/>
          <w:sz w:val="22"/>
          <w:szCs w:val="22"/>
          <w:color w:val="auto"/>
        </w:rPr>
      </w:pPr>
    </w:p>
    <w:p>
      <w:pPr>
        <w:ind w:left="1088" w:hanging="512"/>
        <w:spacing w:after="0"/>
        <w:tabs>
          <w:tab w:leader="none" w:pos="1088" w:val="left"/>
        </w:tabs>
        <w:numPr>
          <w:ilvl w:val="1"/>
          <w:numId w:val="1148"/>
        </w:numPr>
        <w:rPr>
          <w:rFonts w:ascii="Calibri" w:cs="Calibri" w:eastAsia="Calibri" w:hAnsi="Calibri"/>
          <w:sz w:val="22"/>
          <w:szCs w:val="22"/>
          <w:color w:val="auto"/>
        </w:rPr>
      </w:pPr>
      <w:r>
        <w:rPr>
          <w:rFonts w:ascii="Times New Roman" w:cs="Times New Roman" w:eastAsia="Times New Roman" w:hAnsi="Times New Roman"/>
          <w:sz w:val="24"/>
          <w:szCs w:val="24"/>
          <w:color w:val="auto"/>
        </w:rPr>
        <w:t>Disclosure on Investor Grievances and Redressal System.</w:t>
      </w:r>
    </w:p>
    <w:p>
      <w:pPr>
        <w:spacing w:after="0" w:line="151" w:lineRule="exact"/>
        <w:rPr>
          <w:rFonts w:ascii="Calibri" w:cs="Calibri" w:eastAsia="Calibri" w:hAnsi="Calibri"/>
          <w:sz w:val="22"/>
          <w:szCs w:val="22"/>
          <w:color w:val="auto"/>
        </w:rPr>
      </w:pPr>
    </w:p>
    <w:p>
      <w:pPr>
        <w:jc w:val="both"/>
        <w:ind w:left="1088" w:hanging="512"/>
        <w:spacing w:after="0" w:line="350" w:lineRule="auto"/>
        <w:tabs>
          <w:tab w:leader="none" w:pos="1088" w:val="left"/>
        </w:tabs>
        <w:numPr>
          <w:ilvl w:val="1"/>
          <w:numId w:val="1148"/>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That the issuing company undertakes to subject itself to the jurisdiction of Indian Courts having jurisdiction over the place where the stock exchange is situated regarding grievances of the IDR applicants and IDR holders.</w:t>
      </w:r>
    </w:p>
    <w:p>
      <w:pPr>
        <w:spacing w:after="0" w:line="200" w:lineRule="exact"/>
        <w:rPr>
          <w:rFonts w:ascii="Calibri" w:cs="Calibri" w:eastAsia="Calibri" w:hAnsi="Calibri"/>
          <w:sz w:val="22"/>
          <w:szCs w:val="22"/>
          <w:color w:val="auto"/>
        </w:rPr>
      </w:pPr>
    </w:p>
    <w:p>
      <w:pPr>
        <w:spacing w:after="0" w:line="231" w:lineRule="exact"/>
        <w:rPr>
          <w:rFonts w:ascii="Calibri" w:cs="Calibri" w:eastAsia="Calibri" w:hAnsi="Calibri"/>
          <w:sz w:val="22"/>
          <w:szCs w:val="22"/>
          <w:color w:val="auto"/>
        </w:rPr>
      </w:pPr>
    </w:p>
    <w:p>
      <w:pPr>
        <w:ind w:left="8"/>
        <w:spacing w:after="0"/>
        <w:rPr>
          <w:rFonts w:ascii="Calibri" w:cs="Calibri" w:eastAsia="Calibri" w:hAnsi="Calibri"/>
          <w:sz w:val="22"/>
          <w:szCs w:val="22"/>
          <w:color w:val="auto"/>
        </w:rPr>
      </w:pPr>
      <w:r>
        <w:rPr>
          <w:rFonts w:ascii="Times New Roman" w:cs="Times New Roman" w:eastAsia="Times New Roman" w:hAnsi="Times New Roman"/>
          <w:sz w:val="24"/>
          <w:szCs w:val="24"/>
          <w:color w:val="auto"/>
        </w:rPr>
        <w:t xml:space="preserve">III.  </w:t>
      </w:r>
      <w:r>
        <w:rPr>
          <w:rFonts w:ascii="Times New Roman" w:cs="Times New Roman" w:eastAsia="Times New Roman" w:hAnsi="Times New Roman"/>
          <w:sz w:val="24"/>
          <w:szCs w:val="24"/>
          <w:b w:val="1"/>
          <w:bCs w:val="1"/>
          <w:color w:val="auto"/>
        </w:rPr>
        <w:t>Capital structure of the issuing company:</w:t>
      </w:r>
    </w:p>
    <w:p>
      <w:pPr>
        <w:spacing w:after="0" w:line="144" w:lineRule="exact"/>
        <w:rPr>
          <w:rFonts w:ascii="Calibri" w:cs="Calibri" w:eastAsia="Calibri" w:hAnsi="Calibri"/>
          <w:sz w:val="22"/>
          <w:szCs w:val="22"/>
          <w:color w:val="auto"/>
        </w:rPr>
      </w:pPr>
    </w:p>
    <w:p>
      <w:pPr>
        <w:ind w:left="1088" w:hanging="512"/>
        <w:spacing w:after="0" w:line="344" w:lineRule="auto"/>
        <w:tabs>
          <w:tab w:leader="none" w:pos="1088" w:val="left"/>
        </w:tabs>
        <w:numPr>
          <w:ilvl w:val="1"/>
          <w:numId w:val="1149"/>
        </w:numPr>
        <w:rPr>
          <w:rFonts w:ascii="Calibri" w:cs="Calibri" w:eastAsia="Calibri" w:hAnsi="Calibri"/>
          <w:sz w:val="22"/>
          <w:szCs w:val="22"/>
          <w:color w:val="auto"/>
        </w:rPr>
      </w:pPr>
      <w:r>
        <w:rPr>
          <w:rFonts w:ascii="Times New Roman" w:cs="Times New Roman" w:eastAsia="Times New Roman" w:hAnsi="Times New Roman"/>
          <w:sz w:val="24"/>
          <w:szCs w:val="24"/>
          <w:color w:val="auto"/>
        </w:rPr>
        <w:t>Authorised, issued, subscribed and paid-up capital (Number of instruments, description, aggregate nominal value).</w:t>
      </w:r>
    </w:p>
    <w:p>
      <w:pPr>
        <w:spacing w:after="0" w:line="7" w:lineRule="exact"/>
        <w:rPr>
          <w:rFonts w:ascii="Calibri" w:cs="Calibri" w:eastAsia="Calibri" w:hAnsi="Calibri"/>
          <w:sz w:val="22"/>
          <w:szCs w:val="22"/>
          <w:color w:val="auto"/>
        </w:rPr>
      </w:pPr>
    </w:p>
    <w:p>
      <w:pPr>
        <w:ind w:left="1088" w:hanging="512"/>
        <w:spacing w:after="0"/>
        <w:tabs>
          <w:tab w:leader="none" w:pos="1088" w:val="left"/>
        </w:tabs>
        <w:numPr>
          <w:ilvl w:val="1"/>
          <w:numId w:val="1149"/>
        </w:numPr>
        <w:rPr>
          <w:rFonts w:ascii="Calibri" w:cs="Calibri" w:eastAsia="Calibri" w:hAnsi="Calibri"/>
          <w:sz w:val="22"/>
          <w:szCs w:val="22"/>
          <w:color w:val="auto"/>
        </w:rPr>
      </w:pPr>
      <w:r>
        <w:rPr>
          <w:rFonts w:ascii="Times New Roman" w:cs="Times New Roman" w:eastAsia="Times New Roman" w:hAnsi="Times New Roman"/>
          <w:sz w:val="24"/>
          <w:szCs w:val="24"/>
          <w:color w:val="auto"/>
        </w:rPr>
        <w:t>Size of present issue.(Segregating issue of IDRs)</w:t>
      </w:r>
    </w:p>
    <w:p>
      <w:pPr>
        <w:spacing w:after="0" w:line="132" w:lineRule="exact"/>
        <w:rPr>
          <w:rFonts w:ascii="Calibri" w:cs="Calibri" w:eastAsia="Calibri" w:hAnsi="Calibri"/>
          <w:sz w:val="22"/>
          <w:szCs w:val="22"/>
          <w:color w:val="auto"/>
        </w:rPr>
      </w:pPr>
    </w:p>
    <w:p>
      <w:pPr>
        <w:ind w:left="1088" w:hanging="512"/>
        <w:spacing w:after="0"/>
        <w:tabs>
          <w:tab w:leader="none" w:pos="1088" w:val="left"/>
        </w:tabs>
        <w:numPr>
          <w:ilvl w:val="1"/>
          <w:numId w:val="1149"/>
        </w:numPr>
        <w:rPr>
          <w:rFonts w:ascii="Calibri" w:cs="Calibri" w:eastAsia="Calibri" w:hAnsi="Calibri"/>
          <w:sz w:val="22"/>
          <w:szCs w:val="22"/>
          <w:color w:val="auto"/>
        </w:rPr>
      </w:pPr>
      <w:r>
        <w:rPr>
          <w:rFonts w:ascii="Times New Roman" w:cs="Times New Roman" w:eastAsia="Times New Roman" w:hAnsi="Times New Roman"/>
          <w:sz w:val="24"/>
          <w:szCs w:val="24"/>
          <w:color w:val="auto"/>
        </w:rPr>
        <w:t>Paid-up Capital:</w:t>
      </w:r>
    </w:p>
    <w:p>
      <w:pPr>
        <w:spacing w:after="0" w:line="136" w:lineRule="exact"/>
        <w:rPr>
          <w:rFonts w:ascii="Calibri" w:cs="Calibri" w:eastAsia="Calibri" w:hAnsi="Calibri"/>
          <w:sz w:val="22"/>
          <w:szCs w:val="22"/>
          <w:color w:val="auto"/>
        </w:rPr>
      </w:pPr>
    </w:p>
    <w:p>
      <w:pPr>
        <w:ind w:left="2228" w:hanging="500"/>
        <w:spacing w:after="0"/>
        <w:tabs>
          <w:tab w:leader="none" w:pos="2228" w:val="left"/>
        </w:tabs>
        <w:numPr>
          <w:ilvl w:val="2"/>
          <w:numId w:val="114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before the issue;</w:t>
      </w:r>
    </w:p>
    <w:p>
      <w:pPr>
        <w:spacing w:after="0" w:line="139" w:lineRule="exact"/>
        <w:rPr>
          <w:rFonts w:ascii="Times New Roman" w:cs="Times New Roman" w:eastAsia="Times New Roman" w:hAnsi="Times New Roman"/>
          <w:sz w:val="24"/>
          <w:szCs w:val="24"/>
          <w:color w:val="auto"/>
        </w:rPr>
      </w:pPr>
    </w:p>
    <w:p>
      <w:pPr>
        <w:ind w:left="2228" w:hanging="500"/>
        <w:spacing w:after="0"/>
        <w:tabs>
          <w:tab w:leader="none" w:pos="2228" w:val="left"/>
        </w:tabs>
        <w:numPr>
          <w:ilvl w:val="2"/>
          <w:numId w:val="114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after the issue (if the IDR issue involves issue of fresh equity shares); and</w:t>
      </w:r>
    </w:p>
    <w:p>
      <w:pPr>
        <w:spacing w:after="0" w:line="136" w:lineRule="exact"/>
        <w:rPr>
          <w:rFonts w:ascii="Times New Roman" w:cs="Times New Roman" w:eastAsia="Times New Roman" w:hAnsi="Times New Roman"/>
          <w:sz w:val="24"/>
          <w:szCs w:val="24"/>
          <w:color w:val="auto"/>
        </w:rPr>
      </w:pPr>
    </w:p>
    <w:p>
      <w:pPr>
        <w:ind w:left="2228" w:hanging="500"/>
        <w:spacing w:after="0"/>
        <w:tabs>
          <w:tab w:leader="none" w:pos="2228" w:val="left"/>
        </w:tabs>
        <w:numPr>
          <w:ilvl w:val="2"/>
          <w:numId w:val="114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share premium account (before and after the issue).</w:t>
      </w:r>
    </w:p>
    <w:p>
      <w:pPr>
        <w:spacing w:after="0" w:line="200" w:lineRule="exact"/>
        <w:rPr>
          <w:sz w:val="20"/>
          <w:szCs w:val="20"/>
          <w:color w:val="auto"/>
        </w:rPr>
      </w:pPr>
    </w:p>
    <w:p>
      <w:pPr>
        <w:spacing w:after="0" w:line="352" w:lineRule="exact"/>
        <w:rPr>
          <w:sz w:val="20"/>
          <w:szCs w:val="20"/>
          <w:color w:val="auto"/>
        </w:rPr>
      </w:pPr>
    </w:p>
    <w:p>
      <w:pPr>
        <w:ind w:left="8"/>
        <w:spacing w:after="0"/>
        <w:tabs>
          <w:tab w:leader="none" w:pos="487" w:val="left"/>
        </w:tabs>
        <w:rPr>
          <w:sz w:val="20"/>
          <w:szCs w:val="20"/>
          <w:color w:val="auto"/>
        </w:rPr>
      </w:pPr>
      <w:r>
        <w:rPr>
          <w:rFonts w:ascii="Times New Roman" w:cs="Times New Roman" w:eastAsia="Times New Roman" w:hAnsi="Times New Roman"/>
          <w:sz w:val="24"/>
          <w:szCs w:val="24"/>
          <w:color w:val="auto"/>
        </w:rPr>
        <w:t>IV.</w:t>
      </w:r>
      <w:r>
        <w:rPr>
          <w:sz w:val="20"/>
          <w:szCs w:val="20"/>
          <w:color w:val="auto"/>
        </w:rPr>
        <w:tab/>
      </w:r>
      <w:r>
        <w:rPr>
          <w:rFonts w:ascii="Times New Roman" w:cs="Times New Roman" w:eastAsia="Times New Roman" w:hAnsi="Times New Roman"/>
          <w:sz w:val="24"/>
          <w:szCs w:val="24"/>
          <w:b w:val="1"/>
          <w:bCs w:val="1"/>
          <w:color w:val="auto"/>
        </w:rPr>
        <w:t>Terms of the present Issue</w:t>
      </w:r>
      <w:r>
        <w:rPr>
          <w:rFonts w:ascii="Times New Roman" w:cs="Times New Roman" w:eastAsia="Times New Roman" w:hAnsi="Times New Roman"/>
          <w:sz w:val="24"/>
          <w:szCs w:val="24"/>
          <w:color w:val="auto"/>
        </w:rPr>
        <w:t>:</w:t>
      </w:r>
    </w:p>
    <w:p>
      <w:pPr>
        <w:spacing w:after="0" w:line="151" w:lineRule="exact"/>
        <w:rPr>
          <w:sz w:val="20"/>
          <w:szCs w:val="20"/>
          <w:color w:val="auto"/>
        </w:rPr>
      </w:pPr>
    </w:p>
    <w:p>
      <w:pPr>
        <w:ind w:left="1088" w:hanging="548"/>
        <w:spacing w:after="0" w:line="348" w:lineRule="auto"/>
        <w:tabs>
          <w:tab w:leader="none" w:pos="1088" w:val="left"/>
        </w:tabs>
        <w:numPr>
          <w:ilvl w:val="1"/>
          <w:numId w:val="115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Authority for the issue, terms of payment and procedure and time schedule for allotment and issue of certificates/ refund orders.</w:t>
      </w:r>
    </w:p>
    <w:p>
      <w:pPr>
        <w:spacing w:after="0" w:line="27" w:lineRule="exact"/>
        <w:rPr>
          <w:rFonts w:ascii="Times New Roman" w:cs="Times New Roman" w:eastAsia="Times New Roman" w:hAnsi="Times New Roman"/>
          <w:sz w:val="24"/>
          <w:szCs w:val="24"/>
          <w:color w:val="auto"/>
        </w:rPr>
      </w:pPr>
    </w:p>
    <w:p>
      <w:pPr>
        <w:ind w:left="1088" w:hanging="548"/>
        <w:spacing w:after="0" w:line="348" w:lineRule="auto"/>
        <w:tabs>
          <w:tab w:leader="none" w:pos="1088" w:val="left"/>
        </w:tabs>
        <w:numPr>
          <w:ilvl w:val="1"/>
          <w:numId w:val="115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clause "Interest in Case of Delay in Despatch of Allotment Letters/ Refund Orders" shall appear.</w:t>
      </w:r>
    </w:p>
    <w:p>
      <w:pPr>
        <w:spacing w:after="0" w:line="200" w:lineRule="exact"/>
        <w:rPr>
          <w:rFonts w:ascii="Times New Roman" w:cs="Times New Roman" w:eastAsia="Times New Roman" w:hAnsi="Times New Roman"/>
          <w:sz w:val="24"/>
          <w:szCs w:val="24"/>
          <w:color w:val="auto"/>
        </w:rPr>
      </w:pPr>
    </w:p>
    <w:p>
      <w:pPr>
        <w:spacing w:after="0" w:line="233"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15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Particulars of the issue:</w:t>
      </w:r>
    </w:p>
    <w:p>
      <w:pPr>
        <w:spacing w:after="0" w:line="127" w:lineRule="exact"/>
        <w:rPr>
          <w:rFonts w:ascii="Times New Roman" w:cs="Times New Roman" w:eastAsia="Times New Roman" w:hAnsi="Times New Roman"/>
          <w:sz w:val="24"/>
          <w:szCs w:val="24"/>
          <w:b w:val="1"/>
          <w:bCs w:val="1"/>
          <w:color w:val="auto"/>
        </w:rPr>
      </w:pPr>
    </w:p>
    <w:p>
      <w:pPr>
        <w:ind w:left="1088" w:hanging="512"/>
        <w:spacing w:after="0"/>
        <w:tabs>
          <w:tab w:leader="none" w:pos="1088" w:val="left"/>
        </w:tabs>
        <w:numPr>
          <w:ilvl w:val="2"/>
          <w:numId w:val="1151"/>
        </w:numPr>
        <w:rPr>
          <w:rFonts w:ascii="Calibri" w:cs="Calibri" w:eastAsia="Calibri" w:hAnsi="Calibri"/>
          <w:sz w:val="22"/>
          <w:szCs w:val="22"/>
          <w:color w:val="auto"/>
        </w:rPr>
      </w:pPr>
      <w:r>
        <w:rPr>
          <w:rFonts w:ascii="Times New Roman" w:cs="Times New Roman" w:eastAsia="Times New Roman" w:hAnsi="Times New Roman"/>
          <w:sz w:val="24"/>
          <w:szCs w:val="24"/>
          <w:color w:val="auto"/>
        </w:rPr>
        <w:t>Objects of the issue.</w:t>
      </w:r>
    </w:p>
    <w:p>
      <w:pPr>
        <w:spacing w:after="0" w:line="129" w:lineRule="exact"/>
        <w:rPr>
          <w:rFonts w:ascii="Calibri" w:cs="Calibri" w:eastAsia="Calibri" w:hAnsi="Calibri"/>
          <w:sz w:val="22"/>
          <w:szCs w:val="22"/>
          <w:color w:val="auto"/>
        </w:rPr>
      </w:pPr>
    </w:p>
    <w:p>
      <w:pPr>
        <w:ind w:left="1088" w:hanging="512"/>
        <w:spacing w:after="0"/>
        <w:tabs>
          <w:tab w:leader="none" w:pos="1088" w:val="left"/>
        </w:tabs>
        <w:numPr>
          <w:ilvl w:val="2"/>
          <w:numId w:val="1151"/>
        </w:numPr>
        <w:rPr>
          <w:rFonts w:ascii="Calibri" w:cs="Calibri" w:eastAsia="Calibri" w:hAnsi="Calibri"/>
          <w:sz w:val="22"/>
          <w:szCs w:val="22"/>
          <w:color w:val="auto"/>
        </w:rPr>
      </w:pPr>
      <w:r>
        <w:rPr>
          <w:rFonts w:ascii="Times New Roman" w:cs="Times New Roman" w:eastAsia="Times New Roman" w:hAnsi="Times New Roman"/>
          <w:sz w:val="24"/>
          <w:szCs w:val="24"/>
          <w:color w:val="auto"/>
        </w:rPr>
        <w:t>Project cost.</w:t>
      </w:r>
    </w:p>
    <w:p>
      <w:pPr>
        <w:spacing w:after="0" w:line="132" w:lineRule="exact"/>
        <w:rPr>
          <w:rFonts w:ascii="Calibri" w:cs="Calibri" w:eastAsia="Calibri" w:hAnsi="Calibri"/>
          <w:sz w:val="22"/>
          <w:szCs w:val="22"/>
          <w:color w:val="auto"/>
        </w:rPr>
      </w:pPr>
    </w:p>
    <w:p>
      <w:pPr>
        <w:ind w:left="1088" w:hanging="512"/>
        <w:spacing w:after="0"/>
        <w:tabs>
          <w:tab w:leader="none" w:pos="1088" w:val="left"/>
        </w:tabs>
        <w:numPr>
          <w:ilvl w:val="2"/>
          <w:numId w:val="1151"/>
        </w:numPr>
        <w:rPr>
          <w:rFonts w:ascii="Calibri" w:cs="Calibri" w:eastAsia="Calibri" w:hAnsi="Calibri"/>
          <w:sz w:val="22"/>
          <w:szCs w:val="22"/>
          <w:color w:val="auto"/>
        </w:rPr>
      </w:pPr>
      <w:r>
        <w:rPr>
          <w:rFonts w:ascii="Times New Roman" w:cs="Times New Roman" w:eastAsia="Times New Roman" w:hAnsi="Times New Roman"/>
          <w:sz w:val="24"/>
          <w:szCs w:val="24"/>
          <w:color w:val="auto"/>
        </w:rPr>
        <w:t>Means of financing.</w:t>
      </w:r>
    </w:p>
    <w:p>
      <w:pPr>
        <w:spacing w:after="0" w:line="200" w:lineRule="exact"/>
        <w:rPr>
          <w:sz w:val="20"/>
          <w:szCs w:val="20"/>
          <w:color w:val="auto"/>
        </w:rPr>
      </w:pPr>
    </w:p>
    <w:p>
      <w:pPr>
        <w:spacing w:after="0" w:line="357" w:lineRule="exact"/>
        <w:rPr>
          <w:sz w:val="20"/>
          <w:szCs w:val="20"/>
          <w:color w:val="auto"/>
        </w:rPr>
      </w:pPr>
    </w:p>
    <w:p>
      <w:pPr>
        <w:ind w:left="8"/>
        <w:spacing w:after="0"/>
        <w:tabs>
          <w:tab w:leader="none" w:pos="487" w:val="left"/>
        </w:tabs>
        <w:rPr>
          <w:sz w:val="20"/>
          <w:szCs w:val="20"/>
          <w:color w:val="auto"/>
        </w:rPr>
      </w:pPr>
      <w:r>
        <w:rPr>
          <w:rFonts w:ascii="Times New Roman" w:cs="Times New Roman" w:eastAsia="Times New Roman" w:hAnsi="Times New Roman"/>
          <w:sz w:val="24"/>
          <w:szCs w:val="24"/>
          <w:color w:val="auto"/>
        </w:rPr>
        <w:t>VI.</w:t>
      </w:r>
      <w:r>
        <w:rPr>
          <w:sz w:val="20"/>
          <w:szCs w:val="20"/>
          <w:color w:val="auto"/>
        </w:rPr>
        <w:tab/>
      </w:r>
      <w:r>
        <w:rPr>
          <w:rFonts w:ascii="Times New Roman" w:cs="Times New Roman" w:eastAsia="Times New Roman" w:hAnsi="Times New Roman"/>
          <w:sz w:val="23"/>
          <w:szCs w:val="23"/>
          <w:b w:val="1"/>
          <w:bCs w:val="1"/>
          <w:color w:val="auto"/>
        </w:rPr>
        <w:t>Company, management and project:</w:t>
      </w:r>
    </w:p>
    <w:p>
      <w:pPr>
        <w:spacing w:after="0" w:line="125" w:lineRule="exact"/>
        <w:rPr>
          <w:sz w:val="20"/>
          <w:szCs w:val="20"/>
          <w:color w:val="auto"/>
        </w:rPr>
      </w:pPr>
    </w:p>
    <w:p>
      <w:pPr>
        <w:ind w:left="1088" w:hanging="512"/>
        <w:spacing w:after="0"/>
        <w:tabs>
          <w:tab w:leader="none" w:pos="1088" w:val="left"/>
        </w:tabs>
        <w:numPr>
          <w:ilvl w:val="0"/>
          <w:numId w:val="1152"/>
        </w:numPr>
        <w:rPr>
          <w:rFonts w:ascii="Calibri" w:cs="Calibri" w:eastAsia="Calibri" w:hAnsi="Calibri"/>
          <w:sz w:val="22"/>
          <w:szCs w:val="22"/>
          <w:color w:val="auto"/>
        </w:rPr>
      </w:pPr>
      <w:r>
        <w:rPr>
          <w:rFonts w:ascii="Times New Roman" w:cs="Times New Roman" w:eastAsia="Times New Roman" w:hAnsi="Times New Roman"/>
          <w:sz w:val="24"/>
          <w:szCs w:val="24"/>
          <w:color w:val="auto"/>
        </w:rPr>
        <w:t>History and present business of the company.</w:t>
      </w:r>
    </w:p>
    <w:p>
      <w:pPr>
        <w:spacing w:after="0" w:line="132" w:lineRule="exact"/>
        <w:rPr>
          <w:rFonts w:ascii="Calibri" w:cs="Calibri" w:eastAsia="Calibri" w:hAnsi="Calibri"/>
          <w:sz w:val="22"/>
          <w:szCs w:val="22"/>
          <w:color w:val="auto"/>
        </w:rPr>
      </w:pPr>
    </w:p>
    <w:p>
      <w:pPr>
        <w:ind w:left="1088" w:hanging="512"/>
        <w:spacing w:after="0"/>
        <w:tabs>
          <w:tab w:leader="none" w:pos="1088" w:val="left"/>
        </w:tabs>
        <w:numPr>
          <w:ilvl w:val="0"/>
          <w:numId w:val="1152"/>
        </w:numPr>
        <w:rPr>
          <w:rFonts w:ascii="Calibri" w:cs="Calibri" w:eastAsia="Calibri" w:hAnsi="Calibri"/>
          <w:sz w:val="22"/>
          <w:szCs w:val="22"/>
          <w:color w:val="auto"/>
        </w:rPr>
      </w:pPr>
      <w:r>
        <w:rPr>
          <w:rFonts w:ascii="Times New Roman" w:cs="Times New Roman" w:eastAsia="Times New Roman" w:hAnsi="Times New Roman"/>
          <w:sz w:val="24"/>
          <w:szCs w:val="24"/>
          <w:color w:val="auto"/>
        </w:rPr>
        <w:t>Details of major shareholders disclosed in Letter of Offer.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370</w:t>
      </w:r>
    </w:p>
    <w:p>
      <w:pPr>
        <w:sectPr>
          <w:pgSz w:w="11900" w:h="16836" w:orient="portrait"/>
          <w:cols w:equalWidth="0" w:num="1">
            <w:col w:w="9468"/>
          </w:cols>
          <w:pgMar w:left="1152" w:top="1156" w:right="1284" w:bottom="103" w:gutter="0" w:footer="0" w:header="0"/>
        </w:sectPr>
      </w:pPr>
    </w:p>
    <w:bookmarkStart w:id="370" w:name="page371"/>
    <w:bookmarkEnd w:id="370"/>
    <w:p>
      <w:pPr>
        <w:jc w:val="both"/>
        <w:ind w:left="1088" w:hanging="512"/>
        <w:spacing w:after="0" w:line="350" w:lineRule="auto"/>
        <w:tabs>
          <w:tab w:leader="none" w:pos="1088" w:val="left"/>
        </w:tabs>
        <w:numPr>
          <w:ilvl w:val="0"/>
          <w:numId w:val="1153"/>
        </w:numPr>
        <w:rPr>
          <w:rFonts w:ascii="Calibri" w:cs="Calibri" w:eastAsia="Calibri" w:hAnsi="Calibri"/>
          <w:sz w:val="22"/>
          <w:szCs w:val="22"/>
          <w:color w:val="auto"/>
        </w:rPr>
      </w:pPr>
      <w:r>
        <w:rPr>
          <w:rFonts w:ascii="Times New Roman" w:cs="Times New Roman" w:eastAsia="Times New Roman" w:hAnsi="Times New Roman"/>
          <w:sz w:val="24"/>
          <w:szCs w:val="24"/>
          <w:color w:val="auto"/>
        </w:rPr>
        <w:t>Names, address and occupation of manager, managing director, and other Directors (including nominee-directors and whole-time directors) giving their directorships in other companies.</w:t>
      </w:r>
    </w:p>
    <w:p>
      <w:pPr>
        <w:spacing w:after="0" w:line="200" w:lineRule="exact"/>
        <w:rPr>
          <w:sz w:val="20"/>
          <w:szCs w:val="20"/>
          <w:color w:val="auto"/>
        </w:rPr>
      </w:pPr>
    </w:p>
    <w:p>
      <w:pPr>
        <w:spacing w:after="0" w:line="226"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 xml:space="preserve">VII. </w:t>
      </w:r>
      <w:r>
        <w:rPr>
          <w:rFonts w:ascii="Times New Roman" w:cs="Times New Roman" w:eastAsia="Times New Roman" w:hAnsi="Times New Roman"/>
          <w:sz w:val="24"/>
          <w:szCs w:val="24"/>
          <w:b w:val="1"/>
          <w:bCs w:val="1"/>
          <w:color w:val="auto"/>
        </w:rPr>
        <w:t>Outstanding material litigations and defaults</w:t>
      </w:r>
      <w:r>
        <w:rPr>
          <w:rFonts w:ascii="Times New Roman" w:cs="Times New Roman" w:eastAsia="Times New Roman" w:hAnsi="Times New Roman"/>
          <w:sz w:val="24"/>
          <w:szCs w:val="24"/>
          <w:color w:val="auto"/>
        </w:rPr>
        <w:t xml:space="preserve"> (in a summarised tabular form)</w:t>
      </w:r>
    </w:p>
    <w:p>
      <w:pPr>
        <w:spacing w:after="0" w:line="200" w:lineRule="exact"/>
        <w:rPr>
          <w:sz w:val="20"/>
          <w:szCs w:val="20"/>
          <w:color w:val="auto"/>
        </w:rPr>
      </w:pPr>
    </w:p>
    <w:p>
      <w:pPr>
        <w:spacing w:after="0" w:line="364" w:lineRule="exact"/>
        <w:rPr>
          <w:sz w:val="20"/>
          <w:szCs w:val="20"/>
          <w:color w:val="auto"/>
        </w:rPr>
      </w:pPr>
    </w:p>
    <w:p>
      <w:pPr>
        <w:ind w:left="508" w:hanging="503"/>
        <w:spacing w:after="0" w:line="348" w:lineRule="auto"/>
        <w:rPr>
          <w:sz w:val="20"/>
          <w:szCs w:val="20"/>
          <w:color w:val="auto"/>
        </w:rPr>
      </w:pPr>
      <w:r>
        <w:rPr>
          <w:rFonts w:ascii="Times New Roman" w:cs="Times New Roman" w:eastAsia="Times New Roman" w:hAnsi="Times New Roman"/>
          <w:sz w:val="24"/>
          <w:szCs w:val="24"/>
          <w:color w:val="auto"/>
        </w:rPr>
        <w:t xml:space="preserve">VIII. </w:t>
      </w:r>
      <w:r>
        <w:rPr>
          <w:rFonts w:ascii="Times New Roman" w:cs="Times New Roman" w:eastAsia="Times New Roman" w:hAnsi="Times New Roman"/>
          <w:sz w:val="24"/>
          <w:szCs w:val="24"/>
          <w:b w:val="1"/>
          <w:bCs w:val="1"/>
          <w:color w:val="auto"/>
        </w:rPr>
        <w:t>Material development:</w:t>
      </w:r>
      <w:r>
        <w:rPr>
          <w:rFonts w:ascii="Times New Roman" w:cs="Times New Roman" w:eastAsia="Times New Roman" w:hAnsi="Times New Roman"/>
          <w:sz w:val="24"/>
          <w:szCs w:val="24"/>
          <w:color w:val="auto"/>
        </w:rPr>
        <w:t xml:space="preserve"> Any material development after the date of the latest balance sheet and its impact on performance and prospects of the company.</w:t>
      </w:r>
    </w:p>
    <w:p>
      <w:pPr>
        <w:spacing w:after="0" w:line="200" w:lineRule="exact"/>
        <w:rPr>
          <w:sz w:val="20"/>
          <w:szCs w:val="20"/>
          <w:color w:val="auto"/>
        </w:rPr>
      </w:pPr>
    </w:p>
    <w:p>
      <w:pPr>
        <w:spacing w:after="0" w:line="229" w:lineRule="exact"/>
        <w:rPr>
          <w:sz w:val="20"/>
          <w:szCs w:val="20"/>
          <w:color w:val="auto"/>
        </w:rPr>
      </w:pPr>
    </w:p>
    <w:p>
      <w:pPr>
        <w:ind w:left="8"/>
        <w:spacing w:after="0"/>
        <w:tabs>
          <w:tab w:leader="none" w:pos="547" w:val="left"/>
        </w:tabs>
        <w:rPr>
          <w:sz w:val="20"/>
          <w:szCs w:val="20"/>
          <w:color w:val="auto"/>
        </w:rPr>
      </w:pPr>
      <w:r>
        <w:rPr>
          <w:rFonts w:ascii="Times New Roman" w:cs="Times New Roman" w:eastAsia="Times New Roman" w:hAnsi="Times New Roman"/>
          <w:sz w:val="24"/>
          <w:szCs w:val="24"/>
          <w:color w:val="auto"/>
        </w:rPr>
        <w:t>IX.</w:t>
        <w:tab/>
        <w:t>Time and Place of Inspection of material contracts. (List of material contracts not required)</w:t>
      </w:r>
    </w:p>
    <w:p>
      <w:pPr>
        <w:spacing w:after="0" w:line="200" w:lineRule="exact"/>
        <w:rPr>
          <w:sz w:val="20"/>
          <w:szCs w:val="20"/>
          <w:color w:val="auto"/>
        </w:rPr>
      </w:pPr>
    </w:p>
    <w:p>
      <w:pPr>
        <w:spacing w:after="0" w:line="364" w:lineRule="exact"/>
        <w:rPr>
          <w:sz w:val="20"/>
          <w:szCs w:val="20"/>
          <w:color w:val="auto"/>
        </w:rPr>
      </w:pPr>
    </w:p>
    <w:p>
      <w:pPr>
        <w:jc w:val="both"/>
        <w:ind w:left="508" w:hanging="508"/>
        <w:spacing w:after="0" w:line="354" w:lineRule="auto"/>
        <w:tabs>
          <w:tab w:leader="none" w:pos="508" w:val="left"/>
        </w:tabs>
        <w:numPr>
          <w:ilvl w:val="0"/>
          <w:numId w:val="115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Financial Performance of the Issuing company as per last completed accounting year for which audit has been completed and for the latest stub period for which audit/limited review has been completed.</w:t>
      </w:r>
    </w:p>
    <w:p>
      <w:pPr>
        <w:spacing w:after="0" w:line="200" w:lineRule="exact"/>
        <w:rPr>
          <w:sz w:val="20"/>
          <w:szCs w:val="20"/>
          <w:color w:val="auto"/>
        </w:rPr>
      </w:pPr>
    </w:p>
    <w:p>
      <w:pPr>
        <w:spacing w:after="0" w:line="223" w:lineRule="exact"/>
        <w:rPr>
          <w:sz w:val="20"/>
          <w:szCs w:val="20"/>
          <w:color w:val="auto"/>
        </w:rPr>
      </w:pPr>
    </w:p>
    <w:p>
      <w:pPr>
        <w:ind w:left="8"/>
        <w:spacing w:after="0"/>
        <w:tabs>
          <w:tab w:leader="none" w:pos="487" w:val="left"/>
        </w:tabs>
        <w:rPr>
          <w:sz w:val="20"/>
          <w:szCs w:val="20"/>
          <w:color w:val="auto"/>
        </w:rPr>
      </w:pPr>
      <w:r>
        <w:rPr>
          <w:rFonts w:ascii="Times New Roman" w:cs="Times New Roman" w:eastAsia="Times New Roman" w:hAnsi="Times New Roman"/>
          <w:sz w:val="24"/>
          <w:szCs w:val="24"/>
          <w:color w:val="auto"/>
        </w:rPr>
        <w:t>XI.</w:t>
        <w:tab/>
        <w:t>Disclosure on Investor Grievances and Redressal System.</w:t>
      </w:r>
    </w:p>
    <w:p>
      <w:pPr>
        <w:spacing w:after="0" w:line="200" w:lineRule="exact"/>
        <w:rPr>
          <w:sz w:val="20"/>
          <w:szCs w:val="20"/>
          <w:color w:val="auto"/>
        </w:rPr>
      </w:pPr>
    </w:p>
    <w:p>
      <w:pPr>
        <w:spacing w:after="0" w:line="365" w:lineRule="exact"/>
        <w:rPr>
          <w:sz w:val="20"/>
          <w:szCs w:val="20"/>
          <w:color w:val="auto"/>
        </w:rPr>
      </w:pPr>
    </w:p>
    <w:p>
      <w:pPr>
        <w:ind w:left="508" w:hanging="499"/>
        <w:spacing w:after="0" w:line="350" w:lineRule="auto"/>
        <w:tabs>
          <w:tab w:leader="none" w:pos="487" w:val="left"/>
        </w:tabs>
        <w:rPr>
          <w:sz w:val="20"/>
          <w:szCs w:val="20"/>
          <w:color w:val="auto"/>
        </w:rPr>
      </w:pPr>
      <w:r>
        <w:rPr>
          <w:rFonts w:ascii="Times New Roman" w:cs="Times New Roman" w:eastAsia="Times New Roman" w:hAnsi="Times New Roman"/>
          <w:sz w:val="24"/>
          <w:szCs w:val="24"/>
          <w:color w:val="auto"/>
        </w:rPr>
        <w:t>XII.</w:t>
        <w:tab/>
        <w:t>Brief details of the Domestic Depository, Overseas Custodian Bank and Depository Agreement.</w:t>
      </w:r>
    </w:p>
    <w:p>
      <w:pPr>
        <w:spacing w:after="0" w:line="200" w:lineRule="exact"/>
        <w:rPr>
          <w:sz w:val="20"/>
          <w:szCs w:val="20"/>
          <w:color w:val="auto"/>
        </w:rPr>
      </w:pPr>
    </w:p>
    <w:p>
      <w:pPr>
        <w:spacing w:after="0" w:line="226"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XIII. Signatories to the Letter of offer.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jc w:val="center"/>
        <w:ind w:right="12"/>
        <w:spacing w:after="0" w:line="350" w:lineRule="auto"/>
        <w:rPr>
          <w:sz w:val="20"/>
          <w:szCs w:val="20"/>
          <w:color w:val="auto"/>
        </w:rPr>
      </w:pPr>
      <w:r>
        <w:rPr>
          <w:rFonts w:ascii="Times New Roman" w:cs="Times New Roman" w:eastAsia="Times New Roman" w:hAnsi="Times New Roman"/>
          <w:sz w:val="24"/>
          <w:szCs w:val="24"/>
          <w:b w:val="1"/>
          <w:bCs w:val="1"/>
          <w:color w:val="auto"/>
        </w:rPr>
        <w:t>SCHEDULE IX – PUBLIC COMMUNICATIONS AND PUBLICITY MATERIALS [See regulation 42, 83, 138, 199 and 264]</w:t>
      </w:r>
    </w:p>
    <w:p>
      <w:pPr>
        <w:spacing w:after="0" w:line="200" w:lineRule="exact"/>
        <w:rPr>
          <w:sz w:val="20"/>
          <w:szCs w:val="20"/>
          <w:color w:val="auto"/>
        </w:rPr>
      </w:pPr>
    </w:p>
    <w:p>
      <w:pPr>
        <w:spacing w:after="0" w:line="233" w:lineRule="exact"/>
        <w:rPr>
          <w:sz w:val="20"/>
          <w:szCs w:val="20"/>
          <w:color w:val="auto"/>
        </w:rPr>
      </w:pPr>
    </w:p>
    <w:p>
      <w:pPr>
        <w:jc w:val="both"/>
        <w:ind w:left="8" w:hanging="8"/>
        <w:spacing w:after="0" w:line="357" w:lineRule="auto"/>
        <w:tabs>
          <w:tab w:leader="none" w:pos="360" w:val="left"/>
        </w:tabs>
        <w:numPr>
          <w:ilvl w:val="0"/>
          <w:numId w:val="115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public communication including advertisements, publicity material and research reports (referred to as public communication) issued or made by the issuer or its associate company, or by the lead manager(s) or their associates or any other intermediary connected with the issue or their associates, shall contain only such information as contained in the draft offer document/offer document and shall comply with the following:</w:t>
      </w:r>
    </w:p>
    <w:p>
      <w:pPr>
        <w:spacing w:after="0" w:line="21" w:lineRule="exact"/>
        <w:rPr>
          <w:sz w:val="20"/>
          <w:szCs w:val="20"/>
          <w:color w:val="auto"/>
        </w:rPr>
      </w:pPr>
    </w:p>
    <w:p>
      <w:pPr>
        <w:ind w:left="428" w:hanging="428"/>
        <w:spacing w:after="0" w:line="333" w:lineRule="auto"/>
        <w:tabs>
          <w:tab w:leader="none" w:pos="428" w:val="left"/>
        </w:tabs>
        <w:numPr>
          <w:ilvl w:val="0"/>
          <w:numId w:val="1156"/>
        </w:numPr>
        <w:rPr>
          <w:rFonts w:ascii="Calibri" w:cs="Calibri" w:eastAsia="Calibri" w:hAnsi="Calibri"/>
          <w:sz w:val="24"/>
          <w:szCs w:val="24"/>
          <w:color w:val="auto"/>
        </w:rPr>
      </w:pPr>
      <w:r>
        <w:rPr>
          <w:rFonts w:ascii="Times New Roman" w:cs="Times New Roman" w:eastAsia="Times New Roman" w:hAnsi="Times New Roman"/>
          <w:sz w:val="24"/>
          <w:szCs w:val="24"/>
          <w:color w:val="auto"/>
        </w:rPr>
        <w:t>it shall be truthful, fair and shall not be manipulative or deceptive or distorted and it shall not contain any statement, promise or forecast which is untrue or misleading;</w:t>
      </w:r>
    </w:p>
    <w:p>
      <w:pPr>
        <w:spacing w:after="0" w:line="43" w:lineRule="exact"/>
        <w:rPr>
          <w:rFonts w:ascii="Calibri" w:cs="Calibri" w:eastAsia="Calibri" w:hAnsi="Calibri"/>
          <w:sz w:val="24"/>
          <w:szCs w:val="24"/>
          <w:color w:val="auto"/>
        </w:rPr>
      </w:pPr>
    </w:p>
    <w:p>
      <w:pPr>
        <w:jc w:val="both"/>
        <w:ind w:left="428" w:hanging="428"/>
        <w:spacing w:after="0" w:line="359" w:lineRule="auto"/>
        <w:tabs>
          <w:tab w:leader="none" w:pos="428" w:val="left"/>
        </w:tabs>
        <w:numPr>
          <w:ilvl w:val="0"/>
          <w:numId w:val="1156"/>
        </w:numPr>
        <w:rPr>
          <w:rFonts w:ascii="Calibri" w:cs="Calibri" w:eastAsia="Calibri" w:hAnsi="Calibri"/>
          <w:sz w:val="23"/>
          <w:szCs w:val="23"/>
          <w:color w:val="auto"/>
        </w:rPr>
      </w:pPr>
      <w:r>
        <w:rPr>
          <w:rFonts w:ascii="Times New Roman" w:cs="Times New Roman" w:eastAsia="Times New Roman" w:hAnsi="Times New Roman"/>
          <w:sz w:val="23"/>
          <w:szCs w:val="23"/>
          <w:color w:val="auto"/>
        </w:rPr>
        <w:t>if it reproduces or purports to reproduce any information contained in the draft offer document or draft letter of offer or offer document, as the case may be, it shall reproduce such information</w:t>
      </w:r>
    </w:p>
    <w:p>
      <w:pPr>
        <w:spacing w:after="0" w:line="247"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371</w:t>
      </w:r>
    </w:p>
    <w:p>
      <w:pPr>
        <w:sectPr>
          <w:pgSz w:w="11900" w:h="16836" w:orient="portrait"/>
          <w:cols w:equalWidth="0" w:num="1">
            <w:col w:w="9468"/>
          </w:cols>
          <w:pgMar w:left="1152" w:top="1156" w:right="1284" w:bottom="103" w:gutter="0" w:footer="0" w:header="0"/>
        </w:sectPr>
      </w:pPr>
    </w:p>
    <w:bookmarkStart w:id="371" w:name="page372"/>
    <w:bookmarkEnd w:id="371"/>
    <w:p>
      <w:pPr>
        <w:ind w:left="428" w:right="20"/>
        <w:spacing w:after="0" w:line="348" w:lineRule="auto"/>
        <w:rPr>
          <w:sz w:val="20"/>
          <w:szCs w:val="20"/>
          <w:color w:val="auto"/>
        </w:rPr>
      </w:pPr>
      <w:r>
        <w:rPr>
          <w:rFonts w:ascii="Times New Roman" w:cs="Times New Roman" w:eastAsia="Times New Roman" w:hAnsi="Times New Roman"/>
          <w:sz w:val="24"/>
          <w:szCs w:val="24"/>
          <w:color w:val="auto"/>
        </w:rPr>
        <w:t>in full and disclose all relevant facts not to be restricted to select extracts relating to that information;</w:t>
      </w:r>
    </w:p>
    <w:p>
      <w:pPr>
        <w:spacing w:after="0" w:line="4" w:lineRule="exact"/>
        <w:rPr>
          <w:sz w:val="20"/>
          <w:szCs w:val="20"/>
          <w:color w:val="auto"/>
        </w:rPr>
      </w:pPr>
    </w:p>
    <w:p>
      <w:pPr>
        <w:ind w:left="428" w:hanging="428"/>
        <w:spacing w:after="0"/>
        <w:tabs>
          <w:tab w:leader="none" w:pos="428" w:val="left"/>
        </w:tabs>
        <w:numPr>
          <w:ilvl w:val="0"/>
          <w:numId w:val="1157"/>
        </w:numPr>
        <w:rPr>
          <w:rFonts w:ascii="Calibri" w:cs="Calibri" w:eastAsia="Calibri" w:hAnsi="Calibri"/>
          <w:sz w:val="24"/>
          <w:szCs w:val="24"/>
          <w:color w:val="auto"/>
        </w:rPr>
      </w:pPr>
      <w:r>
        <w:rPr>
          <w:rFonts w:ascii="Times New Roman" w:cs="Times New Roman" w:eastAsia="Times New Roman" w:hAnsi="Times New Roman"/>
          <w:sz w:val="24"/>
          <w:szCs w:val="24"/>
          <w:color w:val="auto"/>
        </w:rPr>
        <w:t>it shall be set forth in a clear, concise and understandable language;</w:t>
      </w:r>
    </w:p>
    <w:p>
      <w:pPr>
        <w:spacing w:after="0" w:line="153" w:lineRule="exact"/>
        <w:rPr>
          <w:rFonts w:ascii="Calibri" w:cs="Calibri" w:eastAsia="Calibri" w:hAnsi="Calibri"/>
          <w:sz w:val="24"/>
          <w:szCs w:val="24"/>
          <w:color w:val="auto"/>
        </w:rPr>
      </w:pPr>
    </w:p>
    <w:p>
      <w:pPr>
        <w:jc w:val="both"/>
        <w:ind w:left="428" w:right="20" w:hanging="428"/>
        <w:spacing w:after="0" w:line="364" w:lineRule="auto"/>
        <w:tabs>
          <w:tab w:leader="none" w:pos="428" w:val="left"/>
        </w:tabs>
        <w:numPr>
          <w:ilvl w:val="0"/>
          <w:numId w:val="1157"/>
        </w:numPr>
        <w:rPr>
          <w:rFonts w:ascii="Calibri" w:cs="Calibri" w:eastAsia="Calibri" w:hAnsi="Calibri"/>
          <w:sz w:val="23"/>
          <w:szCs w:val="23"/>
          <w:color w:val="auto"/>
        </w:rPr>
      </w:pPr>
      <w:r>
        <w:rPr>
          <w:rFonts w:ascii="Times New Roman" w:cs="Times New Roman" w:eastAsia="Times New Roman" w:hAnsi="Times New Roman"/>
          <w:sz w:val="23"/>
          <w:szCs w:val="23"/>
          <w:color w:val="auto"/>
        </w:rPr>
        <w:t>it shall not include any issue slogans or brand names for the issue except the normal commercial name of the issuer or commercial brand names of its products already in use or disclosed in the draft offer document or draft letter of offer or offer document, as the case may be;</w:t>
      </w:r>
    </w:p>
    <w:p>
      <w:pPr>
        <w:ind w:left="428" w:hanging="428"/>
        <w:spacing w:after="0"/>
        <w:tabs>
          <w:tab w:leader="none" w:pos="428" w:val="left"/>
        </w:tabs>
        <w:numPr>
          <w:ilvl w:val="0"/>
          <w:numId w:val="1157"/>
        </w:numPr>
        <w:rPr>
          <w:rFonts w:ascii="Calibri" w:cs="Calibri" w:eastAsia="Calibri" w:hAnsi="Calibri"/>
          <w:sz w:val="24"/>
          <w:szCs w:val="24"/>
          <w:color w:val="auto"/>
        </w:rPr>
      </w:pPr>
      <w:r>
        <w:rPr>
          <w:rFonts w:ascii="Times New Roman" w:cs="Times New Roman" w:eastAsia="Times New Roman" w:hAnsi="Times New Roman"/>
          <w:sz w:val="24"/>
          <w:szCs w:val="24"/>
          <w:color w:val="auto"/>
        </w:rPr>
        <w:t>it shall not contain slogans, expletives or non-factual and unsubstantiated titles;</w:t>
      </w:r>
    </w:p>
    <w:p>
      <w:pPr>
        <w:spacing w:after="0" w:line="153" w:lineRule="exact"/>
        <w:rPr>
          <w:rFonts w:ascii="Calibri" w:cs="Calibri" w:eastAsia="Calibri" w:hAnsi="Calibri"/>
          <w:sz w:val="24"/>
          <w:szCs w:val="24"/>
          <w:color w:val="auto"/>
        </w:rPr>
      </w:pPr>
    </w:p>
    <w:p>
      <w:pPr>
        <w:jc w:val="both"/>
        <w:ind w:left="428" w:hanging="428"/>
        <w:spacing w:after="0" w:line="344" w:lineRule="auto"/>
        <w:tabs>
          <w:tab w:leader="none" w:pos="428" w:val="left"/>
        </w:tabs>
        <w:numPr>
          <w:ilvl w:val="0"/>
          <w:numId w:val="1157"/>
        </w:numPr>
        <w:rPr>
          <w:rFonts w:ascii="Calibri" w:cs="Calibri" w:eastAsia="Calibri" w:hAnsi="Calibri"/>
          <w:sz w:val="24"/>
          <w:szCs w:val="24"/>
          <w:color w:val="auto"/>
        </w:rPr>
      </w:pPr>
      <w:r>
        <w:rPr>
          <w:rFonts w:ascii="Times New Roman" w:cs="Times New Roman" w:eastAsia="Times New Roman" w:hAnsi="Times New Roman"/>
          <w:sz w:val="24"/>
          <w:szCs w:val="24"/>
          <w:color w:val="auto"/>
        </w:rPr>
        <w:t>if it presents any financial data, data for the past three years shall also be included alongwith particulars relating to revenue, net profit, share capital, reserves / other equity (as the case may be), earnings per share, dividends and the book values, to the extent applicable;</w:t>
      </w:r>
    </w:p>
    <w:p>
      <w:pPr>
        <w:spacing w:after="0" w:line="35" w:lineRule="exact"/>
        <w:rPr>
          <w:rFonts w:ascii="Calibri" w:cs="Calibri" w:eastAsia="Calibri" w:hAnsi="Calibri"/>
          <w:sz w:val="24"/>
          <w:szCs w:val="24"/>
          <w:color w:val="auto"/>
        </w:rPr>
      </w:pPr>
    </w:p>
    <w:p>
      <w:pPr>
        <w:ind w:left="428" w:right="20" w:hanging="428"/>
        <w:spacing w:after="0" w:line="335" w:lineRule="auto"/>
        <w:tabs>
          <w:tab w:leader="none" w:pos="428" w:val="left"/>
        </w:tabs>
        <w:numPr>
          <w:ilvl w:val="0"/>
          <w:numId w:val="1157"/>
        </w:numPr>
        <w:rPr>
          <w:rFonts w:ascii="Calibri" w:cs="Calibri" w:eastAsia="Calibri" w:hAnsi="Calibri"/>
          <w:sz w:val="24"/>
          <w:szCs w:val="24"/>
          <w:color w:val="auto"/>
        </w:rPr>
      </w:pPr>
      <w:r>
        <w:rPr>
          <w:rFonts w:ascii="Times New Roman" w:cs="Times New Roman" w:eastAsia="Times New Roman" w:hAnsi="Times New Roman"/>
          <w:sz w:val="24"/>
          <w:szCs w:val="24"/>
          <w:color w:val="auto"/>
        </w:rPr>
        <w:t>issue advertisements shall not use technical, legal or complex language and excessive details which may distract the investor;</w:t>
      </w:r>
    </w:p>
    <w:p>
      <w:pPr>
        <w:spacing w:after="0" w:line="38" w:lineRule="exact"/>
        <w:rPr>
          <w:rFonts w:ascii="Calibri" w:cs="Calibri" w:eastAsia="Calibri" w:hAnsi="Calibri"/>
          <w:sz w:val="24"/>
          <w:szCs w:val="24"/>
          <w:color w:val="auto"/>
        </w:rPr>
      </w:pPr>
    </w:p>
    <w:p>
      <w:pPr>
        <w:ind w:left="428" w:right="20" w:hanging="428"/>
        <w:spacing w:after="0" w:line="333" w:lineRule="auto"/>
        <w:tabs>
          <w:tab w:leader="none" w:pos="428" w:val="left"/>
        </w:tabs>
        <w:numPr>
          <w:ilvl w:val="0"/>
          <w:numId w:val="1157"/>
        </w:numPr>
        <w:rPr>
          <w:rFonts w:ascii="Calibri" w:cs="Calibri" w:eastAsia="Calibri" w:hAnsi="Calibri"/>
          <w:sz w:val="24"/>
          <w:szCs w:val="24"/>
          <w:color w:val="auto"/>
        </w:rPr>
      </w:pPr>
      <w:r>
        <w:rPr>
          <w:rFonts w:ascii="Times New Roman" w:cs="Times New Roman" w:eastAsia="Times New Roman" w:hAnsi="Times New Roman"/>
          <w:sz w:val="24"/>
          <w:szCs w:val="24"/>
          <w:color w:val="auto"/>
        </w:rPr>
        <w:t>issue advertisements shall not contain statements which promise or guarantee rapid increase in revenue or profits;</w:t>
      </w:r>
    </w:p>
    <w:p>
      <w:pPr>
        <w:spacing w:after="0" w:line="43" w:lineRule="exact"/>
        <w:rPr>
          <w:rFonts w:ascii="Calibri" w:cs="Calibri" w:eastAsia="Calibri" w:hAnsi="Calibri"/>
          <w:sz w:val="24"/>
          <w:szCs w:val="24"/>
          <w:color w:val="auto"/>
        </w:rPr>
      </w:pPr>
    </w:p>
    <w:p>
      <w:pPr>
        <w:ind w:left="428" w:right="20" w:hanging="428"/>
        <w:spacing w:after="0" w:line="333" w:lineRule="auto"/>
        <w:tabs>
          <w:tab w:leader="none" w:pos="428" w:val="left"/>
        </w:tabs>
        <w:numPr>
          <w:ilvl w:val="0"/>
          <w:numId w:val="1157"/>
        </w:numPr>
        <w:rPr>
          <w:rFonts w:ascii="Calibri" w:cs="Calibri" w:eastAsia="Calibri" w:hAnsi="Calibri"/>
          <w:sz w:val="24"/>
          <w:szCs w:val="24"/>
          <w:color w:val="auto"/>
        </w:rPr>
      </w:pPr>
      <w:r>
        <w:rPr>
          <w:rFonts w:ascii="Times New Roman" w:cs="Times New Roman" w:eastAsia="Times New Roman" w:hAnsi="Times New Roman"/>
          <w:sz w:val="24"/>
          <w:szCs w:val="24"/>
          <w:color w:val="auto"/>
        </w:rPr>
        <w:t>issue advertisements shall not display models, celebrities, fictional characters, landmarks, caricatures or the likes;</w:t>
      </w:r>
    </w:p>
    <w:p>
      <w:pPr>
        <w:spacing w:after="0" w:line="43" w:lineRule="exact"/>
        <w:rPr>
          <w:rFonts w:ascii="Calibri" w:cs="Calibri" w:eastAsia="Calibri" w:hAnsi="Calibri"/>
          <w:sz w:val="24"/>
          <w:szCs w:val="24"/>
          <w:color w:val="auto"/>
        </w:rPr>
      </w:pPr>
    </w:p>
    <w:p>
      <w:pPr>
        <w:jc w:val="both"/>
        <w:ind w:left="428" w:right="20" w:hanging="428"/>
        <w:spacing w:after="0" w:line="344" w:lineRule="auto"/>
        <w:tabs>
          <w:tab w:leader="none" w:pos="428" w:val="left"/>
        </w:tabs>
        <w:numPr>
          <w:ilvl w:val="0"/>
          <w:numId w:val="1157"/>
        </w:numPr>
        <w:rPr>
          <w:rFonts w:ascii="Calibri" w:cs="Calibri" w:eastAsia="Calibri" w:hAnsi="Calibri"/>
          <w:sz w:val="24"/>
          <w:szCs w:val="24"/>
          <w:color w:val="auto"/>
        </w:rPr>
      </w:pPr>
      <w:r>
        <w:rPr>
          <w:rFonts w:ascii="Times New Roman" w:cs="Times New Roman" w:eastAsia="Times New Roman" w:hAnsi="Times New Roman"/>
          <w:sz w:val="24"/>
          <w:szCs w:val="24"/>
          <w:color w:val="auto"/>
        </w:rPr>
        <w:t>issue advertisements on television shall not appear in the form of crawlers (advertisements which run simultaneously with the programme in a narrow strip at the bottom of the television screen) on television;</w:t>
      </w:r>
    </w:p>
    <w:p>
      <w:pPr>
        <w:spacing w:after="0" w:line="34" w:lineRule="exact"/>
        <w:rPr>
          <w:rFonts w:ascii="Calibri" w:cs="Calibri" w:eastAsia="Calibri" w:hAnsi="Calibri"/>
          <w:sz w:val="24"/>
          <w:szCs w:val="24"/>
          <w:color w:val="auto"/>
        </w:rPr>
      </w:pPr>
    </w:p>
    <w:p>
      <w:pPr>
        <w:ind w:left="428" w:right="20" w:hanging="428"/>
        <w:spacing w:after="0" w:line="333" w:lineRule="auto"/>
        <w:tabs>
          <w:tab w:leader="none" w:pos="428" w:val="left"/>
        </w:tabs>
        <w:numPr>
          <w:ilvl w:val="0"/>
          <w:numId w:val="1157"/>
        </w:numPr>
        <w:rPr>
          <w:rFonts w:ascii="Calibri" w:cs="Calibri" w:eastAsia="Calibri" w:hAnsi="Calibri"/>
          <w:sz w:val="24"/>
          <w:szCs w:val="24"/>
          <w:color w:val="auto"/>
        </w:rPr>
      </w:pPr>
      <w:r>
        <w:rPr>
          <w:rFonts w:ascii="Times New Roman" w:cs="Times New Roman" w:eastAsia="Times New Roman" w:hAnsi="Times New Roman"/>
          <w:sz w:val="24"/>
          <w:szCs w:val="24"/>
          <w:color w:val="auto"/>
        </w:rPr>
        <w:t>issue advertisements on television shall advise the viewers to refer to the draft offer document or offer document, as the case may be, for the risk factors;</w:t>
      </w:r>
    </w:p>
    <w:p>
      <w:pPr>
        <w:spacing w:after="0" w:line="43" w:lineRule="exact"/>
        <w:rPr>
          <w:rFonts w:ascii="Calibri" w:cs="Calibri" w:eastAsia="Calibri" w:hAnsi="Calibri"/>
          <w:sz w:val="24"/>
          <w:szCs w:val="24"/>
          <w:color w:val="auto"/>
        </w:rPr>
      </w:pPr>
    </w:p>
    <w:p>
      <w:pPr>
        <w:jc w:val="both"/>
        <w:ind w:left="428" w:right="20" w:hanging="428"/>
        <w:spacing w:after="0" w:line="344" w:lineRule="auto"/>
        <w:tabs>
          <w:tab w:leader="none" w:pos="428" w:val="left"/>
        </w:tabs>
        <w:numPr>
          <w:ilvl w:val="0"/>
          <w:numId w:val="1157"/>
        </w:numPr>
        <w:rPr>
          <w:rFonts w:ascii="Calibri" w:cs="Calibri" w:eastAsia="Calibri" w:hAnsi="Calibri"/>
          <w:sz w:val="24"/>
          <w:szCs w:val="24"/>
          <w:color w:val="auto"/>
        </w:rPr>
      </w:pPr>
      <w:r>
        <w:rPr>
          <w:rFonts w:ascii="Times New Roman" w:cs="Times New Roman" w:eastAsia="Times New Roman" w:hAnsi="Times New Roman"/>
          <w:sz w:val="24"/>
          <w:szCs w:val="24"/>
          <w:color w:val="auto"/>
        </w:rPr>
        <w:t>an advertisement or research report containing highlights, shall advise the readers to refer to the risk factors and other disclosures in the draft offer document or the offer document, as the case may be, for details in not less than point seven size;</w:t>
      </w:r>
    </w:p>
    <w:p>
      <w:pPr>
        <w:spacing w:after="0" w:line="35" w:lineRule="exact"/>
        <w:rPr>
          <w:rFonts w:ascii="Calibri" w:cs="Calibri" w:eastAsia="Calibri" w:hAnsi="Calibri"/>
          <w:sz w:val="24"/>
          <w:szCs w:val="24"/>
          <w:color w:val="auto"/>
        </w:rPr>
      </w:pPr>
    </w:p>
    <w:p>
      <w:pPr>
        <w:ind w:left="428" w:right="20" w:hanging="428"/>
        <w:spacing w:after="0" w:line="335" w:lineRule="auto"/>
        <w:tabs>
          <w:tab w:leader="none" w:pos="428" w:val="left"/>
        </w:tabs>
        <w:numPr>
          <w:ilvl w:val="0"/>
          <w:numId w:val="1157"/>
        </w:numPr>
        <w:rPr>
          <w:rFonts w:ascii="Calibri" w:cs="Calibri" w:eastAsia="Calibri" w:hAnsi="Calibri"/>
          <w:sz w:val="24"/>
          <w:szCs w:val="24"/>
          <w:color w:val="auto"/>
        </w:rPr>
      </w:pPr>
      <w:r>
        <w:rPr>
          <w:rFonts w:ascii="Times New Roman" w:cs="Times New Roman" w:eastAsia="Times New Roman" w:hAnsi="Times New Roman"/>
          <w:sz w:val="24"/>
          <w:szCs w:val="24"/>
          <w:color w:val="auto"/>
        </w:rPr>
        <w:t>an issue advertisement displayed on a billboard/banners shall contain information as specified in Part D of Schedule X;</w:t>
      </w:r>
    </w:p>
    <w:p>
      <w:pPr>
        <w:spacing w:after="0" w:line="38" w:lineRule="exact"/>
        <w:rPr>
          <w:rFonts w:ascii="Calibri" w:cs="Calibri" w:eastAsia="Calibri" w:hAnsi="Calibri"/>
          <w:sz w:val="24"/>
          <w:szCs w:val="24"/>
          <w:color w:val="auto"/>
        </w:rPr>
      </w:pPr>
    </w:p>
    <w:p>
      <w:pPr>
        <w:jc w:val="both"/>
        <w:ind w:left="428" w:right="20" w:hanging="428"/>
        <w:spacing w:after="0" w:line="344" w:lineRule="auto"/>
        <w:tabs>
          <w:tab w:leader="none" w:pos="428" w:val="left"/>
        </w:tabs>
        <w:numPr>
          <w:ilvl w:val="0"/>
          <w:numId w:val="1157"/>
        </w:numPr>
        <w:rPr>
          <w:rFonts w:ascii="Calibri" w:cs="Calibri" w:eastAsia="Calibri" w:hAnsi="Calibri"/>
          <w:sz w:val="24"/>
          <w:szCs w:val="24"/>
          <w:color w:val="auto"/>
        </w:rPr>
      </w:pPr>
      <w:r>
        <w:rPr>
          <w:rFonts w:ascii="Times New Roman" w:cs="Times New Roman" w:eastAsia="Times New Roman" w:hAnsi="Times New Roman"/>
          <w:sz w:val="24"/>
          <w:szCs w:val="24"/>
          <w:color w:val="auto"/>
        </w:rPr>
        <w:t>an issue advertisement which contains highlights or information other than the details contained in the formats as specified in Schedule X shall prominently advise the viewers to refer to the draft offer document and offer document for details and risk factors.</w:t>
      </w:r>
    </w:p>
    <w:p>
      <w:pPr>
        <w:spacing w:after="0" w:line="200" w:lineRule="exact"/>
        <w:rPr>
          <w:sz w:val="20"/>
          <w:szCs w:val="20"/>
          <w:color w:val="auto"/>
        </w:rPr>
      </w:pPr>
    </w:p>
    <w:p>
      <w:pPr>
        <w:spacing w:after="0" w:line="245" w:lineRule="exact"/>
        <w:rPr>
          <w:sz w:val="20"/>
          <w:szCs w:val="20"/>
          <w:color w:val="auto"/>
        </w:rPr>
      </w:pPr>
    </w:p>
    <w:p>
      <w:pPr>
        <w:jc w:val="both"/>
        <w:ind w:left="8" w:right="20" w:hanging="8"/>
        <w:spacing w:after="0" w:line="356" w:lineRule="auto"/>
        <w:tabs>
          <w:tab w:leader="none" w:pos="368" w:val="left"/>
        </w:tabs>
        <w:numPr>
          <w:ilvl w:val="0"/>
          <w:numId w:val="115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All public communications issued or published in any media during the period commencing from the date of the meeting of the board of directors of the issuer in which the public issue is approved till the date of filing draft offer document with the Board shall be consistent with its past practices:</w:t>
      </w: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center"/>
        <w:ind w:right="12"/>
        <w:spacing w:after="0"/>
        <w:rPr>
          <w:sz w:val="20"/>
          <w:szCs w:val="20"/>
          <w:color w:val="auto"/>
        </w:rPr>
      </w:pPr>
      <w:r>
        <w:rPr>
          <w:rFonts w:ascii="Times New Roman" w:cs="Times New Roman" w:eastAsia="Times New Roman" w:hAnsi="Times New Roman"/>
          <w:sz w:val="24"/>
          <w:szCs w:val="24"/>
          <w:color w:val="auto"/>
        </w:rPr>
        <w:t>372</w:t>
      </w:r>
    </w:p>
    <w:p>
      <w:pPr>
        <w:sectPr>
          <w:pgSz w:w="11900" w:h="16836" w:orient="portrait"/>
          <w:cols w:equalWidth="0" w:num="1">
            <w:col w:w="9488"/>
          </w:cols>
          <w:pgMar w:left="1152" w:top="1156" w:right="1264" w:bottom="103" w:gutter="0" w:footer="0" w:header="0"/>
        </w:sectPr>
      </w:pPr>
    </w:p>
    <w:bookmarkStart w:id="372" w:name="page373"/>
    <w:bookmarkEnd w:id="372"/>
    <w:p>
      <w:pPr>
        <w:jc w:val="both"/>
        <w:ind w:left="8"/>
        <w:spacing w:after="0" w:line="356" w:lineRule="auto"/>
        <w:rPr>
          <w:sz w:val="20"/>
          <w:szCs w:val="20"/>
          <w:color w:val="auto"/>
        </w:rPr>
      </w:pPr>
      <w:r>
        <w:rPr>
          <w:rFonts w:ascii="Times New Roman" w:cs="Times New Roman" w:eastAsia="Times New Roman" w:hAnsi="Times New Roman"/>
          <w:sz w:val="24"/>
          <w:szCs w:val="24"/>
          <w:color w:val="auto"/>
        </w:rPr>
        <w:t>Provided that where such public communication is not consistent with the past practices of the issuer, it shall be prominently displayed or announced in such public communication that the issuer is proposing to make a public issue of specified securities in the near future and is in the process of filing a draft offer document.</w:t>
      </w:r>
    </w:p>
    <w:p>
      <w:pPr>
        <w:spacing w:after="0" w:line="200" w:lineRule="exact"/>
        <w:rPr>
          <w:sz w:val="20"/>
          <w:szCs w:val="20"/>
          <w:color w:val="auto"/>
        </w:rPr>
      </w:pPr>
    </w:p>
    <w:p>
      <w:pPr>
        <w:spacing w:after="0" w:line="232" w:lineRule="exact"/>
        <w:rPr>
          <w:sz w:val="20"/>
          <w:szCs w:val="20"/>
          <w:color w:val="auto"/>
        </w:rPr>
      </w:pPr>
    </w:p>
    <w:p>
      <w:pPr>
        <w:jc w:val="both"/>
        <w:ind w:left="8" w:hanging="8"/>
        <w:spacing w:after="0" w:line="358" w:lineRule="auto"/>
        <w:tabs>
          <w:tab w:leader="none" w:pos="368" w:val="left"/>
        </w:tabs>
        <w:numPr>
          <w:ilvl w:val="0"/>
          <w:numId w:val="115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All public communications issued or published in any media during the period commencing from the date of filing draft offer document or draft letter of offer till the date of allotment of securities offered in the issue, shall prominently disclose that the issuer is proposing to make a public issue or rights issue of the specified securities and has filed the draft offer document or the draft letter of offer or has filed the offer document or letter of offer , as the case may be, and that it is available on the websites of the Board, lead manager(s) and stock exchanges.</w:t>
      </w:r>
    </w:p>
    <w:p>
      <w:pPr>
        <w:spacing w:after="0" w:line="14" w:lineRule="exact"/>
        <w:rPr>
          <w:rFonts w:ascii="Times New Roman" w:cs="Times New Roman" w:eastAsia="Times New Roman" w:hAnsi="Times New Roman"/>
          <w:sz w:val="24"/>
          <w:szCs w:val="24"/>
          <w:color w:val="auto"/>
        </w:rPr>
      </w:pPr>
    </w:p>
    <w:p>
      <w:pPr>
        <w:ind w:left="8"/>
        <w:spacing w:after="0" w:line="350"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requirements of this sub-regulation shall not be applicable in case of advertisements of products or services of the issuer.</w:t>
      </w:r>
    </w:p>
    <w:p>
      <w:pPr>
        <w:spacing w:after="0" w:line="200" w:lineRule="exact"/>
        <w:rPr>
          <w:rFonts w:ascii="Times New Roman" w:cs="Times New Roman" w:eastAsia="Times New Roman" w:hAnsi="Times New Roman"/>
          <w:sz w:val="24"/>
          <w:szCs w:val="24"/>
          <w:color w:val="auto"/>
        </w:rPr>
      </w:pPr>
    </w:p>
    <w:p>
      <w:pPr>
        <w:spacing w:after="0" w:line="238" w:lineRule="exact"/>
        <w:rPr>
          <w:rFonts w:ascii="Times New Roman" w:cs="Times New Roman" w:eastAsia="Times New Roman" w:hAnsi="Times New Roman"/>
          <w:sz w:val="24"/>
          <w:szCs w:val="24"/>
          <w:color w:val="auto"/>
        </w:rPr>
      </w:pPr>
    </w:p>
    <w:p>
      <w:pPr>
        <w:jc w:val="both"/>
        <w:ind w:left="8" w:hanging="8"/>
        <w:spacing w:after="0" w:line="357" w:lineRule="auto"/>
        <w:tabs>
          <w:tab w:leader="none" w:pos="368" w:val="left"/>
        </w:tabs>
        <w:numPr>
          <w:ilvl w:val="0"/>
          <w:numId w:val="115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make a prompt, true and fair disclosure of all material developments which take place between the date of filing offer document and the date of allotment of specified securities, which may have a material effect on the issuer, by issuing public notices in all the newspapers in which the issuer had released pre-issue advertisement under applicable provisions of these regulations;</w:t>
      </w:r>
    </w:p>
    <w:p>
      <w:pPr>
        <w:spacing w:after="0" w:line="200" w:lineRule="exact"/>
        <w:rPr>
          <w:rFonts w:ascii="Times New Roman" w:cs="Times New Roman" w:eastAsia="Times New Roman" w:hAnsi="Times New Roman"/>
          <w:sz w:val="24"/>
          <w:szCs w:val="24"/>
          <w:color w:val="auto"/>
        </w:rPr>
      </w:pPr>
    </w:p>
    <w:p>
      <w:pPr>
        <w:spacing w:after="0" w:line="231" w:lineRule="exact"/>
        <w:rPr>
          <w:rFonts w:ascii="Times New Roman" w:cs="Times New Roman" w:eastAsia="Times New Roman" w:hAnsi="Times New Roman"/>
          <w:sz w:val="24"/>
          <w:szCs w:val="24"/>
          <w:color w:val="auto"/>
        </w:rPr>
      </w:pPr>
    </w:p>
    <w:p>
      <w:pPr>
        <w:ind w:left="8" w:hanging="8"/>
        <w:spacing w:after="0" w:line="348" w:lineRule="auto"/>
        <w:tabs>
          <w:tab w:leader="none" w:pos="368" w:val="left"/>
        </w:tabs>
        <w:numPr>
          <w:ilvl w:val="0"/>
          <w:numId w:val="115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not, directly or indirectly, release, during any conference or at any other time, any material or information which is not contained in the offer document.</w:t>
      </w:r>
    </w:p>
    <w:p>
      <w:pPr>
        <w:spacing w:after="0" w:line="200" w:lineRule="exact"/>
        <w:rPr>
          <w:rFonts w:ascii="Times New Roman" w:cs="Times New Roman" w:eastAsia="Times New Roman" w:hAnsi="Times New Roman"/>
          <w:sz w:val="24"/>
          <w:szCs w:val="24"/>
          <w:color w:val="auto"/>
        </w:rPr>
      </w:pPr>
    </w:p>
    <w:p>
      <w:pPr>
        <w:spacing w:after="0" w:line="241"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368" w:val="left"/>
        </w:tabs>
        <w:numPr>
          <w:ilvl w:val="0"/>
          <w:numId w:val="115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For all issue advertisements and public communications, the issuer shall obtain the approval from the lead manager(s) responsible for marketing the issue and shall also provide copies of all issue related materials to all lead manager(s).</w:t>
      </w:r>
    </w:p>
    <w:p>
      <w:pPr>
        <w:spacing w:after="0" w:line="200" w:lineRule="exact"/>
        <w:rPr>
          <w:rFonts w:ascii="Times New Roman" w:cs="Times New Roman" w:eastAsia="Times New Roman" w:hAnsi="Times New Roman"/>
          <w:sz w:val="24"/>
          <w:szCs w:val="24"/>
          <w:color w:val="auto"/>
        </w:rPr>
      </w:pPr>
    </w:p>
    <w:p>
      <w:pPr>
        <w:spacing w:after="0" w:line="234" w:lineRule="exact"/>
        <w:rPr>
          <w:rFonts w:ascii="Times New Roman" w:cs="Times New Roman" w:eastAsia="Times New Roman" w:hAnsi="Times New Roman"/>
          <w:sz w:val="24"/>
          <w:szCs w:val="24"/>
          <w:color w:val="auto"/>
        </w:rPr>
      </w:pPr>
    </w:p>
    <w:p>
      <w:pPr>
        <w:jc w:val="both"/>
        <w:ind w:left="8" w:hanging="8"/>
        <w:spacing w:after="0" w:line="358" w:lineRule="auto"/>
        <w:tabs>
          <w:tab w:leader="none" w:pos="368" w:val="left"/>
        </w:tabs>
        <w:numPr>
          <w:ilvl w:val="0"/>
          <w:numId w:val="115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advertisement or research report issued/ made by the issuer/cause to be issued by the issuer or its associate company (as defined under the Companies Act, 2013), or by the lead manager(s) or their associates (as defined in the Securities and Exchange Board of India (Merchant Bankers) Regulations, 1992) or any other intermediary connected with the issue or their associates (as defined under Securities and Exchange Board of India (Intermediaries) Regulations, 2008) shall comply with the following:</w:t>
      </w:r>
    </w:p>
    <w:p>
      <w:pPr>
        <w:spacing w:after="0" w:line="14" w:lineRule="exact"/>
        <w:rPr>
          <w:sz w:val="20"/>
          <w:szCs w:val="20"/>
          <w:color w:val="auto"/>
        </w:rPr>
      </w:pPr>
    </w:p>
    <w:p>
      <w:pPr>
        <w:ind w:left="548" w:hanging="548"/>
        <w:spacing w:after="0" w:line="344" w:lineRule="auto"/>
        <w:tabs>
          <w:tab w:leader="none" w:pos="548" w:val="left"/>
        </w:tabs>
        <w:numPr>
          <w:ilvl w:val="0"/>
          <w:numId w:val="1160"/>
        </w:numPr>
        <w:rPr>
          <w:rFonts w:ascii="Calibri" w:cs="Calibri" w:eastAsia="Calibri" w:hAnsi="Calibri"/>
          <w:sz w:val="22"/>
          <w:szCs w:val="22"/>
          <w:color w:val="auto"/>
        </w:rPr>
      </w:pPr>
      <w:r>
        <w:rPr>
          <w:rFonts w:ascii="Times New Roman" w:cs="Times New Roman" w:eastAsia="Times New Roman" w:hAnsi="Times New Roman"/>
          <w:sz w:val="24"/>
          <w:szCs w:val="24"/>
          <w:color w:val="auto"/>
        </w:rPr>
        <w:t>it shall be truthful, fair and shall not be manipulative or deceptive or distorted and it shall not contain any statement, promise or forecast which is untrue or misleading;</w:t>
      </w:r>
    </w:p>
    <w:p>
      <w:pPr>
        <w:spacing w:after="0" w:line="27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373</w:t>
      </w:r>
    </w:p>
    <w:p>
      <w:pPr>
        <w:sectPr>
          <w:pgSz w:w="11900" w:h="16836" w:orient="portrait"/>
          <w:cols w:equalWidth="0" w:num="1">
            <w:col w:w="9468"/>
          </w:cols>
          <w:pgMar w:left="1152" w:top="1156" w:right="1284" w:bottom="103" w:gutter="0" w:footer="0" w:header="0"/>
        </w:sectPr>
      </w:pPr>
    </w:p>
    <w:bookmarkStart w:id="373" w:name="page374"/>
    <w:bookmarkEnd w:id="373"/>
    <w:p>
      <w:pPr>
        <w:jc w:val="both"/>
        <w:ind w:left="548" w:hanging="548"/>
        <w:spacing w:after="0" w:line="353" w:lineRule="auto"/>
        <w:tabs>
          <w:tab w:leader="none" w:pos="548" w:val="left"/>
        </w:tabs>
        <w:numPr>
          <w:ilvl w:val="0"/>
          <w:numId w:val="1161"/>
        </w:numPr>
        <w:rPr>
          <w:rFonts w:ascii="Calibri" w:cs="Calibri" w:eastAsia="Calibri" w:hAnsi="Calibri"/>
          <w:sz w:val="22"/>
          <w:szCs w:val="22"/>
          <w:color w:val="auto"/>
        </w:rPr>
      </w:pPr>
      <w:r>
        <w:rPr>
          <w:rFonts w:ascii="Times New Roman" w:cs="Times New Roman" w:eastAsia="Times New Roman" w:hAnsi="Times New Roman"/>
          <w:sz w:val="24"/>
          <w:szCs w:val="24"/>
          <w:color w:val="auto"/>
        </w:rPr>
        <w:t>if it reproduces or purports to reproduce any information contained in the draft an offer document or draft letter of offer or offer document, as the case may be, it shall reproduce such information in full and disclose all relevant facts not to be restricted to select extracts relating to that information;</w:t>
      </w:r>
    </w:p>
    <w:p>
      <w:pPr>
        <w:spacing w:after="0" w:line="2" w:lineRule="exact"/>
        <w:rPr>
          <w:rFonts w:ascii="Calibri" w:cs="Calibri" w:eastAsia="Calibri" w:hAnsi="Calibri"/>
          <w:sz w:val="22"/>
          <w:szCs w:val="22"/>
          <w:color w:val="auto"/>
        </w:rPr>
      </w:pPr>
    </w:p>
    <w:p>
      <w:pPr>
        <w:ind w:left="548" w:hanging="548"/>
        <w:spacing w:after="0"/>
        <w:tabs>
          <w:tab w:leader="none" w:pos="548" w:val="left"/>
        </w:tabs>
        <w:numPr>
          <w:ilvl w:val="0"/>
          <w:numId w:val="1161"/>
        </w:numPr>
        <w:rPr>
          <w:rFonts w:ascii="Calibri" w:cs="Calibri" w:eastAsia="Calibri" w:hAnsi="Calibri"/>
          <w:sz w:val="22"/>
          <w:szCs w:val="22"/>
          <w:color w:val="auto"/>
        </w:rPr>
      </w:pPr>
      <w:r>
        <w:rPr>
          <w:rFonts w:ascii="Times New Roman" w:cs="Times New Roman" w:eastAsia="Times New Roman" w:hAnsi="Times New Roman"/>
          <w:sz w:val="24"/>
          <w:szCs w:val="24"/>
          <w:color w:val="auto"/>
        </w:rPr>
        <w:t>it shall be set forth in a clear, concise and understandable language;</w:t>
      </w:r>
    </w:p>
    <w:p>
      <w:pPr>
        <w:spacing w:after="0" w:line="149" w:lineRule="exact"/>
        <w:rPr>
          <w:rFonts w:ascii="Calibri" w:cs="Calibri" w:eastAsia="Calibri" w:hAnsi="Calibri"/>
          <w:sz w:val="22"/>
          <w:szCs w:val="22"/>
          <w:color w:val="auto"/>
        </w:rPr>
      </w:pPr>
    </w:p>
    <w:p>
      <w:pPr>
        <w:jc w:val="both"/>
        <w:ind w:left="548" w:hanging="548"/>
        <w:spacing w:after="0" w:line="353" w:lineRule="auto"/>
        <w:tabs>
          <w:tab w:leader="none" w:pos="548" w:val="left"/>
        </w:tabs>
        <w:numPr>
          <w:ilvl w:val="0"/>
          <w:numId w:val="1161"/>
        </w:numPr>
        <w:rPr>
          <w:rFonts w:ascii="Calibri" w:cs="Calibri" w:eastAsia="Calibri" w:hAnsi="Calibri"/>
          <w:sz w:val="22"/>
          <w:szCs w:val="22"/>
          <w:color w:val="auto"/>
        </w:rPr>
      </w:pPr>
      <w:r>
        <w:rPr>
          <w:rFonts w:ascii="Times New Roman" w:cs="Times New Roman" w:eastAsia="Times New Roman" w:hAnsi="Times New Roman"/>
          <w:sz w:val="24"/>
          <w:szCs w:val="24"/>
          <w:color w:val="auto"/>
        </w:rPr>
        <w:t>it shall not include any issue slogans or brand names for the issue except the normal commercial name of the issuer or commercial brand names of its products already in use or and disclosed in the draft offer document or draft letter of offer or offer document, as the case may be;</w:t>
      </w:r>
    </w:p>
    <w:p>
      <w:pPr>
        <w:spacing w:after="0" w:line="22" w:lineRule="exact"/>
        <w:rPr>
          <w:rFonts w:ascii="Calibri" w:cs="Calibri" w:eastAsia="Calibri" w:hAnsi="Calibri"/>
          <w:sz w:val="22"/>
          <w:szCs w:val="22"/>
          <w:color w:val="auto"/>
        </w:rPr>
      </w:pPr>
    </w:p>
    <w:p>
      <w:pPr>
        <w:jc w:val="both"/>
        <w:ind w:left="548" w:hanging="548"/>
        <w:spacing w:after="0" w:line="350" w:lineRule="auto"/>
        <w:tabs>
          <w:tab w:leader="none" w:pos="548" w:val="left"/>
        </w:tabs>
        <w:numPr>
          <w:ilvl w:val="0"/>
          <w:numId w:val="1161"/>
        </w:numPr>
        <w:rPr>
          <w:rFonts w:ascii="Calibri" w:cs="Calibri" w:eastAsia="Calibri" w:hAnsi="Calibri"/>
          <w:sz w:val="22"/>
          <w:szCs w:val="22"/>
          <w:color w:val="auto"/>
        </w:rPr>
      </w:pPr>
      <w:r>
        <w:rPr>
          <w:rFonts w:ascii="Times New Roman" w:cs="Times New Roman" w:eastAsia="Times New Roman" w:hAnsi="Times New Roman"/>
          <w:sz w:val="24"/>
          <w:szCs w:val="24"/>
          <w:color w:val="auto"/>
        </w:rPr>
        <w:t>if it presents any financial data, data for the past three years shall also be included along with particulars relating to sales, gross profit, net profit, share capital, reserves, earnings per share, dividends and the book values, to the extent applicable;</w:t>
      </w:r>
    </w:p>
    <w:p>
      <w:pPr>
        <w:spacing w:after="0" w:line="25" w:lineRule="exact"/>
        <w:rPr>
          <w:rFonts w:ascii="Calibri" w:cs="Calibri" w:eastAsia="Calibri" w:hAnsi="Calibri"/>
          <w:sz w:val="22"/>
          <w:szCs w:val="22"/>
          <w:color w:val="auto"/>
        </w:rPr>
      </w:pPr>
    </w:p>
    <w:p>
      <w:pPr>
        <w:ind w:left="548" w:hanging="548"/>
        <w:spacing w:after="0" w:line="342" w:lineRule="auto"/>
        <w:tabs>
          <w:tab w:leader="none" w:pos="548" w:val="left"/>
        </w:tabs>
        <w:numPr>
          <w:ilvl w:val="0"/>
          <w:numId w:val="1161"/>
        </w:numPr>
        <w:rPr>
          <w:rFonts w:ascii="Calibri" w:cs="Calibri" w:eastAsia="Calibri" w:hAnsi="Calibri"/>
          <w:sz w:val="22"/>
          <w:szCs w:val="22"/>
          <w:color w:val="auto"/>
        </w:rPr>
      </w:pPr>
      <w:r>
        <w:rPr>
          <w:rFonts w:ascii="Times New Roman" w:cs="Times New Roman" w:eastAsia="Times New Roman" w:hAnsi="Times New Roman"/>
          <w:sz w:val="24"/>
          <w:szCs w:val="24"/>
          <w:color w:val="auto"/>
        </w:rPr>
        <w:t>no advertisement shall use extensive technical, legal terminology or complex language and excessive details which may distract the investor;</w:t>
      </w:r>
    </w:p>
    <w:p>
      <w:pPr>
        <w:spacing w:after="0" w:line="31" w:lineRule="exact"/>
        <w:rPr>
          <w:rFonts w:ascii="Calibri" w:cs="Calibri" w:eastAsia="Calibri" w:hAnsi="Calibri"/>
          <w:sz w:val="22"/>
          <w:szCs w:val="22"/>
          <w:color w:val="auto"/>
        </w:rPr>
      </w:pPr>
    </w:p>
    <w:p>
      <w:pPr>
        <w:ind w:left="548" w:hanging="548"/>
        <w:spacing w:after="0" w:line="342" w:lineRule="auto"/>
        <w:tabs>
          <w:tab w:leader="none" w:pos="548" w:val="left"/>
        </w:tabs>
        <w:numPr>
          <w:ilvl w:val="0"/>
          <w:numId w:val="1161"/>
        </w:numPr>
        <w:rPr>
          <w:rFonts w:ascii="Calibri" w:cs="Calibri" w:eastAsia="Calibri" w:hAnsi="Calibri"/>
          <w:sz w:val="22"/>
          <w:szCs w:val="22"/>
          <w:color w:val="auto"/>
        </w:rPr>
      </w:pPr>
      <w:r>
        <w:rPr>
          <w:rFonts w:ascii="Times New Roman" w:cs="Times New Roman" w:eastAsia="Times New Roman" w:hAnsi="Times New Roman"/>
          <w:sz w:val="24"/>
          <w:szCs w:val="24"/>
          <w:color w:val="auto"/>
        </w:rPr>
        <w:t>no issue advertisement shall contain statements which promise or guarantee rapid increase in profits;</w:t>
      </w:r>
    </w:p>
    <w:p>
      <w:pPr>
        <w:spacing w:after="0" w:line="31" w:lineRule="exact"/>
        <w:rPr>
          <w:rFonts w:ascii="Calibri" w:cs="Calibri" w:eastAsia="Calibri" w:hAnsi="Calibri"/>
          <w:sz w:val="22"/>
          <w:szCs w:val="22"/>
          <w:color w:val="auto"/>
        </w:rPr>
      </w:pPr>
    </w:p>
    <w:p>
      <w:pPr>
        <w:ind w:left="548" w:hanging="548"/>
        <w:spacing w:after="0" w:line="342" w:lineRule="auto"/>
        <w:tabs>
          <w:tab w:leader="none" w:pos="548" w:val="left"/>
        </w:tabs>
        <w:numPr>
          <w:ilvl w:val="0"/>
          <w:numId w:val="1161"/>
        </w:numPr>
        <w:rPr>
          <w:rFonts w:ascii="Calibri" w:cs="Calibri" w:eastAsia="Calibri" w:hAnsi="Calibri"/>
          <w:sz w:val="22"/>
          <w:szCs w:val="22"/>
          <w:color w:val="auto"/>
        </w:rPr>
      </w:pPr>
      <w:r>
        <w:rPr>
          <w:rFonts w:ascii="Times New Roman" w:cs="Times New Roman" w:eastAsia="Times New Roman" w:hAnsi="Times New Roman"/>
          <w:sz w:val="24"/>
          <w:szCs w:val="24"/>
          <w:color w:val="auto"/>
        </w:rPr>
        <w:t>no issue advertisement shall display models, celebrities, fictional characters, landmarks or caricatures or the likes;</w:t>
      </w:r>
    </w:p>
    <w:p>
      <w:pPr>
        <w:spacing w:after="0" w:line="31" w:lineRule="exact"/>
        <w:rPr>
          <w:rFonts w:ascii="Calibri" w:cs="Calibri" w:eastAsia="Calibri" w:hAnsi="Calibri"/>
          <w:sz w:val="22"/>
          <w:szCs w:val="22"/>
          <w:color w:val="auto"/>
        </w:rPr>
      </w:pPr>
    </w:p>
    <w:p>
      <w:pPr>
        <w:jc w:val="both"/>
        <w:ind w:left="548" w:hanging="548"/>
        <w:spacing w:after="0" w:line="350" w:lineRule="auto"/>
        <w:tabs>
          <w:tab w:leader="none" w:pos="548" w:val="left"/>
        </w:tabs>
        <w:numPr>
          <w:ilvl w:val="0"/>
          <w:numId w:val="1161"/>
        </w:numPr>
        <w:rPr>
          <w:rFonts w:ascii="Calibri" w:cs="Calibri" w:eastAsia="Calibri" w:hAnsi="Calibri"/>
          <w:sz w:val="22"/>
          <w:szCs w:val="22"/>
          <w:color w:val="auto"/>
        </w:rPr>
      </w:pPr>
      <w:r>
        <w:rPr>
          <w:rFonts w:ascii="Times New Roman" w:cs="Times New Roman" w:eastAsia="Times New Roman" w:hAnsi="Times New Roman"/>
          <w:sz w:val="24"/>
          <w:szCs w:val="24"/>
          <w:color w:val="auto"/>
        </w:rPr>
        <w:t>no issue advertisement shall appear in the form of crawlers (the advertisements which run simultaneously with the programme in a narrow strip at the bottom of the television screen) on television;</w:t>
      </w:r>
    </w:p>
    <w:p>
      <w:pPr>
        <w:spacing w:after="0" w:line="22" w:lineRule="exact"/>
        <w:rPr>
          <w:rFonts w:ascii="Calibri" w:cs="Calibri" w:eastAsia="Calibri" w:hAnsi="Calibri"/>
          <w:sz w:val="22"/>
          <w:szCs w:val="22"/>
          <w:color w:val="auto"/>
        </w:rPr>
      </w:pPr>
    </w:p>
    <w:p>
      <w:pPr>
        <w:jc w:val="both"/>
        <w:ind w:left="548" w:hanging="548"/>
        <w:spacing w:after="0" w:line="353" w:lineRule="auto"/>
        <w:tabs>
          <w:tab w:leader="none" w:pos="548" w:val="left"/>
        </w:tabs>
        <w:numPr>
          <w:ilvl w:val="0"/>
          <w:numId w:val="1161"/>
        </w:numPr>
        <w:rPr>
          <w:rFonts w:ascii="Calibri" w:cs="Calibri" w:eastAsia="Calibri" w:hAnsi="Calibri"/>
          <w:sz w:val="22"/>
          <w:szCs w:val="22"/>
          <w:color w:val="auto"/>
        </w:rPr>
      </w:pPr>
      <w:r>
        <w:rPr>
          <w:rFonts w:ascii="Times New Roman" w:cs="Times New Roman" w:eastAsia="Times New Roman" w:hAnsi="Times New Roman"/>
          <w:sz w:val="24"/>
          <w:szCs w:val="24"/>
          <w:color w:val="auto"/>
        </w:rPr>
        <w:t>in any issue advertisement on television screen, the risk factors shall not be scrolled on the television screen and the advertisement shall advise the viewers to refer to draft offer document or draft letter of offer or offer document, as the case may be, or other documents, the red herring prospectus or other offer document for details;</w:t>
      </w:r>
    </w:p>
    <w:p>
      <w:pPr>
        <w:spacing w:after="0" w:line="22" w:lineRule="exact"/>
        <w:rPr>
          <w:rFonts w:ascii="Calibri" w:cs="Calibri" w:eastAsia="Calibri" w:hAnsi="Calibri"/>
          <w:sz w:val="22"/>
          <w:szCs w:val="22"/>
          <w:color w:val="auto"/>
        </w:rPr>
      </w:pPr>
    </w:p>
    <w:p>
      <w:pPr>
        <w:ind w:left="548" w:hanging="548"/>
        <w:spacing w:after="0" w:line="344" w:lineRule="auto"/>
        <w:tabs>
          <w:tab w:leader="none" w:pos="548" w:val="left"/>
        </w:tabs>
        <w:numPr>
          <w:ilvl w:val="0"/>
          <w:numId w:val="1161"/>
        </w:numPr>
        <w:rPr>
          <w:rFonts w:ascii="Calibri" w:cs="Calibri" w:eastAsia="Calibri" w:hAnsi="Calibri"/>
          <w:sz w:val="22"/>
          <w:szCs w:val="22"/>
          <w:color w:val="auto"/>
        </w:rPr>
      </w:pPr>
      <w:r>
        <w:rPr>
          <w:rFonts w:ascii="Times New Roman" w:cs="Times New Roman" w:eastAsia="Times New Roman" w:hAnsi="Times New Roman"/>
          <w:sz w:val="24"/>
          <w:szCs w:val="24"/>
          <w:color w:val="auto"/>
        </w:rPr>
        <w:t>no issue advertisement shall contain slogans, expletives or non-factual and unsubstantiated titles;</w:t>
      </w:r>
    </w:p>
    <w:p>
      <w:pPr>
        <w:spacing w:after="0" w:line="26" w:lineRule="exact"/>
        <w:rPr>
          <w:rFonts w:ascii="Calibri" w:cs="Calibri" w:eastAsia="Calibri" w:hAnsi="Calibri"/>
          <w:sz w:val="22"/>
          <w:szCs w:val="22"/>
          <w:color w:val="auto"/>
        </w:rPr>
      </w:pPr>
    </w:p>
    <w:p>
      <w:pPr>
        <w:jc w:val="both"/>
        <w:ind w:left="548" w:hanging="548"/>
        <w:spacing w:after="0" w:line="355" w:lineRule="auto"/>
        <w:tabs>
          <w:tab w:leader="none" w:pos="548" w:val="left"/>
        </w:tabs>
        <w:numPr>
          <w:ilvl w:val="0"/>
          <w:numId w:val="1161"/>
        </w:numPr>
        <w:rPr>
          <w:rFonts w:ascii="Calibri" w:cs="Calibri" w:eastAsia="Calibri" w:hAnsi="Calibri"/>
          <w:sz w:val="22"/>
          <w:szCs w:val="22"/>
          <w:color w:val="auto"/>
        </w:rPr>
      </w:pPr>
      <w:r>
        <w:rPr>
          <w:rFonts w:ascii="Times New Roman" w:cs="Times New Roman" w:eastAsia="Times New Roman" w:hAnsi="Times New Roman"/>
          <w:sz w:val="24"/>
          <w:szCs w:val="24"/>
          <w:color w:val="auto"/>
        </w:rPr>
        <w:t>if an advertisement or research report contains highlights, the advertisement or research report, as applicable, shall prominently advise the viewers to refer to the draft offer document or draft letter of offer or offer document, as the case may be, for details contains highlights, it shall also contain risk factors with equal importance in all respects including print size of not less than point seven size;</w:t>
      </w:r>
    </w:p>
    <w:p>
      <w:pPr>
        <w:spacing w:after="0" w:line="19" w:lineRule="exact"/>
        <w:rPr>
          <w:rFonts w:ascii="Calibri" w:cs="Calibri" w:eastAsia="Calibri" w:hAnsi="Calibri"/>
          <w:sz w:val="22"/>
          <w:szCs w:val="22"/>
          <w:color w:val="auto"/>
        </w:rPr>
      </w:pPr>
    </w:p>
    <w:p>
      <w:pPr>
        <w:ind w:left="548" w:hanging="548"/>
        <w:spacing w:after="0" w:line="342" w:lineRule="auto"/>
        <w:tabs>
          <w:tab w:leader="none" w:pos="548" w:val="left"/>
        </w:tabs>
        <w:numPr>
          <w:ilvl w:val="0"/>
          <w:numId w:val="1161"/>
        </w:numPr>
        <w:rPr>
          <w:rFonts w:ascii="Calibri" w:cs="Calibri" w:eastAsia="Calibri" w:hAnsi="Calibri"/>
          <w:sz w:val="22"/>
          <w:szCs w:val="22"/>
          <w:color w:val="auto"/>
        </w:rPr>
      </w:pPr>
      <w:r>
        <w:rPr>
          <w:rFonts w:ascii="Times New Roman" w:cs="Times New Roman" w:eastAsia="Times New Roman" w:hAnsi="Times New Roman"/>
          <w:sz w:val="24"/>
          <w:szCs w:val="24"/>
          <w:color w:val="auto"/>
        </w:rPr>
        <w:t>an issue advertisement displayed on a billboard shall not contain information other than that specified in Part D of Schedule X;</w:t>
      </w: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374</w:t>
      </w:r>
    </w:p>
    <w:p>
      <w:pPr>
        <w:sectPr>
          <w:pgSz w:w="11900" w:h="16836" w:orient="portrait"/>
          <w:cols w:equalWidth="0" w:num="1">
            <w:col w:w="9468"/>
          </w:cols>
          <w:pgMar w:left="1152" w:top="1156" w:right="1284" w:bottom="103" w:gutter="0" w:footer="0" w:header="0"/>
        </w:sectPr>
      </w:pPr>
    </w:p>
    <w:bookmarkStart w:id="374" w:name="page375"/>
    <w:bookmarkEnd w:id="374"/>
    <w:p>
      <w:pPr>
        <w:jc w:val="both"/>
        <w:ind w:left="548" w:hanging="548"/>
        <w:spacing w:after="0" w:line="350" w:lineRule="auto"/>
        <w:tabs>
          <w:tab w:leader="none" w:pos="548" w:val="left"/>
        </w:tabs>
        <w:numPr>
          <w:ilvl w:val="0"/>
          <w:numId w:val="1162"/>
        </w:numPr>
        <w:rPr>
          <w:rFonts w:ascii="Calibri" w:cs="Calibri" w:eastAsia="Calibri" w:hAnsi="Calibri"/>
          <w:sz w:val="22"/>
          <w:szCs w:val="22"/>
          <w:color w:val="auto"/>
        </w:rPr>
      </w:pPr>
      <w:r>
        <w:rPr>
          <w:rFonts w:ascii="Times New Roman" w:cs="Times New Roman" w:eastAsia="Times New Roman" w:hAnsi="Times New Roman"/>
          <w:sz w:val="24"/>
          <w:szCs w:val="24"/>
          <w:color w:val="auto"/>
        </w:rPr>
        <w:t>an issue advertisement which contains highlights or information other than the details contained in the format as specified in Schedule X shall prominently advise the viewers to refer to the offer document for details and risk factors.</w:t>
      </w:r>
    </w:p>
    <w:p>
      <w:pPr>
        <w:spacing w:after="0" w:line="200" w:lineRule="exact"/>
        <w:rPr>
          <w:sz w:val="20"/>
          <w:szCs w:val="20"/>
          <w:color w:val="auto"/>
        </w:rPr>
      </w:pPr>
    </w:p>
    <w:p>
      <w:pPr>
        <w:spacing w:after="0" w:line="239" w:lineRule="exact"/>
        <w:rPr>
          <w:sz w:val="20"/>
          <w:szCs w:val="20"/>
          <w:color w:val="auto"/>
        </w:rPr>
      </w:pPr>
    </w:p>
    <w:p>
      <w:pPr>
        <w:ind w:left="8" w:hanging="8"/>
        <w:spacing w:after="0" w:line="373" w:lineRule="auto"/>
        <w:tabs>
          <w:tab w:leader="none" w:pos="368" w:val="left"/>
        </w:tabs>
        <w:numPr>
          <w:ilvl w:val="0"/>
          <w:numId w:val="1163"/>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No public information with respect to the issue shall contain any offer of incentives, to the investors whether direct or indirect, in any manner, whether in cash or kind or services or otherwise.</w:t>
      </w:r>
    </w:p>
    <w:p>
      <w:pPr>
        <w:spacing w:after="0" w:line="200" w:lineRule="exact"/>
        <w:rPr>
          <w:rFonts w:ascii="Times New Roman" w:cs="Times New Roman" w:eastAsia="Times New Roman" w:hAnsi="Times New Roman"/>
          <w:sz w:val="23"/>
          <w:szCs w:val="23"/>
          <w:color w:val="auto"/>
        </w:rPr>
      </w:pPr>
    </w:p>
    <w:p>
      <w:pPr>
        <w:spacing w:after="0" w:line="218" w:lineRule="exact"/>
        <w:rPr>
          <w:rFonts w:ascii="Times New Roman" w:cs="Times New Roman" w:eastAsia="Times New Roman" w:hAnsi="Times New Roman"/>
          <w:sz w:val="23"/>
          <w:szCs w:val="23"/>
          <w:color w:val="auto"/>
        </w:rPr>
      </w:pPr>
    </w:p>
    <w:p>
      <w:pPr>
        <w:jc w:val="both"/>
        <w:ind w:left="8" w:hanging="8"/>
        <w:spacing w:after="0" w:line="357" w:lineRule="auto"/>
        <w:tabs>
          <w:tab w:leader="none" w:pos="368" w:val="left"/>
        </w:tabs>
        <w:numPr>
          <w:ilvl w:val="0"/>
          <w:numId w:val="11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No advertisement relating to product or service provided by the issuer shall contain any reference, directly or indirectly, to the performance of the issuer during the period commencing from the date of the resolution of the board of directors of the issuer approving the public issue till the date of allotment of specified securities offered in such issue.</w:t>
      </w:r>
    </w:p>
    <w:p>
      <w:pPr>
        <w:spacing w:after="0" w:line="200" w:lineRule="exact"/>
        <w:rPr>
          <w:rFonts w:ascii="Times New Roman" w:cs="Times New Roman" w:eastAsia="Times New Roman" w:hAnsi="Times New Roman"/>
          <w:sz w:val="24"/>
          <w:szCs w:val="24"/>
          <w:color w:val="auto"/>
        </w:rPr>
      </w:pPr>
    </w:p>
    <w:p>
      <w:pPr>
        <w:spacing w:after="0" w:line="229" w:lineRule="exact"/>
        <w:rPr>
          <w:rFonts w:ascii="Times New Roman" w:cs="Times New Roman" w:eastAsia="Times New Roman" w:hAnsi="Times New Roman"/>
          <w:sz w:val="24"/>
          <w:szCs w:val="24"/>
          <w:color w:val="auto"/>
        </w:rPr>
      </w:pPr>
    </w:p>
    <w:p>
      <w:pPr>
        <w:jc w:val="both"/>
        <w:ind w:left="8" w:hanging="8"/>
        <w:spacing w:after="0" w:line="357" w:lineRule="auto"/>
        <w:tabs>
          <w:tab w:leader="none" w:pos="728" w:val="left"/>
        </w:tabs>
        <w:numPr>
          <w:ilvl w:val="0"/>
          <w:numId w:val="11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No information which is extraneous to the information disclosed in the draft offer document or offer document, as the case may be, or otherwise, shall be given by the issuer or any member of the issue management team or syndicate to any particular section of the investors or to any research analyst in any manner whatsoever, including at road shows, presentations, in research or sales reports or at bidding centres.</w:t>
      </w:r>
    </w:p>
    <w:p>
      <w:pPr>
        <w:spacing w:after="0" w:line="200" w:lineRule="exact"/>
        <w:rPr>
          <w:rFonts w:ascii="Times New Roman" w:cs="Times New Roman" w:eastAsia="Times New Roman" w:hAnsi="Times New Roman"/>
          <w:sz w:val="24"/>
          <w:szCs w:val="24"/>
          <w:color w:val="auto"/>
        </w:rPr>
      </w:pPr>
    </w:p>
    <w:p>
      <w:pPr>
        <w:spacing w:after="0" w:line="231" w:lineRule="exact"/>
        <w:rPr>
          <w:rFonts w:ascii="Times New Roman" w:cs="Times New Roman" w:eastAsia="Times New Roman" w:hAnsi="Times New Roman"/>
          <w:sz w:val="24"/>
          <w:szCs w:val="24"/>
          <w:color w:val="auto"/>
        </w:rPr>
      </w:pPr>
    </w:p>
    <w:p>
      <w:pPr>
        <w:jc w:val="both"/>
        <w:ind w:left="8" w:hanging="8"/>
        <w:spacing w:after="0" w:line="348" w:lineRule="auto"/>
        <w:tabs>
          <w:tab w:leader="none" w:pos="788" w:val="left"/>
        </w:tabs>
        <w:numPr>
          <w:ilvl w:val="0"/>
          <w:numId w:val="11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 shall submit a compliance certificate in the format specified in Part E of Schedule X for the period between the date of filing the draft offer document and the date of</w:t>
      </w:r>
    </w:p>
    <w:p>
      <w:pPr>
        <w:spacing w:after="0" w:line="15"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closure of the issue, in respect of news reports appearing in any of the following media:</w:t>
      </w:r>
    </w:p>
    <w:p>
      <w:pPr>
        <w:spacing w:after="0" w:line="137" w:lineRule="exact"/>
        <w:rPr>
          <w:sz w:val="20"/>
          <w:szCs w:val="20"/>
          <w:color w:val="auto"/>
        </w:rPr>
      </w:pPr>
    </w:p>
    <w:p>
      <w:pPr>
        <w:ind w:left="548" w:hanging="548"/>
        <w:spacing w:after="0"/>
        <w:tabs>
          <w:tab w:leader="none" w:pos="548" w:val="left"/>
        </w:tabs>
        <w:numPr>
          <w:ilvl w:val="0"/>
          <w:numId w:val="116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newspapers mentioned in these regulations;</w:t>
      </w:r>
    </w:p>
    <w:p>
      <w:pPr>
        <w:spacing w:after="0" w:line="151" w:lineRule="exact"/>
        <w:rPr>
          <w:rFonts w:ascii="Times New Roman" w:cs="Times New Roman" w:eastAsia="Times New Roman" w:hAnsi="Times New Roman"/>
          <w:sz w:val="24"/>
          <w:szCs w:val="24"/>
          <w:color w:val="auto"/>
        </w:rPr>
      </w:pPr>
    </w:p>
    <w:p>
      <w:pPr>
        <w:ind w:left="548" w:hanging="548"/>
        <w:spacing w:after="0" w:line="348" w:lineRule="auto"/>
        <w:tabs>
          <w:tab w:leader="none" w:pos="548" w:val="left"/>
        </w:tabs>
        <w:numPr>
          <w:ilvl w:val="0"/>
          <w:numId w:val="116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print and electronic media controlled by a media group where the media group has a private treaty or shareholders’ agreement with the issuer or promoters of the issuer.</w:t>
      </w:r>
    </w:p>
    <w:p>
      <w:pPr>
        <w:spacing w:after="0" w:line="200" w:lineRule="exact"/>
        <w:rPr>
          <w:sz w:val="20"/>
          <w:szCs w:val="20"/>
          <w:color w:val="auto"/>
        </w:rPr>
      </w:pPr>
    </w:p>
    <w:p>
      <w:pPr>
        <w:spacing w:after="0" w:line="229"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 xml:space="preserve">Explanation: </w:t>
      </w:r>
      <w:r>
        <w:rPr>
          <w:rFonts w:ascii="Times New Roman" w:cs="Times New Roman" w:eastAsia="Times New Roman" w:hAnsi="Times New Roman"/>
          <w:sz w:val="24"/>
          <w:szCs w:val="24"/>
          <w:color w:val="auto"/>
        </w:rPr>
        <w:t>For the purpose of this schedule:</w:t>
      </w:r>
    </w:p>
    <w:p>
      <w:pPr>
        <w:spacing w:after="0" w:line="151" w:lineRule="exact"/>
        <w:rPr>
          <w:sz w:val="20"/>
          <w:szCs w:val="20"/>
          <w:color w:val="auto"/>
        </w:rPr>
      </w:pPr>
    </w:p>
    <w:p>
      <w:pPr>
        <w:jc w:val="both"/>
        <w:ind w:left="508" w:hanging="508"/>
        <w:spacing w:after="0" w:line="356" w:lineRule="auto"/>
        <w:tabs>
          <w:tab w:leader="none" w:pos="508" w:val="left"/>
        </w:tabs>
        <w:numPr>
          <w:ilvl w:val="0"/>
          <w:numId w:val="11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“public communication or publicity material” includes corporate, issue advertisements of the issuer, interviews by its promoters, directors, duly authorized employees or representatives of the issuer, documentaries about the issuer or its promoters, periodical reports and press releases.</w:t>
      </w:r>
    </w:p>
    <w:p>
      <w:pPr>
        <w:spacing w:after="0" w:line="6" w:lineRule="exact"/>
        <w:rPr>
          <w:sz w:val="20"/>
          <w:szCs w:val="20"/>
          <w:color w:val="auto"/>
        </w:rPr>
      </w:pPr>
    </w:p>
    <w:p>
      <w:pPr>
        <w:ind w:left="508" w:hanging="508"/>
        <w:spacing w:after="0"/>
        <w:tabs>
          <w:tab w:leader="none" w:pos="508" w:val="left"/>
        </w:tabs>
        <w:numPr>
          <w:ilvl w:val="0"/>
          <w:numId w:val="11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advertisement issued by the issuer shall be considered to be misleading, if it contains:</w:t>
      </w:r>
    </w:p>
    <w:p>
      <w:pPr>
        <w:spacing w:after="0" w:line="149" w:lineRule="exact"/>
        <w:rPr>
          <w:rFonts w:ascii="Times New Roman" w:cs="Times New Roman" w:eastAsia="Times New Roman" w:hAnsi="Times New Roman"/>
          <w:sz w:val="24"/>
          <w:szCs w:val="24"/>
          <w:color w:val="auto"/>
        </w:rPr>
      </w:pPr>
    </w:p>
    <w:p>
      <w:pPr>
        <w:jc w:val="both"/>
        <w:ind w:left="1008" w:hanging="504"/>
        <w:spacing w:after="0" w:line="354" w:lineRule="auto"/>
        <w:tabs>
          <w:tab w:leader="none" w:pos="1008" w:val="left"/>
        </w:tabs>
        <w:numPr>
          <w:ilvl w:val="1"/>
          <w:numId w:val="11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Statements made about the performance or activities of the issuer without necessary explanatory or qualifying statements, which may give an exaggerated picture of such performance or activities.</w:t>
      </w: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375</w:t>
      </w:r>
    </w:p>
    <w:p>
      <w:pPr>
        <w:sectPr>
          <w:pgSz w:w="11900" w:h="16836" w:orient="portrait"/>
          <w:cols w:equalWidth="0" w:num="1">
            <w:col w:w="9468"/>
          </w:cols>
          <w:pgMar w:left="1152" w:top="1156" w:right="1284" w:bottom="103" w:gutter="0" w:footer="0" w:header="0"/>
        </w:sectPr>
      </w:pPr>
    </w:p>
    <w:bookmarkStart w:id="375" w:name="page376"/>
    <w:bookmarkEnd w:id="375"/>
    <w:p>
      <w:pPr>
        <w:ind w:left="1000" w:hanging="504"/>
        <w:spacing w:after="0" w:line="348" w:lineRule="auto"/>
        <w:tabs>
          <w:tab w:leader="none" w:pos="1000" w:val="left"/>
        </w:tabs>
        <w:numPr>
          <w:ilvl w:val="0"/>
          <w:numId w:val="116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 inaccurate portrayal of past performance or its portrayal in a manner which implies that past gains or income will be repeated in the future.</w:t>
      </w:r>
    </w:p>
    <w:p>
      <w:pPr>
        <w:spacing w:after="0" w:line="200" w:lineRule="exact"/>
        <w:rPr>
          <w:sz w:val="20"/>
          <w:szCs w:val="20"/>
          <w:color w:val="auto"/>
        </w:rPr>
      </w:pPr>
    </w:p>
    <w:p>
      <w:pPr>
        <w:spacing w:after="0" w:line="23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SCHEDULE X - FORMATS OF ADVERTISEMENTS FOR A PUBLIC ISSUE</w:t>
      </w:r>
    </w:p>
    <w:p>
      <w:pPr>
        <w:spacing w:after="0" w:line="200" w:lineRule="exact"/>
        <w:rPr>
          <w:sz w:val="20"/>
          <w:szCs w:val="20"/>
          <w:color w:val="auto"/>
        </w:rPr>
      </w:pPr>
    </w:p>
    <w:p>
      <w:pPr>
        <w:spacing w:after="0" w:line="35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Part A - Format of pre-issue advertisement for a public issue</w:t>
      </w:r>
    </w:p>
    <w:p>
      <w:pPr>
        <w:spacing w:after="0" w:line="13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[See regulations 43(2), 29(4), 127(4), 139(2), 189(4), 264(2) and 250(3)]</w:t>
      </w:r>
    </w:p>
    <w:p>
      <w:pPr>
        <w:spacing w:after="0" w:line="200" w:lineRule="exact"/>
        <w:rPr>
          <w:sz w:val="20"/>
          <w:szCs w:val="20"/>
          <w:color w:val="auto"/>
        </w:rPr>
      </w:pPr>
    </w:p>
    <w:p>
      <w:pPr>
        <w:spacing w:after="0" w:line="348"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4"/>
          <w:szCs w:val="24"/>
          <w:i w:val="1"/>
          <w:iCs w:val="1"/>
          <w:color w:val="auto"/>
        </w:rPr>
        <w:t>This is only an advertisement for information purposes and is not a prospectus announcement</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35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 xml:space="preserve">ABC LTD.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name of the issuer</w:t>
      </w:r>
      <w:r>
        <w:rPr>
          <w:rFonts w:ascii="Times New Roman" w:cs="Times New Roman" w:eastAsia="Times New Roman" w:hAnsi="Times New Roman"/>
          <w:sz w:val="24"/>
          <w:szCs w:val="24"/>
          <w:color w:val="auto"/>
        </w:rPr>
        <w:t>)</w:t>
      </w:r>
    </w:p>
    <w:p>
      <w:pPr>
        <w:spacing w:after="0" w:line="137"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24"/>
          <w:szCs w:val="24"/>
          <w:color w:val="auto"/>
        </w:rPr>
        <w:t>(Incorporated on ____________________ under the __________ Act as</w:t>
      </w:r>
    </w:p>
    <w:p>
      <w:pPr>
        <w:spacing w:after="0" w:line="139" w:lineRule="exact"/>
        <w:rPr>
          <w:sz w:val="20"/>
          <w:szCs w:val="20"/>
          <w:color w:val="auto"/>
        </w:rPr>
      </w:pPr>
    </w:p>
    <w:p>
      <w:pPr>
        <w:ind w:left="160"/>
        <w:spacing w:after="0"/>
        <w:rPr>
          <w:sz w:val="20"/>
          <w:szCs w:val="20"/>
          <w:color w:val="auto"/>
        </w:rPr>
      </w:pPr>
      <w:r>
        <w:rPr>
          <w:rFonts w:ascii="Times New Roman" w:cs="Times New Roman" w:eastAsia="Times New Roman" w:hAnsi="Times New Roman"/>
          <w:sz w:val="24"/>
          <w:szCs w:val="24"/>
          <w:color w:val="auto"/>
        </w:rPr>
        <w:t>_____________________ and subsequently renamed as _____________(applicable only when</w:t>
      </w:r>
    </w:p>
    <w:p>
      <w:pPr>
        <w:spacing w:after="0" w:line="13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the name of issuer has changed in the last three years except if there is a change in status from</w:t>
      </w:r>
    </w:p>
    <w:p>
      <w:pPr>
        <w:spacing w:after="0" w:line="139"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4"/>
          <w:szCs w:val="24"/>
          <w:color w:val="auto"/>
        </w:rPr>
        <w:t>private limited company to limited company) __________ on ________________)</w:t>
      </w:r>
    </w:p>
    <w:p>
      <w:pPr>
        <w:spacing w:after="0" w:line="137"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4"/>
          <w:szCs w:val="24"/>
          <w:color w:val="auto"/>
        </w:rPr>
        <w:t>Registered Office: ________________________________________________________</w:t>
      </w:r>
    </w:p>
    <w:p>
      <w:pPr>
        <w:spacing w:after="0" w:line="140" w:lineRule="exact"/>
        <w:rPr>
          <w:sz w:val="20"/>
          <w:szCs w:val="20"/>
          <w:color w:val="auto"/>
        </w:rPr>
      </w:pPr>
    </w:p>
    <w:p>
      <w:pPr>
        <w:ind w:left="3600"/>
        <w:spacing w:after="0"/>
        <w:rPr>
          <w:sz w:val="20"/>
          <w:szCs w:val="20"/>
          <w:color w:val="auto"/>
        </w:rPr>
      </w:pPr>
      <w:r>
        <w:rPr>
          <w:rFonts w:ascii="Times New Roman" w:cs="Times New Roman" w:eastAsia="Times New Roman" w:hAnsi="Times New Roman"/>
          <w:sz w:val="24"/>
          <w:szCs w:val="24"/>
          <w:color w:val="auto"/>
        </w:rPr>
        <w:t>Tel: _______________</w:t>
      </w:r>
    </w:p>
    <w:p>
      <w:pPr>
        <w:spacing w:after="0" w:line="137" w:lineRule="exact"/>
        <w:rPr>
          <w:sz w:val="20"/>
          <w:szCs w:val="20"/>
          <w:color w:val="auto"/>
        </w:rPr>
      </w:pPr>
    </w:p>
    <w:p>
      <w:pPr>
        <w:ind w:left="480"/>
        <w:spacing w:after="0"/>
        <w:rPr>
          <w:sz w:val="20"/>
          <w:szCs w:val="20"/>
          <w:color w:val="auto"/>
        </w:rPr>
      </w:pPr>
      <w:r>
        <w:rPr>
          <w:rFonts w:ascii="Times New Roman" w:cs="Times New Roman" w:eastAsia="Times New Roman" w:hAnsi="Times New Roman"/>
          <w:sz w:val="24"/>
          <w:szCs w:val="24"/>
          <w:color w:val="auto"/>
        </w:rPr>
        <w:t>Corporate Office: ________________________________________________________</w:t>
      </w:r>
    </w:p>
    <w:p>
      <w:pPr>
        <w:spacing w:after="0" w:line="139" w:lineRule="exact"/>
        <w:rPr>
          <w:sz w:val="20"/>
          <w:szCs w:val="20"/>
          <w:color w:val="auto"/>
        </w:rPr>
      </w:pPr>
    </w:p>
    <w:p>
      <w:pPr>
        <w:ind w:left="1700"/>
        <w:spacing w:after="0"/>
        <w:rPr>
          <w:sz w:val="20"/>
          <w:szCs w:val="20"/>
          <w:color w:val="auto"/>
        </w:rPr>
      </w:pPr>
      <w:r>
        <w:rPr>
          <w:rFonts w:ascii="Times New Roman" w:cs="Times New Roman" w:eastAsia="Times New Roman" w:hAnsi="Times New Roman"/>
          <w:sz w:val="24"/>
          <w:szCs w:val="24"/>
          <w:color w:val="auto"/>
        </w:rPr>
        <w:t>Tel: _________ e-mail: ______ Website::______ CIN: ______</w:t>
      </w:r>
    </w:p>
    <w:p>
      <w:pPr>
        <w:spacing w:after="0" w:line="200" w:lineRule="exact"/>
        <w:rPr>
          <w:sz w:val="20"/>
          <w:szCs w:val="20"/>
          <w:color w:val="auto"/>
        </w:rPr>
      </w:pPr>
    </w:p>
    <w:p>
      <w:pPr>
        <w:spacing w:after="0" w:line="35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PROMOTERS</w:t>
      </w:r>
    </w:p>
    <w:p>
      <w:pPr>
        <w:spacing w:after="0" w:line="13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[__XYZ__]</w:t>
      </w:r>
    </w:p>
    <w:p>
      <w:pPr>
        <w:spacing w:after="0" w:line="200" w:lineRule="exact"/>
        <w:rPr>
          <w:sz w:val="20"/>
          <w:szCs w:val="20"/>
          <w:color w:val="auto"/>
        </w:rPr>
      </w:pPr>
    </w:p>
    <w:p>
      <w:pPr>
        <w:spacing w:after="0" w:line="35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THE ISSUE</w:t>
      </w:r>
    </w:p>
    <w:p>
      <w:pPr>
        <w:spacing w:after="0" w:line="13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Public issue of ___________ (nature of the specified securities) of ____ each at a price of _____</w:t>
      </w:r>
    </w:p>
    <w:p>
      <w:pPr>
        <w:spacing w:after="0" w:line="200" w:lineRule="exact"/>
        <w:rPr>
          <w:sz w:val="20"/>
          <w:szCs w:val="20"/>
          <w:color w:val="auto"/>
        </w:rPr>
      </w:pPr>
    </w:p>
    <w:p>
      <w:pPr>
        <w:spacing w:after="0" w:line="364" w:lineRule="exact"/>
        <w:rPr>
          <w:sz w:val="20"/>
          <w:szCs w:val="20"/>
          <w:color w:val="auto"/>
        </w:rPr>
      </w:pPr>
    </w:p>
    <w:p>
      <w:pPr>
        <w:jc w:val="center"/>
        <w:spacing w:after="0" w:line="348" w:lineRule="auto"/>
        <w:rPr>
          <w:sz w:val="20"/>
          <w:szCs w:val="20"/>
          <w:color w:val="auto"/>
        </w:rPr>
      </w:pPr>
      <w:r>
        <w:rPr>
          <w:rFonts w:ascii="Times New Roman" w:cs="Times New Roman" w:eastAsia="Times New Roman" w:hAnsi="Times New Roman"/>
          <w:sz w:val="24"/>
          <w:szCs w:val="24"/>
          <w:i w:val="1"/>
          <w:iCs w:val="1"/>
          <w:color w:val="auto"/>
        </w:rPr>
        <w:t>(In the case of book building issues, disclosure about the details of allocation shall be given in the following manner, as percentage of offer size/ net offer:</w:t>
      </w:r>
    </w:p>
    <w:p>
      <w:pPr>
        <w:spacing w:after="0" w:line="15"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i w:val="1"/>
          <w:iCs w:val="1"/>
          <w:color w:val="auto"/>
        </w:rPr>
        <w:t>QIB Category: _____%</w:t>
      </w:r>
    </w:p>
    <w:p>
      <w:pPr>
        <w:spacing w:after="0" w:line="137" w:lineRule="exact"/>
        <w:rPr>
          <w:sz w:val="20"/>
          <w:szCs w:val="20"/>
          <w:color w:val="auto"/>
        </w:rPr>
      </w:pPr>
    </w:p>
    <w:p>
      <w:pPr>
        <w:ind w:left="3500"/>
        <w:spacing w:after="0"/>
        <w:rPr>
          <w:sz w:val="20"/>
          <w:szCs w:val="20"/>
          <w:color w:val="auto"/>
        </w:rPr>
      </w:pPr>
      <w:r>
        <w:rPr>
          <w:rFonts w:ascii="Times New Roman" w:cs="Times New Roman" w:eastAsia="Times New Roman" w:hAnsi="Times New Roman"/>
          <w:sz w:val="24"/>
          <w:szCs w:val="24"/>
          <w:i w:val="1"/>
          <w:iCs w:val="1"/>
          <w:color w:val="auto"/>
        </w:rPr>
        <w:t>Retail Category: _____%</w:t>
      </w:r>
    </w:p>
    <w:p>
      <w:pPr>
        <w:spacing w:after="0" w:line="139" w:lineRule="exact"/>
        <w:rPr>
          <w:sz w:val="20"/>
          <w:szCs w:val="20"/>
          <w:color w:val="auto"/>
        </w:rPr>
      </w:pPr>
    </w:p>
    <w:p>
      <w:pPr>
        <w:ind w:left="2580"/>
        <w:spacing w:after="0"/>
        <w:rPr>
          <w:sz w:val="20"/>
          <w:szCs w:val="20"/>
          <w:color w:val="auto"/>
        </w:rPr>
      </w:pPr>
      <w:r>
        <w:rPr>
          <w:rFonts w:ascii="Times New Roman" w:cs="Times New Roman" w:eastAsia="Times New Roman" w:hAnsi="Times New Roman"/>
          <w:sz w:val="24"/>
          <w:szCs w:val="24"/>
          <w:i w:val="1"/>
          <w:iCs w:val="1"/>
          <w:color w:val="auto"/>
        </w:rPr>
        <w:t>Non institutional investor category: _____%</w:t>
      </w:r>
    </w:p>
    <w:p>
      <w:pPr>
        <w:spacing w:after="0" w:line="137" w:lineRule="exact"/>
        <w:rPr>
          <w:sz w:val="20"/>
          <w:szCs w:val="20"/>
          <w:color w:val="auto"/>
        </w:rPr>
      </w:pPr>
    </w:p>
    <w:p>
      <w:pPr>
        <w:ind w:left="2220"/>
        <w:spacing w:after="0"/>
        <w:rPr>
          <w:sz w:val="20"/>
          <w:szCs w:val="20"/>
          <w:color w:val="auto"/>
        </w:rPr>
      </w:pPr>
      <w:r>
        <w:rPr>
          <w:rFonts w:ascii="Times New Roman" w:cs="Times New Roman" w:eastAsia="Times New Roman" w:hAnsi="Times New Roman"/>
          <w:sz w:val="24"/>
          <w:szCs w:val="24"/>
          <w:i w:val="1"/>
          <w:iCs w:val="1"/>
          <w:color w:val="auto"/>
        </w:rPr>
        <w:t>Reserved categories</w:t>
      </w:r>
      <w:r>
        <w:rPr>
          <w:rFonts w:ascii="Times New Roman" w:cs="Times New Roman" w:eastAsia="Times New Roman" w:hAnsi="Times New Roman"/>
          <w:sz w:val="24"/>
          <w:szCs w:val="24"/>
          <w:b w:val="1"/>
          <w:bCs w:val="1"/>
          <w:i w:val="1"/>
          <w:iCs w:val="1"/>
          <w:color w:val="auto"/>
        </w:rPr>
        <w:t>:</w:t>
      </w:r>
      <w:r>
        <w:rPr>
          <w:rFonts w:ascii="Times New Roman" w:cs="Times New Roman" w:eastAsia="Times New Roman" w:hAnsi="Times New Roman"/>
          <w:sz w:val="24"/>
          <w:szCs w:val="24"/>
          <w:i w:val="1"/>
          <w:iCs w:val="1"/>
          <w:color w:val="auto"/>
        </w:rPr>
        <w:t xml:space="preserve"> _____Equity Shares or ____%</w:t>
      </w:r>
    </w:p>
    <w:p>
      <w:pPr>
        <w:spacing w:after="0" w:line="200" w:lineRule="exact"/>
        <w:rPr>
          <w:sz w:val="20"/>
          <w:szCs w:val="20"/>
          <w:color w:val="auto"/>
        </w:rPr>
      </w:pPr>
    </w:p>
    <w:p>
      <w:pPr>
        <w:spacing w:after="0" w:line="35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PROPOSED LISTING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376</w:t>
      </w:r>
    </w:p>
    <w:p>
      <w:pPr>
        <w:sectPr>
          <w:pgSz w:w="11900" w:h="16836" w:orient="portrait"/>
          <w:cols w:equalWidth="0" w:num="1">
            <w:col w:w="9460"/>
          </w:cols>
          <w:pgMar w:left="1160" w:top="1156" w:right="1284" w:bottom="103" w:gutter="0" w:footer="0" w:header="0"/>
        </w:sectPr>
      </w:pPr>
    </w:p>
    <w:bookmarkStart w:id="376" w:name="page377"/>
    <w:bookmarkEnd w:id="376"/>
    <w:p>
      <w:pPr>
        <w:jc w:val="center"/>
        <w:ind w:right="20"/>
        <w:spacing w:after="0" w:line="348" w:lineRule="auto"/>
        <w:rPr>
          <w:sz w:val="20"/>
          <w:szCs w:val="20"/>
          <w:color w:val="auto"/>
        </w:rPr>
      </w:pPr>
      <w:r>
        <w:rPr>
          <w:rFonts w:ascii="Times New Roman" w:cs="Times New Roman" w:eastAsia="Times New Roman" w:hAnsi="Times New Roman"/>
          <w:sz w:val="24"/>
          <w:szCs w:val="24"/>
          <w:color w:val="auto"/>
        </w:rPr>
        <w:t>Names of the stock exchanges (Cross reference to the disclaimer clause of the stock exchanges as provided in their in-principle listing approval)</w:t>
      </w:r>
    </w:p>
    <w:p>
      <w:pPr>
        <w:spacing w:after="0" w:line="200" w:lineRule="exact"/>
        <w:rPr>
          <w:sz w:val="20"/>
          <w:szCs w:val="20"/>
          <w:color w:val="auto"/>
        </w:rPr>
      </w:pPr>
    </w:p>
    <w:p>
      <w:pPr>
        <w:spacing w:after="0" w:line="23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DISCLAIMER CLAUSE OF THE SECURITIES AND EXCHANGE BOARD OF INDIA</w:t>
      </w:r>
    </w:p>
    <w:p>
      <w:pPr>
        <w:spacing w:after="0" w:line="147" w:lineRule="exact"/>
        <w:rPr>
          <w:sz w:val="20"/>
          <w:szCs w:val="20"/>
          <w:color w:val="auto"/>
        </w:rPr>
      </w:pPr>
    </w:p>
    <w:p>
      <w:pPr>
        <w:jc w:val="both"/>
        <w:spacing w:after="0" w:line="348" w:lineRule="auto"/>
        <w:rPr>
          <w:sz w:val="20"/>
          <w:szCs w:val="20"/>
          <w:color w:val="auto"/>
        </w:rPr>
      </w:pPr>
      <w:r>
        <w:rPr>
          <w:rFonts w:ascii="Times New Roman" w:cs="Times New Roman" w:eastAsia="Times New Roman" w:hAnsi="Times New Roman"/>
          <w:sz w:val="24"/>
          <w:szCs w:val="24"/>
          <w:color w:val="auto"/>
        </w:rPr>
        <w:t>“SEBI only gives its observations on the draft offer document and this does not constitute approval of either the issue or the specified securities stated in the offer document.”</w:t>
      </w:r>
    </w:p>
    <w:p>
      <w:pPr>
        <w:spacing w:after="0" w:line="200" w:lineRule="exact"/>
        <w:rPr>
          <w:sz w:val="20"/>
          <w:szCs w:val="20"/>
          <w:color w:val="auto"/>
        </w:rPr>
      </w:pPr>
    </w:p>
    <w:p>
      <w:pPr>
        <w:spacing w:after="0" w:line="233" w:lineRule="exact"/>
        <w:rPr>
          <w:sz w:val="20"/>
          <w:szCs w:val="20"/>
          <w:color w:val="auto"/>
        </w:rPr>
      </w:pPr>
    </w:p>
    <w:p>
      <w:pPr>
        <w:jc w:val="center"/>
        <w:ind w:right="-59"/>
        <w:spacing w:after="0"/>
        <w:rPr>
          <w:sz w:val="20"/>
          <w:szCs w:val="20"/>
          <w:color w:val="auto"/>
        </w:rPr>
      </w:pPr>
      <w:r>
        <w:rPr>
          <w:rFonts w:ascii="Times New Roman" w:cs="Times New Roman" w:eastAsia="Times New Roman" w:hAnsi="Times New Roman"/>
          <w:sz w:val="24"/>
          <w:szCs w:val="24"/>
          <w:b w:val="1"/>
          <w:bCs w:val="1"/>
          <w:color w:val="auto"/>
        </w:rPr>
        <w:t>LEAD MANAGER(S)</w:t>
      </w:r>
    </w:p>
    <w:p>
      <w:pPr>
        <w:spacing w:after="0" w:line="13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Name, address, telephone numbers, email ID, website address and contact person</w:t>
      </w:r>
    </w:p>
    <w:p>
      <w:pPr>
        <w:spacing w:after="0" w:line="200" w:lineRule="exact"/>
        <w:rPr>
          <w:sz w:val="20"/>
          <w:szCs w:val="20"/>
          <w:color w:val="auto"/>
        </w:rPr>
      </w:pPr>
    </w:p>
    <w:p>
      <w:pPr>
        <w:spacing w:after="0" w:line="35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COMPLIANCE OFFICER OF THE ISSUER</w:t>
      </w:r>
    </w:p>
    <w:p>
      <w:pPr>
        <w:spacing w:after="0" w:line="13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Name, address, telephone numbers, email ID, website address</w:t>
      </w:r>
    </w:p>
    <w:p>
      <w:pPr>
        <w:spacing w:after="0" w:line="200" w:lineRule="exact"/>
        <w:rPr>
          <w:sz w:val="20"/>
          <w:szCs w:val="20"/>
          <w:color w:val="auto"/>
        </w:rPr>
      </w:pPr>
    </w:p>
    <w:p>
      <w:pPr>
        <w:spacing w:after="0" w:line="35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 xml:space="preserve">CREDIT RATING </w:t>
      </w:r>
      <w:r>
        <w:rPr>
          <w:rFonts w:ascii="Times New Roman" w:cs="Times New Roman" w:eastAsia="Times New Roman" w:hAnsi="Times New Roman"/>
          <w:sz w:val="24"/>
          <w:szCs w:val="24"/>
          <w:color w:val="auto"/>
        </w:rPr>
        <w:t>(if applicable)</w:t>
      </w:r>
    </w:p>
    <w:p>
      <w:pPr>
        <w:spacing w:after="0" w:line="200" w:lineRule="exact"/>
        <w:rPr>
          <w:sz w:val="20"/>
          <w:szCs w:val="20"/>
          <w:color w:val="auto"/>
        </w:rPr>
      </w:pPr>
    </w:p>
    <w:p>
      <w:pPr>
        <w:spacing w:after="0" w:line="35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 xml:space="preserve">DEBENTURE TRUSTEES </w:t>
      </w:r>
      <w:r>
        <w:rPr>
          <w:rFonts w:ascii="Times New Roman" w:cs="Times New Roman" w:eastAsia="Times New Roman" w:hAnsi="Times New Roman"/>
          <w:sz w:val="24"/>
          <w:szCs w:val="24"/>
          <w:color w:val="auto"/>
        </w:rPr>
        <w:t>(if applicable)</w:t>
      </w:r>
    </w:p>
    <w:p>
      <w:pPr>
        <w:spacing w:after="0" w:line="200" w:lineRule="exact"/>
        <w:rPr>
          <w:sz w:val="20"/>
          <w:szCs w:val="20"/>
          <w:color w:val="auto"/>
        </w:rPr>
      </w:pPr>
    </w:p>
    <w:p>
      <w:pPr>
        <w:spacing w:after="0" w:line="35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 xml:space="preserve">IPO GRADING </w:t>
      </w:r>
      <w:r>
        <w:rPr>
          <w:rFonts w:ascii="Times New Roman" w:cs="Times New Roman" w:eastAsia="Times New Roman" w:hAnsi="Times New Roman"/>
          <w:sz w:val="24"/>
          <w:szCs w:val="24"/>
          <w:color w:val="auto"/>
        </w:rPr>
        <w:t>(if obtained)</w:t>
      </w:r>
    </w:p>
    <w:p>
      <w:pPr>
        <w:spacing w:after="0" w:line="200" w:lineRule="exact"/>
        <w:rPr>
          <w:sz w:val="20"/>
          <w:szCs w:val="20"/>
          <w:color w:val="auto"/>
        </w:rPr>
      </w:pPr>
    </w:p>
    <w:p>
      <w:pPr>
        <w:spacing w:after="0" w:line="35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AVAILABILITY OF APPLICATION FORMS</w:t>
      </w:r>
    </w:p>
    <w:p>
      <w:pPr>
        <w:spacing w:after="0" w:line="147" w:lineRule="exact"/>
        <w:rPr>
          <w:sz w:val="20"/>
          <w:szCs w:val="20"/>
          <w:color w:val="auto"/>
        </w:rPr>
      </w:pPr>
    </w:p>
    <w:p>
      <w:pPr>
        <w:jc w:val="both"/>
        <w:spacing w:after="0" w:line="354" w:lineRule="auto"/>
        <w:rPr>
          <w:sz w:val="20"/>
          <w:szCs w:val="20"/>
          <w:color w:val="auto"/>
        </w:rPr>
      </w:pPr>
      <w:r>
        <w:rPr>
          <w:rFonts w:ascii="Times New Roman" w:cs="Times New Roman" w:eastAsia="Times New Roman" w:hAnsi="Times New Roman"/>
          <w:sz w:val="24"/>
          <w:szCs w:val="24"/>
          <w:color w:val="auto"/>
        </w:rPr>
        <w:t>Names of the issuer, lead manager(s), syndicate member(s), stock brokers self certified syndicate banks, registrar and share transfer agents and depository participants with the website link of where the detailed information is available (addresses optional).</w:t>
      </w:r>
    </w:p>
    <w:p>
      <w:pPr>
        <w:spacing w:after="0" w:line="200" w:lineRule="exact"/>
        <w:rPr>
          <w:sz w:val="20"/>
          <w:szCs w:val="20"/>
          <w:color w:val="auto"/>
        </w:rPr>
      </w:pPr>
    </w:p>
    <w:p>
      <w:pPr>
        <w:spacing w:after="0" w:line="228" w:lineRule="exact"/>
        <w:rPr>
          <w:sz w:val="20"/>
          <w:szCs w:val="20"/>
          <w:color w:val="auto"/>
        </w:rPr>
      </w:pPr>
    </w:p>
    <w:p>
      <w:pPr>
        <w:jc w:val="center"/>
        <w:ind w:right="-39"/>
        <w:spacing w:after="0"/>
        <w:rPr>
          <w:sz w:val="20"/>
          <w:szCs w:val="20"/>
          <w:color w:val="auto"/>
        </w:rPr>
      </w:pPr>
      <w:r>
        <w:rPr>
          <w:rFonts w:ascii="Times New Roman" w:cs="Times New Roman" w:eastAsia="Times New Roman" w:hAnsi="Times New Roman"/>
          <w:sz w:val="24"/>
          <w:szCs w:val="24"/>
          <w:b w:val="1"/>
          <w:bCs w:val="1"/>
          <w:color w:val="auto"/>
        </w:rPr>
        <w:t>AVAILABILITY OF RED HERRING PROSPECTUS</w:t>
      </w:r>
    </w:p>
    <w:p>
      <w:pPr>
        <w:spacing w:after="0" w:line="144" w:lineRule="exact"/>
        <w:rPr>
          <w:sz w:val="20"/>
          <w:szCs w:val="20"/>
          <w:color w:val="auto"/>
        </w:rPr>
      </w:pPr>
    </w:p>
    <w:p>
      <w:pPr>
        <w:jc w:val="both"/>
        <w:spacing w:after="0" w:line="35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Investors are advised to refer to the prospectus and the risk factors contained therein before applying in the issue. Full copy of the prospectus is available at </w:t>
      </w:r>
      <w:hyperlink r:id="rId28">
        <w:r>
          <w:rPr>
            <w:rFonts w:ascii="Times New Roman" w:cs="Times New Roman" w:eastAsia="Times New Roman" w:hAnsi="Times New Roman"/>
            <w:sz w:val="24"/>
            <w:szCs w:val="24"/>
            <w:u w:val="single" w:color="auto"/>
            <w:color w:val="auto"/>
          </w:rPr>
          <w:t xml:space="preserve">www.sebi.gov.in </w:t>
        </w:r>
      </w:hyperlink>
      <w:r>
        <w:rPr>
          <w:rFonts w:ascii="Times New Roman" w:cs="Times New Roman" w:eastAsia="Times New Roman" w:hAnsi="Times New Roman"/>
          <w:sz w:val="24"/>
          <w:szCs w:val="24"/>
          <w:color w:val="auto"/>
        </w:rPr>
        <w:t>and websites of lead manager(s) / stock exchange/s at www……</w:t>
      </w:r>
    </w:p>
    <w:p>
      <w:pPr>
        <w:spacing w:after="0" w:line="200" w:lineRule="exact"/>
        <w:rPr>
          <w:sz w:val="20"/>
          <w:szCs w:val="20"/>
          <w:color w:val="auto"/>
        </w:rPr>
      </w:pPr>
    </w:p>
    <w:p>
      <w:pPr>
        <w:spacing w:after="0" w:line="22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ISSUE/BID OPENS ON:</w:t>
      </w:r>
    </w:p>
    <w:p>
      <w:pPr>
        <w:spacing w:after="0" w:line="13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ISSUE/BID CLOSES ON:</w:t>
      </w:r>
    </w:p>
    <w:p>
      <w:pPr>
        <w:spacing w:after="0" w:line="200" w:lineRule="exact"/>
        <w:rPr>
          <w:sz w:val="20"/>
          <w:szCs w:val="20"/>
          <w:color w:val="auto"/>
        </w:rPr>
      </w:pPr>
    </w:p>
    <w:p>
      <w:pPr>
        <w:spacing w:after="0" w:line="35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FLOOR PRICE/ PRICE BAND</w:t>
      </w:r>
    </w:p>
    <w:p>
      <w:pPr>
        <w:spacing w:after="0" w:line="13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(Floor price or price band or as the case may be in case of book built issue) for cash aggregating</w:t>
      </w:r>
    </w:p>
    <w:p>
      <w:pPr>
        <w:spacing w:after="0" w:line="139" w:lineRule="exact"/>
        <w:rPr>
          <w:sz w:val="20"/>
          <w:szCs w:val="20"/>
          <w:color w:val="auto"/>
        </w:rPr>
      </w:pPr>
    </w:p>
    <w:p>
      <w:pPr>
        <w:ind w:left="960"/>
        <w:spacing w:after="0"/>
        <w:tabs>
          <w:tab w:leader="none" w:pos="3500" w:val="left"/>
        </w:tabs>
        <w:rPr>
          <w:sz w:val="20"/>
          <w:szCs w:val="20"/>
          <w:color w:val="auto"/>
        </w:rPr>
      </w:pPr>
      <w:r>
        <w:rPr>
          <w:rFonts w:ascii="Times New Roman" w:cs="Times New Roman" w:eastAsia="Times New Roman" w:hAnsi="Times New Roman"/>
          <w:sz w:val="24"/>
          <w:szCs w:val="24"/>
          <w:color w:val="auto"/>
        </w:rPr>
        <w:t>`_________ (appropriate</w:t>
        <w:tab/>
        <w:t>disclosure for book built issue) including face value</w:t>
      </w:r>
    </w:p>
    <w:p>
      <w:pPr>
        <w:spacing w:after="0" w:line="39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377</w:t>
      </w:r>
    </w:p>
    <w:p>
      <w:pPr>
        <w:sectPr>
          <w:pgSz w:w="11900" w:h="16836" w:orient="portrait"/>
          <w:cols w:equalWidth="0" w:num="1">
            <w:col w:w="9460"/>
          </w:cols>
          <w:pgMar w:left="1160" w:top="1156" w:right="1284" w:bottom="103" w:gutter="0" w:footer="0" w:header="0"/>
        </w:sectPr>
      </w:pPr>
    </w:p>
    <w:bookmarkStart w:id="377" w:name="page378"/>
    <w:bookmarkEnd w:id="377"/>
    <w:p>
      <w:pPr>
        <w:spacing w:after="0" w:line="122"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4"/>
          <w:szCs w:val="24"/>
          <w:b w:val="1"/>
          <w:bCs w:val="1"/>
          <w:color w:val="auto"/>
        </w:rPr>
        <w:t>MINIMUM LOT SIZE</w:t>
      </w:r>
    </w:p>
    <w:p>
      <w:pPr>
        <w:spacing w:after="0" w:line="200" w:lineRule="exact"/>
        <w:rPr>
          <w:sz w:val="20"/>
          <w:szCs w:val="20"/>
          <w:color w:val="auto"/>
        </w:rPr>
      </w:pPr>
    </w:p>
    <w:p>
      <w:pPr>
        <w:spacing w:after="0" w:line="352"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4"/>
          <w:szCs w:val="24"/>
          <w:b w:val="1"/>
          <w:bCs w:val="1"/>
          <w:color w:val="auto"/>
        </w:rPr>
        <w:t>DISCOUNT (IF ANY)</w:t>
      </w:r>
    </w:p>
    <w:p>
      <w:pPr>
        <w:spacing w:after="0" w:line="200" w:lineRule="exact"/>
        <w:rPr>
          <w:sz w:val="20"/>
          <w:szCs w:val="20"/>
          <w:color w:val="auto"/>
        </w:rPr>
      </w:pPr>
    </w:p>
    <w:p>
      <w:pPr>
        <w:spacing w:after="0" w:line="352"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4"/>
          <w:szCs w:val="24"/>
          <w:b w:val="1"/>
          <w:bCs w:val="1"/>
          <w:color w:val="auto"/>
        </w:rPr>
        <w:t>RISK TO INVESTORS</w:t>
      </w:r>
    </w:p>
    <w:p>
      <w:pPr>
        <w:spacing w:after="0" w:line="134"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4"/>
          <w:szCs w:val="24"/>
          <w:color w:val="auto"/>
        </w:rPr>
        <w:t>(As specified by the Board) (In the same font size as the floor price/ price band)</w:t>
      </w:r>
    </w:p>
    <w:p>
      <w:pPr>
        <w:spacing w:after="0" w:line="200" w:lineRule="exact"/>
        <w:rPr>
          <w:sz w:val="20"/>
          <w:szCs w:val="20"/>
          <w:color w:val="auto"/>
        </w:rPr>
      </w:pPr>
    </w:p>
    <w:p>
      <w:pPr>
        <w:spacing w:after="0" w:line="357"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4"/>
          <w:szCs w:val="24"/>
          <w:b w:val="1"/>
          <w:bCs w:val="1"/>
          <w:color w:val="auto"/>
        </w:rPr>
        <w:t>BASIS FOR ISSUE PRICE</w:t>
      </w:r>
    </w:p>
    <w:p>
      <w:pPr>
        <w:spacing w:after="0" w:line="144" w:lineRule="exact"/>
        <w:rPr>
          <w:sz w:val="20"/>
          <w:szCs w:val="20"/>
          <w:color w:val="auto"/>
        </w:rPr>
      </w:pPr>
    </w:p>
    <w:p>
      <w:pPr>
        <w:jc w:val="center"/>
        <w:ind w:right="20"/>
        <w:spacing w:after="0" w:line="354" w:lineRule="auto"/>
        <w:rPr>
          <w:sz w:val="20"/>
          <w:szCs w:val="20"/>
          <w:color w:val="auto"/>
        </w:rPr>
      </w:pPr>
      <w:r>
        <w:rPr>
          <w:rFonts w:ascii="Times New Roman" w:cs="Times New Roman" w:eastAsia="Times New Roman" w:hAnsi="Times New Roman"/>
          <w:sz w:val="24"/>
          <w:szCs w:val="24"/>
          <w:color w:val="auto"/>
        </w:rPr>
        <w:t>(Relevant financial ratios on the floor price and cap price (based on the financials disclosed in the offer document) in case of a price band, as per the basis for issue price disclosures in the offer document)</w:t>
      </w:r>
    </w:p>
    <w:p>
      <w:pPr>
        <w:spacing w:after="0" w:line="200" w:lineRule="exact"/>
        <w:rPr>
          <w:sz w:val="20"/>
          <w:szCs w:val="20"/>
          <w:color w:val="auto"/>
        </w:rPr>
      </w:pP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Investor should read the offer document carefully, including the Risk Factors on page _____</w:t>
      </w:r>
    </w:p>
    <w:p>
      <w:pPr>
        <w:spacing w:after="0" w:line="139"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4"/>
          <w:szCs w:val="24"/>
          <w:b w:val="1"/>
          <w:bCs w:val="1"/>
          <w:color w:val="auto"/>
        </w:rPr>
        <w:t>of the offer document before making any investment decision.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4"/>
          <w:szCs w:val="24"/>
          <w:b w:val="1"/>
          <w:bCs w:val="1"/>
          <w:color w:val="auto"/>
        </w:rPr>
        <w:t>Issued by</w:t>
      </w:r>
    </w:p>
    <w:p>
      <w:pPr>
        <w:spacing w:after="0" w:line="139"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4"/>
          <w:szCs w:val="24"/>
          <w:b w:val="1"/>
          <w:bCs w:val="1"/>
          <w:color w:val="auto"/>
        </w:rPr>
        <w:t>Authorized personnel of the issuer</w:t>
      </w:r>
    </w:p>
    <w:p>
      <w:pPr>
        <w:spacing w:after="0" w:line="200" w:lineRule="exact"/>
        <w:rPr>
          <w:sz w:val="20"/>
          <w:szCs w:val="20"/>
          <w:color w:val="auto"/>
        </w:rPr>
      </w:pPr>
    </w:p>
    <w:p>
      <w:pPr>
        <w:spacing w:after="0" w:line="352"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4"/>
          <w:szCs w:val="24"/>
          <w:b w:val="1"/>
          <w:bCs w:val="1"/>
          <w:color w:val="auto"/>
        </w:rPr>
        <w:t>Part B - Format of issue opening advertisement for a public issue</w:t>
      </w:r>
    </w:p>
    <w:p>
      <w:pPr>
        <w:spacing w:after="0" w:line="137"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4"/>
          <w:szCs w:val="24"/>
          <w:b w:val="1"/>
          <w:bCs w:val="1"/>
          <w:color w:val="auto"/>
        </w:rPr>
        <w:t>[See regulations 43(3), 200(1) and 264(3)]</w:t>
      </w:r>
    </w:p>
    <w:p>
      <w:pPr>
        <w:spacing w:after="0" w:line="200" w:lineRule="exact"/>
        <w:rPr>
          <w:sz w:val="20"/>
          <w:szCs w:val="20"/>
          <w:color w:val="auto"/>
        </w:rPr>
      </w:pPr>
    </w:p>
    <w:p>
      <w:pPr>
        <w:spacing w:after="0" w:line="348" w:lineRule="exact"/>
        <w:rPr>
          <w:sz w:val="20"/>
          <w:szCs w:val="20"/>
          <w:color w:val="auto"/>
        </w:rPr>
      </w:pPr>
    </w:p>
    <w:p>
      <w:pPr>
        <w:ind w:left="160"/>
        <w:spacing w:after="0"/>
        <w:rPr>
          <w:sz w:val="20"/>
          <w:szCs w:val="20"/>
          <w:color w:val="auto"/>
        </w:rPr>
      </w:pPr>
      <w:r>
        <w:rPr>
          <w:rFonts w:ascii="Times New Roman" w:cs="Times New Roman" w:eastAsia="Times New Roman" w:hAnsi="Times New Roman"/>
          <w:sz w:val="24"/>
          <w:szCs w:val="24"/>
          <w:i w:val="1"/>
          <w:iCs w:val="1"/>
          <w:color w:val="auto"/>
        </w:rPr>
        <w:t>This is only an advertisement for information purposes and is not a prospectus announcement</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352"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4"/>
          <w:szCs w:val="24"/>
          <w:b w:val="1"/>
          <w:bCs w:val="1"/>
          <w:color w:val="auto"/>
        </w:rPr>
        <w:t xml:space="preserve">ABC LTD.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name of the issuer</w:t>
      </w:r>
      <w:r>
        <w:rPr>
          <w:rFonts w:ascii="Times New Roman" w:cs="Times New Roman" w:eastAsia="Times New Roman" w:hAnsi="Times New Roman"/>
          <w:sz w:val="24"/>
          <w:szCs w:val="24"/>
          <w:color w:val="auto"/>
        </w:rPr>
        <w:t>)</w:t>
      </w:r>
    </w:p>
    <w:p>
      <w:pPr>
        <w:spacing w:after="0" w:line="139" w:lineRule="exact"/>
        <w:rPr>
          <w:sz w:val="20"/>
          <w:szCs w:val="20"/>
          <w:color w:val="auto"/>
        </w:rPr>
      </w:pPr>
    </w:p>
    <w:p>
      <w:pPr>
        <w:ind w:left="1240"/>
        <w:spacing w:after="0"/>
        <w:rPr>
          <w:sz w:val="20"/>
          <w:szCs w:val="20"/>
          <w:color w:val="auto"/>
        </w:rPr>
      </w:pPr>
      <w:r>
        <w:rPr>
          <w:rFonts w:ascii="Times New Roman" w:cs="Times New Roman" w:eastAsia="Times New Roman" w:hAnsi="Times New Roman"/>
          <w:sz w:val="24"/>
          <w:szCs w:val="24"/>
          <w:color w:val="auto"/>
        </w:rPr>
        <w:t>(Incorporated on ____________________ under the __________ Act as</w:t>
      </w:r>
    </w:p>
    <w:p>
      <w:pPr>
        <w:spacing w:after="0" w:line="13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4"/>
          <w:szCs w:val="24"/>
          <w:color w:val="auto"/>
        </w:rPr>
        <w:t>_____________________ and subsequently renamed as _____________(applicable only when</w:t>
      </w:r>
    </w:p>
    <w:p>
      <w:pPr>
        <w:spacing w:after="0" w:line="139"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4"/>
          <w:szCs w:val="24"/>
          <w:color w:val="auto"/>
        </w:rPr>
        <w:t>the name of issuer has changed in the last three years except if there is a change in status from</w:t>
      </w:r>
    </w:p>
    <w:p>
      <w:pPr>
        <w:spacing w:after="0" w:line="137"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color w:val="auto"/>
        </w:rPr>
        <w:t>private limited company to limited company) __________ on ________________)</w:t>
      </w:r>
    </w:p>
    <w:p>
      <w:pPr>
        <w:spacing w:after="0" w:line="139"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4"/>
          <w:szCs w:val="24"/>
          <w:color w:val="auto"/>
        </w:rPr>
        <w:t>Registered Office: ________________________________________________________</w:t>
      </w:r>
    </w:p>
    <w:p>
      <w:pPr>
        <w:spacing w:after="0" w:line="137"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color w:val="auto"/>
        </w:rPr>
        <w:t>Tel: _______________</w:t>
      </w:r>
    </w:p>
    <w:p>
      <w:pPr>
        <w:spacing w:after="0" w:line="139"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4"/>
          <w:szCs w:val="24"/>
          <w:color w:val="auto"/>
        </w:rPr>
        <w:t>Corporate Office: ________________________________________________________</w:t>
      </w:r>
    </w:p>
    <w:p>
      <w:pPr>
        <w:spacing w:after="0" w:line="137" w:lineRule="exact"/>
        <w:rPr>
          <w:sz w:val="20"/>
          <w:szCs w:val="20"/>
          <w:color w:val="auto"/>
        </w:rPr>
      </w:pPr>
    </w:p>
    <w:p>
      <w:pPr>
        <w:ind w:left="1680"/>
        <w:spacing w:after="0"/>
        <w:rPr>
          <w:sz w:val="20"/>
          <w:szCs w:val="20"/>
          <w:color w:val="auto"/>
        </w:rPr>
      </w:pPr>
      <w:r>
        <w:rPr>
          <w:rFonts w:ascii="Times New Roman" w:cs="Times New Roman" w:eastAsia="Times New Roman" w:hAnsi="Times New Roman"/>
          <w:sz w:val="24"/>
          <w:szCs w:val="24"/>
          <w:color w:val="auto"/>
        </w:rPr>
        <w:t>Tel: _________ e-mail: ______ Website::______ CIN: ______</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4"/>
          <w:szCs w:val="24"/>
          <w:color w:val="auto"/>
        </w:rPr>
        <w:t>378</w:t>
      </w:r>
    </w:p>
    <w:p>
      <w:pPr>
        <w:sectPr>
          <w:pgSz w:w="11900" w:h="16836" w:orient="portrait"/>
          <w:cols w:equalWidth="0" w:num="1">
            <w:col w:w="9440"/>
          </w:cols>
          <w:pgMar w:left="1180" w:top="1440" w:right="1284" w:bottom="103" w:gutter="0" w:footer="0" w:header="0"/>
        </w:sectPr>
      </w:pPr>
    </w:p>
    <w:bookmarkStart w:id="378" w:name="page379"/>
    <w:bookmarkEnd w:id="378"/>
    <w:p>
      <w:pPr>
        <w:jc w:val="center"/>
        <w:spacing w:after="0"/>
        <w:rPr>
          <w:sz w:val="20"/>
          <w:szCs w:val="20"/>
          <w:color w:val="auto"/>
        </w:rPr>
      </w:pPr>
      <w:r>
        <w:rPr>
          <w:rFonts w:ascii="Times New Roman" w:cs="Times New Roman" w:eastAsia="Times New Roman" w:hAnsi="Times New Roman"/>
          <w:sz w:val="24"/>
          <w:szCs w:val="24"/>
          <w:b w:val="1"/>
          <w:bCs w:val="1"/>
          <w:color w:val="auto"/>
        </w:rPr>
        <w:t>PROMOTERS</w:t>
      </w:r>
    </w:p>
    <w:p>
      <w:pPr>
        <w:spacing w:after="0" w:line="13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[__XYZ__]</w:t>
      </w:r>
    </w:p>
    <w:p>
      <w:pPr>
        <w:spacing w:after="0" w:line="200" w:lineRule="exact"/>
        <w:rPr>
          <w:sz w:val="20"/>
          <w:szCs w:val="20"/>
          <w:color w:val="auto"/>
        </w:rPr>
      </w:pPr>
    </w:p>
    <w:p>
      <w:pPr>
        <w:spacing w:after="0" w:line="35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FLOOR PRICE/ PRICE BAND</w:t>
      </w:r>
    </w:p>
    <w:p>
      <w:pPr>
        <w:spacing w:after="0" w:line="147" w:lineRule="exact"/>
        <w:rPr>
          <w:sz w:val="20"/>
          <w:szCs w:val="20"/>
          <w:color w:val="auto"/>
        </w:rPr>
      </w:pPr>
    </w:p>
    <w:p>
      <w:pPr>
        <w:jc w:val="center"/>
        <w:ind w:left="1200" w:right="100"/>
        <w:spacing w:after="0" w:line="348" w:lineRule="auto"/>
        <w:rPr>
          <w:sz w:val="20"/>
          <w:szCs w:val="20"/>
          <w:color w:val="auto"/>
        </w:rPr>
      </w:pPr>
      <w:r>
        <w:rPr>
          <w:rFonts w:ascii="Times New Roman" w:cs="Times New Roman" w:eastAsia="Times New Roman" w:hAnsi="Times New Roman"/>
          <w:sz w:val="24"/>
          <w:szCs w:val="24"/>
          <w:color w:val="auto"/>
        </w:rPr>
        <w:t>(Floor price or price band or as the case may be in case of book built issue) for cash aggregating `_________ (appropriate  disclosure for book built issue), including face value</w:t>
      </w:r>
    </w:p>
    <w:p>
      <w:pPr>
        <w:spacing w:after="0" w:line="200" w:lineRule="exact"/>
        <w:rPr>
          <w:sz w:val="20"/>
          <w:szCs w:val="20"/>
          <w:color w:val="auto"/>
        </w:rPr>
      </w:pPr>
    </w:p>
    <w:p>
      <w:pPr>
        <w:spacing w:after="0" w:line="23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MINIMUM LOT SIZE</w:t>
      </w:r>
    </w:p>
    <w:p>
      <w:pPr>
        <w:spacing w:after="0" w:line="200" w:lineRule="exact"/>
        <w:rPr>
          <w:sz w:val="20"/>
          <w:szCs w:val="20"/>
          <w:color w:val="auto"/>
        </w:rPr>
      </w:pPr>
    </w:p>
    <w:p>
      <w:pPr>
        <w:spacing w:after="0" w:line="35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DISCOUNT (IF ANY)</w:t>
      </w:r>
    </w:p>
    <w:p>
      <w:pPr>
        <w:spacing w:after="0" w:line="200" w:lineRule="exact"/>
        <w:rPr>
          <w:sz w:val="20"/>
          <w:szCs w:val="20"/>
          <w:color w:val="auto"/>
        </w:rPr>
      </w:pPr>
    </w:p>
    <w:p>
      <w:pPr>
        <w:spacing w:after="0" w:line="35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RISK TO INVESTORS</w:t>
      </w:r>
    </w:p>
    <w:p>
      <w:pPr>
        <w:spacing w:after="0" w:line="13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(As specified by the Board) (In the same font size as the floor price/ price band)</w:t>
      </w:r>
    </w:p>
    <w:p>
      <w:pPr>
        <w:spacing w:after="0" w:line="200" w:lineRule="exact"/>
        <w:rPr>
          <w:sz w:val="20"/>
          <w:szCs w:val="20"/>
          <w:color w:val="auto"/>
        </w:rPr>
      </w:pPr>
    </w:p>
    <w:p>
      <w:pPr>
        <w:spacing w:after="0" w:line="35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THE ISSUE</w:t>
      </w:r>
    </w:p>
    <w:p>
      <w:pPr>
        <w:spacing w:after="0" w:line="13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Public issue of ___________ (nature of the specified securities) of ` ____ each at a price of</w:t>
      </w:r>
    </w:p>
    <w:p>
      <w:pPr>
        <w:spacing w:after="0" w:line="140"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`_____</w:t>
      </w:r>
    </w:p>
    <w:p>
      <w:pPr>
        <w:spacing w:after="0" w:line="200" w:lineRule="exact"/>
        <w:rPr>
          <w:sz w:val="20"/>
          <w:szCs w:val="20"/>
          <w:color w:val="auto"/>
        </w:rPr>
      </w:pPr>
    </w:p>
    <w:p>
      <w:pPr>
        <w:spacing w:after="0" w:line="364" w:lineRule="exact"/>
        <w:rPr>
          <w:sz w:val="20"/>
          <w:szCs w:val="20"/>
          <w:color w:val="auto"/>
        </w:rPr>
      </w:pPr>
    </w:p>
    <w:p>
      <w:pPr>
        <w:jc w:val="center"/>
        <w:spacing w:after="0" w:line="348" w:lineRule="auto"/>
        <w:rPr>
          <w:sz w:val="20"/>
          <w:szCs w:val="20"/>
          <w:color w:val="auto"/>
        </w:rPr>
      </w:pPr>
      <w:r>
        <w:rPr>
          <w:rFonts w:ascii="Times New Roman" w:cs="Times New Roman" w:eastAsia="Times New Roman" w:hAnsi="Times New Roman"/>
          <w:sz w:val="24"/>
          <w:szCs w:val="24"/>
          <w:i w:val="1"/>
          <w:iCs w:val="1"/>
          <w:color w:val="auto"/>
        </w:rPr>
        <w:t>(In the case of book building issues, disclosure about the details of allocation shall be given in the following manner, as percentage of offer size/ net offer:</w:t>
      </w:r>
    </w:p>
    <w:p>
      <w:pPr>
        <w:spacing w:after="0" w:line="15"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i w:val="1"/>
          <w:iCs w:val="1"/>
          <w:color w:val="auto"/>
        </w:rPr>
        <w:t>QIB Category: _____%</w:t>
      </w:r>
    </w:p>
    <w:p>
      <w:pPr>
        <w:spacing w:after="0" w:line="137" w:lineRule="exact"/>
        <w:rPr>
          <w:sz w:val="20"/>
          <w:szCs w:val="20"/>
          <w:color w:val="auto"/>
        </w:rPr>
      </w:pPr>
    </w:p>
    <w:p>
      <w:pPr>
        <w:ind w:left="3500"/>
        <w:spacing w:after="0"/>
        <w:rPr>
          <w:sz w:val="20"/>
          <w:szCs w:val="20"/>
          <w:color w:val="auto"/>
        </w:rPr>
      </w:pPr>
      <w:r>
        <w:rPr>
          <w:rFonts w:ascii="Times New Roman" w:cs="Times New Roman" w:eastAsia="Times New Roman" w:hAnsi="Times New Roman"/>
          <w:sz w:val="24"/>
          <w:szCs w:val="24"/>
          <w:i w:val="1"/>
          <w:iCs w:val="1"/>
          <w:color w:val="auto"/>
        </w:rPr>
        <w:t>Retail Category: _____%</w:t>
      </w:r>
    </w:p>
    <w:p>
      <w:pPr>
        <w:spacing w:after="0" w:line="139" w:lineRule="exact"/>
        <w:rPr>
          <w:sz w:val="20"/>
          <w:szCs w:val="20"/>
          <w:color w:val="auto"/>
        </w:rPr>
      </w:pPr>
    </w:p>
    <w:p>
      <w:pPr>
        <w:ind w:left="2580"/>
        <w:spacing w:after="0"/>
        <w:rPr>
          <w:sz w:val="20"/>
          <w:szCs w:val="20"/>
          <w:color w:val="auto"/>
        </w:rPr>
      </w:pPr>
      <w:r>
        <w:rPr>
          <w:rFonts w:ascii="Times New Roman" w:cs="Times New Roman" w:eastAsia="Times New Roman" w:hAnsi="Times New Roman"/>
          <w:sz w:val="24"/>
          <w:szCs w:val="24"/>
          <w:i w:val="1"/>
          <w:iCs w:val="1"/>
          <w:color w:val="auto"/>
        </w:rPr>
        <w:t>Non institutional investor category: _____%</w:t>
      </w:r>
    </w:p>
    <w:p>
      <w:pPr>
        <w:spacing w:after="0" w:line="137" w:lineRule="exact"/>
        <w:rPr>
          <w:sz w:val="20"/>
          <w:szCs w:val="20"/>
          <w:color w:val="auto"/>
        </w:rPr>
      </w:pPr>
    </w:p>
    <w:p>
      <w:pPr>
        <w:ind w:left="2220"/>
        <w:spacing w:after="0"/>
        <w:rPr>
          <w:sz w:val="20"/>
          <w:szCs w:val="20"/>
          <w:color w:val="auto"/>
        </w:rPr>
      </w:pPr>
      <w:r>
        <w:rPr>
          <w:rFonts w:ascii="Times New Roman" w:cs="Times New Roman" w:eastAsia="Times New Roman" w:hAnsi="Times New Roman"/>
          <w:sz w:val="24"/>
          <w:szCs w:val="24"/>
          <w:i w:val="1"/>
          <w:iCs w:val="1"/>
          <w:color w:val="auto"/>
        </w:rPr>
        <w:t>Reserved categories</w:t>
      </w:r>
      <w:r>
        <w:rPr>
          <w:rFonts w:ascii="Times New Roman" w:cs="Times New Roman" w:eastAsia="Times New Roman" w:hAnsi="Times New Roman"/>
          <w:sz w:val="24"/>
          <w:szCs w:val="24"/>
          <w:b w:val="1"/>
          <w:bCs w:val="1"/>
          <w:i w:val="1"/>
          <w:iCs w:val="1"/>
          <w:color w:val="auto"/>
        </w:rPr>
        <w:t>:</w:t>
      </w:r>
      <w:r>
        <w:rPr>
          <w:rFonts w:ascii="Times New Roman" w:cs="Times New Roman" w:eastAsia="Times New Roman" w:hAnsi="Times New Roman"/>
          <w:sz w:val="24"/>
          <w:szCs w:val="24"/>
          <w:i w:val="1"/>
          <w:iCs w:val="1"/>
          <w:color w:val="auto"/>
        </w:rPr>
        <w:t xml:space="preserve"> _____Equity Shares or ____%</w:t>
      </w:r>
    </w:p>
    <w:p>
      <w:pPr>
        <w:spacing w:after="0" w:line="200" w:lineRule="exact"/>
        <w:rPr>
          <w:sz w:val="20"/>
          <w:szCs w:val="20"/>
          <w:color w:val="auto"/>
        </w:rPr>
      </w:pPr>
    </w:p>
    <w:p>
      <w:pPr>
        <w:spacing w:after="0" w:line="35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PROMOTERS</w:t>
      </w:r>
    </w:p>
    <w:p>
      <w:pPr>
        <w:spacing w:after="0" w:line="13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[__XYZ__]</w:t>
      </w:r>
    </w:p>
    <w:p>
      <w:pPr>
        <w:spacing w:after="0" w:line="200" w:lineRule="exact"/>
        <w:rPr>
          <w:sz w:val="20"/>
          <w:szCs w:val="20"/>
          <w:color w:val="auto"/>
        </w:rPr>
      </w:pPr>
    </w:p>
    <w:p>
      <w:pPr>
        <w:spacing w:after="0" w:line="35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PROPOSED LISTING</w:t>
      </w:r>
    </w:p>
    <w:p>
      <w:pPr>
        <w:spacing w:after="0" w:line="13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Names of the stock exchanges (Cross reference to the disclaimer clause of the stock exchanges as</w:t>
      </w:r>
    </w:p>
    <w:p>
      <w:pPr>
        <w:spacing w:after="0" w:line="13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provided in their in-principle listing approval)</w:t>
      </w:r>
    </w:p>
    <w:p>
      <w:pPr>
        <w:spacing w:after="0" w:line="200" w:lineRule="exact"/>
        <w:rPr>
          <w:sz w:val="20"/>
          <w:szCs w:val="20"/>
          <w:color w:val="auto"/>
        </w:rPr>
      </w:pPr>
    </w:p>
    <w:p>
      <w:pPr>
        <w:spacing w:after="0" w:line="35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DISCLAIMER CLAUSE OF SECURITIES AND EXCHANGE BOARD OF INDIA</w:t>
      </w:r>
    </w:p>
    <w:p>
      <w:pPr>
        <w:spacing w:after="0" w:line="144" w:lineRule="exact"/>
        <w:rPr>
          <w:sz w:val="20"/>
          <w:szCs w:val="20"/>
          <w:color w:val="auto"/>
        </w:rPr>
      </w:pPr>
    </w:p>
    <w:p>
      <w:pPr>
        <w:spacing w:after="0" w:line="350" w:lineRule="auto"/>
        <w:rPr>
          <w:sz w:val="20"/>
          <w:szCs w:val="20"/>
          <w:color w:val="auto"/>
        </w:rPr>
      </w:pPr>
      <w:r>
        <w:rPr>
          <w:rFonts w:ascii="Times New Roman" w:cs="Times New Roman" w:eastAsia="Times New Roman" w:hAnsi="Times New Roman"/>
          <w:sz w:val="24"/>
          <w:szCs w:val="24"/>
          <w:color w:val="auto"/>
        </w:rPr>
        <w:t>“SEBI only gives its observations on the draft offer document and this does not constitute approval of either the issue or the specified securities stated in the offer document.”</w:t>
      </w:r>
    </w:p>
    <w:p>
      <w:pPr>
        <w:spacing w:after="0" w:line="26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379</w:t>
      </w:r>
    </w:p>
    <w:p>
      <w:pPr>
        <w:sectPr>
          <w:pgSz w:w="11900" w:h="16836" w:orient="portrait"/>
          <w:cols w:equalWidth="0" w:num="1">
            <w:col w:w="9460"/>
          </w:cols>
          <w:pgMar w:left="1160" w:top="1149" w:right="1284" w:bottom="103" w:gutter="0" w:footer="0" w:header="0"/>
        </w:sectPr>
      </w:pPr>
    </w:p>
    <w:bookmarkStart w:id="379" w:name="page380"/>
    <w:bookmarkEnd w:id="379"/>
    <w:p>
      <w:pPr>
        <w:spacing w:after="0" w:line="122" w:lineRule="exact"/>
        <w:rPr>
          <w:sz w:val="20"/>
          <w:szCs w:val="20"/>
          <w:color w:val="auto"/>
        </w:rPr>
      </w:pPr>
    </w:p>
    <w:p>
      <w:pPr>
        <w:jc w:val="center"/>
        <w:ind w:right="-59"/>
        <w:spacing w:after="0"/>
        <w:rPr>
          <w:sz w:val="20"/>
          <w:szCs w:val="20"/>
          <w:color w:val="auto"/>
        </w:rPr>
      </w:pPr>
      <w:r>
        <w:rPr>
          <w:rFonts w:ascii="Times New Roman" w:cs="Times New Roman" w:eastAsia="Times New Roman" w:hAnsi="Times New Roman"/>
          <w:sz w:val="24"/>
          <w:szCs w:val="24"/>
          <w:b w:val="1"/>
          <w:bCs w:val="1"/>
          <w:color w:val="auto"/>
        </w:rPr>
        <w:t>LEAD MANAGER(S)</w:t>
      </w:r>
    </w:p>
    <w:p>
      <w:pPr>
        <w:spacing w:after="0" w:line="13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Name, address, telephone numbers, e-mail ID, website address and contact person</w:t>
      </w:r>
    </w:p>
    <w:p>
      <w:pPr>
        <w:spacing w:after="0" w:line="200" w:lineRule="exact"/>
        <w:rPr>
          <w:sz w:val="20"/>
          <w:szCs w:val="20"/>
          <w:color w:val="auto"/>
        </w:rPr>
      </w:pPr>
    </w:p>
    <w:p>
      <w:pPr>
        <w:spacing w:after="0" w:line="35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COMPLIANCE OFFICER OF THE ISSUER</w:t>
      </w:r>
    </w:p>
    <w:p>
      <w:pPr>
        <w:spacing w:after="0" w:line="13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Name, address, telephone numbers, e-mail ID, website address</w:t>
      </w:r>
    </w:p>
    <w:p>
      <w:pPr>
        <w:spacing w:after="0" w:line="200" w:lineRule="exact"/>
        <w:rPr>
          <w:sz w:val="20"/>
          <w:szCs w:val="20"/>
          <w:color w:val="auto"/>
        </w:rPr>
      </w:pPr>
    </w:p>
    <w:p>
      <w:pPr>
        <w:spacing w:after="0" w:line="35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 xml:space="preserve">CREDIT RATING </w:t>
      </w:r>
      <w:r>
        <w:rPr>
          <w:rFonts w:ascii="Times New Roman" w:cs="Times New Roman" w:eastAsia="Times New Roman" w:hAnsi="Times New Roman"/>
          <w:sz w:val="24"/>
          <w:szCs w:val="24"/>
          <w:color w:val="auto"/>
        </w:rPr>
        <w:t>(if applicable)</w:t>
      </w:r>
    </w:p>
    <w:p>
      <w:pPr>
        <w:spacing w:after="0" w:line="200" w:lineRule="exact"/>
        <w:rPr>
          <w:sz w:val="20"/>
          <w:szCs w:val="20"/>
          <w:color w:val="auto"/>
        </w:rPr>
      </w:pPr>
    </w:p>
    <w:p>
      <w:pPr>
        <w:spacing w:after="0" w:line="35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 xml:space="preserve">DEBENTURE TRUSTEES </w:t>
      </w:r>
      <w:r>
        <w:rPr>
          <w:rFonts w:ascii="Times New Roman" w:cs="Times New Roman" w:eastAsia="Times New Roman" w:hAnsi="Times New Roman"/>
          <w:sz w:val="24"/>
          <w:szCs w:val="24"/>
          <w:color w:val="auto"/>
        </w:rPr>
        <w:t>(if applicable)</w:t>
      </w:r>
    </w:p>
    <w:p>
      <w:pPr>
        <w:spacing w:after="0" w:line="200" w:lineRule="exact"/>
        <w:rPr>
          <w:sz w:val="20"/>
          <w:szCs w:val="20"/>
          <w:color w:val="auto"/>
        </w:rPr>
      </w:pPr>
    </w:p>
    <w:p>
      <w:pPr>
        <w:spacing w:after="0" w:line="35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 xml:space="preserve">IPO GRADING </w:t>
      </w:r>
      <w:r>
        <w:rPr>
          <w:rFonts w:ascii="Times New Roman" w:cs="Times New Roman" w:eastAsia="Times New Roman" w:hAnsi="Times New Roman"/>
          <w:sz w:val="24"/>
          <w:szCs w:val="24"/>
          <w:color w:val="auto"/>
        </w:rPr>
        <w:t>(if obtained)</w:t>
      </w:r>
    </w:p>
    <w:p>
      <w:pPr>
        <w:spacing w:after="0" w:line="200" w:lineRule="exact"/>
        <w:rPr>
          <w:sz w:val="20"/>
          <w:szCs w:val="20"/>
          <w:color w:val="auto"/>
        </w:rPr>
      </w:pPr>
    </w:p>
    <w:p>
      <w:pPr>
        <w:spacing w:after="0" w:line="35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AVAILABILITY OF APPLICATION FORMS</w:t>
      </w:r>
    </w:p>
    <w:p>
      <w:pPr>
        <w:spacing w:after="0" w:line="147" w:lineRule="exact"/>
        <w:rPr>
          <w:sz w:val="20"/>
          <w:szCs w:val="20"/>
          <w:color w:val="auto"/>
        </w:rPr>
      </w:pPr>
    </w:p>
    <w:p>
      <w:pPr>
        <w:jc w:val="center"/>
        <w:spacing w:after="0" w:line="354" w:lineRule="auto"/>
        <w:rPr>
          <w:sz w:val="20"/>
          <w:szCs w:val="20"/>
          <w:color w:val="auto"/>
        </w:rPr>
      </w:pPr>
      <w:r>
        <w:rPr>
          <w:rFonts w:ascii="Times New Roman" w:cs="Times New Roman" w:eastAsia="Times New Roman" w:hAnsi="Times New Roman"/>
          <w:sz w:val="24"/>
          <w:szCs w:val="24"/>
          <w:color w:val="auto"/>
        </w:rPr>
        <w:t>Names of the issuer, lead manager(s), bankers to the issue, self certified syndicate banks, stock brokers, registrar to the issue and share transfer agents and depository participants (addresses optional)</w:t>
      </w:r>
    </w:p>
    <w:p>
      <w:pPr>
        <w:spacing w:after="0" w:line="200" w:lineRule="exact"/>
        <w:rPr>
          <w:sz w:val="20"/>
          <w:szCs w:val="20"/>
          <w:color w:val="auto"/>
        </w:rPr>
      </w:pPr>
    </w:p>
    <w:p>
      <w:pPr>
        <w:spacing w:after="0" w:line="22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AVAILABILITY OF PROSPECTUS</w:t>
      </w:r>
    </w:p>
    <w:p>
      <w:pPr>
        <w:spacing w:after="0" w:line="144" w:lineRule="exact"/>
        <w:rPr>
          <w:sz w:val="20"/>
          <w:szCs w:val="20"/>
          <w:color w:val="auto"/>
        </w:rPr>
      </w:pPr>
    </w:p>
    <w:p>
      <w:pPr>
        <w:jc w:val="both"/>
        <w:spacing w:after="0" w:line="35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Investors are advised to refer to the prospectus and the risk factors contained therein before applying in the issue. Full copy of the prospectus is available at </w:t>
      </w:r>
      <w:hyperlink r:id="rId28">
        <w:r>
          <w:rPr>
            <w:rFonts w:ascii="Times New Roman" w:cs="Times New Roman" w:eastAsia="Times New Roman" w:hAnsi="Times New Roman"/>
            <w:sz w:val="24"/>
            <w:szCs w:val="24"/>
            <w:u w:val="single" w:color="auto"/>
            <w:color w:val="auto"/>
          </w:rPr>
          <w:t xml:space="preserve">www.sebi.gov.in </w:t>
        </w:r>
      </w:hyperlink>
      <w:r>
        <w:rPr>
          <w:rFonts w:ascii="Times New Roman" w:cs="Times New Roman" w:eastAsia="Times New Roman" w:hAnsi="Times New Roman"/>
          <w:sz w:val="24"/>
          <w:szCs w:val="24"/>
          <w:color w:val="auto"/>
        </w:rPr>
        <w:t>and websites of issuer / lead manager(s) / Stock Exchange/s at www……</w:t>
      </w:r>
    </w:p>
    <w:p>
      <w:pPr>
        <w:spacing w:after="0" w:line="200" w:lineRule="exact"/>
        <w:rPr>
          <w:sz w:val="20"/>
          <w:szCs w:val="20"/>
          <w:color w:val="auto"/>
        </w:rPr>
      </w:pPr>
    </w:p>
    <w:p>
      <w:pPr>
        <w:spacing w:after="0" w:line="22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ISSUE / BID OPENS TODAY:</w:t>
      </w:r>
    </w:p>
    <w:p>
      <w:pPr>
        <w:spacing w:after="0" w:line="13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ISSUE/BID CLOSES ON:</w:t>
      </w:r>
    </w:p>
    <w:p>
      <w:pPr>
        <w:spacing w:after="0" w:line="200" w:lineRule="exact"/>
        <w:rPr>
          <w:sz w:val="20"/>
          <w:szCs w:val="20"/>
          <w:color w:val="auto"/>
        </w:rPr>
      </w:pPr>
    </w:p>
    <w:p>
      <w:pPr>
        <w:spacing w:after="0" w:line="352"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4"/>
          <w:szCs w:val="24"/>
          <w:b w:val="1"/>
          <w:bCs w:val="1"/>
          <w:color w:val="auto"/>
        </w:rPr>
        <w:t>Investor should read the offer document carefully, including the Risk Factors on page _____</w:t>
      </w:r>
    </w:p>
    <w:p>
      <w:pPr>
        <w:spacing w:after="0" w:line="13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of the offer document before making any investment decision.</w:t>
      </w:r>
    </w:p>
    <w:p>
      <w:pPr>
        <w:spacing w:after="0" w:line="200" w:lineRule="exact"/>
        <w:rPr>
          <w:sz w:val="20"/>
          <w:szCs w:val="20"/>
          <w:color w:val="auto"/>
        </w:rPr>
      </w:pPr>
    </w:p>
    <w:p>
      <w:pPr>
        <w:spacing w:after="0" w:line="352"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4"/>
          <w:szCs w:val="24"/>
          <w:b w:val="1"/>
          <w:bCs w:val="1"/>
          <w:color w:val="auto"/>
        </w:rPr>
        <w:t>Issued by</w:t>
      </w:r>
    </w:p>
    <w:p>
      <w:pPr>
        <w:spacing w:after="0" w:line="13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Authorized personnel of the issuer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380</w:t>
      </w:r>
    </w:p>
    <w:p>
      <w:pPr>
        <w:sectPr>
          <w:pgSz w:w="11900" w:h="16836" w:orient="portrait"/>
          <w:cols w:equalWidth="0" w:num="1">
            <w:col w:w="9460"/>
          </w:cols>
          <w:pgMar w:left="1160" w:top="1440" w:right="1284" w:bottom="103" w:gutter="0" w:footer="0" w:header="0"/>
        </w:sectPr>
      </w:pPr>
    </w:p>
    <w:bookmarkStart w:id="380" w:name="page381"/>
    <w:bookmarkEnd w:id="380"/>
    <w:p>
      <w:pPr>
        <w:jc w:val="center"/>
        <w:spacing w:after="0"/>
        <w:rPr>
          <w:sz w:val="20"/>
          <w:szCs w:val="20"/>
          <w:color w:val="auto"/>
        </w:rPr>
      </w:pPr>
      <w:r>
        <w:rPr>
          <w:rFonts w:ascii="Times New Roman" w:cs="Times New Roman" w:eastAsia="Times New Roman" w:hAnsi="Times New Roman"/>
          <w:sz w:val="24"/>
          <w:szCs w:val="24"/>
          <w:b w:val="1"/>
          <w:bCs w:val="1"/>
          <w:color w:val="auto"/>
        </w:rPr>
        <w:t>Part C - Format of issue closing advertisement for a public issue</w:t>
      </w:r>
    </w:p>
    <w:p>
      <w:pPr>
        <w:spacing w:after="0" w:line="13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[See regulation 43(3), 200(1) and 264(3)]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i w:val="1"/>
          <w:iCs w:val="1"/>
          <w:color w:val="auto"/>
        </w:rPr>
        <w:t>This is only an advertisement for information purposes and is not a prospectus announcement.</w:t>
      </w:r>
    </w:p>
    <w:p>
      <w:pPr>
        <w:spacing w:after="0" w:line="200" w:lineRule="exact"/>
        <w:rPr>
          <w:sz w:val="20"/>
          <w:szCs w:val="20"/>
          <w:color w:val="auto"/>
        </w:rPr>
      </w:pPr>
    </w:p>
    <w:p>
      <w:pPr>
        <w:spacing w:after="0" w:line="35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 xml:space="preserve">ABC LTD.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name of the issuer</w:t>
      </w:r>
      <w:r>
        <w:rPr>
          <w:rFonts w:ascii="Times New Roman" w:cs="Times New Roman" w:eastAsia="Times New Roman" w:hAnsi="Times New Roman"/>
          <w:sz w:val="24"/>
          <w:szCs w:val="24"/>
          <w:color w:val="auto"/>
        </w:rPr>
        <w:t>)</w:t>
      </w:r>
    </w:p>
    <w:p>
      <w:pPr>
        <w:spacing w:after="0" w:line="137"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24"/>
          <w:szCs w:val="24"/>
          <w:color w:val="auto"/>
        </w:rPr>
        <w:t>(Incorporated on ____________________ under the __________ Act as</w:t>
      </w:r>
    </w:p>
    <w:p>
      <w:pPr>
        <w:spacing w:after="0" w:line="140" w:lineRule="exact"/>
        <w:rPr>
          <w:sz w:val="20"/>
          <w:szCs w:val="20"/>
          <w:color w:val="auto"/>
        </w:rPr>
      </w:pPr>
    </w:p>
    <w:p>
      <w:pPr>
        <w:ind w:left="160"/>
        <w:spacing w:after="0"/>
        <w:rPr>
          <w:sz w:val="20"/>
          <w:szCs w:val="20"/>
          <w:color w:val="auto"/>
        </w:rPr>
      </w:pPr>
      <w:r>
        <w:rPr>
          <w:rFonts w:ascii="Times New Roman" w:cs="Times New Roman" w:eastAsia="Times New Roman" w:hAnsi="Times New Roman"/>
          <w:sz w:val="24"/>
          <w:szCs w:val="24"/>
          <w:color w:val="auto"/>
        </w:rPr>
        <w:t>_____________________ and subsequently renamed as _____________(applicable only when</w:t>
      </w:r>
    </w:p>
    <w:p>
      <w:pPr>
        <w:spacing w:after="0" w:line="13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the name of issuer has changed in the last three years except if there is a change in status from</w:t>
      </w:r>
    </w:p>
    <w:p>
      <w:pPr>
        <w:spacing w:after="0" w:line="139"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4"/>
          <w:szCs w:val="24"/>
          <w:color w:val="auto"/>
        </w:rPr>
        <w:t>private limited company to limited company) __________ on ________________)</w:t>
      </w:r>
    </w:p>
    <w:p>
      <w:pPr>
        <w:spacing w:after="0" w:line="137"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4"/>
          <w:szCs w:val="24"/>
          <w:color w:val="auto"/>
        </w:rPr>
        <w:t>Registered Office: ________________________________________________________</w:t>
      </w:r>
    </w:p>
    <w:p>
      <w:pPr>
        <w:spacing w:after="0" w:line="139" w:lineRule="exact"/>
        <w:rPr>
          <w:sz w:val="20"/>
          <w:szCs w:val="20"/>
          <w:color w:val="auto"/>
        </w:rPr>
      </w:pPr>
    </w:p>
    <w:p>
      <w:pPr>
        <w:ind w:left="3600"/>
        <w:spacing w:after="0"/>
        <w:rPr>
          <w:sz w:val="20"/>
          <w:szCs w:val="20"/>
          <w:color w:val="auto"/>
        </w:rPr>
      </w:pPr>
      <w:r>
        <w:rPr>
          <w:rFonts w:ascii="Times New Roman" w:cs="Times New Roman" w:eastAsia="Times New Roman" w:hAnsi="Times New Roman"/>
          <w:sz w:val="24"/>
          <w:szCs w:val="24"/>
          <w:color w:val="auto"/>
        </w:rPr>
        <w:t>Tel: _______________</w:t>
      </w:r>
    </w:p>
    <w:p>
      <w:pPr>
        <w:spacing w:after="0" w:line="137" w:lineRule="exact"/>
        <w:rPr>
          <w:sz w:val="20"/>
          <w:szCs w:val="20"/>
          <w:color w:val="auto"/>
        </w:rPr>
      </w:pPr>
    </w:p>
    <w:p>
      <w:pPr>
        <w:ind w:left="480"/>
        <w:spacing w:after="0"/>
        <w:rPr>
          <w:sz w:val="20"/>
          <w:szCs w:val="20"/>
          <w:color w:val="auto"/>
        </w:rPr>
      </w:pPr>
      <w:r>
        <w:rPr>
          <w:rFonts w:ascii="Times New Roman" w:cs="Times New Roman" w:eastAsia="Times New Roman" w:hAnsi="Times New Roman"/>
          <w:sz w:val="24"/>
          <w:szCs w:val="24"/>
          <w:color w:val="auto"/>
        </w:rPr>
        <w:t>Corporate Office: ________________________________________________________</w:t>
      </w:r>
    </w:p>
    <w:p>
      <w:pPr>
        <w:spacing w:after="0" w:line="139" w:lineRule="exact"/>
        <w:rPr>
          <w:sz w:val="20"/>
          <w:szCs w:val="20"/>
          <w:color w:val="auto"/>
        </w:rPr>
      </w:pPr>
    </w:p>
    <w:p>
      <w:pPr>
        <w:ind w:left="1700"/>
        <w:spacing w:after="0"/>
        <w:rPr>
          <w:sz w:val="20"/>
          <w:szCs w:val="20"/>
          <w:color w:val="auto"/>
        </w:rPr>
      </w:pPr>
      <w:r>
        <w:rPr>
          <w:rFonts w:ascii="Times New Roman" w:cs="Times New Roman" w:eastAsia="Times New Roman" w:hAnsi="Times New Roman"/>
          <w:sz w:val="24"/>
          <w:szCs w:val="24"/>
          <w:color w:val="auto"/>
        </w:rPr>
        <w:t>Tel: _________ e-mail: ______ Website::______ CIN: ______</w:t>
      </w:r>
    </w:p>
    <w:p>
      <w:pPr>
        <w:spacing w:after="0" w:line="200" w:lineRule="exact"/>
        <w:rPr>
          <w:sz w:val="20"/>
          <w:szCs w:val="20"/>
          <w:color w:val="auto"/>
        </w:rPr>
      </w:pPr>
    </w:p>
    <w:p>
      <w:pPr>
        <w:spacing w:after="0" w:line="35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PROMOTERS</w:t>
      </w:r>
    </w:p>
    <w:p>
      <w:pPr>
        <w:spacing w:after="0" w:line="13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[__XYZ__]</w:t>
      </w:r>
    </w:p>
    <w:p>
      <w:pPr>
        <w:spacing w:after="0" w:line="200" w:lineRule="exact"/>
        <w:rPr>
          <w:sz w:val="20"/>
          <w:szCs w:val="20"/>
          <w:color w:val="auto"/>
        </w:rPr>
      </w:pPr>
    </w:p>
    <w:p>
      <w:pPr>
        <w:spacing w:after="0" w:line="35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FLOOR PRICE/ PRICE BAND</w:t>
      </w:r>
    </w:p>
    <w:p>
      <w:pPr>
        <w:spacing w:after="0" w:line="147" w:lineRule="exact"/>
        <w:rPr>
          <w:sz w:val="20"/>
          <w:szCs w:val="20"/>
          <w:color w:val="auto"/>
        </w:rPr>
      </w:pPr>
    </w:p>
    <w:p>
      <w:pPr>
        <w:jc w:val="center"/>
        <w:ind w:left="1220" w:right="80"/>
        <w:spacing w:after="0" w:line="348" w:lineRule="auto"/>
        <w:rPr>
          <w:sz w:val="20"/>
          <w:szCs w:val="20"/>
          <w:color w:val="auto"/>
        </w:rPr>
      </w:pPr>
      <w:r>
        <w:rPr>
          <w:rFonts w:ascii="Times New Roman" w:cs="Times New Roman" w:eastAsia="Times New Roman" w:hAnsi="Times New Roman"/>
          <w:sz w:val="24"/>
          <w:szCs w:val="24"/>
          <w:color w:val="auto"/>
        </w:rPr>
        <w:t>(Floor price or price band or as the case may be in case of book built issue) for cash aggregating `_________ (appropriate  disclosure for book built issue), including Face Value</w:t>
      </w:r>
    </w:p>
    <w:p>
      <w:pPr>
        <w:spacing w:after="0" w:line="200" w:lineRule="exact"/>
        <w:rPr>
          <w:sz w:val="20"/>
          <w:szCs w:val="20"/>
          <w:color w:val="auto"/>
        </w:rPr>
      </w:pPr>
    </w:p>
    <w:p>
      <w:pPr>
        <w:spacing w:after="0" w:line="23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MINIMUM LOT SIZE</w:t>
      </w:r>
    </w:p>
    <w:p>
      <w:pPr>
        <w:spacing w:after="0" w:line="200" w:lineRule="exact"/>
        <w:rPr>
          <w:sz w:val="20"/>
          <w:szCs w:val="20"/>
          <w:color w:val="auto"/>
        </w:rPr>
      </w:pPr>
    </w:p>
    <w:p>
      <w:pPr>
        <w:spacing w:after="0" w:line="35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DISCOUNT (IF ANY)</w:t>
      </w:r>
    </w:p>
    <w:p>
      <w:pPr>
        <w:spacing w:after="0" w:line="200" w:lineRule="exact"/>
        <w:rPr>
          <w:sz w:val="20"/>
          <w:szCs w:val="20"/>
          <w:color w:val="auto"/>
        </w:rPr>
      </w:pPr>
    </w:p>
    <w:p>
      <w:pPr>
        <w:spacing w:after="0" w:line="35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RISK TO INVESTORS</w:t>
      </w:r>
    </w:p>
    <w:p>
      <w:pPr>
        <w:spacing w:after="0" w:line="13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(As specified by the Board) (In the same font size as the floor price/ price band)</w:t>
      </w:r>
    </w:p>
    <w:p>
      <w:pPr>
        <w:spacing w:after="0" w:line="200" w:lineRule="exact"/>
        <w:rPr>
          <w:sz w:val="20"/>
          <w:szCs w:val="20"/>
          <w:color w:val="auto"/>
        </w:rPr>
      </w:pPr>
    </w:p>
    <w:p>
      <w:pPr>
        <w:spacing w:after="0" w:line="35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THE ISSUE</w:t>
      </w:r>
    </w:p>
    <w:p>
      <w:pPr>
        <w:spacing w:after="0" w:line="13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Public issue of ___________ (nature of the specified securities) of ` ____ each at a price of</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`_____</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381</w:t>
      </w:r>
    </w:p>
    <w:p>
      <w:pPr>
        <w:sectPr>
          <w:pgSz w:w="11900" w:h="16836" w:orient="portrait"/>
          <w:cols w:equalWidth="0" w:num="1">
            <w:col w:w="9460"/>
          </w:cols>
          <w:pgMar w:left="1160" w:top="1149" w:right="1284" w:bottom="103" w:gutter="0" w:footer="0" w:header="0"/>
        </w:sectPr>
      </w:pPr>
    </w:p>
    <w:bookmarkStart w:id="381" w:name="page382"/>
    <w:bookmarkEnd w:id="381"/>
    <w:p>
      <w:pPr>
        <w:jc w:val="center"/>
        <w:spacing w:after="0" w:line="348" w:lineRule="auto"/>
        <w:rPr>
          <w:sz w:val="20"/>
          <w:szCs w:val="20"/>
          <w:color w:val="auto"/>
        </w:rPr>
      </w:pPr>
      <w:r>
        <w:rPr>
          <w:rFonts w:ascii="Times New Roman" w:cs="Times New Roman" w:eastAsia="Times New Roman" w:hAnsi="Times New Roman"/>
          <w:sz w:val="24"/>
          <w:szCs w:val="24"/>
          <w:i w:val="1"/>
          <w:iCs w:val="1"/>
          <w:color w:val="auto"/>
        </w:rPr>
        <w:t>(In the case of book building issues, disclosure about the details of allocation shall be given in the following manner, as percentage of offer size/ net offer:</w:t>
      </w:r>
    </w:p>
    <w:p>
      <w:pPr>
        <w:spacing w:after="0" w:line="16"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i w:val="1"/>
          <w:iCs w:val="1"/>
          <w:color w:val="auto"/>
        </w:rPr>
        <w:t>QIB Category: _____%</w:t>
      </w:r>
    </w:p>
    <w:p>
      <w:pPr>
        <w:spacing w:after="0" w:line="137" w:lineRule="exact"/>
        <w:rPr>
          <w:sz w:val="20"/>
          <w:szCs w:val="20"/>
          <w:color w:val="auto"/>
        </w:rPr>
      </w:pPr>
    </w:p>
    <w:p>
      <w:pPr>
        <w:ind w:left="3500"/>
        <w:spacing w:after="0"/>
        <w:rPr>
          <w:sz w:val="20"/>
          <w:szCs w:val="20"/>
          <w:color w:val="auto"/>
        </w:rPr>
      </w:pPr>
      <w:r>
        <w:rPr>
          <w:rFonts w:ascii="Times New Roman" w:cs="Times New Roman" w:eastAsia="Times New Roman" w:hAnsi="Times New Roman"/>
          <w:sz w:val="24"/>
          <w:szCs w:val="24"/>
          <w:i w:val="1"/>
          <w:iCs w:val="1"/>
          <w:color w:val="auto"/>
        </w:rPr>
        <w:t>Retail Category: _____%</w:t>
      </w:r>
    </w:p>
    <w:p>
      <w:pPr>
        <w:spacing w:after="0" w:line="139" w:lineRule="exact"/>
        <w:rPr>
          <w:sz w:val="20"/>
          <w:szCs w:val="20"/>
          <w:color w:val="auto"/>
        </w:rPr>
      </w:pPr>
    </w:p>
    <w:p>
      <w:pPr>
        <w:ind w:left="2580"/>
        <w:spacing w:after="0"/>
        <w:rPr>
          <w:sz w:val="20"/>
          <w:szCs w:val="20"/>
          <w:color w:val="auto"/>
        </w:rPr>
      </w:pPr>
      <w:r>
        <w:rPr>
          <w:rFonts w:ascii="Times New Roman" w:cs="Times New Roman" w:eastAsia="Times New Roman" w:hAnsi="Times New Roman"/>
          <w:sz w:val="24"/>
          <w:szCs w:val="24"/>
          <w:i w:val="1"/>
          <w:iCs w:val="1"/>
          <w:color w:val="auto"/>
        </w:rPr>
        <w:t>Non institutional investor category: _____%</w:t>
      </w:r>
    </w:p>
    <w:p>
      <w:pPr>
        <w:spacing w:after="0" w:line="137" w:lineRule="exact"/>
        <w:rPr>
          <w:sz w:val="20"/>
          <w:szCs w:val="20"/>
          <w:color w:val="auto"/>
        </w:rPr>
      </w:pPr>
    </w:p>
    <w:p>
      <w:pPr>
        <w:ind w:left="2220"/>
        <w:spacing w:after="0"/>
        <w:rPr>
          <w:sz w:val="20"/>
          <w:szCs w:val="20"/>
          <w:color w:val="auto"/>
        </w:rPr>
      </w:pPr>
      <w:r>
        <w:rPr>
          <w:rFonts w:ascii="Times New Roman" w:cs="Times New Roman" w:eastAsia="Times New Roman" w:hAnsi="Times New Roman"/>
          <w:sz w:val="24"/>
          <w:szCs w:val="24"/>
          <w:i w:val="1"/>
          <w:iCs w:val="1"/>
          <w:color w:val="auto"/>
        </w:rPr>
        <w:t>Reserved categories</w:t>
      </w:r>
      <w:r>
        <w:rPr>
          <w:rFonts w:ascii="Times New Roman" w:cs="Times New Roman" w:eastAsia="Times New Roman" w:hAnsi="Times New Roman"/>
          <w:sz w:val="24"/>
          <w:szCs w:val="24"/>
          <w:b w:val="1"/>
          <w:bCs w:val="1"/>
          <w:i w:val="1"/>
          <w:iCs w:val="1"/>
          <w:color w:val="auto"/>
        </w:rPr>
        <w:t>:</w:t>
      </w:r>
      <w:r>
        <w:rPr>
          <w:rFonts w:ascii="Times New Roman" w:cs="Times New Roman" w:eastAsia="Times New Roman" w:hAnsi="Times New Roman"/>
          <w:sz w:val="24"/>
          <w:szCs w:val="24"/>
          <w:i w:val="1"/>
          <w:iCs w:val="1"/>
          <w:color w:val="auto"/>
        </w:rPr>
        <w:t xml:space="preserve"> _____Equity Shares or ____%</w:t>
      </w:r>
    </w:p>
    <w:p>
      <w:pPr>
        <w:spacing w:after="0" w:line="200" w:lineRule="exact"/>
        <w:rPr>
          <w:sz w:val="20"/>
          <w:szCs w:val="20"/>
          <w:color w:val="auto"/>
        </w:rPr>
      </w:pPr>
    </w:p>
    <w:p>
      <w:pPr>
        <w:spacing w:after="0" w:line="35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PROMOTERS</w:t>
      </w:r>
    </w:p>
    <w:p>
      <w:pPr>
        <w:spacing w:after="0" w:line="13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[__XYZ__]</w:t>
      </w:r>
    </w:p>
    <w:p>
      <w:pPr>
        <w:spacing w:after="0" w:line="200" w:lineRule="exact"/>
        <w:rPr>
          <w:sz w:val="20"/>
          <w:szCs w:val="20"/>
          <w:color w:val="auto"/>
        </w:rPr>
      </w:pPr>
    </w:p>
    <w:p>
      <w:pPr>
        <w:spacing w:after="0" w:line="35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PROPOSED LISTING</w:t>
      </w:r>
    </w:p>
    <w:p>
      <w:pPr>
        <w:spacing w:after="0" w:line="13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Names of the stock exchanges (Cross reference to the disclaimer clause of the stock exchanges as</w:t>
      </w:r>
    </w:p>
    <w:p>
      <w:pPr>
        <w:spacing w:after="0" w:line="13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provided in their in-principle listing approval)</w:t>
      </w:r>
    </w:p>
    <w:p>
      <w:pPr>
        <w:spacing w:after="0" w:line="200" w:lineRule="exact"/>
        <w:rPr>
          <w:sz w:val="20"/>
          <w:szCs w:val="20"/>
          <w:color w:val="auto"/>
        </w:rPr>
      </w:pPr>
    </w:p>
    <w:p>
      <w:pPr>
        <w:spacing w:after="0" w:line="35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DISCLAIMER CLAUSE OF SECURITIES AND EXCHANGE BOARD OF INDIA</w:t>
      </w:r>
    </w:p>
    <w:p>
      <w:pPr>
        <w:spacing w:after="0" w:line="144" w:lineRule="exact"/>
        <w:rPr>
          <w:sz w:val="20"/>
          <w:szCs w:val="20"/>
          <w:color w:val="auto"/>
        </w:rPr>
      </w:pPr>
    </w:p>
    <w:p>
      <w:pPr>
        <w:spacing w:after="0" w:line="350" w:lineRule="auto"/>
        <w:rPr>
          <w:sz w:val="20"/>
          <w:szCs w:val="20"/>
          <w:color w:val="auto"/>
        </w:rPr>
      </w:pPr>
      <w:r>
        <w:rPr>
          <w:rFonts w:ascii="Times New Roman" w:cs="Times New Roman" w:eastAsia="Times New Roman" w:hAnsi="Times New Roman"/>
          <w:sz w:val="24"/>
          <w:szCs w:val="24"/>
          <w:color w:val="auto"/>
        </w:rPr>
        <w:t>“SEBI only gives its observations on the draft offer document and this does not constitute approval of either the issue or the specified securities stated in the offer document.”</w:t>
      </w:r>
    </w:p>
    <w:p>
      <w:pPr>
        <w:spacing w:after="0" w:line="200" w:lineRule="exact"/>
        <w:rPr>
          <w:sz w:val="20"/>
          <w:szCs w:val="20"/>
          <w:color w:val="auto"/>
        </w:rPr>
      </w:pPr>
    </w:p>
    <w:p>
      <w:pPr>
        <w:spacing w:after="0" w:line="231" w:lineRule="exact"/>
        <w:rPr>
          <w:sz w:val="20"/>
          <w:szCs w:val="20"/>
          <w:color w:val="auto"/>
        </w:rPr>
      </w:pPr>
    </w:p>
    <w:p>
      <w:pPr>
        <w:jc w:val="center"/>
        <w:ind w:right="-59"/>
        <w:spacing w:after="0"/>
        <w:rPr>
          <w:sz w:val="20"/>
          <w:szCs w:val="20"/>
          <w:color w:val="auto"/>
        </w:rPr>
      </w:pPr>
      <w:r>
        <w:rPr>
          <w:rFonts w:ascii="Times New Roman" w:cs="Times New Roman" w:eastAsia="Times New Roman" w:hAnsi="Times New Roman"/>
          <w:sz w:val="24"/>
          <w:szCs w:val="24"/>
          <w:b w:val="1"/>
          <w:bCs w:val="1"/>
          <w:color w:val="auto"/>
        </w:rPr>
        <w:t>LEAD MANAGER(S)</w:t>
      </w:r>
    </w:p>
    <w:p>
      <w:pPr>
        <w:spacing w:after="0" w:line="13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Name, address, telephone numbers, e-mail ID, website address and contact person</w:t>
      </w:r>
    </w:p>
    <w:p>
      <w:pPr>
        <w:spacing w:after="0" w:line="200" w:lineRule="exact"/>
        <w:rPr>
          <w:sz w:val="20"/>
          <w:szCs w:val="20"/>
          <w:color w:val="auto"/>
        </w:rPr>
      </w:pPr>
    </w:p>
    <w:p>
      <w:pPr>
        <w:spacing w:after="0" w:line="35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COMPLIANCE OFFICER OF THE ISSUER</w:t>
      </w:r>
    </w:p>
    <w:p>
      <w:pPr>
        <w:spacing w:after="0" w:line="13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Name, address, telephone numbers, e-mail ID, website address</w:t>
      </w:r>
    </w:p>
    <w:p>
      <w:pPr>
        <w:spacing w:after="0" w:line="200" w:lineRule="exact"/>
        <w:rPr>
          <w:sz w:val="20"/>
          <w:szCs w:val="20"/>
          <w:color w:val="auto"/>
        </w:rPr>
      </w:pPr>
    </w:p>
    <w:p>
      <w:pPr>
        <w:spacing w:after="0" w:line="35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 xml:space="preserve">CREDIT RATING </w:t>
      </w:r>
      <w:r>
        <w:rPr>
          <w:rFonts w:ascii="Times New Roman" w:cs="Times New Roman" w:eastAsia="Times New Roman" w:hAnsi="Times New Roman"/>
          <w:sz w:val="24"/>
          <w:szCs w:val="24"/>
          <w:color w:val="auto"/>
        </w:rPr>
        <w:t>(if applicable)</w:t>
      </w:r>
    </w:p>
    <w:p>
      <w:pPr>
        <w:spacing w:after="0" w:line="200" w:lineRule="exact"/>
        <w:rPr>
          <w:sz w:val="20"/>
          <w:szCs w:val="20"/>
          <w:color w:val="auto"/>
        </w:rPr>
      </w:pPr>
    </w:p>
    <w:p>
      <w:pPr>
        <w:spacing w:after="0" w:line="35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 xml:space="preserve">DEBENTURE TRUSTEES </w:t>
      </w:r>
      <w:r>
        <w:rPr>
          <w:rFonts w:ascii="Times New Roman" w:cs="Times New Roman" w:eastAsia="Times New Roman" w:hAnsi="Times New Roman"/>
          <w:sz w:val="24"/>
          <w:szCs w:val="24"/>
          <w:color w:val="auto"/>
        </w:rPr>
        <w:t>(if applicable)</w:t>
      </w:r>
    </w:p>
    <w:p>
      <w:pPr>
        <w:spacing w:after="0" w:line="200" w:lineRule="exact"/>
        <w:rPr>
          <w:sz w:val="20"/>
          <w:szCs w:val="20"/>
          <w:color w:val="auto"/>
        </w:rPr>
      </w:pPr>
    </w:p>
    <w:p>
      <w:pPr>
        <w:spacing w:after="0" w:line="35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 xml:space="preserve">IPO GRADING </w:t>
      </w:r>
      <w:r>
        <w:rPr>
          <w:rFonts w:ascii="Times New Roman" w:cs="Times New Roman" w:eastAsia="Times New Roman" w:hAnsi="Times New Roman"/>
          <w:sz w:val="24"/>
          <w:szCs w:val="24"/>
          <w:color w:val="auto"/>
        </w:rPr>
        <w:t>(if obtained)</w:t>
      </w:r>
    </w:p>
    <w:p>
      <w:pPr>
        <w:spacing w:after="0" w:line="200" w:lineRule="exact"/>
        <w:rPr>
          <w:sz w:val="20"/>
          <w:szCs w:val="20"/>
          <w:color w:val="auto"/>
        </w:rPr>
      </w:pPr>
    </w:p>
    <w:p>
      <w:pPr>
        <w:spacing w:after="0" w:line="35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AVAILABILITY OF APPLICATION FORMS</w:t>
      </w:r>
    </w:p>
    <w:p>
      <w:pPr>
        <w:spacing w:after="0" w:line="145" w:lineRule="exact"/>
        <w:rPr>
          <w:sz w:val="20"/>
          <w:szCs w:val="20"/>
          <w:color w:val="auto"/>
        </w:rPr>
      </w:pPr>
    </w:p>
    <w:p>
      <w:pPr>
        <w:jc w:val="center"/>
        <w:spacing w:after="0" w:line="354" w:lineRule="auto"/>
        <w:rPr>
          <w:sz w:val="20"/>
          <w:szCs w:val="20"/>
          <w:color w:val="auto"/>
        </w:rPr>
      </w:pPr>
      <w:r>
        <w:rPr>
          <w:rFonts w:ascii="Times New Roman" w:cs="Times New Roman" w:eastAsia="Times New Roman" w:hAnsi="Times New Roman"/>
          <w:sz w:val="24"/>
          <w:szCs w:val="24"/>
          <w:color w:val="auto"/>
        </w:rPr>
        <w:t>Names of the issuer, lead manager(s), bankers to the issue, self certified syndicate banks, stock brokers, registrar to the issue and share transfer agents and depository participants (addresses optional)</w:t>
      </w: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382</w:t>
      </w:r>
    </w:p>
    <w:p>
      <w:pPr>
        <w:sectPr>
          <w:pgSz w:w="11900" w:h="16836" w:orient="portrait"/>
          <w:cols w:equalWidth="0" w:num="1">
            <w:col w:w="9460"/>
          </w:cols>
          <w:pgMar w:left="1160" w:top="1156" w:right="1284" w:bottom="103" w:gutter="0" w:footer="0" w:header="0"/>
        </w:sectPr>
      </w:pPr>
    </w:p>
    <w:bookmarkStart w:id="382" w:name="page383"/>
    <w:bookmarkEnd w:id="382"/>
    <w:p>
      <w:pPr>
        <w:jc w:val="center"/>
        <w:spacing w:after="0"/>
        <w:rPr>
          <w:sz w:val="20"/>
          <w:szCs w:val="20"/>
          <w:color w:val="auto"/>
        </w:rPr>
      </w:pPr>
      <w:r>
        <w:rPr>
          <w:rFonts w:ascii="Times New Roman" w:cs="Times New Roman" w:eastAsia="Times New Roman" w:hAnsi="Times New Roman"/>
          <w:sz w:val="24"/>
          <w:szCs w:val="24"/>
          <w:b w:val="1"/>
          <w:bCs w:val="1"/>
          <w:color w:val="auto"/>
        </w:rPr>
        <w:t>AVAILABILITY OF PROSPECTUS</w:t>
      </w:r>
    </w:p>
    <w:p>
      <w:pPr>
        <w:spacing w:after="0" w:line="145" w:lineRule="exact"/>
        <w:rPr>
          <w:sz w:val="20"/>
          <w:szCs w:val="20"/>
          <w:color w:val="auto"/>
        </w:rPr>
      </w:pPr>
    </w:p>
    <w:p>
      <w:pPr>
        <w:jc w:val="both"/>
        <w:spacing w:after="0" w:line="35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Investors are advised to refer to the prospectus and the risk factors contained therein before applying in the issue. Full copy of the prospectus is available at </w:t>
      </w:r>
      <w:hyperlink r:id="rId28">
        <w:r>
          <w:rPr>
            <w:rFonts w:ascii="Times New Roman" w:cs="Times New Roman" w:eastAsia="Times New Roman" w:hAnsi="Times New Roman"/>
            <w:sz w:val="24"/>
            <w:szCs w:val="24"/>
            <w:u w:val="single" w:color="auto"/>
            <w:color w:val="auto"/>
          </w:rPr>
          <w:t xml:space="preserve">www.sebi.gov.in </w:t>
        </w:r>
      </w:hyperlink>
      <w:r>
        <w:rPr>
          <w:rFonts w:ascii="Times New Roman" w:cs="Times New Roman" w:eastAsia="Times New Roman" w:hAnsi="Times New Roman"/>
          <w:sz w:val="24"/>
          <w:szCs w:val="24"/>
          <w:color w:val="auto"/>
        </w:rPr>
        <w:t>and websites of issuer / lead manager(s) / Stock Exchange/s at www……</w:t>
      </w:r>
    </w:p>
    <w:p>
      <w:pPr>
        <w:spacing w:after="0" w:line="200" w:lineRule="exact"/>
        <w:rPr>
          <w:sz w:val="20"/>
          <w:szCs w:val="20"/>
          <w:color w:val="auto"/>
        </w:rPr>
      </w:pPr>
    </w:p>
    <w:p>
      <w:pPr>
        <w:spacing w:after="0" w:line="22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ISSUE / BID CLOSES TODAY</w:t>
      </w:r>
    </w:p>
    <w:p>
      <w:pPr>
        <w:spacing w:after="0" w:line="200" w:lineRule="exact"/>
        <w:rPr>
          <w:sz w:val="20"/>
          <w:szCs w:val="20"/>
          <w:color w:val="auto"/>
        </w:rPr>
      </w:pPr>
    </w:p>
    <w:p>
      <w:pPr>
        <w:spacing w:after="0" w:line="352"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4"/>
          <w:szCs w:val="24"/>
          <w:b w:val="1"/>
          <w:bCs w:val="1"/>
          <w:color w:val="auto"/>
        </w:rPr>
        <w:t>Investor should read the offer document carefully, including the Risk Factors on page _____</w:t>
      </w:r>
    </w:p>
    <w:p>
      <w:pPr>
        <w:spacing w:after="0" w:line="14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of the offer document before making any investment decision.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4"/>
          <w:szCs w:val="24"/>
          <w:b w:val="1"/>
          <w:bCs w:val="1"/>
          <w:color w:val="auto"/>
        </w:rPr>
        <w:t>Issued by</w:t>
      </w:r>
    </w:p>
    <w:p>
      <w:pPr>
        <w:spacing w:after="0" w:line="139"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4"/>
          <w:szCs w:val="24"/>
          <w:b w:val="1"/>
          <w:bCs w:val="1"/>
          <w:color w:val="auto"/>
        </w:rPr>
        <w:t>Authorized personnel of the issuer</w:t>
      </w:r>
    </w:p>
    <w:p>
      <w:pPr>
        <w:spacing w:after="0" w:line="200" w:lineRule="exact"/>
        <w:rPr>
          <w:sz w:val="20"/>
          <w:szCs w:val="20"/>
          <w:color w:val="auto"/>
        </w:rPr>
      </w:pPr>
    </w:p>
    <w:p>
      <w:pPr>
        <w:spacing w:after="0" w:line="35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Part D - Format of billboards and banners</w:t>
      </w:r>
    </w:p>
    <w:p>
      <w:pPr>
        <w:spacing w:after="0" w:line="13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[Schedule IX]</w:t>
      </w:r>
    </w:p>
    <w:p>
      <w:pPr>
        <w:spacing w:after="0" w:line="200" w:lineRule="exact"/>
        <w:rPr>
          <w:sz w:val="20"/>
          <w:szCs w:val="20"/>
          <w:color w:val="auto"/>
        </w:rPr>
      </w:pPr>
    </w:p>
    <w:p>
      <w:pPr>
        <w:spacing w:after="0" w:line="35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i w:val="1"/>
          <w:iCs w:val="1"/>
          <w:color w:val="auto"/>
        </w:rPr>
        <w:t>This is only an advertisement for information purposes and is not a prospectus announcement</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35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 xml:space="preserve">ABC LTD.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name of the issuer</w:t>
      </w:r>
      <w:r>
        <w:rPr>
          <w:rFonts w:ascii="Times New Roman" w:cs="Times New Roman" w:eastAsia="Times New Roman" w:hAnsi="Times New Roman"/>
          <w:sz w:val="24"/>
          <w:szCs w:val="24"/>
          <w:color w:val="auto"/>
        </w:rPr>
        <w:t>)</w:t>
      </w:r>
    </w:p>
    <w:p>
      <w:pPr>
        <w:spacing w:after="0" w:line="139"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4"/>
          <w:szCs w:val="24"/>
          <w:color w:val="auto"/>
        </w:rPr>
        <w:t>Registered Office: ________________________________________________________</w:t>
      </w:r>
    </w:p>
    <w:p>
      <w:pPr>
        <w:spacing w:after="0" w:line="137" w:lineRule="exact"/>
        <w:rPr>
          <w:sz w:val="20"/>
          <w:szCs w:val="20"/>
          <w:color w:val="auto"/>
        </w:rPr>
      </w:pPr>
    </w:p>
    <w:p>
      <w:pPr>
        <w:ind w:left="480"/>
        <w:spacing w:after="0"/>
        <w:rPr>
          <w:sz w:val="20"/>
          <w:szCs w:val="20"/>
          <w:color w:val="auto"/>
        </w:rPr>
      </w:pPr>
      <w:r>
        <w:rPr>
          <w:rFonts w:ascii="Times New Roman" w:cs="Times New Roman" w:eastAsia="Times New Roman" w:hAnsi="Times New Roman"/>
          <w:sz w:val="24"/>
          <w:szCs w:val="24"/>
          <w:color w:val="auto"/>
        </w:rPr>
        <w:t>Corporate Office: ________________________________________________________</w:t>
      </w:r>
    </w:p>
    <w:p>
      <w:pPr>
        <w:spacing w:after="0" w:line="139" w:lineRule="exact"/>
        <w:rPr>
          <w:sz w:val="20"/>
          <w:szCs w:val="20"/>
          <w:color w:val="auto"/>
        </w:rPr>
      </w:pPr>
    </w:p>
    <w:p>
      <w:pPr>
        <w:ind w:left="1700"/>
        <w:spacing w:after="0"/>
        <w:rPr>
          <w:sz w:val="20"/>
          <w:szCs w:val="20"/>
          <w:color w:val="auto"/>
        </w:rPr>
      </w:pPr>
      <w:r>
        <w:rPr>
          <w:rFonts w:ascii="Times New Roman" w:cs="Times New Roman" w:eastAsia="Times New Roman" w:hAnsi="Times New Roman"/>
          <w:sz w:val="24"/>
          <w:szCs w:val="24"/>
          <w:color w:val="auto"/>
        </w:rPr>
        <w:t>Tel: _________ e-mail: ______ Website::______ CIN: ______</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FLOOR PRICE/ PRICE BAND</w:t>
      </w:r>
    </w:p>
    <w:p>
      <w:pPr>
        <w:spacing w:after="0" w:line="147" w:lineRule="exact"/>
        <w:rPr>
          <w:sz w:val="20"/>
          <w:szCs w:val="20"/>
          <w:color w:val="auto"/>
        </w:rPr>
      </w:pPr>
    </w:p>
    <w:p>
      <w:pPr>
        <w:jc w:val="center"/>
        <w:ind w:left="1200" w:right="100"/>
        <w:spacing w:after="0" w:line="348" w:lineRule="auto"/>
        <w:rPr>
          <w:sz w:val="20"/>
          <w:szCs w:val="20"/>
          <w:color w:val="auto"/>
        </w:rPr>
      </w:pPr>
      <w:r>
        <w:rPr>
          <w:rFonts w:ascii="Times New Roman" w:cs="Times New Roman" w:eastAsia="Times New Roman" w:hAnsi="Times New Roman"/>
          <w:sz w:val="24"/>
          <w:szCs w:val="24"/>
          <w:color w:val="auto"/>
        </w:rPr>
        <w:t>(Floor price or price band or as the case may be in case of book built issue) for cash aggregating `_________ (appropriate  disclosure for book built issue), including face value</w:t>
      </w:r>
    </w:p>
    <w:p>
      <w:pPr>
        <w:spacing w:after="0" w:line="200" w:lineRule="exact"/>
        <w:rPr>
          <w:sz w:val="20"/>
          <w:szCs w:val="20"/>
          <w:color w:val="auto"/>
        </w:rPr>
      </w:pPr>
    </w:p>
    <w:p>
      <w:pPr>
        <w:spacing w:after="0" w:line="23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RISK TO INVESTORS</w:t>
      </w:r>
    </w:p>
    <w:p>
      <w:pPr>
        <w:spacing w:after="0" w:line="13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(As specified by the Board) (In the same font size as the floor price/ price band)</w:t>
      </w:r>
    </w:p>
    <w:p>
      <w:pPr>
        <w:spacing w:after="0" w:line="200" w:lineRule="exact"/>
        <w:rPr>
          <w:sz w:val="20"/>
          <w:szCs w:val="20"/>
          <w:color w:val="auto"/>
        </w:rPr>
      </w:pPr>
    </w:p>
    <w:p>
      <w:pPr>
        <w:spacing w:after="0" w:line="35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PROMOTERS</w:t>
      </w:r>
    </w:p>
    <w:p>
      <w:pPr>
        <w:spacing w:after="0" w:line="13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[__XYZ__]</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383</w:t>
      </w:r>
    </w:p>
    <w:p>
      <w:pPr>
        <w:sectPr>
          <w:pgSz w:w="11900" w:h="16836" w:orient="portrait"/>
          <w:cols w:equalWidth="0" w:num="1">
            <w:col w:w="9460"/>
          </w:cols>
          <w:pgMar w:left="1160" w:top="1149" w:right="1284" w:bottom="103" w:gutter="0" w:footer="0" w:header="0"/>
        </w:sectPr>
      </w:pPr>
    </w:p>
    <w:bookmarkStart w:id="383" w:name="page384"/>
    <w:bookmarkEnd w:id="383"/>
    <w:p>
      <w:pPr>
        <w:jc w:val="center"/>
        <w:ind w:right="200"/>
        <w:spacing w:after="0"/>
        <w:rPr>
          <w:sz w:val="20"/>
          <w:szCs w:val="20"/>
          <w:color w:val="auto"/>
        </w:rPr>
      </w:pPr>
      <w:r>
        <w:rPr>
          <w:rFonts w:ascii="Times New Roman" w:cs="Times New Roman" w:eastAsia="Times New Roman" w:hAnsi="Times New Roman"/>
          <w:sz w:val="24"/>
          <w:szCs w:val="24"/>
          <w:b w:val="1"/>
          <w:bCs w:val="1"/>
          <w:color w:val="auto"/>
        </w:rPr>
        <w:t>PROPOSED LISTING</w:t>
      </w:r>
    </w:p>
    <w:p>
      <w:pPr>
        <w:spacing w:after="0" w:line="132" w:lineRule="exact"/>
        <w:rPr>
          <w:sz w:val="20"/>
          <w:szCs w:val="20"/>
          <w:color w:val="auto"/>
        </w:rPr>
      </w:pPr>
    </w:p>
    <w:p>
      <w:pPr>
        <w:jc w:val="center"/>
        <w:ind w:right="200"/>
        <w:spacing w:after="0"/>
        <w:rPr>
          <w:sz w:val="20"/>
          <w:szCs w:val="20"/>
          <w:color w:val="auto"/>
        </w:rPr>
      </w:pPr>
      <w:r>
        <w:rPr>
          <w:rFonts w:ascii="Times New Roman" w:cs="Times New Roman" w:eastAsia="Times New Roman" w:hAnsi="Times New Roman"/>
          <w:sz w:val="24"/>
          <w:szCs w:val="24"/>
          <w:color w:val="auto"/>
        </w:rPr>
        <w:t>Names of the stock exchanges</w:t>
      </w:r>
    </w:p>
    <w:p>
      <w:pPr>
        <w:spacing w:after="0" w:line="139" w:lineRule="exact"/>
        <w:rPr>
          <w:sz w:val="20"/>
          <w:szCs w:val="20"/>
          <w:color w:val="auto"/>
        </w:rPr>
      </w:pPr>
    </w:p>
    <w:p>
      <w:pPr>
        <w:jc w:val="center"/>
        <w:ind w:right="200"/>
        <w:spacing w:after="0"/>
        <w:rPr>
          <w:sz w:val="20"/>
          <w:szCs w:val="20"/>
          <w:color w:val="auto"/>
        </w:rPr>
      </w:pPr>
      <w:r>
        <w:rPr>
          <w:rFonts w:ascii="Times New Roman" w:cs="Times New Roman" w:eastAsia="Times New Roman" w:hAnsi="Times New Roman"/>
          <w:sz w:val="24"/>
          <w:szCs w:val="24"/>
          <w:color w:val="auto"/>
        </w:rPr>
        <w:t>Cross reference to the disclaimer clause of Securities and Exchange Board of India and Stock</w:t>
      </w:r>
    </w:p>
    <w:p>
      <w:pPr>
        <w:spacing w:after="0" w:line="137" w:lineRule="exact"/>
        <w:rPr>
          <w:sz w:val="20"/>
          <w:szCs w:val="20"/>
          <w:color w:val="auto"/>
        </w:rPr>
      </w:pPr>
    </w:p>
    <w:p>
      <w:pPr>
        <w:jc w:val="center"/>
        <w:ind w:right="200"/>
        <w:spacing w:after="0"/>
        <w:rPr>
          <w:sz w:val="20"/>
          <w:szCs w:val="20"/>
          <w:color w:val="auto"/>
        </w:rPr>
      </w:pPr>
      <w:r>
        <w:rPr>
          <w:rFonts w:ascii="Times New Roman" w:cs="Times New Roman" w:eastAsia="Times New Roman" w:hAnsi="Times New Roman"/>
          <w:sz w:val="24"/>
          <w:szCs w:val="24"/>
          <w:color w:val="auto"/>
        </w:rPr>
        <w:t>Exchange(s)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jc w:val="center"/>
        <w:ind w:right="220"/>
        <w:spacing w:after="0" w:line="348" w:lineRule="auto"/>
        <w:rPr>
          <w:sz w:val="20"/>
          <w:szCs w:val="20"/>
          <w:color w:val="auto"/>
        </w:rPr>
      </w:pPr>
      <w:r>
        <w:rPr>
          <w:rFonts w:ascii="Times New Roman" w:cs="Times New Roman" w:eastAsia="Times New Roman" w:hAnsi="Times New Roman"/>
          <w:sz w:val="24"/>
          <w:szCs w:val="24"/>
          <w:b w:val="1"/>
          <w:bCs w:val="1"/>
          <w:color w:val="auto"/>
        </w:rPr>
        <w:t>NAMES, TELEPHONE NUMBERS AND EMAIL ADDRESSES OF THE LEAD MANAGER(S), REGISTRAR TO THE ISSUE</w:t>
      </w:r>
    </w:p>
    <w:p>
      <w:pPr>
        <w:spacing w:after="0" w:line="200" w:lineRule="exact"/>
        <w:rPr>
          <w:sz w:val="20"/>
          <w:szCs w:val="20"/>
          <w:color w:val="auto"/>
        </w:rPr>
      </w:pPr>
    </w:p>
    <w:p>
      <w:pPr>
        <w:spacing w:after="0" w:line="224"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4"/>
          <w:szCs w:val="24"/>
          <w:b w:val="1"/>
          <w:bCs w:val="1"/>
          <w:color w:val="auto"/>
        </w:rPr>
        <w:t xml:space="preserve">CREDIT RATING AND NAME OF THE CREDIT RATING AGENCY </w:t>
      </w:r>
      <w:r>
        <w:rPr>
          <w:rFonts w:ascii="Times New Roman" w:cs="Times New Roman" w:eastAsia="Times New Roman" w:hAnsi="Times New Roman"/>
          <w:sz w:val="24"/>
          <w:szCs w:val="24"/>
          <w:color w:val="auto"/>
        </w:rPr>
        <w:t>(if applicable)</w:t>
      </w:r>
    </w:p>
    <w:p>
      <w:pPr>
        <w:spacing w:after="0" w:line="200" w:lineRule="exact"/>
        <w:rPr>
          <w:sz w:val="20"/>
          <w:szCs w:val="20"/>
          <w:color w:val="auto"/>
        </w:rPr>
      </w:pPr>
    </w:p>
    <w:p>
      <w:pPr>
        <w:spacing w:after="0" w:line="35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4"/>
          <w:szCs w:val="24"/>
          <w:b w:val="1"/>
          <w:bCs w:val="1"/>
          <w:color w:val="auto"/>
        </w:rPr>
        <w:t xml:space="preserve">NAMES AND TELEPHONE NUMBER OF THE DEBENTURE TRUSTEE </w:t>
      </w:r>
      <w:r>
        <w:rPr>
          <w:rFonts w:ascii="Times New Roman" w:cs="Times New Roman" w:eastAsia="Times New Roman" w:hAnsi="Times New Roman"/>
          <w:sz w:val="24"/>
          <w:szCs w:val="24"/>
          <w:color w:val="auto"/>
        </w:rPr>
        <w:t>(if applicable)</w:t>
      </w:r>
    </w:p>
    <w:p>
      <w:pPr>
        <w:spacing w:after="0" w:line="200" w:lineRule="exact"/>
        <w:rPr>
          <w:sz w:val="20"/>
          <w:szCs w:val="20"/>
          <w:color w:val="auto"/>
        </w:rPr>
      </w:pPr>
    </w:p>
    <w:p>
      <w:pPr>
        <w:spacing w:after="0" w:line="352" w:lineRule="exact"/>
        <w:rPr>
          <w:sz w:val="20"/>
          <w:szCs w:val="20"/>
          <w:color w:val="auto"/>
        </w:rPr>
      </w:pPr>
    </w:p>
    <w:p>
      <w:pPr>
        <w:jc w:val="center"/>
        <w:ind w:right="200"/>
        <w:spacing w:after="0"/>
        <w:rPr>
          <w:sz w:val="20"/>
          <w:szCs w:val="20"/>
          <w:color w:val="auto"/>
        </w:rPr>
      </w:pPr>
      <w:r>
        <w:rPr>
          <w:rFonts w:ascii="Times New Roman" w:cs="Times New Roman" w:eastAsia="Times New Roman" w:hAnsi="Times New Roman"/>
          <w:sz w:val="24"/>
          <w:szCs w:val="24"/>
          <w:b w:val="1"/>
          <w:bCs w:val="1"/>
          <w:color w:val="auto"/>
        </w:rPr>
        <w:t xml:space="preserve">IPO GRADING </w:t>
      </w:r>
      <w:r>
        <w:rPr>
          <w:rFonts w:ascii="Times New Roman" w:cs="Times New Roman" w:eastAsia="Times New Roman" w:hAnsi="Times New Roman"/>
          <w:sz w:val="24"/>
          <w:szCs w:val="24"/>
          <w:color w:val="auto"/>
        </w:rPr>
        <w:t>(if obtained)</w:t>
      </w:r>
    </w:p>
    <w:p>
      <w:pPr>
        <w:spacing w:after="0" w:line="200" w:lineRule="exact"/>
        <w:rPr>
          <w:sz w:val="20"/>
          <w:szCs w:val="20"/>
          <w:color w:val="auto"/>
        </w:rPr>
      </w:pPr>
    </w:p>
    <w:p>
      <w:pPr>
        <w:spacing w:after="0" w:line="357" w:lineRule="exact"/>
        <w:rPr>
          <w:sz w:val="20"/>
          <w:szCs w:val="20"/>
          <w:color w:val="auto"/>
        </w:rPr>
      </w:pPr>
    </w:p>
    <w:p>
      <w:pPr>
        <w:ind w:left="3240"/>
        <w:spacing w:after="0"/>
        <w:rPr>
          <w:sz w:val="20"/>
          <w:szCs w:val="20"/>
          <w:color w:val="auto"/>
        </w:rPr>
      </w:pPr>
      <w:r>
        <w:rPr>
          <w:rFonts w:ascii="Times New Roman" w:cs="Times New Roman" w:eastAsia="Times New Roman" w:hAnsi="Times New Roman"/>
          <w:sz w:val="24"/>
          <w:szCs w:val="24"/>
          <w:b w:val="1"/>
          <w:bCs w:val="1"/>
          <w:color w:val="auto"/>
        </w:rPr>
        <w:t>ISSUE / BID OPENS ON _____</w:t>
      </w:r>
    </w:p>
    <w:p>
      <w:pPr>
        <w:spacing w:after="0" w:line="140" w:lineRule="exact"/>
        <w:rPr>
          <w:sz w:val="20"/>
          <w:szCs w:val="20"/>
          <w:color w:val="auto"/>
        </w:rPr>
      </w:pPr>
    </w:p>
    <w:p>
      <w:pPr>
        <w:ind w:left="3160"/>
        <w:spacing w:after="0"/>
        <w:rPr>
          <w:sz w:val="20"/>
          <w:szCs w:val="20"/>
          <w:color w:val="auto"/>
        </w:rPr>
      </w:pPr>
      <w:r>
        <w:rPr>
          <w:rFonts w:ascii="Times New Roman" w:cs="Times New Roman" w:eastAsia="Times New Roman" w:hAnsi="Times New Roman"/>
          <w:sz w:val="24"/>
          <w:szCs w:val="24"/>
          <w:b w:val="1"/>
          <w:bCs w:val="1"/>
          <w:color w:val="auto"/>
        </w:rPr>
        <w:t>ISSUE / BID CLOSES ON _____</w:t>
      </w:r>
    </w:p>
    <w:p>
      <w:pPr>
        <w:spacing w:after="0" w:line="200" w:lineRule="exact"/>
        <w:rPr>
          <w:sz w:val="20"/>
          <w:szCs w:val="20"/>
          <w:color w:val="auto"/>
        </w:rPr>
      </w:pPr>
    </w:p>
    <w:p>
      <w:pPr>
        <w:spacing w:after="0" w:line="364" w:lineRule="exact"/>
        <w:rPr>
          <w:sz w:val="20"/>
          <w:szCs w:val="20"/>
          <w:color w:val="auto"/>
        </w:rPr>
      </w:pPr>
    </w:p>
    <w:p>
      <w:pPr>
        <w:jc w:val="center"/>
        <w:ind w:right="200"/>
        <w:spacing w:after="0" w:line="348" w:lineRule="auto"/>
        <w:rPr>
          <w:sz w:val="20"/>
          <w:szCs w:val="20"/>
          <w:color w:val="auto"/>
        </w:rPr>
      </w:pPr>
      <w:r>
        <w:rPr>
          <w:rFonts w:ascii="Times New Roman" w:cs="Times New Roman" w:eastAsia="Times New Roman" w:hAnsi="Times New Roman"/>
          <w:sz w:val="24"/>
          <w:szCs w:val="24"/>
          <w:b w:val="1"/>
          <w:bCs w:val="1"/>
          <w:color w:val="auto"/>
        </w:rPr>
        <w:t>The following disclosure shall be included in the billboard/banner in such manner that it is prominent and covers at least 10% of the size of the billboard/banner:</w:t>
      </w:r>
    </w:p>
    <w:p>
      <w:pPr>
        <w:spacing w:after="0" w:line="11"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color w:val="auto"/>
        </w:rPr>
        <w:t>Investor should read the offer document carefully, including the Risk Factors on page _____ of</w:t>
      </w:r>
    </w:p>
    <w:p>
      <w:pPr>
        <w:spacing w:after="0" w:line="137" w:lineRule="exact"/>
        <w:rPr>
          <w:sz w:val="20"/>
          <w:szCs w:val="20"/>
          <w:color w:val="auto"/>
        </w:rPr>
      </w:pPr>
    </w:p>
    <w:p>
      <w:pPr>
        <w:ind w:left="1980"/>
        <w:spacing w:after="0"/>
        <w:rPr>
          <w:sz w:val="20"/>
          <w:szCs w:val="20"/>
          <w:color w:val="auto"/>
        </w:rPr>
      </w:pPr>
      <w:r>
        <w:rPr>
          <w:rFonts w:ascii="Times New Roman" w:cs="Times New Roman" w:eastAsia="Times New Roman" w:hAnsi="Times New Roman"/>
          <w:sz w:val="24"/>
          <w:szCs w:val="24"/>
          <w:color w:val="auto"/>
        </w:rPr>
        <w:t>the offer document, before making any investment decision.</w:t>
      </w:r>
    </w:p>
    <w:p>
      <w:pPr>
        <w:spacing w:after="0" w:line="200" w:lineRule="exact"/>
        <w:rPr>
          <w:sz w:val="20"/>
          <w:szCs w:val="20"/>
          <w:color w:val="auto"/>
        </w:rPr>
      </w:pPr>
    </w:p>
    <w:p>
      <w:pPr>
        <w:spacing w:after="0" w:line="357" w:lineRule="exact"/>
        <w:rPr>
          <w:sz w:val="20"/>
          <w:szCs w:val="20"/>
          <w:color w:val="auto"/>
        </w:rPr>
      </w:pPr>
    </w:p>
    <w:p>
      <w:pPr>
        <w:jc w:val="right"/>
        <w:ind w:right="340"/>
        <w:spacing w:after="0"/>
        <w:rPr>
          <w:sz w:val="20"/>
          <w:szCs w:val="20"/>
          <w:color w:val="auto"/>
        </w:rPr>
      </w:pPr>
      <w:r>
        <w:rPr>
          <w:rFonts w:ascii="Times New Roman" w:cs="Times New Roman" w:eastAsia="Times New Roman" w:hAnsi="Times New Roman"/>
          <w:sz w:val="24"/>
          <w:szCs w:val="24"/>
          <w:b w:val="1"/>
          <w:bCs w:val="1"/>
          <w:color w:val="auto"/>
        </w:rPr>
        <w:t>Issued by</w:t>
      </w:r>
    </w:p>
    <w:p>
      <w:pPr>
        <w:spacing w:after="0" w:line="139" w:lineRule="exact"/>
        <w:rPr>
          <w:sz w:val="20"/>
          <w:szCs w:val="20"/>
          <w:color w:val="auto"/>
        </w:rPr>
      </w:pPr>
    </w:p>
    <w:p>
      <w:pPr>
        <w:jc w:val="right"/>
        <w:ind w:right="340"/>
        <w:spacing w:after="0"/>
        <w:rPr>
          <w:sz w:val="20"/>
          <w:szCs w:val="20"/>
          <w:color w:val="auto"/>
        </w:rPr>
      </w:pPr>
      <w:r>
        <w:rPr>
          <w:rFonts w:ascii="Times New Roman" w:cs="Times New Roman" w:eastAsia="Times New Roman" w:hAnsi="Times New Roman"/>
          <w:sz w:val="24"/>
          <w:szCs w:val="24"/>
          <w:b w:val="1"/>
          <w:bCs w:val="1"/>
          <w:color w:val="auto"/>
        </w:rPr>
        <w:t>Authorized personnel of the</w:t>
      </w:r>
    </w:p>
    <w:p>
      <w:pPr>
        <w:spacing w:after="0" w:line="137" w:lineRule="exact"/>
        <w:rPr>
          <w:sz w:val="20"/>
          <w:szCs w:val="20"/>
          <w:color w:val="auto"/>
        </w:rPr>
      </w:pPr>
    </w:p>
    <w:p>
      <w:pPr>
        <w:jc w:val="right"/>
        <w:ind w:right="340"/>
        <w:spacing w:after="0"/>
        <w:rPr>
          <w:sz w:val="20"/>
          <w:szCs w:val="20"/>
          <w:color w:val="auto"/>
        </w:rPr>
      </w:pPr>
      <w:r>
        <w:rPr>
          <w:rFonts w:ascii="Times New Roman" w:cs="Times New Roman" w:eastAsia="Times New Roman" w:hAnsi="Times New Roman"/>
          <w:sz w:val="24"/>
          <w:szCs w:val="24"/>
          <w:b w:val="1"/>
          <w:bCs w:val="1"/>
          <w:color w:val="auto"/>
        </w:rPr>
        <w:t>issuer</w:t>
      </w:r>
    </w:p>
    <w:p>
      <w:pPr>
        <w:spacing w:after="0" w:line="200" w:lineRule="exact"/>
        <w:rPr>
          <w:sz w:val="20"/>
          <w:szCs w:val="20"/>
          <w:color w:val="auto"/>
        </w:rPr>
      </w:pPr>
    </w:p>
    <w:p>
      <w:pPr>
        <w:spacing w:after="0" w:line="352" w:lineRule="exact"/>
        <w:rPr>
          <w:sz w:val="20"/>
          <w:szCs w:val="20"/>
          <w:color w:val="auto"/>
        </w:rPr>
      </w:pPr>
    </w:p>
    <w:p>
      <w:pPr>
        <w:jc w:val="center"/>
        <w:ind w:right="200"/>
        <w:spacing w:after="0"/>
        <w:rPr>
          <w:sz w:val="20"/>
          <w:szCs w:val="20"/>
          <w:color w:val="auto"/>
        </w:rPr>
      </w:pPr>
      <w:r>
        <w:rPr>
          <w:rFonts w:ascii="Times New Roman" w:cs="Times New Roman" w:eastAsia="Times New Roman" w:hAnsi="Times New Roman"/>
          <w:sz w:val="24"/>
          <w:szCs w:val="24"/>
          <w:b w:val="1"/>
          <w:bCs w:val="1"/>
          <w:color w:val="auto"/>
        </w:rPr>
        <w:t>Part E - Compliance certificate in respect of news reports</w:t>
      </w:r>
    </w:p>
    <w:p>
      <w:pPr>
        <w:spacing w:after="0" w:line="139" w:lineRule="exact"/>
        <w:rPr>
          <w:sz w:val="20"/>
          <w:szCs w:val="20"/>
          <w:color w:val="auto"/>
        </w:rPr>
      </w:pPr>
    </w:p>
    <w:p>
      <w:pPr>
        <w:jc w:val="center"/>
        <w:ind w:right="200"/>
        <w:spacing w:after="0"/>
        <w:rPr>
          <w:sz w:val="20"/>
          <w:szCs w:val="20"/>
          <w:color w:val="auto"/>
        </w:rPr>
      </w:pPr>
      <w:r>
        <w:rPr>
          <w:rFonts w:ascii="Times New Roman" w:cs="Times New Roman" w:eastAsia="Times New Roman" w:hAnsi="Times New Roman"/>
          <w:sz w:val="24"/>
          <w:szCs w:val="24"/>
          <w:b w:val="1"/>
          <w:bCs w:val="1"/>
          <w:color w:val="auto"/>
        </w:rPr>
        <w:t>[See Schedule IX]</w:t>
      </w:r>
    </w:p>
    <w:p>
      <w:pPr>
        <w:spacing w:after="0" w:line="200" w:lineRule="exact"/>
        <w:rPr>
          <w:sz w:val="20"/>
          <w:szCs w:val="20"/>
          <w:color w:val="auto"/>
        </w:rPr>
      </w:pPr>
    </w:p>
    <w:p>
      <w:pPr>
        <w:spacing w:after="0" w:line="335" w:lineRule="exact"/>
        <w:rPr>
          <w:sz w:val="20"/>
          <w:szCs w:val="20"/>
          <w:color w:val="auto"/>
        </w:rPr>
      </w:pPr>
    </w:p>
    <w:tbl>
      <w:tblPr>
        <w:tblLayout w:type="fixed"/>
        <w:tblInd w:w="0" w:type="dxa"/>
        <w:tblCellMar>
          <w:top w:w="0" w:type="dxa"/>
          <w:left w:w="0" w:type="dxa"/>
          <w:bottom w:w="0" w:type="dxa"/>
          <w:right w:w="0" w:type="dxa"/>
        </w:tblCellMar>
      </w:tblPr>
      <w:tr>
        <w:trPr>
          <w:trHeight w:val="278"/>
        </w:trPr>
        <w:tc>
          <w:tcPr>
            <w:tcW w:w="20" w:type="dxa"/>
            <w:vAlign w:val="bottom"/>
          </w:tcPr>
          <w:p>
            <w:pPr>
              <w:spacing w:after="0"/>
              <w:rPr>
                <w:sz w:val="24"/>
                <w:szCs w:val="24"/>
                <w:color w:val="auto"/>
              </w:rPr>
            </w:pPr>
          </w:p>
        </w:tc>
        <w:tc>
          <w:tcPr>
            <w:tcW w:w="700" w:type="dxa"/>
            <w:vAlign w:val="bottom"/>
            <w:tcBorders>
              <w:top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Sl.</w:t>
            </w:r>
          </w:p>
        </w:tc>
        <w:tc>
          <w:tcPr>
            <w:tcW w:w="1600" w:type="dxa"/>
            <w:vAlign w:val="bottom"/>
            <w:tcBorders>
              <w:top w:val="single" w:sz="8" w:color="auto"/>
            </w:tcBorders>
          </w:tcPr>
          <w:p>
            <w:pPr>
              <w:ind w:left="200"/>
              <w:spacing w:after="0"/>
              <w:rPr>
                <w:sz w:val="20"/>
                <w:szCs w:val="20"/>
                <w:color w:val="auto"/>
              </w:rPr>
            </w:pPr>
            <w:r>
              <w:rPr>
                <w:rFonts w:ascii="Times New Roman" w:cs="Times New Roman" w:eastAsia="Times New Roman" w:hAnsi="Times New Roman"/>
                <w:sz w:val="24"/>
                <w:szCs w:val="24"/>
                <w:color w:val="auto"/>
              </w:rPr>
              <w:t>Newspaper,</w:t>
            </w:r>
          </w:p>
        </w:tc>
        <w:tc>
          <w:tcPr>
            <w:tcW w:w="1180" w:type="dxa"/>
            <w:vAlign w:val="bottom"/>
            <w:tcBorders>
              <w:top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Subject</w:t>
            </w:r>
          </w:p>
        </w:tc>
        <w:tc>
          <w:tcPr>
            <w:tcW w:w="2340" w:type="dxa"/>
            <w:vAlign w:val="bottom"/>
            <w:tcBorders>
              <w:top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Whether contents of</w:t>
            </w:r>
          </w:p>
        </w:tc>
        <w:tc>
          <w:tcPr>
            <w:tcW w:w="2760" w:type="dxa"/>
            <w:vAlign w:val="bottom"/>
            <w:tcBorders>
              <w:top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If yes, page numbers in</w:t>
            </w:r>
          </w:p>
        </w:tc>
        <w:tc>
          <w:tcPr>
            <w:tcW w:w="1340" w:type="dxa"/>
            <w:vAlign w:val="bottom"/>
            <w:tcBorders>
              <w:top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If no,</w:t>
            </w:r>
          </w:p>
        </w:tc>
      </w:tr>
      <w:tr>
        <w:trPr>
          <w:trHeight w:val="413"/>
        </w:trPr>
        <w:tc>
          <w:tcPr>
            <w:tcW w:w="20" w:type="dxa"/>
            <w:vAlign w:val="bottom"/>
          </w:tcPr>
          <w:p>
            <w:pPr>
              <w:spacing w:after="0"/>
              <w:rPr>
                <w:sz w:val="24"/>
                <w:szCs w:val="24"/>
                <w:color w:val="auto"/>
              </w:rPr>
            </w:pPr>
          </w:p>
        </w:tc>
        <w:tc>
          <w:tcPr>
            <w:tcW w:w="700" w:type="dxa"/>
            <w:vAlign w:val="bottom"/>
          </w:tcPr>
          <w:p>
            <w:pPr>
              <w:jc w:val="center"/>
              <w:spacing w:after="0"/>
              <w:rPr>
                <w:sz w:val="20"/>
                <w:szCs w:val="20"/>
                <w:color w:val="auto"/>
              </w:rPr>
            </w:pPr>
            <w:r>
              <w:rPr>
                <w:rFonts w:ascii="Times New Roman" w:cs="Times New Roman" w:eastAsia="Times New Roman" w:hAnsi="Times New Roman"/>
                <w:sz w:val="24"/>
                <w:szCs w:val="24"/>
                <w:color w:val="auto"/>
                <w:w w:val="96"/>
              </w:rPr>
              <w:t>No.</w:t>
            </w:r>
          </w:p>
        </w:tc>
        <w:tc>
          <w:tcPr>
            <w:tcW w:w="1600" w:type="dxa"/>
            <w:vAlign w:val="bottom"/>
          </w:tcPr>
          <w:p>
            <w:pPr>
              <w:ind w:left="180"/>
              <w:spacing w:after="0"/>
              <w:rPr>
                <w:sz w:val="20"/>
                <w:szCs w:val="20"/>
                <w:color w:val="auto"/>
              </w:rPr>
            </w:pPr>
            <w:r>
              <w:rPr>
                <w:rFonts w:ascii="Times New Roman" w:cs="Times New Roman" w:eastAsia="Times New Roman" w:hAnsi="Times New Roman"/>
                <w:sz w:val="24"/>
                <w:szCs w:val="24"/>
                <w:color w:val="auto"/>
              </w:rPr>
              <w:t>edition, date</w:t>
            </w:r>
          </w:p>
        </w:tc>
        <w:tc>
          <w:tcPr>
            <w:tcW w:w="1180" w:type="dxa"/>
            <w:vAlign w:val="bottom"/>
          </w:tcPr>
          <w:p>
            <w:pPr>
              <w:jc w:val="center"/>
              <w:spacing w:after="0"/>
              <w:rPr>
                <w:sz w:val="20"/>
                <w:szCs w:val="20"/>
                <w:color w:val="auto"/>
              </w:rPr>
            </w:pPr>
            <w:r>
              <w:rPr>
                <w:rFonts w:ascii="Times New Roman" w:cs="Times New Roman" w:eastAsia="Times New Roman" w:hAnsi="Times New Roman"/>
                <w:sz w:val="24"/>
                <w:szCs w:val="24"/>
                <w:color w:val="auto"/>
              </w:rPr>
              <w:t>matter</w:t>
            </w:r>
          </w:p>
        </w:tc>
        <w:tc>
          <w:tcPr>
            <w:tcW w:w="2340" w:type="dxa"/>
            <w:vAlign w:val="bottom"/>
          </w:tcPr>
          <w:p>
            <w:pPr>
              <w:jc w:val="center"/>
              <w:spacing w:after="0"/>
              <w:rPr>
                <w:sz w:val="20"/>
                <w:szCs w:val="20"/>
                <w:color w:val="auto"/>
              </w:rPr>
            </w:pPr>
            <w:r>
              <w:rPr>
                <w:rFonts w:ascii="Times New Roman" w:cs="Times New Roman" w:eastAsia="Times New Roman" w:hAnsi="Times New Roman"/>
                <w:sz w:val="24"/>
                <w:szCs w:val="24"/>
                <w:color w:val="auto"/>
              </w:rPr>
              <w:t>the news report are</w:t>
            </w:r>
          </w:p>
        </w:tc>
        <w:tc>
          <w:tcPr>
            <w:tcW w:w="2760" w:type="dxa"/>
            <w:vAlign w:val="bottom"/>
          </w:tcPr>
          <w:p>
            <w:pPr>
              <w:jc w:val="center"/>
              <w:spacing w:after="0"/>
              <w:rPr>
                <w:sz w:val="20"/>
                <w:szCs w:val="20"/>
                <w:color w:val="auto"/>
              </w:rPr>
            </w:pPr>
            <w:r>
              <w:rPr>
                <w:rFonts w:ascii="Times New Roman" w:cs="Times New Roman" w:eastAsia="Times New Roman" w:hAnsi="Times New Roman"/>
                <w:sz w:val="24"/>
                <w:szCs w:val="24"/>
                <w:color w:val="auto"/>
              </w:rPr>
              <w:t>the draft offer document</w:t>
            </w:r>
          </w:p>
        </w:tc>
        <w:tc>
          <w:tcPr>
            <w:tcW w:w="1340" w:type="dxa"/>
            <w:vAlign w:val="bottom"/>
          </w:tcPr>
          <w:p>
            <w:pPr>
              <w:jc w:val="center"/>
              <w:spacing w:after="0"/>
              <w:rPr>
                <w:sz w:val="20"/>
                <w:szCs w:val="20"/>
                <w:color w:val="auto"/>
              </w:rPr>
            </w:pPr>
            <w:r>
              <w:rPr>
                <w:rFonts w:ascii="Times New Roman" w:cs="Times New Roman" w:eastAsia="Times New Roman" w:hAnsi="Times New Roman"/>
                <w:sz w:val="24"/>
                <w:szCs w:val="24"/>
                <w:color w:val="auto"/>
                <w:w w:val="98"/>
              </w:rPr>
              <w:t>action</w:t>
            </w:r>
          </w:p>
        </w:tc>
      </w:tr>
      <w:tr>
        <w:trPr>
          <w:trHeight w:val="415"/>
        </w:trPr>
        <w:tc>
          <w:tcPr>
            <w:tcW w:w="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160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2340" w:type="dxa"/>
            <w:vAlign w:val="bottom"/>
          </w:tcPr>
          <w:p>
            <w:pPr>
              <w:jc w:val="center"/>
              <w:spacing w:after="0"/>
              <w:rPr>
                <w:sz w:val="20"/>
                <w:szCs w:val="20"/>
                <w:color w:val="auto"/>
              </w:rPr>
            </w:pPr>
            <w:r>
              <w:rPr>
                <w:rFonts w:ascii="Times New Roman" w:cs="Times New Roman" w:eastAsia="Times New Roman" w:hAnsi="Times New Roman"/>
                <w:sz w:val="24"/>
                <w:szCs w:val="24"/>
                <w:color w:val="auto"/>
                <w:w w:val="99"/>
              </w:rPr>
              <w:t>supported by</w:t>
            </w:r>
          </w:p>
        </w:tc>
        <w:tc>
          <w:tcPr>
            <w:tcW w:w="2760" w:type="dxa"/>
            <w:vAlign w:val="bottom"/>
          </w:tcPr>
          <w:p>
            <w:pPr>
              <w:jc w:val="center"/>
              <w:spacing w:after="0"/>
              <w:rPr>
                <w:sz w:val="20"/>
                <w:szCs w:val="20"/>
                <w:color w:val="auto"/>
              </w:rPr>
            </w:pPr>
            <w:r>
              <w:rPr>
                <w:rFonts w:ascii="Times New Roman" w:cs="Times New Roman" w:eastAsia="Times New Roman" w:hAnsi="Times New Roman"/>
                <w:sz w:val="24"/>
                <w:szCs w:val="24"/>
                <w:color w:val="auto"/>
                <w:w w:val="99"/>
              </w:rPr>
              <w:t>where the disclosures</w:t>
            </w:r>
          </w:p>
        </w:tc>
        <w:tc>
          <w:tcPr>
            <w:tcW w:w="1340" w:type="dxa"/>
            <w:vAlign w:val="bottom"/>
          </w:tcPr>
          <w:p>
            <w:pPr>
              <w:jc w:val="center"/>
              <w:spacing w:after="0"/>
              <w:rPr>
                <w:sz w:val="20"/>
                <w:szCs w:val="20"/>
                <w:color w:val="auto"/>
              </w:rPr>
            </w:pPr>
            <w:r>
              <w:rPr>
                <w:rFonts w:ascii="Times New Roman" w:cs="Times New Roman" w:eastAsia="Times New Roman" w:hAnsi="Times New Roman"/>
                <w:sz w:val="24"/>
                <w:szCs w:val="24"/>
                <w:color w:val="auto"/>
                <w:w w:val="99"/>
              </w:rPr>
              <w:t>taken by</w:t>
            </w:r>
          </w:p>
        </w:tc>
      </w:tr>
      <w:tr>
        <w:trPr>
          <w:trHeight w:val="413"/>
        </w:trPr>
        <w:tc>
          <w:tcPr>
            <w:tcW w:w="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160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2340" w:type="dxa"/>
            <w:vAlign w:val="bottom"/>
          </w:tcPr>
          <w:p>
            <w:pPr>
              <w:jc w:val="center"/>
              <w:spacing w:after="0"/>
              <w:rPr>
                <w:sz w:val="20"/>
                <w:szCs w:val="20"/>
                <w:color w:val="auto"/>
              </w:rPr>
            </w:pPr>
            <w:r>
              <w:rPr>
                <w:rFonts w:ascii="Times New Roman" w:cs="Times New Roman" w:eastAsia="Times New Roman" w:hAnsi="Times New Roman"/>
                <w:sz w:val="24"/>
                <w:szCs w:val="24"/>
                <w:color w:val="auto"/>
              </w:rPr>
              <w:t>disclosures in the</w:t>
            </w:r>
          </w:p>
        </w:tc>
        <w:tc>
          <w:tcPr>
            <w:tcW w:w="2760" w:type="dxa"/>
            <w:vAlign w:val="bottom"/>
          </w:tcPr>
          <w:p>
            <w:pPr>
              <w:jc w:val="center"/>
              <w:spacing w:after="0"/>
              <w:rPr>
                <w:sz w:val="20"/>
                <w:szCs w:val="20"/>
                <w:color w:val="auto"/>
              </w:rPr>
            </w:pPr>
            <w:r>
              <w:rPr>
                <w:rFonts w:ascii="Times New Roman" w:cs="Times New Roman" w:eastAsia="Times New Roman" w:hAnsi="Times New Roman"/>
                <w:sz w:val="24"/>
                <w:szCs w:val="24"/>
                <w:color w:val="auto"/>
                <w:w w:val="98"/>
              </w:rPr>
              <w:t>are made</w:t>
            </w:r>
          </w:p>
        </w:tc>
        <w:tc>
          <w:tcPr>
            <w:tcW w:w="1340" w:type="dxa"/>
            <w:vAlign w:val="bottom"/>
          </w:tcPr>
          <w:p>
            <w:pPr>
              <w:jc w:val="center"/>
              <w:spacing w:after="0"/>
              <w:rPr>
                <w:sz w:val="20"/>
                <w:szCs w:val="20"/>
                <w:color w:val="auto"/>
              </w:rPr>
            </w:pPr>
            <w:r>
              <w:rPr>
                <w:rFonts w:ascii="Times New Roman" w:cs="Times New Roman" w:eastAsia="Times New Roman" w:hAnsi="Times New Roman"/>
                <w:sz w:val="24"/>
                <w:szCs w:val="24"/>
                <w:color w:val="auto"/>
                <w:w w:val="98"/>
              </w:rPr>
              <w:t>the lead</w:t>
            </w:r>
          </w:p>
        </w:tc>
      </w:tr>
      <w:tr>
        <w:trPr>
          <w:trHeight w:val="147"/>
        </w:trPr>
        <w:tc>
          <w:tcPr>
            <w:tcW w:w="20" w:type="dxa"/>
            <w:vAlign w:val="bottom"/>
            <w:tcBorders>
              <w:bottom w:val="single" w:sz="8" w:color="auto"/>
            </w:tcBorders>
          </w:tcPr>
          <w:p>
            <w:pPr>
              <w:spacing w:after="0"/>
              <w:rPr>
                <w:sz w:val="12"/>
                <w:szCs w:val="12"/>
                <w:color w:val="auto"/>
              </w:rPr>
            </w:pPr>
          </w:p>
        </w:tc>
        <w:tc>
          <w:tcPr>
            <w:tcW w:w="700" w:type="dxa"/>
            <w:vAlign w:val="bottom"/>
            <w:tcBorders>
              <w:bottom w:val="single" w:sz="8" w:color="auto"/>
            </w:tcBorders>
          </w:tcPr>
          <w:p>
            <w:pPr>
              <w:spacing w:after="0"/>
              <w:rPr>
                <w:sz w:val="12"/>
                <w:szCs w:val="12"/>
                <w:color w:val="auto"/>
              </w:rPr>
            </w:pPr>
          </w:p>
        </w:tc>
        <w:tc>
          <w:tcPr>
            <w:tcW w:w="1600" w:type="dxa"/>
            <w:vAlign w:val="bottom"/>
            <w:tcBorders>
              <w:bottom w:val="single" w:sz="8" w:color="auto"/>
            </w:tcBorders>
          </w:tcPr>
          <w:p>
            <w:pPr>
              <w:spacing w:after="0"/>
              <w:rPr>
                <w:sz w:val="12"/>
                <w:szCs w:val="12"/>
                <w:color w:val="auto"/>
              </w:rPr>
            </w:pPr>
          </w:p>
        </w:tc>
        <w:tc>
          <w:tcPr>
            <w:tcW w:w="1180" w:type="dxa"/>
            <w:vAlign w:val="bottom"/>
            <w:tcBorders>
              <w:bottom w:val="single" w:sz="8" w:color="auto"/>
            </w:tcBorders>
          </w:tcPr>
          <w:p>
            <w:pPr>
              <w:spacing w:after="0"/>
              <w:rPr>
                <w:sz w:val="12"/>
                <w:szCs w:val="12"/>
                <w:color w:val="auto"/>
              </w:rPr>
            </w:pPr>
          </w:p>
        </w:tc>
        <w:tc>
          <w:tcPr>
            <w:tcW w:w="2340" w:type="dxa"/>
            <w:vAlign w:val="bottom"/>
            <w:tcBorders>
              <w:bottom w:val="single" w:sz="8" w:color="auto"/>
            </w:tcBorders>
          </w:tcPr>
          <w:p>
            <w:pPr>
              <w:spacing w:after="0"/>
              <w:rPr>
                <w:sz w:val="12"/>
                <w:szCs w:val="12"/>
                <w:color w:val="auto"/>
              </w:rPr>
            </w:pPr>
          </w:p>
        </w:tc>
        <w:tc>
          <w:tcPr>
            <w:tcW w:w="2760" w:type="dxa"/>
            <w:vAlign w:val="bottom"/>
            <w:tcBorders>
              <w:bottom w:val="single" w:sz="8" w:color="auto"/>
            </w:tcBorders>
          </w:tcPr>
          <w:p>
            <w:pPr>
              <w:spacing w:after="0"/>
              <w:rPr>
                <w:sz w:val="12"/>
                <w:szCs w:val="12"/>
                <w:color w:val="auto"/>
              </w:rPr>
            </w:pPr>
          </w:p>
        </w:tc>
        <w:tc>
          <w:tcPr>
            <w:tcW w:w="1340" w:type="dxa"/>
            <w:vAlign w:val="bottom"/>
            <w:tcBorders>
              <w:bottom w:val="single" w:sz="8" w:color="auto"/>
            </w:tcBorders>
          </w:tcPr>
          <w:p>
            <w:pPr>
              <w:spacing w:after="0"/>
              <w:rPr>
                <w:sz w:val="12"/>
                <w:szCs w:val="12"/>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jc w:val="center"/>
        <w:ind w:right="200"/>
        <w:spacing w:after="0"/>
        <w:rPr>
          <w:sz w:val="20"/>
          <w:szCs w:val="20"/>
          <w:color w:val="auto"/>
        </w:rPr>
      </w:pPr>
      <w:r>
        <w:rPr>
          <w:rFonts w:ascii="Times New Roman" w:cs="Times New Roman" w:eastAsia="Times New Roman" w:hAnsi="Times New Roman"/>
          <w:sz w:val="24"/>
          <w:szCs w:val="24"/>
          <w:color w:val="auto"/>
        </w:rPr>
        <w:t>384</w:t>
      </w:r>
    </w:p>
    <w:p>
      <w:pPr>
        <w:sectPr>
          <w:pgSz w:w="11900" w:h="16836" w:orient="portrait"/>
          <w:cols w:equalWidth="0" w:num="1">
            <w:col w:w="9940"/>
          </w:cols>
          <w:pgMar w:left="1020" w:top="1149" w:right="944" w:bottom="103" w:gutter="0" w:footer="0" w:header="0"/>
        </w:sectPr>
      </w:pPr>
    </w:p>
    <w:bookmarkStart w:id="384" w:name="page385"/>
    <w:bookmarkEnd w:id="384"/>
    <w:tbl>
      <w:tblPr>
        <w:tblLayout w:type="fixed"/>
        <w:tblInd w:w="0" w:type="dxa"/>
        <w:tblCellMar>
          <w:top w:w="0" w:type="dxa"/>
          <w:left w:w="0" w:type="dxa"/>
          <w:bottom w:w="0" w:type="dxa"/>
          <w:right w:w="0" w:type="dxa"/>
        </w:tblCellMar>
      </w:tblPr>
      <w:tr>
        <w:trPr>
          <w:trHeight w:val="278"/>
        </w:trPr>
        <w:tc>
          <w:tcPr>
            <w:tcW w:w="20" w:type="dxa"/>
            <w:vAlign w:val="bottom"/>
          </w:tcPr>
          <w:p>
            <w:pPr>
              <w:spacing w:after="0"/>
              <w:rPr>
                <w:sz w:val="24"/>
                <w:szCs w:val="24"/>
                <w:color w:val="auto"/>
              </w:rPr>
            </w:pPr>
          </w:p>
        </w:tc>
        <w:tc>
          <w:tcPr>
            <w:tcW w:w="7160" w:type="dxa"/>
            <w:vAlign w:val="bottom"/>
            <w:tcBorders>
              <w:top w:val="single" w:sz="8" w:color="auto"/>
            </w:tcBorders>
          </w:tcPr>
          <w:p>
            <w:pPr>
              <w:jc w:val="center"/>
              <w:ind w:left="2000"/>
              <w:spacing w:after="0"/>
              <w:rPr>
                <w:sz w:val="20"/>
                <w:szCs w:val="20"/>
                <w:color w:val="auto"/>
              </w:rPr>
            </w:pPr>
            <w:r>
              <w:rPr>
                <w:rFonts w:ascii="Times New Roman" w:cs="Times New Roman" w:eastAsia="Times New Roman" w:hAnsi="Times New Roman"/>
                <w:sz w:val="24"/>
                <w:szCs w:val="24"/>
                <w:color w:val="auto"/>
                <w:w w:val="99"/>
              </w:rPr>
              <w:t>offer document or</w:t>
            </w:r>
          </w:p>
        </w:tc>
        <w:tc>
          <w:tcPr>
            <w:tcW w:w="2760" w:type="dxa"/>
            <w:vAlign w:val="bottom"/>
            <w:tcBorders>
              <w:top w:val="single" w:sz="8" w:color="auto"/>
            </w:tcBorders>
          </w:tcPr>
          <w:p>
            <w:pPr>
              <w:jc w:val="center"/>
              <w:ind w:left="1240"/>
              <w:spacing w:after="0"/>
              <w:rPr>
                <w:sz w:val="20"/>
                <w:szCs w:val="20"/>
                <w:color w:val="auto"/>
              </w:rPr>
            </w:pPr>
            <w:r>
              <w:rPr>
                <w:rFonts w:ascii="Times New Roman" w:cs="Times New Roman" w:eastAsia="Times New Roman" w:hAnsi="Times New Roman"/>
                <w:sz w:val="24"/>
                <w:szCs w:val="24"/>
                <w:color w:val="auto"/>
                <w:w w:val="99"/>
              </w:rPr>
              <w:t>manager(s</w:t>
            </w:r>
          </w:p>
        </w:tc>
      </w:tr>
      <w:tr>
        <w:trPr>
          <w:trHeight w:val="416"/>
        </w:trPr>
        <w:tc>
          <w:tcPr>
            <w:tcW w:w="20" w:type="dxa"/>
            <w:vAlign w:val="bottom"/>
          </w:tcPr>
          <w:p>
            <w:pPr>
              <w:spacing w:after="0"/>
              <w:rPr>
                <w:sz w:val="24"/>
                <w:szCs w:val="24"/>
                <w:color w:val="auto"/>
              </w:rPr>
            </w:pPr>
          </w:p>
        </w:tc>
        <w:tc>
          <w:tcPr>
            <w:tcW w:w="7160" w:type="dxa"/>
            <w:vAlign w:val="bottom"/>
          </w:tcPr>
          <w:p>
            <w:pPr>
              <w:jc w:val="center"/>
              <w:ind w:left="2000"/>
              <w:spacing w:after="0"/>
              <w:rPr>
                <w:sz w:val="20"/>
                <w:szCs w:val="20"/>
                <w:color w:val="auto"/>
              </w:rPr>
            </w:pPr>
            <w:r>
              <w:rPr>
                <w:rFonts w:ascii="Times New Roman" w:cs="Times New Roman" w:eastAsia="Times New Roman" w:hAnsi="Times New Roman"/>
                <w:sz w:val="24"/>
                <w:szCs w:val="24"/>
                <w:color w:val="auto"/>
                <w:w w:val="99"/>
              </w:rPr>
              <w:t>advertisements</w:t>
            </w:r>
          </w:p>
        </w:tc>
        <w:tc>
          <w:tcPr>
            <w:tcW w:w="2760" w:type="dxa"/>
            <w:vAlign w:val="bottom"/>
          </w:tcPr>
          <w:p>
            <w:pPr>
              <w:jc w:val="right"/>
              <w:ind w:right="540"/>
              <w:spacing w:after="0"/>
              <w:rPr>
                <w:sz w:val="20"/>
                <w:szCs w:val="20"/>
                <w:color w:val="auto"/>
              </w:rPr>
            </w:pPr>
            <w:r>
              <w:rPr>
                <w:rFonts w:ascii="Times New Roman" w:cs="Times New Roman" w:eastAsia="Times New Roman" w:hAnsi="Times New Roman"/>
                <w:sz w:val="24"/>
                <w:szCs w:val="24"/>
                <w:color w:val="auto"/>
              </w:rPr>
              <w:t>)</w:t>
            </w:r>
          </w:p>
        </w:tc>
      </w:tr>
      <w:tr>
        <w:trPr>
          <w:trHeight w:val="413"/>
        </w:trPr>
        <w:tc>
          <w:tcPr>
            <w:tcW w:w="20" w:type="dxa"/>
            <w:vAlign w:val="bottom"/>
          </w:tcPr>
          <w:p>
            <w:pPr>
              <w:spacing w:after="0"/>
              <w:rPr>
                <w:sz w:val="24"/>
                <w:szCs w:val="24"/>
                <w:color w:val="auto"/>
              </w:rPr>
            </w:pPr>
          </w:p>
        </w:tc>
        <w:tc>
          <w:tcPr>
            <w:tcW w:w="7160" w:type="dxa"/>
            <w:vAlign w:val="bottom"/>
          </w:tcPr>
          <w:p>
            <w:pPr>
              <w:jc w:val="center"/>
              <w:ind w:left="2000"/>
              <w:spacing w:after="0"/>
              <w:rPr>
                <w:sz w:val="20"/>
                <w:szCs w:val="20"/>
                <w:color w:val="auto"/>
              </w:rPr>
            </w:pPr>
            <w:r>
              <w:rPr>
                <w:rFonts w:ascii="Times New Roman" w:cs="Times New Roman" w:eastAsia="Times New Roman" w:hAnsi="Times New Roman"/>
                <w:sz w:val="24"/>
                <w:szCs w:val="24"/>
                <w:color w:val="auto"/>
                <w:w w:val="99"/>
              </w:rPr>
              <w:t>made pursuant to</w:t>
            </w:r>
          </w:p>
        </w:tc>
        <w:tc>
          <w:tcPr>
            <w:tcW w:w="2760" w:type="dxa"/>
            <w:vAlign w:val="bottom"/>
          </w:tcPr>
          <w:p>
            <w:pPr>
              <w:spacing w:after="0"/>
              <w:rPr>
                <w:sz w:val="24"/>
                <w:szCs w:val="24"/>
                <w:color w:val="auto"/>
              </w:rPr>
            </w:pPr>
          </w:p>
        </w:tc>
      </w:tr>
      <w:tr>
        <w:trPr>
          <w:trHeight w:val="415"/>
        </w:trPr>
        <w:tc>
          <w:tcPr>
            <w:tcW w:w="20" w:type="dxa"/>
            <w:vAlign w:val="bottom"/>
          </w:tcPr>
          <w:p>
            <w:pPr>
              <w:spacing w:after="0"/>
              <w:rPr>
                <w:sz w:val="24"/>
                <w:szCs w:val="24"/>
                <w:color w:val="auto"/>
              </w:rPr>
            </w:pPr>
          </w:p>
        </w:tc>
        <w:tc>
          <w:tcPr>
            <w:tcW w:w="7160" w:type="dxa"/>
            <w:vAlign w:val="bottom"/>
          </w:tcPr>
          <w:p>
            <w:pPr>
              <w:jc w:val="center"/>
              <w:ind w:left="2000"/>
              <w:spacing w:after="0"/>
              <w:rPr>
                <w:sz w:val="20"/>
                <w:szCs w:val="20"/>
                <w:color w:val="auto"/>
              </w:rPr>
            </w:pPr>
            <w:r>
              <w:rPr>
                <w:rFonts w:ascii="Times New Roman" w:cs="Times New Roman" w:eastAsia="Times New Roman" w:hAnsi="Times New Roman"/>
                <w:sz w:val="24"/>
                <w:szCs w:val="24"/>
                <w:color w:val="auto"/>
                <w:w w:val="99"/>
              </w:rPr>
              <w:t>these Regulations or</w:t>
            </w:r>
          </w:p>
        </w:tc>
        <w:tc>
          <w:tcPr>
            <w:tcW w:w="2760" w:type="dxa"/>
            <w:vAlign w:val="bottom"/>
          </w:tcPr>
          <w:p>
            <w:pPr>
              <w:spacing w:after="0"/>
              <w:rPr>
                <w:sz w:val="24"/>
                <w:szCs w:val="24"/>
                <w:color w:val="auto"/>
              </w:rPr>
            </w:pPr>
          </w:p>
        </w:tc>
      </w:tr>
      <w:tr>
        <w:trPr>
          <w:trHeight w:val="413"/>
        </w:trPr>
        <w:tc>
          <w:tcPr>
            <w:tcW w:w="20" w:type="dxa"/>
            <w:vAlign w:val="bottom"/>
          </w:tcPr>
          <w:p>
            <w:pPr>
              <w:spacing w:after="0"/>
              <w:rPr>
                <w:sz w:val="24"/>
                <w:szCs w:val="24"/>
                <w:color w:val="auto"/>
              </w:rPr>
            </w:pPr>
          </w:p>
        </w:tc>
        <w:tc>
          <w:tcPr>
            <w:tcW w:w="7160" w:type="dxa"/>
            <w:vAlign w:val="bottom"/>
          </w:tcPr>
          <w:p>
            <w:pPr>
              <w:jc w:val="center"/>
              <w:ind w:left="2000"/>
              <w:spacing w:after="0"/>
              <w:rPr>
                <w:sz w:val="20"/>
                <w:szCs w:val="20"/>
                <w:color w:val="auto"/>
              </w:rPr>
            </w:pPr>
            <w:r>
              <w:rPr>
                <w:rFonts w:ascii="Times New Roman" w:cs="Times New Roman" w:eastAsia="Times New Roman" w:hAnsi="Times New Roman"/>
                <w:sz w:val="24"/>
                <w:szCs w:val="24"/>
                <w:color w:val="auto"/>
                <w:w w:val="98"/>
              </w:rPr>
              <w:t>information</w:t>
            </w:r>
          </w:p>
        </w:tc>
        <w:tc>
          <w:tcPr>
            <w:tcW w:w="2760" w:type="dxa"/>
            <w:vAlign w:val="bottom"/>
          </w:tcPr>
          <w:p>
            <w:pPr>
              <w:spacing w:after="0"/>
              <w:rPr>
                <w:sz w:val="24"/>
                <w:szCs w:val="24"/>
                <w:color w:val="auto"/>
              </w:rPr>
            </w:pPr>
          </w:p>
        </w:tc>
      </w:tr>
      <w:tr>
        <w:trPr>
          <w:trHeight w:val="415"/>
        </w:trPr>
        <w:tc>
          <w:tcPr>
            <w:tcW w:w="20" w:type="dxa"/>
            <w:vAlign w:val="bottom"/>
          </w:tcPr>
          <w:p>
            <w:pPr>
              <w:spacing w:after="0"/>
              <w:rPr>
                <w:sz w:val="24"/>
                <w:szCs w:val="24"/>
                <w:color w:val="auto"/>
              </w:rPr>
            </w:pPr>
          </w:p>
        </w:tc>
        <w:tc>
          <w:tcPr>
            <w:tcW w:w="7160" w:type="dxa"/>
            <w:vAlign w:val="bottom"/>
          </w:tcPr>
          <w:p>
            <w:pPr>
              <w:jc w:val="center"/>
              <w:ind w:left="2000"/>
              <w:spacing w:after="0"/>
              <w:rPr>
                <w:sz w:val="20"/>
                <w:szCs w:val="20"/>
                <w:color w:val="auto"/>
              </w:rPr>
            </w:pPr>
            <w:r>
              <w:rPr>
                <w:rFonts w:ascii="Times New Roman" w:cs="Times New Roman" w:eastAsia="Times New Roman" w:hAnsi="Times New Roman"/>
                <w:sz w:val="24"/>
                <w:szCs w:val="24"/>
                <w:color w:val="auto"/>
                <w:w w:val="99"/>
              </w:rPr>
              <w:t>available on the</w:t>
            </w:r>
          </w:p>
        </w:tc>
        <w:tc>
          <w:tcPr>
            <w:tcW w:w="2760" w:type="dxa"/>
            <w:vAlign w:val="bottom"/>
          </w:tcPr>
          <w:p>
            <w:pPr>
              <w:spacing w:after="0"/>
              <w:rPr>
                <w:sz w:val="24"/>
                <w:szCs w:val="24"/>
                <w:color w:val="auto"/>
              </w:rPr>
            </w:pPr>
          </w:p>
        </w:tc>
      </w:tr>
      <w:tr>
        <w:trPr>
          <w:trHeight w:val="413"/>
        </w:trPr>
        <w:tc>
          <w:tcPr>
            <w:tcW w:w="20" w:type="dxa"/>
            <w:vAlign w:val="bottom"/>
          </w:tcPr>
          <w:p>
            <w:pPr>
              <w:spacing w:after="0"/>
              <w:rPr>
                <w:sz w:val="24"/>
                <w:szCs w:val="24"/>
                <w:color w:val="auto"/>
              </w:rPr>
            </w:pPr>
          </w:p>
        </w:tc>
        <w:tc>
          <w:tcPr>
            <w:tcW w:w="7160" w:type="dxa"/>
            <w:vAlign w:val="bottom"/>
          </w:tcPr>
          <w:p>
            <w:pPr>
              <w:jc w:val="center"/>
              <w:ind w:left="2000"/>
              <w:spacing w:after="0"/>
              <w:rPr>
                <w:sz w:val="20"/>
                <w:szCs w:val="20"/>
                <w:color w:val="auto"/>
              </w:rPr>
            </w:pPr>
            <w:r>
              <w:rPr>
                <w:rFonts w:ascii="Times New Roman" w:cs="Times New Roman" w:eastAsia="Times New Roman" w:hAnsi="Times New Roman"/>
                <w:sz w:val="24"/>
                <w:szCs w:val="24"/>
                <w:color w:val="auto"/>
              </w:rPr>
              <w:t>website of the stock</w:t>
            </w:r>
          </w:p>
        </w:tc>
        <w:tc>
          <w:tcPr>
            <w:tcW w:w="2760" w:type="dxa"/>
            <w:vAlign w:val="bottom"/>
          </w:tcPr>
          <w:p>
            <w:pPr>
              <w:spacing w:after="0"/>
              <w:rPr>
                <w:sz w:val="24"/>
                <w:szCs w:val="24"/>
                <w:color w:val="auto"/>
              </w:rPr>
            </w:pPr>
          </w:p>
        </w:tc>
      </w:tr>
      <w:tr>
        <w:trPr>
          <w:trHeight w:val="415"/>
        </w:trPr>
        <w:tc>
          <w:tcPr>
            <w:tcW w:w="20" w:type="dxa"/>
            <w:vAlign w:val="bottom"/>
          </w:tcPr>
          <w:p>
            <w:pPr>
              <w:spacing w:after="0"/>
              <w:rPr>
                <w:sz w:val="24"/>
                <w:szCs w:val="24"/>
                <w:color w:val="auto"/>
              </w:rPr>
            </w:pPr>
          </w:p>
        </w:tc>
        <w:tc>
          <w:tcPr>
            <w:tcW w:w="7160" w:type="dxa"/>
            <w:vAlign w:val="bottom"/>
          </w:tcPr>
          <w:p>
            <w:pPr>
              <w:jc w:val="center"/>
              <w:ind w:left="2000"/>
              <w:spacing w:after="0"/>
              <w:rPr>
                <w:sz w:val="20"/>
                <w:szCs w:val="20"/>
                <w:color w:val="auto"/>
              </w:rPr>
            </w:pPr>
            <w:r>
              <w:rPr>
                <w:rFonts w:ascii="Times New Roman" w:cs="Times New Roman" w:eastAsia="Times New Roman" w:hAnsi="Times New Roman"/>
                <w:sz w:val="24"/>
                <w:szCs w:val="24"/>
                <w:color w:val="auto"/>
                <w:w w:val="99"/>
              </w:rPr>
              <w:t>exchanges</w:t>
            </w:r>
          </w:p>
        </w:tc>
        <w:tc>
          <w:tcPr>
            <w:tcW w:w="2760" w:type="dxa"/>
            <w:vAlign w:val="bottom"/>
          </w:tcPr>
          <w:p>
            <w:pPr>
              <w:spacing w:after="0"/>
              <w:rPr>
                <w:sz w:val="24"/>
                <w:szCs w:val="24"/>
                <w:color w:val="auto"/>
              </w:rPr>
            </w:pPr>
          </w:p>
        </w:tc>
      </w:tr>
      <w:tr>
        <w:trPr>
          <w:trHeight w:val="144"/>
        </w:trPr>
        <w:tc>
          <w:tcPr>
            <w:tcW w:w="20" w:type="dxa"/>
            <w:vAlign w:val="bottom"/>
          </w:tcPr>
          <w:p>
            <w:pPr>
              <w:spacing w:after="0"/>
              <w:rPr>
                <w:sz w:val="12"/>
                <w:szCs w:val="12"/>
                <w:color w:val="auto"/>
              </w:rPr>
            </w:pPr>
          </w:p>
        </w:tc>
        <w:tc>
          <w:tcPr>
            <w:tcW w:w="7160" w:type="dxa"/>
            <w:vAlign w:val="bottom"/>
            <w:tcBorders>
              <w:bottom w:val="single" w:sz="8" w:color="auto"/>
            </w:tcBorders>
          </w:tcPr>
          <w:p>
            <w:pPr>
              <w:spacing w:after="0"/>
              <w:rPr>
                <w:sz w:val="12"/>
                <w:szCs w:val="12"/>
                <w:color w:val="auto"/>
              </w:rPr>
            </w:pPr>
          </w:p>
        </w:tc>
        <w:tc>
          <w:tcPr>
            <w:tcW w:w="2760" w:type="dxa"/>
            <w:vAlign w:val="bottom"/>
            <w:tcBorders>
              <w:bottom w:val="single" w:sz="8" w:color="auto"/>
            </w:tcBorders>
          </w:tcPr>
          <w:p>
            <w:pPr>
              <w:spacing w:after="0"/>
              <w:rPr>
                <w:sz w:val="12"/>
                <w:szCs w:val="12"/>
                <w:color w:val="auto"/>
              </w:rPr>
            </w:pPr>
          </w:p>
        </w:tc>
      </w:tr>
      <w:tr>
        <w:trPr>
          <w:trHeight w:val="259"/>
        </w:trPr>
        <w:tc>
          <w:tcPr>
            <w:tcW w:w="20" w:type="dxa"/>
            <w:vAlign w:val="bottom"/>
          </w:tcPr>
          <w:p>
            <w:pPr>
              <w:spacing w:after="0"/>
              <w:rPr>
                <w:sz w:val="22"/>
                <w:szCs w:val="22"/>
                <w:color w:val="auto"/>
              </w:rPr>
            </w:pPr>
          </w:p>
        </w:tc>
        <w:tc>
          <w:tcPr>
            <w:tcW w:w="7160" w:type="dxa"/>
            <w:vAlign w:val="bottom"/>
          </w:tcPr>
          <w:p>
            <w:pPr>
              <w:jc w:val="center"/>
              <w:ind w:left="2000"/>
              <w:spacing w:after="0" w:line="258" w:lineRule="exact"/>
              <w:rPr>
                <w:sz w:val="20"/>
                <w:szCs w:val="20"/>
                <w:color w:val="auto"/>
              </w:rPr>
            </w:pPr>
            <w:r>
              <w:rPr>
                <w:rFonts w:ascii="Times New Roman" w:cs="Times New Roman" w:eastAsia="Times New Roman" w:hAnsi="Times New Roman"/>
                <w:sz w:val="24"/>
                <w:szCs w:val="24"/>
                <w:color w:val="auto"/>
                <w:w w:val="98"/>
              </w:rPr>
              <w:t>Yes/No</w:t>
            </w:r>
          </w:p>
        </w:tc>
        <w:tc>
          <w:tcPr>
            <w:tcW w:w="2760" w:type="dxa"/>
            <w:vAlign w:val="bottom"/>
          </w:tcPr>
          <w:p>
            <w:pPr>
              <w:spacing w:after="0"/>
              <w:rPr>
                <w:sz w:val="22"/>
                <w:szCs w:val="22"/>
                <w:color w:val="auto"/>
              </w:rPr>
            </w:pPr>
          </w:p>
        </w:tc>
      </w:tr>
      <w:tr>
        <w:trPr>
          <w:trHeight w:val="147"/>
        </w:trPr>
        <w:tc>
          <w:tcPr>
            <w:tcW w:w="20" w:type="dxa"/>
            <w:vAlign w:val="bottom"/>
            <w:tcBorders>
              <w:bottom w:val="single" w:sz="8" w:color="auto"/>
            </w:tcBorders>
          </w:tcPr>
          <w:p>
            <w:pPr>
              <w:spacing w:after="0"/>
              <w:rPr>
                <w:sz w:val="12"/>
                <w:szCs w:val="12"/>
                <w:color w:val="auto"/>
              </w:rPr>
            </w:pPr>
          </w:p>
        </w:tc>
        <w:tc>
          <w:tcPr>
            <w:tcW w:w="7160" w:type="dxa"/>
            <w:vAlign w:val="bottom"/>
            <w:tcBorders>
              <w:bottom w:val="single" w:sz="8" w:color="auto"/>
            </w:tcBorders>
          </w:tcPr>
          <w:p>
            <w:pPr>
              <w:spacing w:after="0"/>
              <w:rPr>
                <w:sz w:val="12"/>
                <w:szCs w:val="12"/>
                <w:color w:val="auto"/>
              </w:rPr>
            </w:pPr>
          </w:p>
        </w:tc>
        <w:tc>
          <w:tcPr>
            <w:tcW w:w="2760" w:type="dxa"/>
            <w:vAlign w:val="bottom"/>
            <w:tcBorders>
              <w:bottom w:val="single" w:sz="8" w:color="auto"/>
            </w:tcBorders>
          </w:tcPr>
          <w:p>
            <w:pPr>
              <w:spacing w:after="0"/>
              <w:rPr>
                <w:sz w:val="12"/>
                <w:szCs w:val="12"/>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p>
      <w:pPr>
        <w:jc w:val="center"/>
        <w:ind w:right="200"/>
        <w:spacing w:after="0"/>
        <w:rPr>
          <w:sz w:val="20"/>
          <w:szCs w:val="20"/>
          <w:color w:val="auto"/>
        </w:rPr>
      </w:pPr>
      <w:r>
        <w:rPr>
          <w:rFonts w:ascii="Times New Roman" w:cs="Times New Roman" w:eastAsia="Times New Roman" w:hAnsi="Times New Roman"/>
          <w:sz w:val="24"/>
          <w:szCs w:val="24"/>
          <w:color w:val="auto"/>
        </w:rPr>
        <w:t>385</w:t>
      </w:r>
    </w:p>
    <w:p>
      <w:pPr>
        <w:sectPr>
          <w:pgSz w:w="11900" w:h="16836" w:orient="portrait"/>
          <w:cols w:equalWidth="0" w:num="1">
            <w:col w:w="9940"/>
          </w:cols>
          <w:pgMar w:left="1020" w:top="1132" w:right="944" w:bottom="103" w:gutter="0" w:footer="0" w:header="0"/>
        </w:sectPr>
      </w:pPr>
    </w:p>
    <w:bookmarkStart w:id="385" w:name="page386"/>
    <w:bookmarkEnd w:id="385"/>
    <w:p>
      <w:pPr>
        <w:jc w:val="center"/>
        <w:ind w:right="-59"/>
        <w:spacing w:after="0"/>
        <w:rPr>
          <w:sz w:val="20"/>
          <w:szCs w:val="20"/>
          <w:color w:val="auto"/>
        </w:rPr>
      </w:pPr>
      <w:r>
        <w:rPr>
          <w:rFonts w:ascii="Times New Roman" w:cs="Times New Roman" w:eastAsia="Times New Roman" w:hAnsi="Times New Roman"/>
          <w:sz w:val="23"/>
          <w:szCs w:val="23"/>
          <w:b w:val="1"/>
          <w:bCs w:val="1"/>
          <w:color w:val="auto"/>
        </w:rPr>
        <w:t>SCHEDULE XI - FORMAT OF REPORT TO BE SUBMITTED BY THE MONITORING</w:t>
      </w:r>
    </w:p>
    <w:p>
      <w:pPr>
        <w:spacing w:after="0" w:line="137" w:lineRule="exact"/>
        <w:rPr>
          <w:sz w:val="20"/>
          <w:szCs w:val="20"/>
          <w:color w:val="auto"/>
        </w:rPr>
      </w:pPr>
    </w:p>
    <w:p>
      <w:pPr>
        <w:jc w:val="center"/>
        <w:ind w:right="-59"/>
        <w:spacing w:after="0"/>
        <w:rPr>
          <w:sz w:val="20"/>
          <w:szCs w:val="20"/>
          <w:color w:val="auto"/>
        </w:rPr>
      </w:pPr>
      <w:r>
        <w:rPr>
          <w:rFonts w:ascii="Times New Roman" w:cs="Times New Roman" w:eastAsia="Times New Roman" w:hAnsi="Times New Roman"/>
          <w:sz w:val="24"/>
          <w:szCs w:val="24"/>
          <w:b w:val="1"/>
          <w:bCs w:val="1"/>
          <w:color w:val="auto"/>
        </w:rPr>
        <w:t>AGENCY</w:t>
      </w:r>
    </w:p>
    <w:p>
      <w:pPr>
        <w:spacing w:after="0" w:line="139" w:lineRule="exact"/>
        <w:rPr>
          <w:sz w:val="20"/>
          <w:szCs w:val="20"/>
          <w:color w:val="auto"/>
        </w:rPr>
      </w:pPr>
    </w:p>
    <w:p>
      <w:pPr>
        <w:jc w:val="center"/>
        <w:ind w:right="-59"/>
        <w:spacing w:after="0"/>
        <w:rPr>
          <w:sz w:val="20"/>
          <w:szCs w:val="20"/>
          <w:color w:val="auto"/>
        </w:rPr>
      </w:pPr>
      <w:r>
        <w:rPr>
          <w:rFonts w:ascii="Times New Roman" w:cs="Times New Roman" w:eastAsia="Times New Roman" w:hAnsi="Times New Roman"/>
          <w:sz w:val="24"/>
          <w:szCs w:val="24"/>
          <w:b w:val="1"/>
          <w:bCs w:val="1"/>
          <w:color w:val="auto"/>
        </w:rPr>
        <w:t>[See regulation 82(2) and 82(3)]</w:t>
      </w:r>
    </w:p>
    <w:p>
      <w:pPr>
        <w:spacing w:after="0" w:line="200" w:lineRule="exact"/>
        <w:rPr>
          <w:sz w:val="20"/>
          <w:szCs w:val="20"/>
          <w:color w:val="auto"/>
        </w:rPr>
      </w:pPr>
    </w:p>
    <w:p>
      <w:pPr>
        <w:spacing w:after="0" w:line="34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u w:val="single" w:color="auto"/>
          <w:color w:val="auto"/>
        </w:rPr>
        <w:t>Front Page: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6054090</wp:posOffset>
                </wp:positionH>
                <wp:positionV relativeFrom="paragraph">
                  <wp:posOffset>127000</wp:posOffset>
                </wp:positionV>
                <wp:extent cx="0" cy="5934710"/>
                <wp:wrapNone/>
                <wp:docPr id="187" name="Shape 1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93471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87" o:spid="_x0000_s12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76.7pt,10pt" to="476.7pt,477.3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-8255</wp:posOffset>
                </wp:positionH>
                <wp:positionV relativeFrom="paragraph">
                  <wp:posOffset>130175</wp:posOffset>
                </wp:positionV>
                <wp:extent cx="6065520" cy="0"/>
                <wp:wrapNone/>
                <wp:docPr id="188" name="Shape 1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6552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88" o:spid="_x0000_s12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499pt,10.25pt" to="476.95pt,10.2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-5080</wp:posOffset>
                </wp:positionH>
                <wp:positionV relativeFrom="paragraph">
                  <wp:posOffset>127000</wp:posOffset>
                </wp:positionV>
                <wp:extent cx="0" cy="5934710"/>
                <wp:wrapNone/>
                <wp:docPr id="189" name="Shape 1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93471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89" o:spid="_x0000_s12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999pt,10pt" to="-0.3999pt,477.3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-8255</wp:posOffset>
                </wp:positionH>
                <wp:positionV relativeFrom="paragraph">
                  <wp:posOffset>6058535</wp:posOffset>
                </wp:positionV>
                <wp:extent cx="6065520" cy="0"/>
                <wp:wrapNone/>
                <wp:docPr id="190" name="Shape 1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6552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90" o:spid="_x0000_s12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499pt,477.05pt" to="476.95pt,477.05pt" o:allowincell="f" strokecolor="#000000" strokeweight="0.5pt"/>
            </w:pict>
          </mc:Fallback>
        </mc:AlternateContent>
      </w:r>
    </w:p>
    <w:p>
      <w:pPr>
        <w:spacing w:after="0" w:line="255" w:lineRule="exact"/>
        <w:rPr>
          <w:sz w:val="20"/>
          <w:szCs w:val="20"/>
          <w:color w:val="auto"/>
        </w:rPr>
      </w:pPr>
    </w:p>
    <w:p>
      <w:pPr>
        <w:jc w:val="center"/>
        <w:ind w:right="-139"/>
        <w:spacing w:after="0"/>
        <w:rPr>
          <w:sz w:val="20"/>
          <w:szCs w:val="20"/>
          <w:color w:val="auto"/>
        </w:rPr>
      </w:pPr>
      <w:r>
        <w:rPr>
          <w:rFonts w:ascii="Calibri" w:cs="Calibri" w:eastAsia="Calibri" w:hAnsi="Calibri"/>
          <w:sz w:val="22"/>
          <w:szCs w:val="22"/>
          <w:b w:val="1"/>
          <w:bCs w:val="1"/>
          <w:color w:val="auto"/>
        </w:rPr>
        <w:t>Report of the Monitoring Agency</w:t>
      </w:r>
    </w:p>
    <w:p>
      <w:pPr>
        <w:spacing w:after="0" w:line="230" w:lineRule="exact"/>
        <w:rPr>
          <w:sz w:val="20"/>
          <w:szCs w:val="20"/>
          <w:color w:val="auto"/>
        </w:rPr>
      </w:pPr>
    </w:p>
    <w:p>
      <w:pPr>
        <w:ind w:left="140"/>
        <w:spacing w:after="0"/>
        <w:rPr>
          <w:sz w:val="20"/>
          <w:szCs w:val="20"/>
          <w:color w:val="auto"/>
        </w:rPr>
      </w:pPr>
      <w:r>
        <w:rPr>
          <w:rFonts w:ascii="Calibri" w:cs="Calibri" w:eastAsia="Calibri" w:hAnsi="Calibri"/>
          <w:sz w:val="20"/>
          <w:szCs w:val="20"/>
          <w:color w:val="auto"/>
        </w:rPr>
        <w:t>Name of the issuer:</w:t>
      </w:r>
    </w:p>
    <w:p>
      <w:pPr>
        <w:spacing w:after="0" w:line="245" w:lineRule="exact"/>
        <w:rPr>
          <w:sz w:val="20"/>
          <w:szCs w:val="20"/>
          <w:color w:val="auto"/>
        </w:rPr>
      </w:pPr>
    </w:p>
    <w:p>
      <w:pPr>
        <w:ind w:left="140"/>
        <w:spacing w:after="0"/>
        <w:rPr>
          <w:sz w:val="20"/>
          <w:szCs w:val="20"/>
          <w:color w:val="auto"/>
        </w:rPr>
      </w:pPr>
      <w:r>
        <w:rPr>
          <w:rFonts w:ascii="Calibri" w:cs="Calibri" w:eastAsia="Calibri" w:hAnsi="Calibri"/>
          <w:sz w:val="20"/>
          <w:szCs w:val="20"/>
          <w:color w:val="auto"/>
        </w:rPr>
        <w:t>For quarter ended:</w:t>
      </w:r>
    </w:p>
    <w:p>
      <w:pPr>
        <w:spacing w:after="0" w:line="244" w:lineRule="exact"/>
        <w:rPr>
          <w:sz w:val="20"/>
          <w:szCs w:val="20"/>
          <w:color w:val="auto"/>
        </w:rPr>
      </w:pPr>
    </w:p>
    <w:p>
      <w:pPr>
        <w:ind w:left="140"/>
        <w:spacing w:after="0"/>
        <w:rPr>
          <w:sz w:val="20"/>
          <w:szCs w:val="20"/>
          <w:color w:val="auto"/>
        </w:rPr>
      </w:pPr>
      <w:r>
        <w:rPr>
          <w:rFonts w:ascii="Calibri" w:cs="Calibri" w:eastAsia="Calibri" w:hAnsi="Calibri"/>
          <w:sz w:val="20"/>
          <w:szCs w:val="20"/>
          <w:color w:val="auto"/>
        </w:rPr>
        <w:t>Name of the Monitoring Agency:</w:t>
      </w:r>
    </w:p>
    <w:p>
      <w:pPr>
        <w:spacing w:after="0" w:line="245" w:lineRule="exact"/>
        <w:rPr>
          <w:sz w:val="20"/>
          <w:szCs w:val="20"/>
          <w:color w:val="auto"/>
        </w:rPr>
      </w:pPr>
    </w:p>
    <w:p>
      <w:pPr>
        <w:ind w:left="860" w:hanging="719"/>
        <w:spacing w:after="0"/>
        <w:tabs>
          <w:tab w:leader="none" w:pos="860" w:val="left"/>
        </w:tabs>
        <w:numPr>
          <w:ilvl w:val="0"/>
          <w:numId w:val="1168"/>
        </w:numPr>
        <w:rPr>
          <w:rFonts w:ascii="Calibri" w:cs="Calibri" w:eastAsia="Calibri" w:hAnsi="Calibri"/>
          <w:sz w:val="20"/>
          <w:szCs w:val="20"/>
          <w:color w:val="auto"/>
        </w:rPr>
      </w:pPr>
      <w:r>
        <w:rPr>
          <w:rFonts w:ascii="Calibri" w:cs="Calibri" w:eastAsia="Calibri" w:hAnsi="Calibri"/>
          <w:sz w:val="20"/>
          <w:szCs w:val="20"/>
          <w:color w:val="auto"/>
        </w:rPr>
        <w:t>Deviation from the objects:</w:t>
      </w:r>
    </w:p>
    <w:p>
      <w:pPr>
        <w:spacing w:after="0" w:line="289" w:lineRule="exact"/>
        <w:rPr>
          <w:rFonts w:ascii="Calibri" w:cs="Calibri" w:eastAsia="Calibri" w:hAnsi="Calibri"/>
          <w:sz w:val="20"/>
          <w:szCs w:val="20"/>
          <w:color w:val="auto"/>
        </w:rPr>
      </w:pPr>
    </w:p>
    <w:p>
      <w:pPr>
        <w:ind w:left="1220" w:hanging="359"/>
        <w:spacing w:after="0" w:line="217" w:lineRule="auto"/>
        <w:tabs>
          <w:tab w:leader="none" w:pos="1220" w:val="left"/>
        </w:tabs>
        <w:numPr>
          <w:ilvl w:val="1"/>
          <w:numId w:val="1168"/>
        </w:numPr>
        <w:rPr>
          <w:rFonts w:ascii="Times New Roman" w:cs="Times New Roman" w:eastAsia="Times New Roman" w:hAnsi="Times New Roman"/>
          <w:sz w:val="20"/>
          <w:szCs w:val="20"/>
          <w:color w:val="auto"/>
        </w:rPr>
      </w:pPr>
      <w:r>
        <w:rPr>
          <w:rFonts w:ascii="Calibri" w:cs="Calibri" w:eastAsia="Calibri" w:hAnsi="Calibri"/>
          <w:sz w:val="20"/>
          <w:szCs w:val="20"/>
          <w:i w:val="1"/>
          <w:iCs w:val="1"/>
          <w:color w:val="auto"/>
        </w:rPr>
        <w:t>Utilization different from Objects stated in the offer document but in line with change of objects approved by shareholders' resolution;</w:t>
      </w:r>
    </w:p>
    <w:p>
      <w:pPr>
        <w:spacing w:after="0" w:line="1" w:lineRule="exact"/>
        <w:rPr>
          <w:rFonts w:ascii="Times New Roman" w:cs="Times New Roman" w:eastAsia="Times New Roman" w:hAnsi="Times New Roman"/>
          <w:sz w:val="20"/>
          <w:szCs w:val="20"/>
          <w:color w:val="auto"/>
        </w:rPr>
      </w:pPr>
    </w:p>
    <w:p>
      <w:pPr>
        <w:ind w:left="1220"/>
        <w:spacing w:after="0"/>
        <w:rPr>
          <w:rFonts w:ascii="Times New Roman" w:cs="Times New Roman" w:eastAsia="Times New Roman" w:hAnsi="Times New Roman"/>
          <w:sz w:val="20"/>
          <w:szCs w:val="20"/>
          <w:color w:val="auto"/>
        </w:rPr>
      </w:pPr>
      <w:r>
        <w:rPr>
          <w:rFonts w:ascii="Calibri" w:cs="Calibri" w:eastAsia="Calibri" w:hAnsi="Calibri"/>
          <w:sz w:val="20"/>
          <w:szCs w:val="20"/>
          <w:i w:val="1"/>
          <w:iCs w:val="1"/>
          <w:color w:val="auto"/>
        </w:rPr>
        <w:t>or</w:t>
      </w:r>
    </w:p>
    <w:p>
      <w:pPr>
        <w:spacing w:after="0" w:line="241" w:lineRule="exact"/>
        <w:rPr>
          <w:rFonts w:ascii="Times New Roman" w:cs="Times New Roman" w:eastAsia="Times New Roman" w:hAnsi="Times New Roman"/>
          <w:sz w:val="20"/>
          <w:szCs w:val="20"/>
          <w:color w:val="auto"/>
        </w:rPr>
      </w:pPr>
    </w:p>
    <w:p>
      <w:pPr>
        <w:ind w:left="1220" w:hanging="359"/>
        <w:spacing w:after="0" w:line="216" w:lineRule="auto"/>
        <w:tabs>
          <w:tab w:leader="none" w:pos="1220" w:val="left"/>
        </w:tabs>
        <w:numPr>
          <w:ilvl w:val="1"/>
          <w:numId w:val="1168"/>
        </w:numPr>
        <w:rPr>
          <w:rFonts w:ascii="Times New Roman" w:cs="Times New Roman" w:eastAsia="Times New Roman" w:hAnsi="Times New Roman"/>
          <w:sz w:val="20"/>
          <w:szCs w:val="20"/>
          <w:color w:val="auto"/>
        </w:rPr>
      </w:pPr>
      <w:r>
        <w:rPr>
          <w:rFonts w:ascii="Calibri" w:cs="Calibri" w:eastAsia="Calibri" w:hAnsi="Calibri"/>
          <w:sz w:val="20"/>
          <w:szCs w:val="20"/>
          <w:i w:val="1"/>
          <w:iCs w:val="1"/>
          <w:color w:val="auto"/>
        </w:rPr>
        <w:t>Utilization neither in line with Objects stated in the offer document nor approved by shareholders' resolution</w:t>
      </w:r>
    </w:p>
    <w:p>
      <w:pPr>
        <w:spacing w:after="0" w:line="226" w:lineRule="exact"/>
        <w:rPr>
          <w:rFonts w:ascii="Times New Roman" w:cs="Times New Roman" w:eastAsia="Times New Roman" w:hAnsi="Times New Roman"/>
          <w:sz w:val="20"/>
          <w:szCs w:val="20"/>
          <w:color w:val="auto"/>
        </w:rPr>
      </w:pPr>
    </w:p>
    <w:p>
      <w:pPr>
        <w:ind w:left="1220" w:hanging="359"/>
        <w:spacing w:after="0"/>
        <w:tabs>
          <w:tab w:leader="none" w:pos="1220" w:val="left"/>
        </w:tabs>
        <w:numPr>
          <w:ilvl w:val="1"/>
          <w:numId w:val="1168"/>
        </w:numPr>
        <w:rPr>
          <w:rFonts w:ascii="Times New Roman" w:cs="Times New Roman" w:eastAsia="Times New Roman" w:hAnsi="Times New Roman"/>
          <w:sz w:val="20"/>
          <w:szCs w:val="20"/>
          <w:color w:val="auto"/>
        </w:rPr>
      </w:pPr>
      <w:r>
        <w:rPr>
          <w:rFonts w:ascii="Calibri" w:cs="Calibri" w:eastAsia="Calibri" w:hAnsi="Calibri"/>
          <w:sz w:val="20"/>
          <w:szCs w:val="20"/>
          <w:i w:val="1"/>
          <w:iCs w:val="1"/>
          <w:color w:val="auto"/>
        </w:rPr>
        <w:t>In case there is no deviation, the same shall be stated.</w:t>
      </w:r>
    </w:p>
    <w:p>
      <w:pPr>
        <w:spacing w:after="0" w:line="195" w:lineRule="exact"/>
        <w:rPr>
          <w:rFonts w:ascii="Times New Roman" w:cs="Times New Roman" w:eastAsia="Times New Roman" w:hAnsi="Times New Roman"/>
          <w:sz w:val="20"/>
          <w:szCs w:val="20"/>
          <w:color w:val="auto"/>
        </w:rPr>
      </w:pPr>
    </w:p>
    <w:p>
      <w:pPr>
        <w:ind w:left="860" w:hanging="719"/>
        <w:spacing w:after="0"/>
        <w:tabs>
          <w:tab w:leader="none" w:pos="860" w:val="left"/>
        </w:tabs>
        <w:numPr>
          <w:ilvl w:val="0"/>
          <w:numId w:val="1168"/>
        </w:numPr>
        <w:rPr>
          <w:rFonts w:ascii="Calibri" w:cs="Calibri" w:eastAsia="Calibri" w:hAnsi="Calibri"/>
          <w:sz w:val="20"/>
          <w:szCs w:val="20"/>
          <w:color w:val="auto"/>
        </w:rPr>
      </w:pPr>
      <w:r>
        <w:rPr>
          <w:rFonts w:ascii="Calibri" w:cs="Calibri" w:eastAsia="Calibri" w:hAnsi="Calibri"/>
          <w:sz w:val="20"/>
          <w:szCs w:val="20"/>
          <w:i w:val="1"/>
          <w:iCs w:val="1"/>
          <w:color w:val="auto"/>
        </w:rPr>
        <w:t>Range of Deviation*:</w:t>
      </w:r>
    </w:p>
    <w:p>
      <w:pPr>
        <w:spacing w:after="0" w:line="290" w:lineRule="exact"/>
        <w:rPr>
          <w:sz w:val="20"/>
          <w:szCs w:val="20"/>
          <w:color w:val="auto"/>
        </w:rPr>
      </w:pPr>
    </w:p>
    <w:p>
      <w:pPr>
        <w:ind w:left="140"/>
        <w:spacing w:after="0" w:line="217" w:lineRule="auto"/>
        <w:rPr>
          <w:sz w:val="20"/>
          <w:szCs w:val="20"/>
          <w:color w:val="auto"/>
        </w:rPr>
      </w:pPr>
      <w:r>
        <w:rPr>
          <w:rFonts w:ascii="Calibri" w:cs="Calibri" w:eastAsia="Calibri" w:hAnsi="Calibri"/>
          <w:sz w:val="20"/>
          <w:szCs w:val="20"/>
          <w:i w:val="1"/>
          <w:iCs w:val="1"/>
          <w:color w:val="auto"/>
        </w:rPr>
        <w:t>Indicate the range of percentage deviation from the amount of issue proceeds earmarked for the objects. For example, up to 10%, 10- 25%, 25-50%, 50-75%, 75-100%, not ascertainable etc.</w:t>
      </w:r>
    </w:p>
    <w:p>
      <w:pPr>
        <w:spacing w:after="0" w:line="291" w:lineRule="exact"/>
        <w:rPr>
          <w:sz w:val="20"/>
          <w:szCs w:val="20"/>
          <w:color w:val="auto"/>
        </w:rPr>
      </w:pPr>
    </w:p>
    <w:p>
      <w:pPr>
        <w:ind w:left="140" w:firstLine="1"/>
        <w:spacing w:after="0" w:line="217" w:lineRule="auto"/>
        <w:tabs>
          <w:tab w:leader="none" w:pos="286" w:val="left"/>
        </w:tabs>
        <w:numPr>
          <w:ilvl w:val="0"/>
          <w:numId w:val="1169"/>
        </w:numPr>
        <w:rPr>
          <w:rFonts w:ascii="Calibri" w:cs="Calibri" w:eastAsia="Calibri" w:hAnsi="Calibri"/>
          <w:sz w:val="20"/>
          <w:szCs w:val="20"/>
          <w:i w:val="1"/>
          <w:iCs w:val="1"/>
          <w:color w:val="auto"/>
        </w:rPr>
      </w:pPr>
      <w:r>
        <w:rPr>
          <w:rFonts w:ascii="Calibri" w:cs="Calibri" w:eastAsia="Calibri" w:hAnsi="Calibri"/>
          <w:sz w:val="20"/>
          <w:szCs w:val="20"/>
          <w:i w:val="1"/>
          <w:iCs w:val="1"/>
          <w:color w:val="auto"/>
        </w:rPr>
        <w:t>The range of deviation may be computed by taking weighted average of financial deviation of each object in the ratio of issue proceeds allocated for it. Non-financial deviation may be indicated separately by way of notes.</w:t>
      </w:r>
    </w:p>
    <w:p>
      <w:pPr>
        <w:spacing w:after="0" w:line="246" w:lineRule="exact"/>
        <w:rPr>
          <w:sz w:val="20"/>
          <w:szCs w:val="20"/>
          <w:color w:val="auto"/>
        </w:rPr>
      </w:pPr>
    </w:p>
    <w:p>
      <w:pPr>
        <w:ind w:left="140"/>
        <w:spacing w:after="0"/>
        <w:rPr>
          <w:sz w:val="20"/>
          <w:szCs w:val="20"/>
          <w:color w:val="auto"/>
        </w:rPr>
      </w:pPr>
      <w:r>
        <w:rPr>
          <w:rFonts w:ascii="Calibri" w:cs="Calibri" w:eastAsia="Calibri" w:hAnsi="Calibri"/>
          <w:sz w:val="20"/>
          <w:szCs w:val="20"/>
          <w:b w:val="1"/>
          <w:bCs w:val="1"/>
          <w:color w:val="auto"/>
        </w:rPr>
        <w:t>Declaration</w:t>
      </w:r>
      <w:r>
        <w:rPr>
          <w:rFonts w:ascii="Calibri" w:cs="Calibri" w:eastAsia="Calibri" w:hAnsi="Calibri"/>
          <w:sz w:val="20"/>
          <w:szCs w:val="20"/>
          <w:color w:val="auto"/>
        </w:rPr>
        <w:t>:</w:t>
      </w:r>
    </w:p>
    <w:p>
      <w:pPr>
        <w:spacing w:after="0" w:line="45" w:lineRule="exact"/>
        <w:rPr>
          <w:sz w:val="20"/>
          <w:szCs w:val="20"/>
          <w:color w:val="auto"/>
        </w:rPr>
      </w:pPr>
    </w:p>
    <w:p>
      <w:pPr>
        <w:jc w:val="both"/>
        <w:ind w:left="140"/>
        <w:spacing w:after="0" w:line="217" w:lineRule="auto"/>
        <w:rPr>
          <w:sz w:val="20"/>
          <w:szCs w:val="20"/>
          <w:color w:val="auto"/>
        </w:rPr>
      </w:pPr>
      <w:r>
        <w:rPr>
          <w:rFonts w:ascii="Calibri" w:cs="Calibri" w:eastAsia="Calibri" w:hAnsi="Calibri"/>
          <w:sz w:val="20"/>
          <w:szCs w:val="20"/>
          <w:i w:val="1"/>
          <w:iCs w:val="1"/>
          <w:color w:val="auto"/>
        </w:rPr>
        <w:t>We declare that this report is based on the format prescribed by the SEBI (ICDR) Regulations, 2018, We further declare that this report provides a true and fair view of the utilization of the issue proceeds.</w:t>
      </w:r>
    </w:p>
    <w:p>
      <w:pPr>
        <w:spacing w:after="0" w:line="294" w:lineRule="exact"/>
        <w:rPr>
          <w:sz w:val="20"/>
          <w:szCs w:val="20"/>
          <w:color w:val="auto"/>
        </w:rPr>
      </w:pPr>
    </w:p>
    <w:p>
      <w:pPr>
        <w:jc w:val="both"/>
        <w:ind w:left="140"/>
        <w:spacing w:after="0" w:line="224" w:lineRule="auto"/>
        <w:rPr>
          <w:sz w:val="20"/>
          <w:szCs w:val="20"/>
          <w:color w:val="auto"/>
        </w:rPr>
      </w:pPr>
      <w:r>
        <w:rPr>
          <w:rFonts w:ascii="Calibri" w:cs="Calibri" w:eastAsia="Calibri" w:hAnsi="Calibri"/>
          <w:sz w:val="20"/>
          <w:szCs w:val="20"/>
          <w:i w:val="1"/>
          <w:iCs w:val="1"/>
          <w:color w:val="auto"/>
        </w:rPr>
        <w:t>We declare that we do not have any direct/indirect interest in or relationship with the issuer/promoters/ directors/management and also confirm that we do not perceive any conflict of interest in such relationship/interest while monitoring and reporting the utilization of the issue proceeds by the issuer.</w:t>
      </w:r>
    </w:p>
    <w:p>
      <w:pPr>
        <w:spacing w:after="0" w:line="244" w:lineRule="exact"/>
        <w:rPr>
          <w:sz w:val="20"/>
          <w:szCs w:val="20"/>
          <w:color w:val="auto"/>
        </w:rPr>
      </w:pPr>
    </w:p>
    <w:p>
      <w:pPr>
        <w:ind w:left="140"/>
        <w:spacing w:after="0"/>
        <w:rPr>
          <w:sz w:val="20"/>
          <w:szCs w:val="20"/>
          <w:color w:val="auto"/>
        </w:rPr>
      </w:pPr>
      <w:r>
        <w:rPr>
          <w:rFonts w:ascii="Calibri" w:cs="Calibri" w:eastAsia="Calibri" w:hAnsi="Calibri"/>
          <w:sz w:val="20"/>
          <w:szCs w:val="20"/>
          <w:color w:val="auto"/>
        </w:rPr>
        <w:t>Signature:</w:t>
      </w:r>
    </w:p>
    <w:p>
      <w:pPr>
        <w:spacing w:after="0" w:line="1" w:lineRule="exact"/>
        <w:rPr>
          <w:sz w:val="20"/>
          <w:szCs w:val="20"/>
          <w:color w:val="auto"/>
        </w:rPr>
      </w:pPr>
    </w:p>
    <w:p>
      <w:pPr>
        <w:ind w:left="140"/>
        <w:spacing w:after="0"/>
        <w:rPr>
          <w:sz w:val="20"/>
          <w:szCs w:val="20"/>
          <w:color w:val="auto"/>
        </w:rPr>
      </w:pPr>
      <w:r>
        <w:rPr>
          <w:rFonts w:ascii="Calibri" w:cs="Calibri" w:eastAsia="Calibri" w:hAnsi="Calibri"/>
          <w:sz w:val="20"/>
          <w:szCs w:val="20"/>
          <w:color w:val="auto"/>
        </w:rPr>
        <w:t>Name and designation of the Authorized Signatory:</w:t>
      </w:r>
    </w:p>
    <w:p>
      <w:pPr>
        <w:spacing w:after="0" w:line="1" w:lineRule="exact"/>
        <w:rPr>
          <w:sz w:val="20"/>
          <w:szCs w:val="20"/>
          <w:color w:val="auto"/>
        </w:rPr>
      </w:pPr>
    </w:p>
    <w:p>
      <w:pPr>
        <w:ind w:left="140"/>
        <w:spacing w:after="0"/>
        <w:rPr>
          <w:sz w:val="20"/>
          <w:szCs w:val="20"/>
          <w:color w:val="auto"/>
        </w:rPr>
      </w:pPr>
      <w:r>
        <w:rPr>
          <w:rFonts w:ascii="Calibri" w:cs="Calibri" w:eastAsia="Calibri" w:hAnsi="Calibri"/>
          <w:sz w:val="20"/>
          <w:szCs w:val="20"/>
          <w:color w:val="auto"/>
        </w:rPr>
        <w:t>Designation of Authorized person/Signing Authority: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jc w:val="center"/>
        <w:ind w:right="-59"/>
        <w:spacing w:after="0"/>
        <w:rPr>
          <w:sz w:val="20"/>
          <w:szCs w:val="20"/>
          <w:color w:val="auto"/>
        </w:rPr>
      </w:pPr>
      <w:r>
        <w:rPr>
          <w:rFonts w:ascii="Times New Roman" w:cs="Times New Roman" w:eastAsia="Times New Roman" w:hAnsi="Times New Roman"/>
          <w:sz w:val="24"/>
          <w:szCs w:val="24"/>
          <w:color w:val="auto"/>
        </w:rPr>
        <w:t>386</w:t>
      </w:r>
    </w:p>
    <w:p>
      <w:pPr>
        <w:sectPr>
          <w:pgSz w:w="11900" w:h="16836" w:orient="portrait"/>
          <w:cols w:equalWidth="0" w:num="1">
            <w:col w:w="9380"/>
          </w:cols>
          <w:pgMar w:left="1160" w:top="1160" w:right="1364" w:bottom="103" w:gutter="0" w:footer="0" w:header="0"/>
        </w:sectPr>
      </w:pPr>
    </w:p>
    <w:bookmarkStart w:id="386" w:name="page387"/>
    <w:bookmarkEnd w:id="386"/>
    <w:p>
      <w:pPr>
        <w:spacing w:after="0"/>
        <w:rPr>
          <w:sz w:val="20"/>
          <w:szCs w:val="20"/>
          <w:color w:val="auto"/>
        </w:rPr>
      </w:pPr>
      <w:r>
        <w:rPr>
          <w:rFonts w:ascii="Times New Roman" w:cs="Times New Roman" w:eastAsia="Times New Roman" w:hAnsi="Times New Roman"/>
          <w:sz w:val="23"/>
          <w:szCs w:val="23"/>
          <w:u w:val="single" w:color="auto"/>
          <w:color w:val="auto"/>
        </w:rPr>
        <w:t>Subsequent Pages</w:t>
      </w:r>
      <w:r>
        <w:rPr>
          <w:rFonts w:ascii="Times New Roman" w:cs="Times New Roman" w:eastAsia="Times New Roman" w:hAnsi="Times New Roman"/>
          <w:sz w:val="23"/>
          <w:szCs w:val="23"/>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5992495</wp:posOffset>
                </wp:positionH>
                <wp:positionV relativeFrom="paragraph">
                  <wp:posOffset>167005</wp:posOffset>
                </wp:positionV>
                <wp:extent cx="0" cy="8668385"/>
                <wp:wrapNone/>
                <wp:docPr id="191" name="Shape 1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66838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91" o:spid="_x0000_s12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71.85pt,13.15pt" to="471.85pt,695.7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-8255</wp:posOffset>
                </wp:positionH>
                <wp:positionV relativeFrom="paragraph">
                  <wp:posOffset>170180</wp:posOffset>
                </wp:positionV>
                <wp:extent cx="6003925" cy="0"/>
                <wp:wrapNone/>
                <wp:docPr id="192" name="Shape 1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0392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92" o:spid="_x0000_s12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499pt,13.4pt" to="472.1pt,13.4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-5080</wp:posOffset>
                </wp:positionH>
                <wp:positionV relativeFrom="paragraph">
                  <wp:posOffset>167005</wp:posOffset>
                </wp:positionV>
                <wp:extent cx="0" cy="8668385"/>
                <wp:wrapNone/>
                <wp:docPr id="193" name="Shape 1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66838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93" o:spid="_x0000_s12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999pt,13.15pt" to="-0.3999pt,695.7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-8255</wp:posOffset>
                </wp:positionH>
                <wp:positionV relativeFrom="paragraph">
                  <wp:posOffset>8832215</wp:posOffset>
                </wp:positionV>
                <wp:extent cx="6003925" cy="0"/>
                <wp:wrapNone/>
                <wp:docPr id="194" name="Shape 1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0392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94" o:spid="_x0000_s12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499pt,695.45pt" to="472.1pt,695.45pt" o:allowincell="f" strokecolor="#000000" strokeweight="0.5pt"/>
            </w:pict>
          </mc:Fallback>
        </mc:AlternateContent>
      </w:r>
    </w:p>
    <w:p>
      <w:pPr>
        <w:sectPr>
          <w:pgSz w:w="11900" w:h="16836" w:orient="portrait"/>
          <w:cols w:equalWidth="0" w:num="1">
            <w:col w:w="9360"/>
          </w:cols>
          <w:pgMar w:left="1160" w:top="1155" w:right="1384" w:bottom="103" w:gutter="0" w:footer="0" w:header="0"/>
        </w:sectPr>
      </w:pPr>
    </w:p>
    <w:p>
      <w:pPr>
        <w:spacing w:after="0" w:line="200" w:lineRule="exact"/>
        <w:rPr>
          <w:sz w:val="20"/>
          <w:szCs w:val="20"/>
          <w:color w:val="auto"/>
        </w:rPr>
      </w:pPr>
    </w:p>
    <w:p>
      <w:pPr>
        <w:spacing w:after="0" w:line="370" w:lineRule="exact"/>
        <w:rPr>
          <w:sz w:val="20"/>
          <w:szCs w:val="20"/>
          <w:color w:val="auto"/>
        </w:rPr>
      </w:pPr>
    </w:p>
    <w:p>
      <w:pPr>
        <w:ind w:left="680" w:hanging="539"/>
        <w:spacing w:after="0"/>
        <w:tabs>
          <w:tab w:leader="none" w:pos="680" w:val="left"/>
        </w:tabs>
        <w:numPr>
          <w:ilvl w:val="0"/>
          <w:numId w:val="1170"/>
        </w:numPr>
        <w:rPr>
          <w:rFonts w:ascii="Calibri" w:cs="Calibri" w:eastAsia="Calibri" w:hAnsi="Calibri"/>
          <w:sz w:val="20"/>
          <w:szCs w:val="20"/>
          <w:b w:val="1"/>
          <w:bCs w:val="1"/>
          <w:color w:val="auto"/>
        </w:rPr>
      </w:pPr>
      <w:r>
        <w:rPr>
          <w:rFonts w:ascii="Calibri" w:cs="Calibri" w:eastAsia="Calibri" w:hAnsi="Calibri"/>
          <w:sz w:val="20"/>
          <w:szCs w:val="20"/>
          <w:b w:val="1"/>
          <w:bCs w:val="1"/>
          <w:color w:val="auto"/>
        </w:rPr>
        <w:t>Issuer Details:</w:t>
      </w:r>
    </w:p>
    <w:p>
      <w:pPr>
        <w:ind w:left="1100"/>
        <w:spacing w:after="0" w:line="238" w:lineRule="auto"/>
        <w:tabs>
          <w:tab w:leader="none" w:pos="2820" w:val="left"/>
        </w:tabs>
        <w:rPr>
          <w:sz w:val="20"/>
          <w:szCs w:val="20"/>
          <w:color w:val="auto"/>
        </w:rPr>
      </w:pPr>
      <w:r>
        <w:rPr>
          <w:rFonts w:ascii="Calibri" w:cs="Calibri" w:eastAsia="Calibri" w:hAnsi="Calibri"/>
          <w:sz w:val="20"/>
          <w:szCs w:val="20"/>
          <w:color w:val="auto"/>
        </w:rPr>
        <w:t>Name of the issuer</w:t>
        <w:tab/>
        <w:t>:</w:t>
      </w:r>
    </w:p>
    <w:p>
      <w:pPr>
        <w:spacing w:after="0" w:line="1" w:lineRule="exact"/>
        <w:rPr>
          <w:sz w:val="20"/>
          <w:szCs w:val="20"/>
          <w:color w:val="auto"/>
        </w:rPr>
      </w:pPr>
    </w:p>
    <w:p>
      <w:pPr>
        <w:ind w:left="1100"/>
        <w:spacing w:after="0"/>
        <w:rPr>
          <w:sz w:val="20"/>
          <w:szCs w:val="20"/>
          <w:color w:val="auto"/>
        </w:rPr>
      </w:pPr>
      <w:r>
        <w:rPr>
          <w:rFonts w:ascii="Calibri" w:cs="Calibri" w:eastAsia="Calibri" w:hAnsi="Calibri"/>
          <w:sz w:val="20"/>
          <w:szCs w:val="20"/>
          <w:color w:val="auto"/>
        </w:rPr>
        <w:t>Names of the promoter :</w:t>
      </w:r>
    </w:p>
    <w:p>
      <w:pPr>
        <w:spacing w:after="0" w:line="1" w:lineRule="exact"/>
        <w:rPr>
          <w:sz w:val="20"/>
          <w:szCs w:val="20"/>
          <w:color w:val="auto"/>
        </w:rPr>
      </w:pPr>
    </w:p>
    <w:p>
      <w:pPr>
        <w:jc w:val="right"/>
        <w:ind w:right="1780"/>
        <w:spacing w:after="0"/>
        <w:rPr>
          <w:sz w:val="20"/>
          <w:szCs w:val="20"/>
          <w:color w:val="auto"/>
        </w:rPr>
      </w:pPr>
      <w:r>
        <w:rPr>
          <w:rFonts w:ascii="Calibri" w:cs="Calibri" w:eastAsia="Calibri" w:hAnsi="Calibri"/>
          <w:sz w:val="20"/>
          <w:szCs w:val="20"/>
          <w:color w:val="auto"/>
        </w:rPr>
        <w:t>Industry/sector to which it belongs</w:t>
      </w:r>
    </w:p>
    <w:p>
      <w:pPr>
        <w:spacing w:after="0" w:line="47" w:lineRule="exact"/>
        <w:rPr>
          <w:sz w:val="20"/>
          <w:szCs w:val="20"/>
          <w:color w:val="auto"/>
        </w:rPr>
      </w:pPr>
    </w:p>
    <w:p>
      <w:pPr>
        <w:ind w:left="1100" w:right="3620" w:hanging="959"/>
        <w:spacing w:after="0" w:line="216" w:lineRule="auto"/>
        <w:tabs>
          <w:tab w:leader="none" w:pos="668" w:val="left"/>
        </w:tabs>
        <w:numPr>
          <w:ilvl w:val="0"/>
          <w:numId w:val="1171"/>
        </w:numPr>
        <w:rPr>
          <w:rFonts w:ascii="Calibri" w:cs="Calibri" w:eastAsia="Calibri" w:hAnsi="Calibri"/>
          <w:sz w:val="20"/>
          <w:szCs w:val="20"/>
          <w:b w:val="1"/>
          <w:bCs w:val="1"/>
          <w:color w:val="auto"/>
        </w:rPr>
      </w:pPr>
      <w:r>
        <w:rPr>
          <w:rFonts w:ascii="Calibri" w:cs="Calibri" w:eastAsia="Calibri" w:hAnsi="Calibri"/>
          <w:sz w:val="20"/>
          <w:szCs w:val="20"/>
          <w:b w:val="1"/>
          <w:bCs w:val="1"/>
          <w:color w:val="auto"/>
        </w:rPr>
        <w:t xml:space="preserve">Issue Details </w:t>
      </w:r>
      <w:r>
        <w:rPr>
          <w:rFonts w:ascii="Calibri" w:cs="Calibri" w:eastAsia="Calibri" w:hAnsi="Calibri"/>
          <w:sz w:val="20"/>
          <w:szCs w:val="20"/>
          <w:color w:val="auto"/>
        </w:rPr>
        <w:t>Issue Period</w:t>
      </w:r>
    </w:p>
    <w:p>
      <w:pPr>
        <w:spacing w:after="0" w:line="1" w:lineRule="exact"/>
        <w:rPr>
          <w:rFonts w:ascii="Calibri" w:cs="Calibri" w:eastAsia="Calibri" w:hAnsi="Calibri"/>
          <w:sz w:val="20"/>
          <w:szCs w:val="20"/>
          <w:b w:val="1"/>
          <w:bCs w:val="1"/>
          <w:color w:val="auto"/>
        </w:rPr>
      </w:pPr>
    </w:p>
    <w:p>
      <w:pPr>
        <w:ind w:left="1100"/>
        <w:spacing w:after="0"/>
        <w:rPr>
          <w:rFonts w:ascii="Calibri" w:cs="Calibri" w:eastAsia="Calibri" w:hAnsi="Calibri"/>
          <w:sz w:val="20"/>
          <w:szCs w:val="20"/>
          <w:b w:val="1"/>
          <w:bCs w:val="1"/>
          <w:color w:val="auto"/>
        </w:rPr>
      </w:pPr>
      <w:r>
        <w:rPr>
          <w:rFonts w:ascii="Calibri" w:cs="Calibri" w:eastAsia="Calibri" w:hAnsi="Calibri"/>
          <w:sz w:val="20"/>
          <w:szCs w:val="20"/>
          <w:color w:val="auto"/>
        </w:rPr>
        <w:t>Type of issue (public/rights)</w:t>
      </w:r>
    </w:p>
    <w:p>
      <w:pPr>
        <w:spacing w:after="0" w:line="1" w:lineRule="exact"/>
        <w:rPr>
          <w:sz w:val="20"/>
          <w:szCs w:val="20"/>
          <w:color w:val="auto"/>
        </w:rPr>
      </w:pPr>
    </w:p>
    <w:p>
      <w:pPr>
        <w:ind w:left="1100"/>
        <w:spacing w:after="0"/>
        <w:tabs>
          <w:tab w:leader="none" w:pos="3540" w:val="left"/>
        </w:tabs>
        <w:rPr>
          <w:sz w:val="20"/>
          <w:szCs w:val="20"/>
          <w:color w:val="auto"/>
        </w:rPr>
      </w:pPr>
      <w:r>
        <w:rPr>
          <w:rFonts w:ascii="Calibri" w:cs="Calibri" w:eastAsia="Calibri" w:hAnsi="Calibri"/>
          <w:sz w:val="20"/>
          <w:szCs w:val="20"/>
          <w:color w:val="auto"/>
        </w:rPr>
        <w:t>Type of specified securities</w:t>
        <w:tab/>
        <w:t>:</w:t>
      </w:r>
    </w:p>
    <w:p>
      <w:pPr>
        <w:ind w:left="1100"/>
        <w:spacing w:after="0" w:line="238" w:lineRule="auto"/>
        <w:rPr>
          <w:sz w:val="20"/>
          <w:szCs w:val="20"/>
          <w:color w:val="auto"/>
        </w:rPr>
      </w:pPr>
      <w:r>
        <w:rPr>
          <w:rFonts w:ascii="Calibri" w:cs="Calibri" w:eastAsia="Calibri" w:hAnsi="Calibri"/>
          <w:sz w:val="20"/>
          <w:szCs w:val="20"/>
          <w:color w:val="auto"/>
        </w:rPr>
        <w:t>IPO Grading, if any</w:t>
      </w:r>
    </w:p>
    <w:p>
      <w:pPr>
        <w:ind w:left="1100"/>
        <w:spacing w:after="0" w:line="235" w:lineRule="auto"/>
        <w:rPr>
          <w:sz w:val="20"/>
          <w:szCs w:val="20"/>
          <w:color w:val="auto"/>
        </w:rPr>
      </w:pPr>
      <w:r>
        <w:rPr>
          <w:rFonts w:ascii="Calibri" w:cs="Calibri" w:eastAsia="Calibri" w:hAnsi="Calibri"/>
          <w:sz w:val="20"/>
          <w:szCs w:val="20"/>
          <w:color w:val="auto"/>
        </w:rPr>
        <w:t xml:space="preserve">Issue size (in </w:t>
      </w:r>
      <w:r>
        <w:rPr>
          <w:rFonts w:ascii="Arial" w:cs="Arial" w:eastAsia="Arial" w:hAnsi="Arial"/>
          <w:sz w:val="22"/>
          <w:szCs w:val="22"/>
          <w:color w:val="auto"/>
        </w:rPr>
        <w:t>`</w:t>
      </w:r>
      <w:r>
        <w:rPr>
          <w:rFonts w:ascii="Calibri" w:cs="Calibri" w:eastAsia="Calibri" w:hAnsi="Calibri"/>
          <w:sz w:val="20"/>
          <w:szCs w:val="20"/>
          <w:color w:val="auto"/>
        </w:rPr>
        <w:t xml:space="preserve"> crore)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b w:val="1"/>
          <w:bCs w:val="1"/>
          <w:color w:val="auto"/>
        </w:rPr>
        <w:t>:</w:t>
      </w:r>
    </w:p>
    <w:p>
      <w:pPr>
        <w:spacing w:after="0" w:line="200" w:lineRule="exact"/>
        <w:rPr>
          <w:sz w:val="20"/>
          <w:szCs w:val="20"/>
          <w:color w:val="auto"/>
        </w:rPr>
      </w:pPr>
    </w:p>
    <w:p>
      <w:pPr>
        <w:spacing w:after="0" w:line="342" w:lineRule="exact"/>
        <w:rPr>
          <w:sz w:val="20"/>
          <w:szCs w:val="20"/>
          <w:color w:val="auto"/>
        </w:rPr>
      </w:pPr>
    </w:p>
    <w:p>
      <w:pPr>
        <w:spacing w:after="0"/>
        <w:rPr>
          <w:sz w:val="20"/>
          <w:szCs w:val="20"/>
          <w:color w:val="auto"/>
        </w:rPr>
      </w:pPr>
      <w:r>
        <w:rPr>
          <w:rFonts w:ascii="Times New Roman" w:cs="Times New Roman" w:eastAsia="Times New Roman" w:hAnsi="Times New Roman"/>
          <w:sz w:val="18"/>
          <w:szCs w:val="18"/>
          <w:b w:val="1"/>
          <w:bCs w:val="1"/>
          <w:color w:val="auto"/>
        </w:rPr>
        <w:t>:</w:t>
      </w:r>
    </w:p>
    <w:p>
      <w:pPr>
        <w:spacing w:after="0" w:line="1260" w:lineRule="exact"/>
        <w:rPr>
          <w:sz w:val="20"/>
          <w:szCs w:val="20"/>
          <w:color w:val="auto"/>
        </w:rPr>
      </w:pPr>
    </w:p>
    <w:p>
      <w:pPr>
        <w:sectPr>
          <w:pgSz w:w="11900" w:h="16836" w:orient="portrait"/>
          <w:cols w:equalWidth="0" w:num="2">
            <w:col w:w="5720" w:space="720"/>
            <w:col w:w="2920"/>
          </w:cols>
          <w:pgMar w:left="1160" w:top="1155" w:right="1384" w:bottom="103" w:gutter="0" w:footer="0" w:header="0"/>
          <w:type w:val="continuous"/>
        </w:sectPr>
      </w:pPr>
    </w:p>
    <w:p>
      <w:pPr>
        <w:ind w:left="680" w:hanging="539"/>
        <w:spacing w:after="0" w:line="237" w:lineRule="auto"/>
        <w:tabs>
          <w:tab w:leader="none" w:pos="680" w:val="left"/>
        </w:tabs>
        <w:numPr>
          <w:ilvl w:val="0"/>
          <w:numId w:val="1172"/>
        </w:numPr>
        <w:rPr>
          <w:rFonts w:ascii="Calibri" w:cs="Calibri" w:eastAsia="Calibri" w:hAnsi="Calibri"/>
          <w:sz w:val="20"/>
          <w:szCs w:val="20"/>
          <w:b w:val="1"/>
          <w:bCs w:val="1"/>
          <w:color w:val="auto"/>
        </w:rPr>
      </w:pPr>
      <w:r>
        <w:rPr>
          <w:rFonts w:ascii="Calibri" w:cs="Calibri" w:eastAsia="Calibri" w:hAnsi="Calibri"/>
          <w:sz w:val="20"/>
          <w:szCs w:val="20"/>
          <w:b w:val="1"/>
          <w:bCs w:val="1"/>
          <w:color w:val="auto"/>
        </w:rPr>
        <w:t>Details of the arrangement made to ensure the monitoring of issue proceeds:</w:t>
      </w:r>
    </w:p>
    <w:p>
      <w:pPr>
        <w:spacing w:after="0" w:line="45" w:lineRule="exact"/>
        <w:rPr>
          <w:rFonts w:ascii="Calibri" w:cs="Calibri" w:eastAsia="Calibri" w:hAnsi="Calibri"/>
          <w:sz w:val="20"/>
          <w:szCs w:val="20"/>
          <w:b w:val="1"/>
          <w:bCs w:val="1"/>
          <w:color w:val="auto"/>
        </w:rPr>
      </w:pPr>
    </w:p>
    <w:p>
      <w:pPr>
        <w:ind w:left="680" w:right="440"/>
        <w:spacing w:after="0" w:line="217" w:lineRule="auto"/>
        <w:rPr>
          <w:rFonts w:ascii="Calibri" w:cs="Calibri" w:eastAsia="Calibri" w:hAnsi="Calibri"/>
          <w:sz w:val="20"/>
          <w:szCs w:val="20"/>
          <w:b w:val="1"/>
          <w:bCs w:val="1"/>
          <w:color w:val="auto"/>
        </w:rPr>
      </w:pPr>
      <w:r>
        <w:rPr>
          <w:rFonts w:ascii="Calibri" w:cs="Calibri" w:eastAsia="Calibri" w:hAnsi="Calibri"/>
          <w:sz w:val="20"/>
          <w:szCs w:val="20"/>
          <w:color w:val="auto"/>
        </w:rPr>
        <w:t>(Give item by item description for all the objects stated in the offer document separately in following format)</w:t>
      </w:r>
    </w:p>
    <w:p>
      <w:pPr>
        <w:spacing w:after="0" w:line="200" w:lineRule="exact"/>
        <w:rPr>
          <w:sz w:val="20"/>
          <w:szCs w:val="20"/>
          <w:color w:val="auto"/>
        </w:rPr>
      </w:pPr>
    </w:p>
    <w:p>
      <w:pPr>
        <w:spacing w:after="0" w:line="246" w:lineRule="exact"/>
        <w:rPr>
          <w:sz w:val="20"/>
          <w:szCs w:val="20"/>
          <w:color w:val="auto"/>
        </w:rPr>
      </w:pPr>
    </w:p>
    <w:tbl>
      <w:tblPr>
        <w:tblLayout w:type="fixed"/>
        <w:tblInd w:w="110" w:type="dxa"/>
        <w:tblCellMar>
          <w:top w:w="0" w:type="dxa"/>
          <w:left w:w="0" w:type="dxa"/>
          <w:bottom w:w="0" w:type="dxa"/>
          <w:right w:w="0" w:type="dxa"/>
        </w:tblCellMar>
      </w:tblPr>
      <w:tr>
        <w:trPr>
          <w:trHeight w:val="283"/>
        </w:trPr>
        <w:tc>
          <w:tcPr>
            <w:tcW w:w="4680" w:type="dxa"/>
            <w:vAlign w:val="bottom"/>
            <w:tcBorders>
              <w:top w:val="single" w:sz="8" w:color="auto"/>
              <w:left w:val="single" w:sz="8" w:color="auto"/>
              <w:right w:val="single" w:sz="8" w:color="auto"/>
            </w:tcBorders>
            <w:vMerge w:val="restart"/>
          </w:tcPr>
          <w:p>
            <w:pPr>
              <w:ind w:left="1900"/>
              <w:spacing w:after="0"/>
              <w:rPr>
                <w:sz w:val="20"/>
                <w:szCs w:val="20"/>
                <w:color w:val="auto"/>
              </w:rPr>
            </w:pPr>
            <w:r>
              <w:rPr>
                <w:rFonts w:ascii="Calibri" w:cs="Calibri" w:eastAsia="Calibri" w:hAnsi="Calibri"/>
                <w:sz w:val="20"/>
                <w:szCs w:val="20"/>
                <w:color w:val="auto"/>
              </w:rPr>
              <w:t>Particulars</w:t>
            </w:r>
          </w:p>
        </w:tc>
        <w:tc>
          <w:tcPr>
            <w:tcW w:w="40" w:type="dxa"/>
            <w:vAlign w:val="bottom"/>
            <w:tcBorders>
              <w:top w:val="single" w:sz="8" w:color="auto"/>
            </w:tcBorders>
          </w:tcPr>
          <w:p>
            <w:pPr>
              <w:spacing w:after="0"/>
              <w:rPr>
                <w:sz w:val="24"/>
                <w:szCs w:val="24"/>
                <w:color w:val="auto"/>
              </w:rPr>
            </w:pPr>
          </w:p>
        </w:tc>
        <w:tc>
          <w:tcPr>
            <w:tcW w:w="1080" w:type="dxa"/>
            <w:vAlign w:val="bottom"/>
            <w:tcBorders>
              <w:top w:val="single" w:sz="8" w:color="auto"/>
              <w:right w:val="single" w:sz="8" w:color="auto"/>
            </w:tcBorders>
            <w:vMerge w:val="restart"/>
          </w:tcPr>
          <w:p>
            <w:pPr>
              <w:jc w:val="center"/>
              <w:spacing w:after="0"/>
              <w:rPr>
                <w:sz w:val="20"/>
                <w:szCs w:val="20"/>
                <w:color w:val="auto"/>
              </w:rPr>
            </w:pPr>
            <w:r>
              <w:rPr>
                <w:rFonts w:ascii="Calibri" w:cs="Calibri" w:eastAsia="Calibri" w:hAnsi="Calibri"/>
                <w:sz w:val="20"/>
                <w:szCs w:val="20"/>
                <w:color w:val="auto"/>
                <w:w w:val="97"/>
              </w:rPr>
              <w:t>Reply</w:t>
            </w:r>
          </w:p>
        </w:tc>
        <w:tc>
          <w:tcPr>
            <w:tcW w:w="40" w:type="dxa"/>
            <w:vAlign w:val="bottom"/>
            <w:tcBorders>
              <w:top w:val="single" w:sz="8" w:color="auto"/>
            </w:tcBorders>
          </w:tcPr>
          <w:p>
            <w:pPr>
              <w:spacing w:after="0"/>
              <w:rPr>
                <w:sz w:val="24"/>
                <w:szCs w:val="24"/>
                <w:color w:val="auto"/>
              </w:rPr>
            </w:pPr>
          </w:p>
        </w:tc>
        <w:tc>
          <w:tcPr>
            <w:tcW w:w="1600" w:type="dxa"/>
            <w:vAlign w:val="bottom"/>
            <w:tcBorders>
              <w:top w:val="single" w:sz="8" w:color="auto"/>
            </w:tcBorders>
          </w:tcPr>
          <w:p>
            <w:pPr>
              <w:jc w:val="center"/>
              <w:spacing w:after="0"/>
              <w:rPr>
                <w:sz w:val="20"/>
                <w:szCs w:val="20"/>
                <w:color w:val="auto"/>
              </w:rPr>
            </w:pPr>
            <w:r>
              <w:rPr>
                <w:rFonts w:ascii="Calibri" w:cs="Calibri" w:eastAsia="Calibri" w:hAnsi="Calibri"/>
                <w:sz w:val="20"/>
                <w:szCs w:val="20"/>
                <w:color w:val="auto"/>
                <w:highlight w:val="white"/>
                <w:w w:val="99"/>
              </w:rPr>
              <w:t>Comments of the</w:t>
            </w:r>
          </w:p>
        </w:tc>
        <w:tc>
          <w:tcPr>
            <w:tcW w:w="60" w:type="dxa"/>
            <w:vAlign w:val="bottom"/>
            <w:tcBorders>
              <w:top w:val="single" w:sz="8" w:color="auto"/>
              <w:right w:val="single" w:sz="8" w:color="auto"/>
            </w:tcBorders>
          </w:tcPr>
          <w:p>
            <w:pPr>
              <w:spacing w:after="0"/>
              <w:rPr>
                <w:sz w:val="24"/>
                <w:szCs w:val="24"/>
                <w:color w:val="auto"/>
              </w:rPr>
            </w:pPr>
          </w:p>
        </w:tc>
        <w:tc>
          <w:tcPr>
            <w:tcW w:w="1700" w:type="dxa"/>
            <w:vAlign w:val="bottom"/>
            <w:tcBorders>
              <w:top w:val="single" w:sz="8" w:color="auto"/>
            </w:tcBorders>
          </w:tcPr>
          <w:p>
            <w:pPr>
              <w:jc w:val="center"/>
              <w:spacing w:after="0"/>
              <w:rPr>
                <w:sz w:val="20"/>
                <w:szCs w:val="20"/>
                <w:color w:val="auto"/>
              </w:rPr>
            </w:pPr>
            <w:r>
              <w:rPr>
                <w:rFonts w:ascii="Calibri" w:cs="Calibri" w:eastAsia="Calibri" w:hAnsi="Calibri"/>
                <w:sz w:val="20"/>
                <w:szCs w:val="20"/>
                <w:color w:val="auto"/>
              </w:rPr>
              <w:t>Comments the</w:t>
            </w:r>
          </w:p>
        </w:tc>
        <w:tc>
          <w:tcPr>
            <w:tcW w:w="60" w:type="dxa"/>
            <w:vAlign w:val="bottom"/>
            <w:tcBorders>
              <w:top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22"/>
        </w:trPr>
        <w:tc>
          <w:tcPr>
            <w:tcW w:w="4680" w:type="dxa"/>
            <w:vAlign w:val="bottom"/>
            <w:tcBorders>
              <w:left w:val="single" w:sz="8" w:color="auto"/>
              <w:right w:val="single" w:sz="8" w:color="auto"/>
            </w:tcBorders>
            <w:vMerge w:val="continue"/>
          </w:tcPr>
          <w:p>
            <w:pPr>
              <w:spacing w:after="0"/>
              <w:rPr>
                <w:sz w:val="10"/>
                <w:szCs w:val="10"/>
                <w:color w:val="auto"/>
              </w:rPr>
            </w:pPr>
          </w:p>
        </w:tc>
        <w:tc>
          <w:tcPr>
            <w:tcW w:w="40" w:type="dxa"/>
            <w:vAlign w:val="bottom"/>
          </w:tcPr>
          <w:p>
            <w:pPr>
              <w:spacing w:after="0"/>
              <w:rPr>
                <w:sz w:val="10"/>
                <w:szCs w:val="10"/>
                <w:color w:val="auto"/>
              </w:rPr>
            </w:pPr>
          </w:p>
        </w:tc>
        <w:tc>
          <w:tcPr>
            <w:tcW w:w="1080" w:type="dxa"/>
            <w:vAlign w:val="bottom"/>
            <w:tcBorders>
              <w:right w:val="single" w:sz="8" w:color="auto"/>
            </w:tcBorders>
            <w:vMerge w:val="continue"/>
          </w:tcPr>
          <w:p>
            <w:pPr>
              <w:spacing w:after="0"/>
              <w:rPr>
                <w:sz w:val="10"/>
                <w:szCs w:val="10"/>
                <w:color w:val="auto"/>
              </w:rPr>
            </w:pPr>
          </w:p>
        </w:tc>
        <w:tc>
          <w:tcPr>
            <w:tcW w:w="40" w:type="dxa"/>
            <w:vAlign w:val="bottom"/>
          </w:tcPr>
          <w:p>
            <w:pPr>
              <w:spacing w:after="0"/>
              <w:rPr>
                <w:sz w:val="10"/>
                <w:szCs w:val="10"/>
                <w:color w:val="auto"/>
              </w:rPr>
            </w:pPr>
          </w:p>
        </w:tc>
        <w:tc>
          <w:tcPr>
            <w:tcW w:w="1600" w:type="dxa"/>
            <w:vAlign w:val="bottom"/>
            <w:vMerge w:val="restart"/>
          </w:tcPr>
          <w:p>
            <w:pPr>
              <w:jc w:val="center"/>
              <w:spacing w:after="0"/>
              <w:rPr>
                <w:sz w:val="20"/>
                <w:szCs w:val="20"/>
                <w:color w:val="auto"/>
              </w:rPr>
            </w:pPr>
            <w:r>
              <w:rPr>
                <w:rFonts w:ascii="Calibri" w:cs="Calibri" w:eastAsia="Calibri" w:hAnsi="Calibri"/>
                <w:sz w:val="20"/>
                <w:szCs w:val="20"/>
                <w:color w:val="auto"/>
                <w:highlight w:val="white"/>
              </w:rPr>
              <w:t>Monitoring Agency</w:t>
            </w:r>
          </w:p>
        </w:tc>
        <w:tc>
          <w:tcPr>
            <w:tcW w:w="60" w:type="dxa"/>
            <w:vAlign w:val="bottom"/>
            <w:tcBorders>
              <w:right w:val="single" w:sz="8" w:color="auto"/>
            </w:tcBorders>
          </w:tcPr>
          <w:p>
            <w:pPr>
              <w:spacing w:after="0"/>
              <w:rPr>
                <w:sz w:val="10"/>
                <w:szCs w:val="10"/>
                <w:color w:val="auto"/>
              </w:rPr>
            </w:pPr>
          </w:p>
        </w:tc>
        <w:tc>
          <w:tcPr>
            <w:tcW w:w="1700" w:type="dxa"/>
            <w:vAlign w:val="bottom"/>
            <w:vMerge w:val="restart"/>
          </w:tcPr>
          <w:p>
            <w:pPr>
              <w:jc w:val="center"/>
              <w:spacing w:after="0"/>
              <w:rPr>
                <w:sz w:val="20"/>
                <w:szCs w:val="20"/>
                <w:color w:val="auto"/>
              </w:rPr>
            </w:pPr>
            <w:r>
              <w:rPr>
                <w:rFonts w:ascii="Calibri" w:cs="Calibri" w:eastAsia="Calibri" w:hAnsi="Calibri"/>
                <w:sz w:val="20"/>
                <w:szCs w:val="20"/>
                <w:color w:val="auto"/>
                <w:w w:val="99"/>
              </w:rPr>
              <w:t>Board of Directors</w:t>
            </w:r>
          </w:p>
        </w:tc>
        <w:tc>
          <w:tcPr>
            <w:tcW w:w="6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22"/>
        </w:trPr>
        <w:tc>
          <w:tcPr>
            <w:tcW w:w="4680" w:type="dxa"/>
            <w:vAlign w:val="bottom"/>
            <w:tcBorders>
              <w:left w:val="single" w:sz="8" w:color="auto"/>
              <w:right w:val="single" w:sz="8" w:color="auto"/>
            </w:tcBorders>
          </w:tcPr>
          <w:p>
            <w:pPr>
              <w:spacing w:after="0"/>
              <w:rPr>
                <w:sz w:val="10"/>
                <w:szCs w:val="10"/>
                <w:color w:val="auto"/>
              </w:rPr>
            </w:pPr>
          </w:p>
        </w:tc>
        <w:tc>
          <w:tcPr>
            <w:tcW w:w="40" w:type="dxa"/>
            <w:vAlign w:val="bottom"/>
          </w:tcPr>
          <w:p>
            <w:pPr>
              <w:spacing w:after="0"/>
              <w:rPr>
                <w:sz w:val="10"/>
                <w:szCs w:val="10"/>
                <w:color w:val="auto"/>
              </w:rPr>
            </w:pPr>
          </w:p>
        </w:tc>
        <w:tc>
          <w:tcPr>
            <w:tcW w:w="1080" w:type="dxa"/>
            <w:vAlign w:val="bottom"/>
            <w:tcBorders>
              <w:right w:val="single" w:sz="8" w:color="auto"/>
            </w:tcBorders>
          </w:tcPr>
          <w:p>
            <w:pPr>
              <w:spacing w:after="0"/>
              <w:rPr>
                <w:sz w:val="10"/>
                <w:szCs w:val="10"/>
                <w:color w:val="auto"/>
              </w:rPr>
            </w:pPr>
          </w:p>
        </w:tc>
        <w:tc>
          <w:tcPr>
            <w:tcW w:w="40" w:type="dxa"/>
            <w:vAlign w:val="bottom"/>
          </w:tcPr>
          <w:p>
            <w:pPr>
              <w:spacing w:after="0"/>
              <w:rPr>
                <w:sz w:val="10"/>
                <w:szCs w:val="10"/>
                <w:color w:val="auto"/>
              </w:rPr>
            </w:pPr>
          </w:p>
        </w:tc>
        <w:tc>
          <w:tcPr>
            <w:tcW w:w="1600" w:type="dxa"/>
            <w:vAlign w:val="bottom"/>
            <w:vMerge w:val="continue"/>
          </w:tcPr>
          <w:p>
            <w:pPr>
              <w:spacing w:after="0"/>
              <w:rPr>
                <w:sz w:val="10"/>
                <w:szCs w:val="10"/>
                <w:color w:val="auto"/>
              </w:rPr>
            </w:pPr>
          </w:p>
        </w:tc>
        <w:tc>
          <w:tcPr>
            <w:tcW w:w="60" w:type="dxa"/>
            <w:vAlign w:val="bottom"/>
            <w:tcBorders>
              <w:right w:val="single" w:sz="8" w:color="auto"/>
            </w:tcBorders>
          </w:tcPr>
          <w:p>
            <w:pPr>
              <w:spacing w:after="0"/>
              <w:rPr>
                <w:sz w:val="10"/>
                <w:szCs w:val="10"/>
                <w:color w:val="auto"/>
              </w:rPr>
            </w:pPr>
          </w:p>
        </w:tc>
        <w:tc>
          <w:tcPr>
            <w:tcW w:w="1700" w:type="dxa"/>
            <w:vAlign w:val="bottom"/>
            <w:vMerge w:val="continue"/>
          </w:tcPr>
          <w:p>
            <w:pPr>
              <w:spacing w:after="0"/>
              <w:rPr>
                <w:sz w:val="10"/>
                <w:szCs w:val="10"/>
                <w:color w:val="auto"/>
              </w:rPr>
            </w:pPr>
          </w:p>
        </w:tc>
        <w:tc>
          <w:tcPr>
            <w:tcW w:w="6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34"/>
        </w:trPr>
        <w:tc>
          <w:tcPr>
            <w:tcW w:w="4680" w:type="dxa"/>
            <w:vAlign w:val="bottom"/>
            <w:tcBorders>
              <w:left w:val="single" w:sz="8" w:color="auto"/>
              <w:bottom w:val="single" w:sz="8" w:color="auto"/>
              <w:right w:val="single" w:sz="8" w:color="auto"/>
            </w:tcBorders>
          </w:tcPr>
          <w:p>
            <w:pPr>
              <w:spacing w:after="0"/>
              <w:rPr>
                <w:sz w:val="2"/>
                <w:szCs w:val="2"/>
                <w:color w:val="auto"/>
              </w:rPr>
            </w:pPr>
          </w:p>
        </w:tc>
        <w:tc>
          <w:tcPr>
            <w:tcW w:w="40" w:type="dxa"/>
            <w:vAlign w:val="bottom"/>
            <w:tcBorders>
              <w:bottom w:val="single" w:sz="8" w:color="auto"/>
            </w:tcBorders>
          </w:tcPr>
          <w:p>
            <w:pPr>
              <w:spacing w:after="0"/>
              <w:rPr>
                <w:sz w:val="2"/>
                <w:szCs w:val="2"/>
                <w:color w:val="auto"/>
              </w:rPr>
            </w:pPr>
          </w:p>
        </w:tc>
        <w:tc>
          <w:tcPr>
            <w:tcW w:w="1080" w:type="dxa"/>
            <w:vAlign w:val="bottom"/>
            <w:tcBorders>
              <w:bottom w:val="single" w:sz="8" w:color="auto"/>
              <w:right w:val="single" w:sz="8" w:color="auto"/>
            </w:tcBorders>
          </w:tcPr>
          <w:p>
            <w:pPr>
              <w:spacing w:after="0"/>
              <w:rPr>
                <w:sz w:val="2"/>
                <w:szCs w:val="2"/>
                <w:color w:val="auto"/>
              </w:rPr>
            </w:pPr>
          </w:p>
        </w:tc>
        <w:tc>
          <w:tcPr>
            <w:tcW w:w="40" w:type="dxa"/>
            <w:vAlign w:val="bottom"/>
            <w:tcBorders>
              <w:bottom w:val="single" w:sz="8" w:color="auto"/>
            </w:tcBorders>
          </w:tcPr>
          <w:p>
            <w:pPr>
              <w:spacing w:after="0"/>
              <w:rPr>
                <w:sz w:val="2"/>
                <w:szCs w:val="2"/>
                <w:color w:val="auto"/>
              </w:rPr>
            </w:pPr>
          </w:p>
        </w:tc>
        <w:tc>
          <w:tcPr>
            <w:tcW w:w="1600" w:type="dxa"/>
            <w:vAlign w:val="bottom"/>
            <w:tcBorders>
              <w:bottom w:val="single" w:sz="8" w:color="auto"/>
            </w:tcBorders>
          </w:tcPr>
          <w:p>
            <w:pPr>
              <w:spacing w:after="0"/>
              <w:rPr>
                <w:sz w:val="2"/>
                <w:szCs w:val="2"/>
                <w:color w:val="auto"/>
              </w:rPr>
            </w:pPr>
          </w:p>
        </w:tc>
        <w:tc>
          <w:tcPr>
            <w:tcW w:w="60" w:type="dxa"/>
            <w:vAlign w:val="bottom"/>
            <w:tcBorders>
              <w:bottom w:val="single" w:sz="8" w:color="auto"/>
              <w:right w:val="single" w:sz="8" w:color="auto"/>
            </w:tcBorders>
          </w:tcPr>
          <w:p>
            <w:pPr>
              <w:spacing w:after="0"/>
              <w:rPr>
                <w:sz w:val="2"/>
                <w:szCs w:val="2"/>
                <w:color w:val="auto"/>
              </w:rPr>
            </w:pPr>
          </w:p>
        </w:tc>
        <w:tc>
          <w:tcPr>
            <w:tcW w:w="1700" w:type="dxa"/>
            <w:vAlign w:val="bottom"/>
            <w:tcBorders>
              <w:bottom w:val="single" w:sz="8" w:color="auto"/>
            </w:tcBorders>
          </w:tcPr>
          <w:p>
            <w:pPr>
              <w:spacing w:after="0"/>
              <w:rPr>
                <w:sz w:val="2"/>
                <w:szCs w:val="2"/>
                <w:color w:val="auto"/>
              </w:rPr>
            </w:pPr>
          </w:p>
        </w:tc>
        <w:tc>
          <w:tcPr>
            <w:tcW w:w="60" w:type="dxa"/>
            <w:vAlign w:val="bottom"/>
            <w:tcBorders>
              <w:bottom w:val="single" w:sz="8" w:color="auto"/>
              <w:right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263"/>
        </w:trPr>
        <w:tc>
          <w:tcPr>
            <w:tcW w:w="4680" w:type="dxa"/>
            <w:vAlign w:val="bottom"/>
            <w:tcBorders>
              <w:left w:val="single" w:sz="8" w:color="auto"/>
              <w:right w:val="single" w:sz="8" w:color="auto"/>
            </w:tcBorders>
          </w:tcPr>
          <w:p>
            <w:pPr>
              <w:ind w:left="40"/>
              <w:spacing w:after="0"/>
              <w:rPr>
                <w:sz w:val="20"/>
                <w:szCs w:val="20"/>
                <w:color w:val="auto"/>
              </w:rPr>
            </w:pPr>
            <w:r>
              <w:rPr>
                <w:rFonts w:ascii="Calibri" w:cs="Calibri" w:eastAsia="Calibri" w:hAnsi="Calibri"/>
                <w:sz w:val="20"/>
                <w:szCs w:val="20"/>
                <w:color w:val="auto"/>
                <w:highlight w:val="white"/>
              </w:rPr>
              <w:t>Whether all utilization is as per the disclosures in the</w:t>
            </w:r>
          </w:p>
        </w:tc>
        <w:tc>
          <w:tcPr>
            <w:tcW w:w="40" w:type="dxa"/>
            <w:vAlign w:val="bottom"/>
          </w:tcPr>
          <w:p>
            <w:pPr>
              <w:spacing w:after="0"/>
              <w:rPr>
                <w:sz w:val="22"/>
                <w:szCs w:val="22"/>
                <w:color w:val="auto"/>
              </w:rPr>
            </w:pPr>
          </w:p>
        </w:tc>
        <w:tc>
          <w:tcPr>
            <w:tcW w:w="1080" w:type="dxa"/>
            <w:vAlign w:val="bottom"/>
            <w:tcBorders>
              <w:right w:val="single" w:sz="8" w:color="auto"/>
            </w:tcBorders>
          </w:tcPr>
          <w:p>
            <w:pPr>
              <w:jc w:val="center"/>
              <w:spacing w:after="0"/>
              <w:rPr>
                <w:sz w:val="20"/>
                <w:szCs w:val="20"/>
                <w:color w:val="auto"/>
              </w:rPr>
            </w:pPr>
            <w:r>
              <w:rPr>
                <w:rFonts w:ascii="Calibri" w:cs="Calibri" w:eastAsia="Calibri" w:hAnsi="Calibri"/>
                <w:sz w:val="20"/>
                <w:szCs w:val="20"/>
                <w:color w:val="auto"/>
                <w:w w:val="97"/>
              </w:rPr>
              <w:t>Yes/ No</w:t>
            </w:r>
          </w:p>
        </w:tc>
        <w:tc>
          <w:tcPr>
            <w:tcW w:w="40" w:type="dxa"/>
            <w:vAlign w:val="bottom"/>
          </w:tcPr>
          <w:p>
            <w:pPr>
              <w:spacing w:after="0"/>
              <w:rPr>
                <w:sz w:val="22"/>
                <w:szCs w:val="22"/>
                <w:color w:val="auto"/>
              </w:rPr>
            </w:pPr>
          </w:p>
        </w:tc>
        <w:tc>
          <w:tcPr>
            <w:tcW w:w="1600" w:type="dxa"/>
            <w:vAlign w:val="bottom"/>
          </w:tcPr>
          <w:p>
            <w:pPr>
              <w:spacing w:after="0"/>
              <w:rPr>
                <w:sz w:val="22"/>
                <w:szCs w:val="22"/>
                <w:color w:val="auto"/>
              </w:rPr>
            </w:pPr>
          </w:p>
        </w:tc>
        <w:tc>
          <w:tcPr>
            <w:tcW w:w="60" w:type="dxa"/>
            <w:vAlign w:val="bottom"/>
            <w:tcBorders>
              <w:right w:val="single" w:sz="8" w:color="auto"/>
            </w:tcBorders>
          </w:tcPr>
          <w:p>
            <w:pPr>
              <w:spacing w:after="0"/>
              <w:rPr>
                <w:sz w:val="22"/>
                <w:szCs w:val="22"/>
                <w:color w:val="auto"/>
              </w:rPr>
            </w:pPr>
          </w:p>
        </w:tc>
        <w:tc>
          <w:tcPr>
            <w:tcW w:w="1700" w:type="dxa"/>
            <w:vAlign w:val="bottom"/>
          </w:tcPr>
          <w:p>
            <w:pPr>
              <w:spacing w:after="0"/>
              <w:rPr>
                <w:sz w:val="22"/>
                <w:szCs w:val="22"/>
                <w:color w:val="auto"/>
              </w:rPr>
            </w:pPr>
          </w:p>
        </w:tc>
        <w:tc>
          <w:tcPr>
            <w:tcW w:w="60" w:type="dxa"/>
            <w:vAlign w:val="bottom"/>
            <w:tcBorders>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242"/>
        </w:trPr>
        <w:tc>
          <w:tcPr>
            <w:tcW w:w="4680" w:type="dxa"/>
            <w:vAlign w:val="bottom"/>
            <w:tcBorders>
              <w:left w:val="single" w:sz="8" w:color="auto"/>
              <w:right w:val="single" w:sz="8" w:color="auto"/>
            </w:tcBorders>
          </w:tcPr>
          <w:p>
            <w:pPr>
              <w:ind w:left="40"/>
              <w:spacing w:after="0" w:line="243" w:lineRule="exact"/>
              <w:rPr>
                <w:sz w:val="20"/>
                <w:szCs w:val="20"/>
                <w:color w:val="auto"/>
              </w:rPr>
            </w:pPr>
            <w:r>
              <w:rPr>
                <w:rFonts w:ascii="Calibri" w:cs="Calibri" w:eastAsia="Calibri" w:hAnsi="Calibri"/>
                <w:sz w:val="20"/>
                <w:szCs w:val="20"/>
                <w:color w:val="auto"/>
              </w:rPr>
              <w:t>Offer Document?</w:t>
            </w:r>
          </w:p>
        </w:tc>
        <w:tc>
          <w:tcPr>
            <w:tcW w:w="40" w:type="dxa"/>
            <w:vAlign w:val="bottom"/>
          </w:tcPr>
          <w:p>
            <w:pPr>
              <w:spacing w:after="0"/>
              <w:rPr>
                <w:sz w:val="21"/>
                <w:szCs w:val="21"/>
                <w:color w:val="auto"/>
              </w:rPr>
            </w:pPr>
          </w:p>
        </w:tc>
        <w:tc>
          <w:tcPr>
            <w:tcW w:w="1080" w:type="dxa"/>
            <w:vAlign w:val="bottom"/>
            <w:tcBorders>
              <w:right w:val="single" w:sz="8" w:color="auto"/>
            </w:tcBorders>
          </w:tcPr>
          <w:p>
            <w:pPr>
              <w:spacing w:after="0"/>
              <w:rPr>
                <w:sz w:val="21"/>
                <w:szCs w:val="21"/>
                <w:color w:val="auto"/>
              </w:rPr>
            </w:pPr>
          </w:p>
        </w:tc>
        <w:tc>
          <w:tcPr>
            <w:tcW w:w="40" w:type="dxa"/>
            <w:vAlign w:val="bottom"/>
          </w:tcPr>
          <w:p>
            <w:pPr>
              <w:spacing w:after="0"/>
              <w:rPr>
                <w:sz w:val="21"/>
                <w:szCs w:val="21"/>
                <w:color w:val="auto"/>
              </w:rPr>
            </w:pPr>
          </w:p>
        </w:tc>
        <w:tc>
          <w:tcPr>
            <w:tcW w:w="1600" w:type="dxa"/>
            <w:vAlign w:val="bottom"/>
          </w:tcPr>
          <w:p>
            <w:pPr>
              <w:spacing w:after="0"/>
              <w:rPr>
                <w:sz w:val="21"/>
                <w:szCs w:val="21"/>
                <w:color w:val="auto"/>
              </w:rPr>
            </w:pPr>
          </w:p>
        </w:tc>
        <w:tc>
          <w:tcPr>
            <w:tcW w:w="60" w:type="dxa"/>
            <w:vAlign w:val="bottom"/>
            <w:tcBorders>
              <w:right w:val="single" w:sz="8" w:color="auto"/>
            </w:tcBorders>
          </w:tcPr>
          <w:p>
            <w:pPr>
              <w:spacing w:after="0"/>
              <w:rPr>
                <w:sz w:val="21"/>
                <w:szCs w:val="21"/>
                <w:color w:val="auto"/>
              </w:rPr>
            </w:pPr>
          </w:p>
        </w:tc>
        <w:tc>
          <w:tcPr>
            <w:tcW w:w="1700" w:type="dxa"/>
            <w:vAlign w:val="bottom"/>
          </w:tcPr>
          <w:p>
            <w:pPr>
              <w:spacing w:after="0"/>
              <w:rPr>
                <w:sz w:val="21"/>
                <w:szCs w:val="21"/>
                <w:color w:val="auto"/>
              </w:rPr>
            </w:pPr>
          </w:p>
        </w:tc>
        <w:tc>
          <w:tcPr>
            <w:tcW w:w="60" w:type="dxa"/>
            <w:vAlign w:val="bottom"/>
            <w:tcBorders>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36"/>
        </w:trPr>
        <w:tc>
          <w:tcPr>
            <w:tcW w:w="4680" w:type="dxa"/>
            <w:vAlign w:val="bottom"/>
            <w:tcBorders>
              <w:left w:val="single" w:sz="8" w:color="auto"/>
              <w:bottom w:val="single" w:sz="8" w:color="auto"/>
              <w:right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1080" w:type="dxa"/>
            <w:vAlign w:val="bottom"/>
            <w:tcBorders>
              <w:bottom w:val="single" w:sz="8" w:color="auto"/>
              <w:right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1600" w:type="dxa"/>
            <w:vAlign w:val="bottom"/>
            <w:tcBorders>
              <w:bottom w:val="single" w:sz="8" w:color="auto"/>
            </w:tcBorders>
          </w:tcPr>
          <w:p>
            <w:pPr>
              <w:spacing w:after="0"/>
              <w:rPr>
                <w:sz w:val="3"/>
                <w:szCs w:val="3"/>
                <w:color w:val="auto"/>
              </w:rPr>
            </w:pPr>
          </w:p>
        </w:tc>
        <w:tc>
          <w:tcPr>
            <w:tcW w:w="60" w:type="dxa"/>
            <w:vAlign w:val="bottom"/>
            <w:tcBorders>
              <w:bottom w:val="single" w:sz="8" w:color="auto"/>
              <w:right w:val="single" w:sz="8" w:color="auto"/>
            </w:tcBorders>
          </w:tcPr>
          <w:p>
            <w:pPr>
              <w:spacing w:after="0"/>
              <w:rPr>
                <w:sz w:val="3"/>
                <w:szCs w:val="3"/>
                <w:color w:val="auto"/>
              </w:rPr>
            </w:pPr>
          </w:p>
        </w:tc>
        <w:tc>
          <w:tcPr>
            <w:tcW w:w="1700" w:type="dxa"/>
            <w:vAlign w:val="bottom"/>
            <w:tcBorders>
              <w:bottom w:val="single" w:sz="8" w:color="auto"/>
            </w:tcBorders>
          </w:tcPr>
          <w:p>
            <w:pPr>
              <w:spacing w:after="0"/>
              <w:rPr>
                <w:sz w:val="3"/>
                <w:szCs w:val="3"/>
                <w:color w:val="auto"/>
              </w:rPr>
            </w:pPr>
          </w:p>
        </w:tc>
        <w:tc>
          <w:tcPr>
            <w:tcW w:w="6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263"/>
        </w:trPr>
        <w:tc>
          <w:tcPr>
            <w:tcW w:w="4680" w:type="dxa"/>
            <w:vAlign w:val="bottom"/>
            <w:tcBorders>
              <w:left w:val="single" w:sz="8" w:color="auto"/>
              <w:right w:val="single" w:sz="8" w:color="auto"/>
            </w:tcBorders>
          </w:tcPr>
          <w:p>
            <w:pPr>
              <w:ind w:left="40"/>
              <w:spacing w:after="0"/>
              <w:rPr>
                <w:sz w:val="20"/>
                <w:szCs w:val="20"/>
                <w:color w:val="auto"/>
              </w:rPr>
            </w:pPr>
            <w:r>
              <w:rPr>
                <w:rFonts w:ascii="Calibri" w:cs="Calibri" w:eastAsia="Calibri" w:hAnsi="Calibri"/>
                <w:sz w:val="20"/>
                <w:szCs w:val="20"/>
                <w:color w:val="auto"/>
                <w:highlight w:val="white"/>
              </w:rPr>
              <w:t>Whether shareholder approval has been obtained in</w:t>
            </w:r>
          </w:p>
        </w:tc>
        <w:tc>
          <w:tcPr>
            <w:tcW w:w="40" w:type="dxa"/>
            <w:vAlign w:val="bottom"/>
          </w:tcPr>
          <w:p>
            <w:pPr>
              <w:spacing w:after="0"/>
              <w:rPr>
                <w:sz w:val="22"/>
                <w:szCs w:val="22"/>
                <w:color w:val="auto"/>
              </w:rPr>
            </w:pPr>
          </w:p>
        </w:tc>
        <w:tc>
          <w:tcPr>
            <w:tcW w:w="1080" w:type="dxa"/>
            <w:vAlign w:val="bottom"/>
            <w:tcBorders>
              <w:right w:val="single" w:sz="8" w:color="auto"/>
            </w:tcBorders>
          </w:tcPr>
          <w:p>
            <w:pPr>
              <w:jc w:val="center"/>
              <w:spacing w:after="0"/>
              <w:rPr>
                <w:sz w:val="20"/>
                <w:szCs w:val="20"/>
                <w:color w:val="auto"/>
              </w:rPr>
            </w:pPr>
            <w:r>
              <w:rPr>
                <w:rFonts w:ascii="Calibri" w:cs="Calibri" w:eastAsia="Calibri" w:hAnsi="Calibri"/>
                <w:sz w:val="20"/>
                <w:szCs w:val="20"/>
                <w:color w:val="auto"/>
                <w:w w:val="97"/>
              </w:rPr>
              <w:t>Yes/ No</w:t>
            </w:r>
          </w:p>
        </w:tc>
        <w:tc>
          <w:tcPr>
            <w:tcW w:w="40" w:type="dxa"/>
            <w:vAlign w:val="bottom"/>
          </w:tcPr>
          <w:p>
            <w:pPr>
              <w:spacing w:after="0"/>
              <w:rPr>
                <w:sz w:val="22"/>
                <w:szCs w:val="22"/>
                <w:color w:val="auto"/>
              </w:rPr>
            </w:pPr>
          </w:p>
        </w:tc>
        <w:tc>
          <w:tcPr>
            <w:tcW w:w="1600" w:type="dxa"/>
            <w:vAlign w:val="bottom"/>
          </w:tcPr>
          <w:p>
            <w:pPr>
              <w:spacing w:after="0"/>
              <w:rPr>
                <w:sz w:val="22"/>
                <w:szCs w:val="22"/>
                <w:color w:val="auto"/>
              </w:rPr>
            </w:pPr>
          </w:p>
        </w:tc>
        <w:tc>
          <w:tcPr>
            <w:tcW w:w="60" w:type="dxa"/>
            <w:vAlign w:val="bottom"/>
            <w:tcBorders>
              <w:right w:val="single" w:sz="8" w:color="auto"/>
            </w:tcBorders>
          </w:tcPr>
          <w:p>
            <w:pPr>
              <w:spacing w:after="0"/>
              <w:rPr>
                <w:sz w:val="22"/>
                <w:szCs w:val="22"/>
                <w:color w:val="auto"/>
              </w:rPr>
            </w:pPr>
          </w:p>
        </w:tc>
        <w:tc>
          <w:tcPr>
            <w:tcW w:w="1700" w:type="dxa"/>
            <w:vAlign w:val="bottom"/>
          </w:tcPr>
          <w:p>
            <w:pPr>
              <w:spacing w:after="0"/>
              <w:rPr>
                <w:sz w:val="22"/>
                <w:szCs w:val="22"/>
                <w:color w:val="auto"/>
              </w:rPr>
            </w:pPr>
          </w:p>
        </w:tc>
        <w:tc>
          <w:tcPr>
            <w:tcW w:w="60" w:type="dxa"/>
            <w:vAlign w:val="bottom"/>
            <w:tcBorders>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242"/>
        </w:trPr>
        <w:tc>
          <w:tcPr>
            <w:tcW w:w="4680" w:type="dxa"/>
            <w:vAlign w:val="bottom"/>
            <w:tcBorders>
              <w:left w:val="single" w:sz="8" w:color="auto"/>
              <w:right w:val="single" w:sz="8" w:color="auto"/>
            </w:tcBorders>
          </w:tcPr>
          <w:p>
            <w:pPr>
              <w:ind w:left="40"/>
              <w:spacing w:after="0" w:line="243" w:lineRule="exact"/>
              <w:rPr>
                <w:sz w:val="20"/>
                <w:szCs w:val="20"/>
                <w:color w:val="auto"/>
              </w:rPr>
            </w:pPr>
            <w:r>
              <w:rPr>
                <w:rFonts w:ascii="Calibri" w:cs="Calibri" w:eastAsia="Calibri" w:hAnsi="Calibri"/>
                <w:sz w:val="20"/>
                <w:szCs w:val="20"/>
                <w:color w:val="auto"/>
                <w:highlight w:val="white"/>
              </w:rPr>
              <w:t>case  of  material  deviations#  from  expenditures</w:t>
            </w:r>
          </w:p>
        </w:tc>
        <w:tc>
          <w:tcPr>
            <w:tcW w:w="40" w:type="dxa"/>
            <w:vAlign w:val="bottom"/>
          </w:tcPr>
          <w:p>
            <w:pPr>
              <w:spacing w:after="0"/>
              <w:rPr>
                <w:sz w:val="21"/>
                <w:szCs w:val="21"/>
                <w:color w:val="auto"/>
              </w:rPr>
            </w:pPr>
          </w:p>
        </w:tc>
        <w:tc>
          <w:tcPr>
            <w:tcW w:w="1080" w:type="dxa"/>
            <w:vAlign w:val="bottom"/>
            <w:tcBorders>
              <w:right w:val="single" w:sz="8" w:color="auto"/>
            </w:tcBorders>
          </w:tcPr>
          <w:p>
            <w:pPr>
              <w:spacing w:after="0"/>
              <w:rPr>
                <w:sz w:val="21"/>
                <w:szCs w:val="21"/>
                <w:color w:val="auto"/>
              </w:rPr>
            </w:pPr>
          </w:p>
        </w:tc>
        <w:tc>
          <w:tcPr>
            <w:tcW w:w="40" w:type="dxa"/>
            <w:vAlign w:val="bottom"/>
          </w:tcPr>
          <w:p>
            <w:pPr>
              <w:spacing w:after="0"/>
              <w:rPr>
                <w:sz w:val="21"/>
                <w:szCs w:val="21"/>
                <w:color w:val="auto"/>
              </w:rPr>
            </w:pPr>
          </w:p>
        </w:tc>
        <w:tc>
          <w:tcPr>
            <w:tcW w:w="1600" w:type="dxa"/>
            <w:vAlign w:val="bottom"/>
          </w:tcPr>
          <w:p>
            <w:pPr>
              <w:spacing w:after="0"/>
              <w:rPr>
                <w:sz w:val="21"/>
                <w:szCs w:val="21"/>
                <w:color w:val="auto"/>
              </w:rPr>
            </w:pPr>
          </w:p>
        </w:tc>
        <w:tc>
          <w:tcPr>
            <w:tcW w:w="60" w:type="dxa"/>
            <w:vAlign w:val="bottom"/>
            <w:tcBorders>
              <w:right w:val="single" w:sz="8" w:color="auto"/>
            </w:tcBorders>
          </w:tcPr>
          <w:p>
            <w:pPr>
              <w:spacing w:after="0"/>
              <w:rPr>
                <w:sz w:val="21"/>
                <w:szCs w:val="21"/>
                <w:color w:val="auto"/>
              </w:rPr>
            </w:pPr>
          </w:p>
        </w:tc>
        <w:tc>
          <w:tcPr>
            <w:tcW w:w="1700" w:type="dxa"/>
            <w:vAlign w:val="bottom"/>
          </w:tcPr>
          <w:p>
            <w:pPr>
              <w:spacing w:after="0"/>
              <w:rPr>
                <w:sz w:val="21"/>
                <w:szCs w:val="21"/>
                <w:color w:val="auto"/>
              </w:rPr>
            </w:pPr>
          </w:p>
        </w:tc>
        <w:tc>
          <w:tcPr>
            <w:tcW w:w="60" w:type="dxa"/>
            <w:vAlign w:val="bottom"/>
            <w:tcBorders>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245"/>
        </w:trPr>
        <w:tc>
          <w:tcPr>
            <w:tcW w:w="4680" w:type="dxa"/>
            <w:vAlign w:val="bottom"/>
            <w:tcBorders>
              <w:left w:val="single" w:sz="8" w:color="auto"/>
              <w:right w:val="single" w:sz="8" w:color="auto"/>
            </w:tcBorders>
          </w:tcPr>
          <w:p>
            <w:pPr>
              <w:ind w:left="40"/>
              <w:spacing w:after="0"/>
              <w:rPr>
                <w:sz w:val="20"/>
                <w:szCs w:val="20"/>
                <w:color w:val="auto"/>
              </w:rPr>
            </w:pPr>
            <w:r>
              <w:rPr>
                <w:rFonts w:ascii="Calibri" w:cs="Calibri" w:eastAsia="Calibri" w:hAnsi="Calibri"/>
                <w:sz w:val="20"/>
                <w:szCs w:val="20"/>
                <w:color w:val="auto"/>
              </w:rPr>
              <w:t>disclosed in the Offer Document?</w:t>
            </w:r>
          </w:p>
        </w:tc>
        <w:tc>
          <w:tcPr>
            <w:tcW w:w="40" w:type="dxa"/>
            <w:vAlign w:val="bottom"/>
          </w:tcPr>
          <w:p>
            <w:pPr>
              <w:spacing w:after="0"/>
              <w:rPr>
                <w:sz w:val="21"/>
                <w:szCs w:val="21"/>
                <w:color w:val="auto"/>
              </w:rPr>
            </w:pPr>
          </w:p>
        </w:tc>
        <w:tc>
          <w:tcPr>
            <w:tcW w:w="1080" w:type="dxa"/>
            <w:vAlign w:val="bottom"/>
            <w:tcBorders>
              <w:right w:val="single" w:sz="8" w:color="auto"/>
            </w:tcBorders>
          </w:tcPr>
          <w:p>
            <w:pPr>
              <w:spacing w:after="0"/>
              <w:rPr>
                <w:sz w:val="21"/>
                <w:szCs w:val="21"/>
                <w:color w:val="auto"/>
              </w:rPr>
            </w:pPr>
          </w:p>
        </w:tc>
        <w:tc>
          <w:tcPr>
            <w:tcW w:w="40" w:type="dxa"/>
            <w:vAlign w:val="bottom"/>
          </w:tcPr>
          <w:p>
            <w:pPr>
              <w:spacing w:after="0"/>
              <w:rPr>
                <w:sz w:val="21"/>
                <w:szCs w:val="21"/>
                <w:color w:val="auto"/>
              </w:rPr>
            </w:pPr>
          </w:p>
        </w:tc>
        <w:tc>
          <w:tcPr>
            <w:tcW w:w="1600" w:type="dxa"/>
            <w:vAlign w:val="bottom"/>
          </w:tcPr>
          <w:p>
            <w:pPr>
              <w:spacing w:after="0"/>
              <w:rPr>
                <w:sz w:val="21"/>
                <w:szCs w:val="21"/>
                <w:color w:val="auto"/>
              </w:rPr>
            </w:pPr>
          </w:p>
        </w:tc>
        <w:tc>
          <w:tcPr>
            <w:tcW w:w="60" w:type="dxa"/>
            <w:vAlign w:val="bottom"/>
            <w:tcBorders>
              <w:right w:val="single" w:sz="8" w:color="auto"/>
            </w:tcBorders>
          </w:tcPr>
          <w:p>
            <w:pPr>
              <w:spacing w:after="0"/>
              <w:rPr>
                <w:sz w:val="21"/>
                <w:szCs w:val="21"/>
                <w:color w:val="auto"/>
              </w:rPr>
            </w:pPr>
          </w:p>
        </w:tc>
        <w:tc>
          <w:tcPr>
            <w:tcW w:w="1700" w:type="dxa"/>
            <w:vAlign w:val="bottom"/>
          </w:tcPr>
          <w:p>
            <w:pPr>
              <w:spacing w:after="0"/>
              <w:rPr>
                <w:sz w:val="21"/>
                <w:szCs w:val="21"/>
                <w:color w:val="auto"/>
              </w:rPr>
            </w:pPr>
          </w:p>
        </w:tc>
        <w:tc>
          <w:tcPr>
            <w:tcW w:w="60" w:type="dxa"/>
            <w:vAlign w:val="bottom"/>
            <w:tcBorders>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36"/>
        </w:trPr>
        <w:tc>
          <w:tcPr>
            <w:tcW w:w="4680" w:type="dxa"/>
            <w:vAlign w:val="bottom"/>
            <w:tcBorders>
              <w:left w:val="single" w:sz="8" w:color="auto"/>
              <w:bottom w:val="single" w:sz="8" w:color="auto"/>
              <w:right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1080" w:type="dxa"/>
            <w:vAlign w:val="bottom"/>
            <w:tcBorders>
              <w:bottom w:val="single" w:sz="8" w:color="auto"/>
              <w:right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1600" w:type="dxa"/>
            <w:vAlign w:val="bottom"/>
            <w:tcBorders>
              <w:bottom w:val="single" w:sz="8" w:color="auto"/>
            </w:tcBorders>
          </w:tcPr>
          <w:p>
            <w:pPr>
              <w:spacing w:after="0"/>
              <w:rPr>
                <w:sz w:val="3"/>
                <w:szCs w:val="3"/>
                <w:color w:val="auto"/>
              </w:rPr>
            </w:pPr>
          </w:p>
        </w:tc>
        <w:tc>
          <w:tcPr>
            <w:tcW w:w="60" w:type="dxa"/>
            <w:vAlign w:val="bottom"/>
            <w:tcBorders>
              <w:bottom w:val="single" w:sz="8" w:color="auto"/>
              <w:right w:val="single" w:sz="8" w:color="auto"/>
            </w:tcBorders>
          </w:tcPr>
          <w:p>
            <w:pPr>
              <w:spacing w:after="0"/>
              <w:rPr>
                <w:sz w:val="3"/>
                <w:szCs w:val="3"/>
                <w:color w:val="auto"/>
              </w:rPr>
            </w:pPr>
          </w:p>
        </w:tc>
        <w:tc>
          <w:tcPr>
            <w:tcW w:w="1700" w:type="dxa"/>
            <w:vAlign w:val="bottom"/>
            <w:tcBorders>
              <w:bottom w:val="single" w:sz="8" w:color="auto"/>
            </w:tcBorders>
          </w:tcPr>
          <w:p>
            <w:pPr>
              <w:spacing w:after="0"/>
              <w:rPr>
                <w:sz w:val="3"/>
                <w:szCs w:val="3"/>
                <w:color w:val="auto"/>
              </w:rPr>
            </w:pPr>
          </w:p>
        </w:tc>
        <w:tc>
          <w:tcPr>
            <w:tcW w:w="6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261"/>
        </w:trPr>
        <w:tc>
          <w:tcPr>
            <w:tcW w:w="4680" w:type="dxa"/>
            <w:vAlign w:val="bottom"/>
            <w:tcBorders>
              <w:left w:val="single" w:sz="8" w:color="auto"/>
              <w:right w:val="single" w:sz="8" w:color="auto"/>
            </w:tcBorders>
          </w:tcPr>
          <w:p>
            <w:pPr>
              <w:ind w:left="40"/>
              <w:spacing w:after="0"/>
              <w:rPr>
                <w:sz w:val="20"/>
                <w:szCs w:val="20"/>
                <w:color w:val="auto"/>
              </w:rPr>
            </w:pPr>
            <w:r>
              <w:rPr>
                <w:rFonts w:ascii="Calibri" w:cs="Calibri" w:eastAsia="Calibri" w:hAnsi="Calibri"/>
                <w:sz w:val="20"/>
                <w:szCs w:val="20"/>
                <w:color w:val="auto"/>
                <w:highlight w:val="white"/>
              </w:rPr>
              <w:t>Whether the means of finance for the disclosed objects</w:t>
            </w:r>
          </w:p>
        </w:tc>
        <w:tc>
          <w:tcPr>
            <w:tcW w:w="40" w:type="dxa"/>
            <w:vAlign w:val="bottom"/>
          </w:tcPr>
          <w:p>
            <w:pPr>
              <w:spacing w:after="0"/>
              <w:rPr>
                <w:sz w:val="22"/>
                <w:szCs w:val="22"/>
                <w:color w:val="auto"/>
              </w:rPr>
            </w:pPr>
          </w:p>
        </w:tc>
        <w:tc>
          <w:tcPr>
            <w:tcW w:w="1080" w:type="dxa"/>
            <w:vAlign w:val="bottom"/>
            <w:tcBorders>
              <w:right w:val="single" w:sz="8" w:color="auto"/>
            </w:tcBorders>
          </w:tcPr>
          <w:p>
            <w:pPr>
              <w:jc w:val="center"/>
              <w:spacing w:after="0"/>
              <w:rPr>
                <w:sz w:val="20"/>
                <w:szCs w:val="20"/>
                <w:color w:val="auto"/>
              </w:rPr>
            </w:pPr>
            <w:r>
              <w:rPr>
                <w:rFonts w:ascii="Calibri" w:cs="Calibri" w:eastAsia="Calibri" w:hAnsi="Calibri"/>
                <w:sz w:val="20"/>
                <w:szCs w:val="20"/>
                <w:color w:val="auto"/>
                <w:w w:val="97"/>
              </w:rPr>
              <w:t>Yes/ No</w:t>
            </w:r>
          </w:p>
        </w:tc>
        <w:tc>
          <w:tcPr>
            <w:tcW w:w="40" w:type="dxa"/>
            <w:vAlign w:val="bottom"/>
          </w:tcPr>
          <w:p>
            <w:pPr>
              <w:spacing w:after="0"/>
              <w:rPr>
                <w:sz w:val="22"/>
                <w:szCs w:val="22"/>
                <w:color w:val="auto"/>
              </w:rPr>
            </w:pPr>
          </w:p>
        </w:tc>
        <w:tc>
          <w:tcPr>
            <w:tcW w:w="1600" w:type="dxa"/>
            <w:vAlign w:val="bottom"/>
          </w:tcPr>
          <w:p>
            <w:pPr>
              <w:spacing w:after="0"/>
              <w:rPr>
                <w:sz w:val="22"/>
                <w:szCs w:val="22"/>
                <w:color w:val="auto"/>
              </w:rPr>
            </w:pPr>
          </w:p>
        </w:tc>
        <w:tc>
          <w:tcPr>
            <w:tcW w:w="60" w:type="dxa"/>
            <w:vAlign w:val="bottom"/>
            <w:tcBorders>
              <w:right w:val="single" w:sz="8" w:color="auto"/>
            </w:tcBorders>
          </w:tcPr>
          <w:p>
            <w:pPr>
              <w:spacing w:after="0"/>
              <w:rPr>
                <w:sz w:val="22"/>
                <w:szCs w:val="22"/>
                <w:color w:val="auto"/>
              </w:rPr>
            </w:pPr>
          </w:p>
        </w:tc>
        <w:tc>
          <w:tcPr>
            <w:tcW w:w="1700" w:type="dxa"/>
            <w:vAlign w:val="bottom"/>
          </w:tcPr>
          <w:p>
            <w:pPr>
              <w:spacing w:after="0"/>
              <w:rPr>
                <w:sz w:val="22"/>
                <w:szCs w:val="22"/>
                <w:color w:val="auto"/>
              </w:rPr>
            </w:pPr>
          </w:p>
        </w:tc>
        <w:tc>
          <w:tcPr>
            <w:tcW w:w="60" w:type="dxa"/>
            <w:vAlign w:val="bottom"/>
            <w:tcBorders>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245"/>
        </w:trPr>
        <w:tc>
          <w:tcPr>
            <w:tcW w:w="4680" w:type="dxa"/>
            <w:vAlign w:val="bottom"/>
            <w:tcBorders>
              <w:left w:val="single" w:sz="8" w:color="auto"/>
              <w:right w:val="single" w:sz="8" w:color="auto"/>
            </w:tcBorders>
          </w:tcPr>
          <w:p>
            <w:pPr>
              <w:ind w:left="40"/>
              <w:spacing w:after="0"/>
              <w:rPr>
                <w:sz w:val="20"/>
                <w:szCs w:val="20"/>
                <w:color w:val="auto"/>
              </w:rPr>
            </w:pPr>
            <w:r>
              <w:rPr>
                <w:rFonts w:ascii="Calibri" w:cs="Calibri" w:eastAsia="Calibri" w:hAnsi="Calibri"/>
                <w:sz w:val="20"/>
                <w:szCs w:val="20"/>
                <w:color w:val="auto"/>
              </w:rPr>
              <w:t>of the issue has changed?</w:t>
            </w:r>
          </w:p>
        </w:tc>
        <w:tc>
          <w:tcPr>
            <w:tcW w:w="40" w:type="dxa"/>
            <w:vAlign w:val="bottom"/>
          </w:tcPr>
          <w:p>
            <w:pPr>
              <w:spacing w:after="0"/>
              <w:rPr>
                <w:sz w:val="21"/>
                <w:szCs w:val="21"/>
                <w:color w:val="auto"/>
              </w:rPr>
            </w:pPr>
          </w:p>
        </w:tc>
        <w:tc>
          <w:tcPr>
            <w:tcW w:w="1080" w:type="dxa"/>
            <w:vAlign w:val="bottom"/>
            <w:tcBorders>
              <w:right w:val="single" w:sz="8" w:color="auto"/>
            </w:tcBorders>
          </w:tcPr>
          <w:p>
            <w:pPr>
              <w:spacing w:after="0"/>
              <w:rPr>
                <w:sz w:val="21"/>
                <w:szCs w:val="21"/>
                <w:color w:val="auto"/>
              </w:rPr>
            </w:pPr>
          </w:p>
        </w:tc>
        <w:tc>
          <w:tcPr>
            <w:tcW w:w="40" w:type="dxa"/>
            <w:vAlign w:val="bottom"/>
          </w:tcPr>
          <w:p>
            <w:pPr>
              <w:spacing w:after="0"/>
              <w:rPr>
                <w:sz w:val="21"/>
                <w:szCs w:val="21"/>
                <w:color w:val="auto"/>
              </w:rPr>
            </w:pPr>
          </w:p>
        </w:tc>
        <w:tc>
          <w:tcPr>
            <w:tcW w:w="1600" w:type="dxa"/>
            <w:vAlign w:val="bottom"/>
          </w:tcPr>
          <w:p>
            <w:pPr>
              <w:spacing w:after="0"/>
              <w:rPr>
                <w:sz w:val="21"/>
                <w:szCs w:val="21"/>
                <w:color w:val="auto"/>
              </w:rPr>
            </w:pPr>
          </w:p>
        </w:tc>
        <w:tc>
          <w:tcPr>
            <w:tcW w:w="60" w:type="dxa"/>
            <w:vAlign w:val="bottom"/>
            <w:tcBorders>
              <w:right w:val="single" w:sz="8" w:color="auto"/>
            </w:tcBorders>
          </w:tcPr>
          <w:p>
            <w:pPr>
              <w:spacing w:after="0"/>
              <w:rPr>
                <w:sz w:val="21"/>
                <w:szCs w:val="21"/>
                <w:color w:val="auto"/>
              </w:rPr>
            </w:pPr>
          </w:p>
        </w:tc>
        <w:tc>
          <w:tcPr>
            <w:tcW w:w="1700" w:type="dxa"/>
            <w:vAlign w:val="bottom"/>
          </w:tcPr>
          <w:p>
            <w:pPr>
              <w:spacing w:after="0"/>
              <w:rPr>
                <w:sz w:val="21"/>
                <w:szCs w:val="21"/>
                <w:color w:val="auto"/>
              </w:rPr>
            </w:pPr>
          </w:p>
        </w:tc>
        <w:tc>
          <w:tcPr>
            <w:tcW w:w="60" w:type="dxa"/>
            <w:vAlign w:val="bottom"/>
            <w:tcBorders>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36"/>
        </w:trPr>
        <w:tc>
          <w:tcPr>
            <w:tcW w:w="4680" w:type="dxa"/>
            <w:vAlign w:val="bottom"/>
            <w:tcBorders>
              <w:left w:val="single" w:sz="8" w:color="auto"/>
              <w:bottom w:val="single" w:sz="8" w:color="auto"/>
              <w:right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1080" w:type="dxa"/>
            <w:vAlign w:val="bottom"/>
            <w:tcBorders>
              <w:bottom w:val="single" w:sz="8" w:color="auto"/>
              <w:right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1600" w:type="dxa"/>
            <w:vAlign w:val="bottom"/>
            <w:tcBorders>
              <w:bottom w:val="single" w:sz="8" w:color="auto"/>
            </w:tcBorders>
          </w:tcPr>
          <w:p>
            <w:pPr>
              <w:spacing w:after="0"/>
              <w:rPr>
                <w:sz w:val="3"/>
                <w:szCs w:val="3"/>
                <w:color w:val="auto"/>
              </w:rPr>
            </w:pPr>
          </w:p>
        </w:tc>
        <w:tc>
          <w:tcPr>
            <w:tcW w:w="60" w:type="dxa"/>
            <w:vAlign w:val="bottom"/>
            <w:tcBorders>
              <w:bottom w:val="single" w:sz="8" w:color="auto"/>
              <w:right w:val="single" w:sz="8" w:color="auto"/>
            </w:tcBorders>
          </w:tcPr>
          <w:p>
            <w:pPr>
              <w:spacing w:after="0"/>
              <w:rPr>
                <w:sz w:val="3"/>
                <w:szCs w:val="3"/>
                <w:color w:val="auto"/>
              </w:rPr>
            </w:pPr>
          </w:p>
        </w:tc>
        <w:tc>
          <w:tcPr>
            <w:tcW w:w="1700" w:type="dxa"/>
            <w:vAlign w:val="bottom"/>
            <w:tcBorders>
              <w:bottom w:val="single" w:sz="8" w:color="auto"/>
            </w:tcBorders>
          </w:tcPr>
          <w:p>
            <w:pPr>
              <w:spacing w:after="0"/>
              <w:rPr>
                <w:sz w:val="3"/>
                <w:szCs w:val="3"/>
                <w:color w:val="auto"/>
              </w:rPr>
            </w:pPr>
          </w:p>
        </w:tc>
        <w:tc>
          <w:tcPr>
            <w:tcW w:w="6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261"/>
        </w:trPr>
        <w:tc>
          <w:tcPr>
            <w:tcW w:w="4680" w:type="dxa"/>
            <w:vAlign w:val="bottom"/>
            <w:tcBorders>
              <w:left w:val="single" w:sz="8" w:color="auto"/>
              <w:right w:val="single" w:sz="8" w:color="auto"/>
            </w:tcBorders>
          </w:tcPr>
          <w:p>
            <w:pPr>
              <w:ind w:left="40"/>
              <w:spacing w:after="0"/>
              <w:rPr>
                <w:sz w:val="20"/>
                <w:szCs w:val="20"/>
                <w:color w:val="auto"/>
              </w:rPr>
            </w:pPr>
            <w:r>
              <w:rPr>
                <w:rFonts w:ascii="Calibri" w:cs="Calibri" w:eastAsia="Calibri" w:hAnsi="Calibri"/>
                <w:sz w:val="20"/>
                <w:szCs w:val="20"/>
                <w:color w:val="auto"/>
                <w:highlight w:val="white"/>
              </w:rPr>
              <w:t>Is there any major deviation observed over the earlier</w:t>
            </w:r>
          </w:p>
        </w:tc>
        <w:tc>
          <w:tcPr>
            <w:tcW w:w="40" w:type="dxa"/>
            <w:vAlign w:val="bottom"/>
          </w:tcPr>
          <w:p>
            <w:pPr>
              <w:spacing w:after="0"/>
              <w:rPr>
                <w:sz w:val="22"/>
                <w:szCs w:val="22"/>
                <w:color w:val="auto"/>
              </w:rPr>
            </w:pPr>
          </w:p>
        </w:tc>
        <w:tc>
          <w:tcPr>
            <w:tcW w:w="1080" w:type="dxa"/>
            <w:vAlign w:val="bottom"/>
            <w:tcBorders>
              <w:right w:val="single" w:sz="8" w:color="auto"/>
            </w:tcBorders>
          </w:tcPr>
          <w:p>
            <w:pPr>
              <w:jc w:val="center"/>
              <w:spacing w:after="0"/>
              <w:rPr>
                <w:sz w:val="20"/>
                <w:szCs w:val="20"/>
                <w:color w:val="auto"/>
              </w:rPr>
            </w:pPr>
            <w:r>
              <w:rPr>
                <w:rFonts w:ascii="Calibri" w:cs="Calibri" w:eastAsia="Calibri" w:hAnsi="Calibri"/>
                <w:sz w:val="20"/>
                <w:szCs w:val="20"/>
                <w:color w:val="auto"/>
                <w:w w:val="97"/>
              </w:rPr>
              <w:t>Yes/ No</w:t>
            </w:r>
          </w:p>
        </w:tc>
        <w:tc>
          <w:tcPr>
            <w:tcW w:w="40" w:type="dxa"/>
            <w:vAlign w:val="bottom"/>
          </w:tcPr>
          <w:p>
            <w:pPr>
              <w:spacing w:after="0"/>
              <w:rPr>
                <w:sz w:val="22"/>
                <w:szCs w:val="22"/>
                <w:color w:val="auto"/>
              </w:rPr>
            </w:pPr>
          </w:p>
        </w:tc>
        <w:tc>
          <w:tcPr>
            <w:tcW w:w="1600" w:type="dxa"/>
            <w:vAlign w:val="bottom"/>
          </w:tcPr>
          <w:p>
            <w:pPr>
              <w:spacing w:after="0"/>
              <w:rPr>
                <w:sz w:val="22"/>
                <w:szCs w:val="22"/>
                <w:color w:val="auto"/>
              </w:rPr>
            </w:pPr>
          </w:p>
        </w:tc>
        <w:tc>
          <w:tcPr>
            <w:tcW w:w="60" w:type="dxa"/>
            <w:vAlign w:val="bottom"/>
            <w:tcBorders>
              <w:right w:val="single" w:sz="8" w:color="auto"/>
            </w:tcBorders>
          </w:tcPr>
          <w:p>
            <w:pPr>
              <w:spacing w:after="0"/>
              <w:rPr>
                <w:sz w:val="22"/>
                <w:szCs w:val="22"/>
                <w:color w:val="auto"/>
              </w:rPr>
            </w:pPr>
          </w:p>
        </w:tc>
        <w:tc>
          <w:tcPr>
            <w:tcW w:w="1700" w:type="dxa"/>
            <w:vAlign w:val="bottom"/>
          </w:tcPr>
          <w:p>
            <w:pPr>
              <w:spacing w:after="0"/>
              <w:rPr>
                <w:sz w:val="22"/>
                <w:szCs w:val="22"/>
                <w:color w:val="auto"/>
              </w:rPr>
            </w:pPr>
          </w:p>
        </w:tc>
        <w:tc>
          <w:tcPr>
            <w:tcW w:w="60" w:type="dxa"/>
            <w:vAlign w:val="bottom"/>
            <w:tcBorders>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245"/>
        </w:trPr>
        <w:tc>
          <w:tcPr>
            <w:tcW w:w="4680" w:type="dxa"/>
            <w:vAlign w:val="bottom"/>
            <w:tcBorders>
              <w:left w:val="single" w:sz="8" w:color="auto"/>
              <w:right w:val="single" w:sz="8" w:color="auto"/>
            </w:tcBorders>
          </w:tcPr>
          <w:p>
            <w:pPr>
              <w:ind w:left="40"/>
              <w:spacing w:after="0"/>
              <w:rPr>
                <w:sz w:val="20"/>
                <w:szCs w:val="20"/>
                <w:color w:val="auto"/>
              </w:rPr>
            </w:pPr>
            <w:r>
              <w:rPr>
                <w:rFonts w:ascii="Calibri" w:cs="Calibri" w:eastAsia="Calibri" w:hAnsi="Calibri"/>
                <w:sz w:val="20"/>
                <w:szCs w:val="20"/>
                <w:color w:val="auto"/>
              </w:rPr>
              <w:t>monitoring agency reports?</w:t>
            </w:r>
          </w:p>
        </w:tc>
        <w:tc>
          <w:tcPr>
            <w:tcW w:w="40" w:type="dxa"/>
            <w:vAlign w:val="bottom"/>
          </w:tcPr>
          <w:p>
            <w:pPr>
              <w:spacing w:after="0"/>
              <w:rPr>
                <w:sz w:val="21"/>
                <w:szCs w:val="21"/>
                <w:color w:val="auto"/>
              </w:rPr>
            </w:pPr>
          </w:p>
        </w:tc>
        <w:tc>
          <w:tcPr>
            <w:tcW w:w="1080" w:type="dxa"/>
            <w:vAlign w:val="bottom"/>
            <w:tcBorders>
              <w:right w:val="single" w:sz="8" w:color="auto"/>
            </w:tcBorders>
          </w:tcPr>
          <w:p>
            <w:pPr>
              <w:spacing w:after="0"/>
              <w:rPr>
                <w:sz w:val="21"/>
                <w:szCs w:val="21"/>
                <w:color w:val="auto"/>
              </w:rPr>
            </w:pPr>
          </w:p>
        </w:tc>
        <w:tc>
          <w:tcPr>
            <w:tcW w:w="40" w:type="dxa"/>
            <w:vAlign w:val="bottom"/>
          </w:tcPr>
          <w:p>
            <w:pPr>
              <w:spacing w:after="0"/>
              <w:rPr>
                <w:sz w:val="21"/>
                <w:szCs w:val="21"/>
                <w:color w:val="auto"/>
              </w:rPr>
            </w:pPr>
          </w:p>
        </w:tc>
        <w:tc>
          <w:tcPr>
            <w:tcW w:w="1600" w:type="dxa"/>
            <w:vAlign w:val="bottom"/>
          </w:tcPr>
          <w:p>
            <w:pPr>
              <w:spacing w:after="0"/>
              <w:rPr>
                <w:sz w:val="21"/>
                <w:szCs w:val="21"/>
                <w:color w:val="auto"/>
              </w:rPr>
            </w:pPr>
          </w:p>
        </w:tc>
        <w:tc>
          <w:tcPr>
            <w:tcW w:w="60" w:type="dxa"/>
            <w:vAlign w:val="bottom"/>
            <w:tcBorders>
              <w:right w:val="single" w:sz="8" w:color="auto"/>
            </w:tcBorders>
          </w:tcPr>
          <w:p>
            <w:pPr>
              <w:spacing w:after="0"/>
              <w:rPr>
                <w:sz w:val="21"/>
                <w:szCs w:val="21"/>
                <w:color w:val="auto"/>
              </w:rPr>
            </w:pPr>
          </w:p>
        </w:tc>
        <w:tc>
          <w:tcPr>
            <w:tcW w:w="1700" w:type="dxa"/>
            <w:vAlign w:val="bottom"/>
          </w:tcPr>
          <w:p>
            <w:pPr>
              <w:spacing w:after="0"/>
              <w:rPr>
                <w:sz w:val="21"/>
                <w:szCs w:val="21"/>
                <w:color w:val="auto"/>
              </w:rPr>
            </w:pPr>
          </w:p>
        </w:tc>
        <w:tc>
          <w:tcPr>
            <w:tcW w:w="60" w:type="dxa"/>
            <w:vAlign w:val="bottom"/>
            <w:tcBorders>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35"/>
        </w:trPr>
        <w:tc>
          <w:tcPr>
            <w:tcW w:w="4680" w:type="dxa"/>
            <w:vAlign w:val="bottom"/>
            <w:tcBorders>
              <w:left w:val="single" w:sz="8" w:color="auto"/>
              <w:bottom w:val="single" w:sz="8" w:color="auto"/>
              <w:right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1080" w:type="dxa"/>
            <w:vAlign w:val="bottom"/>
            <w:tcBorders>
              <w:bottom w:val="single" w:sz="8" w:color="auto"/>
              <w:right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1600" w:type="dxa"/>
            <w:vAlign w:val="bottom"/>
            <w:tcBorders>
              <w:bottom w:val="single" w:sz="8" w:color="auto"/>
            </w:tcBorders>
          </w:tcPr>
          <w:p>
            <w:pPr>
              <w:spacing w:after="0"/>
              <w:rPr>
                <w:sz w:val="3"/>
                <w:szCs w:val="3"/>
                <w:color w:val="auto"/>
              </w:rPr>
            </w:pPr>
          </w:p>
        </w:tc>
        <w:tc>
          <w:tcPr>
            <w:tcW w:w="60" w:type="dxa"/>
            <w:vAlign w:val="bottom"/>
            <w:tcBorders>
              <w:bottom w:val="single" w:sz="8" w:color="auto"/>
              <w:right w:val="single" w:sz="8" w:color="auto"/>
            </w:tcBorders>
          </w:tcPr>
          <w:p>
            <w:pPr>
              <w:spacing w:after="0"/>
              <w:rPr>
                <w:sz w:val="3"/>
                <w:szCs w:val="3"/>
                <w:color w:val="auto"/>
              </w:rPr>
            </w:pPr>
          </w:p>
        </w:tc>
        <w:tc>
          <w:tcPr>
            <w:tcW w:w="1700" w:type="dxa"/>
            <w:vAlign w:val="bottom"/>
            <w:tcBorders>
              <w:bottom w:val="single" w:sz="8" w:color="auto"/>
            </w:tcBorders>
          </w:tcPr>
          <w:p>
            <w:pPr>
              <w:spacing w:after="0"/>
              <w:rPr>
                <w:sz w:val="3"/>
                <w:szCs w:val="3"/>
                <w:color w:val="auto"/>
              </w:rPr>
            </w:pPr>
          </w:p>
        </w:tc>
        <w:tc>
          <w:tcPr>
            <w:tcW w:w="6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262"/>
        </w:trPr>
        <w:tc>
          <w:tcPr>
            <w:tcW w:w="4680" w:type="dxa"/>
            <w:vAlign w:val="bottom"/>
            <w:tcBorders>
              <w:left w:val="single" w:sz="8" w:color="auto"/>
              <w:right w:val="single" w:sz="8" w:color="auto"/>
            </w:tcBorders>
          </w:tcPr>
          <w:p>
            <w:pPr>
              <w:ind w:left="40"/>
              <w:spacing w:after="0"/>
              <w:rPr>
                <w:sz w:val="20"/>
                <w:szCs w:val="20"/>
                <w:color w:val="auto"/>
              </w:rPr>
            </w:pPr>
            <w:r>
              <w:rPr>
                <w:rFonts w:ascii="Calibri" w:cs="Calibri" w:eastAsia="Calibri" w:hAnsi="Calibri"/>
                <w:sz w:val="20"/>
                <w:szCs w:val="20"/>
                <w:color w:val="auto"/>
                <w:highlight w:val="white"/>
              </w:rPr>
              <w:t>Whether all Government/statutory approvals related to</w:t>
            </w:r>
          </w:p>
        </w:tc>
        <w:tc>
          <w:tcPr>
            <w:tcW w:w="40" w:type="dxa"/>
            <w:vAlign w:val="bottom"/>
          </w:tcPr>
          <w:p>
            <w:pPr>
              <w:spacing w:after="0"/>
              <w:rPr>
                <w:sz w:val="22"/>
                <w:szCs w:val="22"/>
                <w:color w:val="auto"/>
              </w:rPr>
            </w:pPr>
          </w:p>
        </w:tc>
        <w:tc>
          <w:tcPr>
            <w:tcW w:w="1080" w:type="dxa"/>
            <w:vAlign w:val="bottom"/>
            <w:tcBorders>
              <w:right w:val="single" w:sz="8" w:color="auto"/>
            </w:tcBorders>
          </w:tcPr>
          <w:p>
            <w:pPr>
              <w:jc w:val="center"/>
              <w:spacing w:after="0"/>
              <w:rPr>
                <w:sz w:val="20"/>
                <w:szCs w:val="20"/>
                <w:color w:val="auto"/>
              </w:rPr>
            </w:pPr>
            <w:r>
              <w:rPr>
                <w:rFonts w:ascii="Calibri" w:cs="Calibri" w:eastAsia="Calibri" w:hAnsi="Calibri"/>
                <w:sz w:val="20"/>
                <w:szCs w:val="20"/>
                <w:color w:val="auto"/>
                <w:w w:val="97"/>
              </w:rPr>
              <w:t>Yes/ No</w:t>
            </w:r>
          </w:p>
        </w:tc>
        <w:tc>
          <w:tcPr>
            <w:tcW w:w="40" w:type="dxa"/>
            <w:vAlign w:val="bottom"/>
          </w:tcPr>
          <w:p>
            <w:pPr>
              <w:spacing w:after="0"/>
              <w:rPr>
                <w:sz w:val="22"/>
                <w:szCs w:val="22"/>
                <w:color w:val="auto"/>
              </w:rPr>
            </w:pPr>
          </w:p>
        </w:tc>
        <w:tc>
          <w:tcPr>
            <w:tcW w:w="1600" w:type="dxa"/>
            <w:vAlign w:val="bottom"/>
          </w:tcPr>
          <w:p>
            <w:pPr>
              <w:spacing w:after="0"/>
              <w:rPr>
                <w:sz w:val="22"/>
                <w:szCs w:val="22"/>
                <w:color w:val="auto"/>
              </w:rPr>
            </w:pPr>
          </w:p>
        </w:tc>
        <w:tc>
          <w:tcPr>
            <w:tcW w:w="60" w:type="dxa"/>
            <w:vAlign w:val="bottom"/>
            <w:tcBorders>
              <w:right w:val="single" w:sz="8" w:color="auto"/>
            </w:tcBorders>
          </w:tcPr>
          <w:p>
            <w:pPr>
              <w:spacing w:after="0"/>
              <w:rPr>
                <w:sz w:val="22"/>
                <w:szCs w:val="22"/>
                <w:color w:val="auto"/>
              </w:rPr>
            </w:pPr>
          </w:p>
        </w:tc>
        <w:tc>
          <w:tcPr>
            <w:tcW w:w="1700" w:type="dxa"/>
            <w:vAlign w:val="bottom"/>
          </w:tcPr>
          <w:p>
            <w:pPr>
              <w:spacing w:after="0"/>
              <w:rPr>
                <w:sz w:val="22"/>
                <w:szCs w:val="22"/>
                <w:color w:val="auto"/>
              </w:rPr>
            </w:pPr>
          </w:p>
        </w:tc>
        <w:tc>
          <w:tcPr>
            <w:tcW w:w="60" w:type="dxa"/>
            <w:vAlign w:val="bottom"/>
            <w:tcBorders>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245"/>
        </w:trPr>
        <w:tc>
          <w:tcPr>
            <w:tcW w:w="4680" w:type="dxa"/>
            <w:vAlign w:val="bottom"/>
            <w:tcBorders>
              <w:left w:val="single" w:sz="8" w:color="auto"/>
              <w:right w:val="single" w:sz="8" w:color="auto"/>
            </w:tcBorders>
          </w:tcPr>
          <w:p>
            <w:pPr>
              <w:ind w:left="40"/>
              <w:spacing w:after="0"/>
              <w:rPr>
                <w:sz w:val="20"/>
                <w:szCs w:val="20"/>
                <w:color w:val="auto"/>
              </w:rPr>
            </w:pPr>
            <w:r>
              <w:rPr>
                <w:rFonts w:ascii="Calibri" w:cs="Calibri" w:eastAsia="Calibri" w:hAnsi="Calibri"/>
                <w:sz w:val="20"/>
                <w:szCs w:val="20"/>
                <w:color w:val="auto"/>
              </w:rPr>
              <w:t>the object(s) have been obtained?</w:t>
            </w:r>
          </w:p>
        </w:tc>
        <w:tc>
          <w:tcPr>
            <w:tcW w:w="40" w:type="dxa"/>
            <w:vAlign w:val="bottom"/>
          </w:tcPr>
          <w:p>
            <w:pPr>
              <w:spacing w:after="0"/>
              <w:rPr>
                <w:sz w:val="21"/>
                <w:szCs w:val="21"/>
                <w:color w:val="auto"/>
              </w:rPr>
            </w:pPr>
          </w:p>
        </w:tc>
        <w:tc>
          <w:tcPr>
            <w:tcW w:w="1080" w:type="dxa"/>
            <w:vAlign w:val="bottom"/>
            <w:tcBorders>
              <w:right w:val="single" w:sz="8" w:color="auto"/>
            </w:tcBorders>
          </w:tcPr>
          <w:p>
            <w:pPr>
              <w:spacing w:after="0"/>
              <w:rPr>
                <w:sz w:val="21"/>
                <w:szCs w:val="21"/>
                <w:color w:val="auto"/>
              </w:rPr>
            </w:pPr>
          </w:p>
        </w:tc>
        <w:tc>
          <w:tcPr>
            <w:tcW w:w="40" w:type="dxa"/>
            <w:vAlign w:val="bottom"/>
          </w:tcPr>
          <w:p>
            <w:pPr>
              <w:spacing w:after="0"/>
              <w:rPr>
                <w:sz w:val="21"/>
                <w:szCs w:val="21"/>
                <w:color w:val="auto"/>
              </w:rPr>
            </w:pPr>
          </w:p>
        </w:tc>
        <w:tc>
          <w:tcPr>
            <w:tcW w:w="1600" w:type="dxa"/>
            <w:vAlign w:val="bottom"/>
          </w:tcPr>
          <w:p>
            <w:pPr>
              <w:spacing w:after="0"/>
              <w:rPr>
                <w:sz w:val="21"/>
                <w:szCs w:val="21"/>
                <w:color w:val="auto"/>
              </w:rPr>
            </w:pPr>
          </w:p>
        </w:tc>
        <w:tc>
          <w:tcPr>
            <w:tcW w:w="60" w:type="dxa"/>
            <w:vAlign w:val="bottom"/>
            <w:tcBorders>
              <w:right w:val="single" w:sz="8" w:color="auto"/>
            </w:tcBorders>
          </w:tcPr>
          <w:p>
            <w:pPr>
              <w:spacing w:after="0"/>
              <w:rPr>
                <w:sz w:val="21"/>
                <w:szCs w:val="21"/>
                <w:color w:val="auto"/>
              </w:rPr>
            </w:pPr>
          </w:p>
        </w:tc>
        <w:tc>
          <w:tcPr>
            <w:tcW w:w="1700" w:type="dxa"/>
            <w:vAlign w:val="bottom"/>
          </w:tcPr>
          <w:p>
            <w:pPr>
              <w:spacing w:after="0"/>
              <w:rPr>
                <w:sz w:val="21"/>
                <w:szCs w:val="21"/>
                <w:color w:val="auto"/>
              </w:rPr>
            </w:pPr>
          </w:p>
        </w:tc>
        <w:tc>
          <w:tcPr>
            <w:tcW w:w="60" w:type="dxa"/>
            <w:vAlign w:val="bottom"/>
            <w:tcBorders>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34"/>
        </w:trPr>
        <w:tc>
          <w:tcPr>
            <w:tcW w:w="4680" w:type="dxa"/>
            <w:vAlign w:val="bottom"/>
            <w:tcBorders>
              <w:left w:val="single" w:sz="8" w:color="auto"/>
              <w:bottom w:val="single" w:sz="8" w:color="auto"/>
              <w:right w:val="single" w:sz="8" w:color="auto"/>
            </w:tcBorders>
          </w:tcPr>
          <w:p>
            <w:pPr>
              <w:spacing w:after="0"/>
              <w:rPr>
                <w:sz w:val="2"/>
                <w:szCs w:val="2"/>
                <w:color w:val="auto"/>
              </w:rPr>
            </w:pPr>
          </w:p>
        </w:tc>
        <w:tc>
          <w:tcPr>
            <w:tcW w:w="40" w:type="dxa"/>
            <w:vAlign w:val="bottom"/>
            <w:tcBorders>
              <w:bottom w:val="single" w:sz="8" w:color="auto"/>
            </w:tcBorders>
          </w:tcPr>
          <w:p>
            <w:pPr>
              <w:spacing w:after="0"/>
              <w:rPr>
                <w:sz w:val="2"/>
                <w:szCs w:val="2"/>
                <w:color w:val="auto"/>
              </w:rPr>
            </w:pPr>
          </w:p>
        </w:tc>
        <w:tc>
          <w:tcPr>
            <w:tcW w:w="1080" w:type="dxa"/>
            <w:vAlign w:val="bottom"/>
            <w:tcBorders>
              <w:bottom w:val="single" w:sz="8" w:color="auto"/>
              <w:right w:val="single" w:sz="8" w:color="auto"/>
            </w:tcBorders>
          </w:tcPr>
          <w:p>
            <w:pPr>
              <w:spacing w:after="0"/>
              <w:rPr>
                <w:sz w:val="2"/>
                <w:szCs w:val="2"/>
                <w:color w:val="auto"/>
              </w:rPr>
            </w:pPr>
          </w:p>
        </w:tc>
        <w:tc>
          <w:tcPr>
            <w:tcW w:w="40" w:type="dxa"/>
            <w:vAlign w:val="bottom"/>
            <w:tcBorders>
              <w:bottom w:val="single" w:sz="8" w:color="auto"/>
            </w:tcBorders>
          </w:tcPr>
          <w:p>
            <w:pPr>
              <w:spacing w:after="0"/>
              <w:rPr>
                <w:sz w:val="2"/>
                <w:szCs w:val="2"/>
                <w:color w:val="auto"/>
              </w:rPr>
            </w:pPr>
          </w:p>
        </w:tc>
        <w:tc>
          <w:tcPr>
            <w:tcW w:w="1600" w:type="dxa"/>
            <w:vAlign w:val="bottom"/>
            <w:tcBorders>
              <w:bottom w:val="single" w:sz="8" w:color="auto"/>
            </w:tcBorders>
          </w:tcPr>
          <w:p>
            <w:pPr>
              <w:spacing w:after="0"/>
              <w:rPr>
                <w:sz w:val="2"/>
                <w:szCs w:val="2"/>
                <w:color w:val="auto"/>
              </w:rPr>
            </w:pPr>
          </w:p>
        </w:tc>
        <w:tc>
          <w:tcPr>
            <w:tcW w:w="60" w:type="dxa"/>
            <w:vAlign w:val="bottom"/>
            <w:tcBorders>
              <w:bottom w:val="single" w:sz="8" w:color="auto"/>
              <w:right w:val="single" w:sz="8" w:color="auto"/>
            </w:tcBorders>
          </w:tcPr>
          <w:p>
            <w:pPr>
              <w:spacing w:after="0"/>
              <w:rPr>
                <w:sz w:val="2"/>
                <w:szCs w:val="2"/>
                <w:color w:val="auto"/>
              </w:rPr>
            </w:pPr>
          </w:p>
        </w:tc>
        <w:tc>
          <w:tcPr>
            <w:tcW w:w="1700" w:type="dxa"/>
            <w:vAlign w:val="bottom"/>
            <w:tcBorders>
              <w:bottom w:val="single" w:sz="8" w:color="auto"/>
            </w:tcBorders>
          </w:tcPr>
          <w:p>
            <w:pPr>
              <w:spacing w:after="0"/>
              <w:rPr>
                <w:sz w:val="2"/>
                <w:szCs w:val="2"/>
                <w:color w:val="auto"/>
              </w:rPr>
            </w:pPr>
          </w:p>
        </w:tc>
        <w:tc>
          <w:tcPr>
            <w:tcW w:w="60" w:type="dxa"/>
            <w:vAlign w:val="bottom"/>
            <w:tcBorders>
              <w:bottom w:val="single" w:sz="8" w:color="auto"/>
              <w:right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263"/>
        </w:trPr>
        <w:tc>
          <w:tcPr>
            <w:tcW w:w="4680" w:type="dxa"/>
            <w:vAlign w:val="bottom"/>
            <w:tcBorders>
              <w:left w:val="single" w:sz="8" w:color="auto"/>
              <w:right w:val="single" w:sz="8" w:color="auto"/>
            </w:tcBorders>
          </w:tcPr>
          <w:p>
            <w:pPr>
              <w:ind w:left="40"/>
              <w:spacing w:after="0"/>
              <w:rPr>
                <w:sz w:val="20"/>
                <w:szCs w:val="20"/>
                <w:color w:val="auto"/>
              </w:rPr>
            </w:pPr>
            <w:r>
              <w:rPr>
                <w:rFonts w:ascii="Calibri" w:cs="Calibri" w:eastAsia="Calibri" w:hAnsi="Calibri"/>
                <w:sz w:val="20"/>
                <w:szCs w:val="20"/>
                <w:color w:val="auto"/>
                <w:highlight w:val="white"/>
              </w:rPr>
              <w:t>Whether  all  arrangements  pertaining  to  technical</w:t>
            </w:r>
          </w:p>
        </w:tc>
        <w:tc>
          <w:tcPr>
            <w:tcW w:w="40" w:type="dxa"/>
            <w:vAlign w:val="bottom"/>
          </w:tcPr>
          <w:p>
            <w:pPr>
              <w:spacing w:after="0"/>
              <w:rPr>
                <w:sz w:val="22"/>
                <w:szCs w:val="22"/>
                <w:color w:val="auto"/>
              </w:rPr>
            </w:pPr>
          </w:p>
        </w:tc>
        <w:tc>
          <w:tcPr>
            <w:tcW w:w="1080" w:type="dxa"/>
            <w:vAlign w:val="bottom"/>
            <w:tcBorders>
              <w:right w:val="single" w:sz="8" w:color="auto"/>
            </w:tcBorders>
          </w:tcPr>
          <w:p>
            <w:pPr>
              <w:jc w:val="center"/>
              <w:spacing w:after="0"/>
              <w:rPr>
                <w:sz w:val="20"/>
                <w:szCs w:val="20"/>
                <w:color w:val="auto"/>
              </w:rPr>
            </w:pPr>
            <w:r>
              <w:rPr>
                <w:rFonts w:ascii="Calibri" w:cs="Calibri" w:eastAsia="Calibri" w:hAnsi="Calibri"/>
                <w:sz w:val="20"/>
                <w:szCs w:val="20"/>
                <w:color w:val="auto"/>
                <w:w w:val="97"/>
              </w:rPr>
              <w:t>Yes/ No</w:t>
            </w:r>
          </w:p>
        </w:tc>
        <w:tc>
          <w:tcPr>
            <w:tcW w:w="40" w:type="dxa"/>
            <w:vAlign w:val="bottom"/>
          </w:tcPr>
          <w:p>
            <w:pPr>
              <w:spacing w:after="0"/>
              <w:rPr>
                <w:sz w:val="22"/>
                <w:szCs w:val="22"/>
                <w:color w:val="auto"/>
              </w:rPr>
            </w:pPr>
          </w:p>
        </w:tc>
        <w:tc>
          <w:tcPr>
            <w:tcW w:w="1600" w:type="dxa"/>
            <w:vAlign w:val="bottom"/>
          </w:tcPr>
          <w:p>
            <w:pPr>
              <w:spacing w:after="0"/>
              <w:rPr>
                <w:sz w:val="22"/>
                <w:szCs w:val="22"/>
                <w:color w:val="auto"/>
              </w:rPr>
            </w:pPr>
          </w:p>
        </w:tc>
        <w:tc>
          <w:tcPr>
            <w:tcW w:w="60" w:type="dxa"/>
            <w:vAlign w:val="bottom"/>
            <w:tcBorders>
              <w:right w:val="single" w:sz="8" w:color="auto"/>
            </w:tcBorders>
          </w:tcPr>
          <w:p>
            <w:pPr>
              <w:spacing w:after="0"/>
              <w:rPr>
                <w:sz w:val="22"/>
                <w:szCs w:val="22"/>
                <w:color w:val="auto"/>
              </w:rPr>
            </w:pPr>
          </w:p>
        </w:tc>
        <w:tc>
          <w:tcPr>
            <w:tcW w:w="1700" w:type="dxa"/>
            <w:vAlign w:val="bottom"/>
          </w:tcPr>
          <w:p>
            <w:pPr>
              <w:spacing w:after="0"/>
              <w:rPr>
                <w:sz w:val="22"/>
                <w:szCs w:val="22"/>
                <w:color w:val="auto"/>
              </w:rPr>
            </w:pPr>
          </w:p>
        </w:tc>
        <w:tc>
          <w:tcPr>
            <w:tcW w:w="60" w:type="dxa"/>
            <w:vAlign w:val="bottom"/>
            <w:tcBorders>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242"/>
        </w:trPr>
        <w:tc>
          <w:tcPr>
            <w:tcW w:w="4680" w:type="dxa"/>
            <w:vAlign w:val="bottom"/>
            <w:tcBorders>
              <w:left w:val="single" w:sz="8" w:color="auto"/>
              <w:right w:val="single" w:sz="8" w:color="auto"/>
            </w:tcBorders>
          </w:tcPr>
          <w:p>
            <w:pPr>
              <w:ind w:left="40"/>
              <w:spacing w:after="0" w:line="243" w:lineRule="exact"/>
              <w:rPr>
                <w:sz w:val="20"/>
                <w:szCs w:val="20"/>
                <w:color w:val="auto"/>
              </w:rPr>
            </w:pPr>
            <w:r>
              <w:rPr>
                <w:rFonts w:ascii="Calibri" w:cs="Calibri" w:eastAsia="Calibri" w:hAnsi="Calibri"/>
                <w:sz w:val="20"/>
                <w:szCs w:val="20"/>
                <w:color w:val="auto"/>
              </w:rPr>
              <w:t>assistance/collaboration are in operation?</w:t>
            </w:r>
          </w:p>
        </w:tc>
        <w:tc>
          <w:tcPr>
            <w:tcW w:w="40" w:type="dxa"/>
            <w:vAlign w:val="bottom"/>
          </w:tcPr>
          <w:p>
            <w:pPr>
              <w:spacing w:after="0"/>
              <w:rPr>
                <w:sz w:val="21"/>
                <w:szCs w:val="21"/>
                <w:color w:val="auto"/>
              </w:rPr>
            </w:pPr>
          </w:p>
        </w:tc>
        <w:tc>
          <w:tcPr>
            <w:tcW w:w="1080" w:type="dxa"/>
            <w:vAlign w:val="bottom"/>
            <w:tcBorders>
              <w:right w:val="single" w:sz="8" w:color="auto"/>
            </w:tcBorders>
          </w:tcPr>
          <w:p>
            <w:pPr>
              <w:spacing w:after="0"/>
              <w:rPr>
                <w:sz w:val="21"/>
                <w:szCs w:val="21"/>
                <w:color w:val="auto"/>
              </w:rPr>
            </w:pPr>
          </w:p>
        </w:tc>
        <w:tc>
          <w:tcPr>
            <w:tcW w:w="40" w:type="dxa"/>
            <w:vAlign w:val="bottom"/>
          </w:tcPr>
          <w:p>
            <w:pPr>
              <w:spacing w:after="0"/>
              <w:rPr>
                <w:sz w:val="21"/>
                <w:szCs w:val="21"/>
                <w:color w:val="auto"/>
              </w:rPr>
            </w:pPr>
          </w:p>
        </w:tc>
        <w:tc>
          <w:tcPr>
            <w:tcW w:w="1600" w:type="dxa"/>
            <w:vAlign w:val="bottom"/>
          </w:tcPr>
          <w:p>
            <w:pPr>
              <w:spacing w:after="0"/>
              <w:rPr>
                <w:sz w:val="21"/>
                <w:szCs w:val="21"/>
                <w:color w:val="auto"/>
              </w:rPr>
            </w:pPr>
          </w:p>
        </w:tc>
        <w:tc>
          <w:tcPr>
            <w:tcW w:w="60" w:type="dxa"/>
            <w:vAlign w:val="bottom"/>
            <w:tcBorders>
              <w:right w:val="single" w:sz="8" w:color="auto"/>
            </w:tcBorders>
          </w:tcPr>
          <w:p>
            <w:pPr>
              <w:spacing w:after="0"/>
              <w:rPr>
                <w:sz w:val="21"/>
                <w:szCs w:val="21"/>
                <w:color w:val="auto"/>
              </w:rPr>
            </w:pPr>
          </w:p>
        </w:tc>
        <w:tc>
          <w:tcPr>
            <w:tcW w:w="1700" w:type="dxa"/>
            <w:vAlign w:val="bottom"/>
          </w:tcPr>
          <w:p>
            <w:pPr>
              <w:spacing w:after="0"/>
              <w:rPr>
                <w:sz w:val="21"/>
                <w:szCs w:val="21"/>
                <w:color w:val="auto"/>
              </w:rPr>
            </w:pPr>
          </w:p>
        </w:tc>
        <w:tc>
          <w:tcPr>
            <w:tcW w:w="60" w:type="dxa"/>
            <w:vAlign w:val="bottom"/>
            <w:tcBorders>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36"/>
        </w:trPr>
        <w:tc>
          <w:tcPr>
            <w:tcW w:w="4680" w:type="dxa"/>
            <w:vAlign w:val="bottom"/>
            <w:tcBorders>
              <w:left w:val="single" w:sz="8" w:color="auto"/>
              <w:bottom w:val="single" w:sz="8" w:color="auto"/>
              <w:right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1080" w:type="dxa"/>
            <w:vAlign w:val="bottom"/>
            <w:tcBorders>
              <w:bottom w:val="single" w:sz="8" w:color="auto"/>
              <w:right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1600" w:type="dxa"/>
            <w:vAlign w:val="bottom"/>
            <w:tcBorders>
              <w:bottom w:val="single" w:sz="8" w:color="auto"/>
            </w:tcBorders>
          </w:tcPr>
          <w:p>
            <w:pPr>
              <w:spacing w:after="0"/>
              <w:rPr>
                <w:sz w:val="3"/>
                <w:szCs w:val="3"/>
                <w:color w:val="auto"/>
              </w:rPr>
            </w:pPr>
          </w:p>
        </w:tc>
        <w:tc>
          <w:tcPr>
            <w:tcW w:w="60" w:type="dxa"/>
            <w:vAlign w:val="bottom"/>
            <w:tcBorders>
              <w:bottom w:val="single" w:sz="8" w:color="auto"/>
              <w:right w:val="single" w:sz="8" w:color="auto"/>
            </w:tcBorders>
          </w:tcPr>
          <w:p>
            <w:pPr>
              <w:spacing w:after="0"/>
              <w:rPr>
                <w:sz w:val="3"/>
                <w:szCs w:val="3"/>
                <w:color w:val="auto"/>
              </w:rPr>
            </w:pPr>
          </w:p>
        </w:tc>
        <w:tc>
          <w:tcPr>
            <w:tcW w:w="1700" w:type="dxa"/>
            <w:vAlign w:val="bottom"/>
            <w:tcBorders>
              <w:bottom w:val="single" w:sz="8" w:color="auto"/>
            </w:tcBorders>
          </w:tcPr>
          <w:p>
            <w:pPr>
              <w:spacing w:after="0"/>
              <w:rPr>
                <w:sz w:val="3"/>
                <w:szCs w:val="3"/>
                <w:color w:val="auto"/>
              </w:rPr>
            </w:pPr>
          </w:p>
        </w:tc>
        <w:tc>
          <w:tcPr>
            <w:tcW w:w="6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263"/>
        </w:trPr>
        <w:tc>
          <w:tcPr>
            <w:tcW w:w="4680" w:type="dxa"/>
            <w:vAlign w:val="bottom"/>
            <w:tcBorders>
              <w:left w:val="single" w:sz="8" w:color="auto"/>
              <w:right w:val="single" w:sz="8" w:color="auto"/>
            </w:tcBorders>
          </w:tcPr>
          <w:p>
            <w:pPr>
              <w:ind w:left="40"/>
              <w:spacing w:after="0"/>
              <w:rPr>
                <w:sz w:val="20"/>
                <w:szCs w:val="20"/>
                <w:color w:val="auto"/>
              </w:rPr>
            </w:pPr>
            <w:r>
              <w:rPr>
                <w:rFonts w:ascii="Calibri" w:cs="Calibri" w:eastAsia="Calibri" w:hAnsi="Calibri"/>
                <w:sz w:val="20"/>
                <w:szCs w:val="20"/>
                <w:color w:val="auto"/>
                <w:highlight w:val="white"/>
              </w:rPr>
              <w:t>Are there any favorable events improving the viability of</w:t>
            </w:r>
          </w:p>
        </w:tc>
        <w:tc>
          <w:tcPr>
            <w:tcW w:w="40" w:type="dxa"/>
            <w:vAlign w:val="bottom"/>
          </w:tcPr>
          <w:p>
            <w:pPr>
              <w:spacing w:after="0"/>
              <w:rPr>
                <w:sz w:val="22"/>
                <w:szCs w:val="22"/>
                <w:color w:val="auto"/>
              </w:rPr>
            </w:pPr>
          </w:p>
        </w:tc>
        <w:tc>
          <w:tcPr>
            <w:tcW w:w="1080" w:type="dxa"/>
            <w:vAlign w:val="bottom"/>
            <w:tcBorders>
              <w:right w:val="single" w:sz="8" w:color="auto"/>
            </w:tcBorders>
          </w:tcPr>
          <w:p>
            <w:pPr>
              <w:jc w:val="center"/>
              <w:spacing w:after="0"/>
              <w:rPr>
                <w:sz w:val="20"/>
                <w:szCs w:val="20"/>
                <w:color w:val="auto"/>
              </w:rPr>
            </w:pPr>
            <w:r>
              <w:rPr>
                <w:rFonts w:ascii="Calibri" w:cs="Calibri" w:eastAsia="Calibri" w:hAnsi="Calibri"/>
                <w:sz w:val="20"/>
                <w:szCs w:val="20"/>
                <w:color w:val="auto"/>
                <w:w w:val="97"/>
              </w:rPr>
              <w:t>Yes/ No</w:t>
            </w:r>
          </w:p>
        </w:tc>
        <w:tc>
          <w:tcPr>
            <w:tcW w:w="40" w:type="dxa"/>
            <w:vAlign w:val="bottom"/>
          </w:tcPr>
          <w:p>
            <w:pPr>
              <w:spacing w:after="0"/>
              <w:rPr>
                <w:sz w:val="22"/>
                <w:szCs w:val="22"/>
                <w:color w:val="auto"/>
              </w:rPr>
            </w:pPr>
          </w:p>
        </w:tc>
        <w:tc>
          <w:tcPr>
            <w:tcW w:w="1600" w:type="dxa"/>
            <w:vAlign w:val="bottom"/>
          </w:tcPr>
          <w:p>
            <w:pPr>
              <w:spacing w:after="0"/>
              <w:rPr>
                <w:sz w:val="22"/>
                <w:szCs w:val="22"/>
                <w:color w:val="auto"/>
              </w:rPr>
            </w:pPr>
          </w:p>
        </w:tc>
        <w:tc>
          <w:tcPr>
            <w:tcW w:w="60" w:type="dxa"/>
            <w:vAlign w:val="bottom"/>
            <w:tcBorders>
              <w:right w:val="single" w:sz="8" w:color="auto"/>
            </w:tcBorders>
          </w:tcPr>
          <w:p>
            <w:pPr>
              <w:spacing w:after="0"/>
              <w:rPr>
                <w:sz w:val="22"/>
                <w:szCs w:val="22"/>
                <w:color w:val="auto"/>
              </w:rPr>
            </w:pPr>
          </w:p>
        </w:tc>
        <w:tc>
          <w:tcPr>
            <w:tcW w:w="1700" w:type="dxa"/>
            <w:vAlign w:val="bottom"/>
          </w:tcPr>
          <w:p>
            <w:pPr>
              <w:spacing w:after="0"/>
              <w:rPr>
                <w:sz w:val="22"/>
                <w:szCs w:val="22"/>
                <w:color w:val="auto"/>
              </w:rPr>
            </w:pPr>
          </w:p>
        </w:tc>
        <w:tc>
          <w:tcPr>
            <w:tcW w:w="60" w:type="dxa"/>
            <w:vAlign w:val="bottom"/>
            <w:tcBorders>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242"/>
        </w:trPr>
        <w:tc>
          <w:tcPr>
            <w:tcW w:w="4680" w:type="dxa"/>
            <w:vAlign w:val="bottom"/>
            <w:tcBorders>
              <w:left w:val="single" w:sz="8" w:color="auto"/>
              <w:right w:val="single" w:sz="8" w:color="auto"/>
            </w:tcBorders>
          </w:tcPr>
          <w:p>
            <w:pPr>
              <w:ind w:left="40"/>
              <w:spacing w:after="0" w:line="243" w:lineRule="exact"/>
              <w:rPr>
                <w:sz w:val="20"/>
                <w:szCs w:val="20"/>
                <w:color w:val="auto"/>
              </w:rPr>
            </w:pPr>
            <w:r>
              <w:rPr>
                <w:rFonts w:ascii="Calibri" w:cs="Calibri" w:eastAsia="Calibri" w:hAnsi="Calibri"/>
                <w:sz w:val="20"/>
                <w:szCs w:val="20"/>
                <w:color w:val="auto"/>
              </w:rPr>
              <w:t>these object(s)?</w:t>
            </w:r>
          </w:p>
        </w:tc>
        <w:tc>
          <w:tcPr>
            <w:tcW w:w="40" w:type="dxa"/>
            <w:vAlign w:val="bottom"/>
          </w:tcPr>
          <w:p>
            <w:pPr>
              <w:spacing w:after="0"/>
              <w:rPr>
                <w:sz w:val="21"/>
                <w:szCs w:val="21"/>
                <w:color w:val="auto"/>
              </w:rPr>
            </w:pPr>
          </w:p>
        </w:tc>
        <w:tc>
          <w:tcPr>
            <w:tcW w:w="1080" w:type="dxa"/>
            <w:vAlign w:val="bottom"/>
            <w:tcBorders>
              <w:right w:val="single" w:sz="8" w:color="auto"/>
            </w:tcBorders>
          </w:tcPr>
          <w:p>
            <w:pPr>
              <w:spacing w:after="0"/>
              <w:rPr>
                <w:sz w:val="21"/>
                <w:szCs w:val="21"/>
                <w:color w:val="auto"/>
              </w:rPr>
            </w:pPr>
          </w:p>
        </w:tc>
        <w:tc>
          <w:tcPr>
            <w:tcW w:w="40" w:type="dxa"/>
            <w:vAlign w:val="bottom"/>
          </w:tcPr>
          <w:p>
            <w:pPr>
              <w:spacing w:after="0"/>
              <w:rPr>
                <w:sz w:val="21"/>
                <w:szCs w:val="21"/>
                <w:color w:val="auto"/>
              </w:rPr>
            </w:pPr>
          </w:p>
        </w:tc>
        <w:tc>
          <w:tcPr>
            <w:tcW w:w="1600" w:type="dxa"/>
            <w:vAlign w:val="bottom"/>
          </w:tcPr>
          <w:p>
            <w:pPr>
              <w:spacing w:after="0"/>
              <w:rPr>
                <w:sz w:val="21"/>
                <w:szCs w:val="21"/>
                <w:color w:val="auto"/>
              </w:rPr>
            </w:pPr>
          </w:p>
        </w:tc>
        <w:tc>
          <w:tcPr>
            <w:tcW w:w="60" w:type="dxa"/>
            <w:vAlign w:val="bottom"/>
            <w:tcBorders>
              <w:right w:val="single" w:sz="8" w:color="auto"/>
            </w:tcBorders>
          </w:tcPr>
          <w:p>
            <w:pPr>
              <w:spacing w:after="0"/>
              <w:rPr>
                <w:sz w:val="21"/>
                <w:szCs w:val="21"/>
                <w:color w:val="auto"/>
              </w:rPr>
            </w:pPr>
          </w:p>
        </w:tc>
        <w:tc>
          <w:tcPr>
            <w:tcW w:w="1700" w:type="dxa"/>
            <w:vAlign w:val="bottom"/>
          </w:tcPr>
          <w:p>
            <w:pPr>
              <w:spacing w:after="0"/>
              <w:rPr>
                <w:sz w:val="21"/>
                <w:szCs w:val="21"/>
                <w:color w:val="auto"/>
              </w:rPr>
            </w:pPr>
          </w:p>
        </w:tc>
        <w:tc>
          <w:tcPr>
            <w:tcW w:w="60" w:type="dxa"/>
            <w:vAlign w:val="bottom"/>
            <w:tcBorders>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36"/>
        </w:trPr>
        <w:tc>
          <w:tcPr>
            <w:tcW w:w="4680" w:type="dxa"/>
            <w:vAlign w:val="bottom"/>
            <w:tcBorders>
              <w:left w:val="single" w:sz="8" w:color="auto"/>
              <w:bottom w:val="single" w:sz="8" w:color="auto"/>
              <w:right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1080" w:type="dxa"/>
            <w:vAlign w:val="bottom"/>
            <w:tcBorders>
              <w:bottom w:val="single" w:sz="8" w:color="auto"/>
              <w:right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1600" w:type="dxa"/>
            <w:vAlign w:val="bottom"/>
            <w:tcBorders>
              <w:bottom w:val="single" w:sz="8" w:color="auto"/>
            </w:tcBorders>
          </w:tcPr>
          <w:p>
            <w:pPr>
              <w:spacing w:after="0"/>
              <w:rPr>
                <w:sz w:val="3"/>
                <w:szCs w:val="3"/>
                <w:color w:val="auto"/>
              </w:rPr>
            </w:pPr>
          </w:p>
        </w:tc>
        <w:tc>
          <w:tcPr>
            <w:tcW w:w="60" w:type="dxa"/>
            <w:vAlign w:val="bottom"/>
            <w:tcBorders>
              <w:bottom w:val="single" w:sz="8" w:color="auto"/>
              <w:right w:val="single" w:sz="8" w:color="auto"/>
            </w:tcBorders>
          </w:tcPr>
          <w:p>
            <w:pPr>
              <w:spacing w:after="0"/>
              <w:rPr>
                <w:sz w:val="3"/>
                <w:szCs w:val="3"/>
                <w:color w:val="auto"/>
              </w:rPr>
            </w:pPr>
          </w:p>
        </w:tc>
        <w:tc>
          <w:tcPr>
            <w:tcW w:w="1700" w:type="dxa"/>
            <w:vAlign w:val="bottom"/>
            <w:tcBorders>
              <w:bottom w:val="single" w:sz="8" w:color="auto"/>
            </w:tcBorders>
          </w:tcPr>
          <w:p>
            <w:pPr>
              <w:spacing w:after="0"/>
              <w:rPr>
                <w:sz w:val="3"/>
                <w:szCs w:val="3"/>
                <w:color w:val="auto"/>
              </w:rPr>
            </w:pPr>
          </w:p>
        </w:tc>
        <w:tc>
          <w:tcPr>
            <w:tcW w:w="6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261"/>
        </w:trPr>
        <w:tc>
          <w:tcPr>
            <w:tcW w:w="4680" w:type="dxa"/>
            <w:vAlign w:val="bottom"/>
            <w:tcBorders>
              <w:left w:val="single" w:sz="8" w:color="auto"/>
              <w:right w:val="single" w:sz="8" w:color="auto"/>
            </w:tcBorders>
          </w:tcPr>
          <w:p>
            <w:pPr>
              <w:ind w:left="40"/>
              <w:spacing w:after="0"/>
              <w:rPr>
                <w:sz w:val="20"/>
                <w:szCs w:val="20"/>
                <w:color w:val="auto"/>
              </w:rPr>
            </w:pPr>
            <w:r>
              <w:rPr>
                <w:rFonts w:ascii="Calibri" w:cs="Calibri" w:eastAsia="Calibri" w:hAnsi="Calibri"/>
                <w:sz w:val="20"/>
                <w:szCs w:val="20"/>
                <w:color w:val="auto"/>
                <w:highlight w:val="white"/>
              </w:rPr>
              <w:t>Are there any unfavorable events affecting the viability</w:t>
            </w:r>
          </w:p>
        </w:tc>
        <w:tc>
          <w:tcPr>
            <w:tcW w:w="40" w:type="dxa"/>
            <w:vAlign w:val="bottom"/>
          </w:tcPr>
          <w:p>
            <w:pPr>
              <w:spacing w:after="0"/>
              <w:rPr>
                <w:sz w:val="22"/>
                <w:szCs w:val="22"/>
                <w:color w:val="auto"/>
              </w:rPr>
            </w:pPr>
          </w:p>
        </w:tc>
        <w:tc>
          <w:tcPr>
            <w:tcW w:w="1080" w:type="dxa"/>
            <w:vAlign w:val="bottom"/>
            <w:tcBorders>
              <w:right w:val="single" w:sz="8" w:color="auto"/>
            </w:tcBorders>
          </w:tcPr>
          <w:p>
            <w:pPr>
              <w:jc w:val="center"/>
              <w:spacing w:after="0"/>
              <w:rPr>
                <w:sz w:val="20"/>
                <w:szCs w:val="20"/>
                <w:color w:val="auto"/>
              </w:rPr>
            </w:pPr>
            <w:r>
              <w:rPr>
                <w:rFonts w:ascii="Calibri" w:cs="Calibri" w:eastAsia="Calibri" w:hAnsi="Calibri"/>
                <w:sz w:val="20"/>
                <w:szCs w:val="20"/>
                <w:color w:val="auto"/>
                <w:w w:val="97"/>
              </w:rPr>
              <w:t>Yes/ No</w:t>
            </w:r>
          </w:p>
        </w:tc>
        <w:tc>
          <w:tcPr>
            <w:tcW w:w="40" w:type="dxa"/>
            <w:vAlign w:val="bottom"/>
          </w:tcPr>
          <w:p>
            <w:pPr>
              <w:spacing w:after="0"/>
              <w:rPr>
                <w:sz w:val="22"/>
                <w:szCs w:val="22"/>
                <w:color w:val="auto"/>
              </w:rPr>
            </w:pPr>
          </w:p>
        </w:tc>
        <w:tc>
          <w:tcPr>
            <w:tcW w:w="1600" w:type="dxa"/>
            <w:vAlign w:val="bottom"/>
          </w:tcPr>
          <w:p>
            <w:pPr>
              <w:spacing w:after="0"/>
              <w:rPr>
                <w:sz w:val="22"/>
                <w:szCs w:val="22"/>
                <w:color w:val="auto"/>
              </w:rPr>
            </w:pPr>
          </w:p>
        </w:tc>
        <w:tc>
          <w:tcPr>
            <w:tcW w:w="60" w:type="dxa"/>
            <w:vAlign w:val="bottom"/>
            <w:tcBorders>
              <w:right w:val="single" w:sz="8" w:color="auto"/>
            </w:tcBorders>
          </w:tcPr>
          <w:p>
            <w:pPr>
              <w:spacing w:after="0"/>
              <w:rPr>
                <w:sz w:val="22"/>
                <w:szCs w:val="22"/>
                <w:color w:val="auto"/>
              </w:rPr>
            </w:pPr>
          </w:p>
        </w:tc>
        <w:tc>
          <w:tcPr>
            <w:tcW w:w="1700" w:type="dxa"/>
            <w:vAlign w:val="bottom"/>
          </w:tcPr>
          <w:p>
            <w:pPr>
              <w:spacing w:after="0"/>
              <w:rPr>
                <w:sz w:val="22"/>
                <w:szCs w:val="22"/>
                <w:color w:val="auto"/>
              </w:rPr>
            </w:pPr>
          </w:p>
        </w:tc>
        <w:tc>
          <w:tcPr>
            <w:tcW w:w="60" w:type="dxa"/>
            <w:vAlign w:val="bottom"/>
            <w:tcBorders>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245"/>
        </w:trPr>
        <w:tc>
          <w:tcPr>
            <w:tcW w:w="4680" w:type="dxa"/>
            <w:vAlign w:val="bottom"/>
            <w:tcBorders>
              <w:left w:val="single" w:sz="8" w:color="auto"/>
              <w:right w:val="single" w:sz="8" w:color="auto"/>
            </w:tcBorders>
          </w:tcPr>
          <w:p>
            <w:pPr>
              <w:ind w:left="40"/>
              <w:spacing w:after="0"/>
              <w:rPr>
                <w:sz w:val="20"/>
                <w:szCs w:val="20"/>
                <w:color w:val="auto"/>
              </w:rPr>
            </w:pPr>
            <w:r>
              <w:rPr>
                <w:rFonts w:ascii="Calibri" w:cs="Calibri" w:eastAsia="Calibri" w:hAnsi="Calibri"/>
                <w:sz w:val="20"/>
                <w:szCs w:val="20"/>
                <w:color w:val="auto"/>
              </w:rPr>
              <w:t>of the object(s)?</w:t>
            </w:r>
          </w:p>
        </w:tc>
        <w:tc>
          <w:tcPr>
            <w:tcW w:w="40" w:type="dxa"/>
            <w:vAlign w:val="bottom"/>
          </w:tcPr>
          <w:p>
            <w:pPr>
              <w:spacing w:after="0"/>
              <w:rPr>
                <w:sz w:val="21"/>
                <w:szCs w:val="21"/>
                <w:color w:val="auto"/>
              </w:rPr>
            </w:pPr>
          </w:p>
        </w:tc>
        <w:tc>
          <w:tcPr>
            <w:tcW w:w="1080" w:type="dxa"/>
            <w:vAlign w:val="bottom"/>
            <w:tcBorders>
              <w:right w:val="single" w:sz="8" w:color="auto"/>
            </w:tcBorders>
          </w:tcPr>
          <w:p>
            <w:pPr>
              <w:spacing w:after="0"/>
              <w:rPr>
                <w:sz w:val="21"/>
                <w:szCs w:val="21"/>
                <w:color w:val="auto"/>
              </w:rPr>
            </w:pPr>
          </w:p>
        </w:tc>
        <w:tc>
          <w:tcPr>
            <w:tcW w:w="40" w:type="dxa"/>
            <w:vAlign w:val="bottom"/>
          </w:tcPr>
          <w:p>
            <w:pPr>
              <w:spacing w:after="0"/>
              <w:rPr>
                <w:sz w:val="21"/>
                <w:szCs w:val="21"/>
                <w:color w:val="auto"/>
              </w:rPr>
            </w:pPr>
          </w:p>
        </w:tc>
        <w:tc>
          <w:tcPr>
            <w:tcW w:w="1600" w:type="dxa"/>
            <w:vAlign w:val="bottom"/>
          </w:tcPr>
          <w:p>
            <w:pPr>
              <w:spacing w:after="0"/>
              <w:rPr>
                <w:sz w:val="21"/>
                <w:szCs w:val="21"/>
                <w:color w:val="auto"/>
              </w:rPr>
            </w:pPr>
          </w:p>
        </w:tc>
        <w:tc>
          <w:tcPr>
            <w:tcW w:w="60" w:type="dxa"/>
            <w:vAlign w:val="bottom"/>
            <w:tcBorders>
              <w:right w:val="single" w:sz="8" w:color="auto"/>
            </w:tcBorders>
          </w:tcPr>
          <w:p>
            <w:pPr>
              <w:spacing w:after="0"/>
              <w:rPr>
                <w:sz w:val="21"/>
                <w:szCs w:val="21"/>
                <w:color w:val="auto"/>
              </w:rPr>
            </w:pPr>
          </w:p>
        </w:tc>
        <w:tc>
          <w:tcPr>
            <w:tcW w:w="1700" w:type="dxa"/>
            <w:vAlign w:val="bottom"/>
          </w:tcPr>
          <w:p>
            <w:pPr>
              <w:spacing w:after="0"/>
              <w:rPr>
                <w:sz w:val="21"/>
                <w:szCs w:val="21"/>
                <w:color w:val="auto"/>
              </w:rPr>
            </w:pPr>
          </w:p>
        </w:tc>
        <w:tc>
          <w:tcPr>
            <w:tcW w:w="60" w:type="dxa"/>
            <w:vAlign w:val="bottom"/>
            <w:tcBorders>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36"/>
        </w:trPr>
        <w:tc>
          <w:tcPr>
            <w:tcW w:w="4680" w:type="dxa"/>
            <w:vAlign w:val="bottom"/>
            <w:tcBorders>
              <w:left w:val="single" w:sz="8" w:color="auto"/>
              <w:bottom w:val="single" w:sz="8" w:color="auto"/>
              <w:right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1080" w:type="dxa"/>
            <w:vAlign w:val="bottom"/>
            <w:tcBorders>
              <w:bottom w:val="single" w:sz="8" w:color="auto"/>
              <w:right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1600" w:type="dxa"/>
            <w:vAlign w:val="bottom"/>
            <w:tcBorders>
              <w:bottom w:val="single" w:sz="8" w:color="auto"/>
            </w:tcBorders>
          </w:tcPr>
          <w:p>
            <w:pPr>
              <w:spacing w:after="0"/>
              <w:rPr>
                <w:sz w:val="3"/>
                <w:szCs w:val="3"/>
                <w:color w:val="auto"/>
              </w:rPr>
            </w:pPr>
          </w:p>
        </w:tc>
        <w:tc>
          <w:tcPr>
            <w:tcW w:w="60" w:type="dxa"/>
            <w:vAlign w:val="bottom"/>
            <w:tcBorders>
              <w:bottom w:val="single" w:sz="8" w:color="auto"/>
              <w:right w:val="single" w:sz="8" w:color="auto"/>
            </w:tcBorders>
          </w:tcPr>
          <w:p>
            <w:pPr>
              <w:spacing w:after="0"/>
              <w:rPr>
                <w:sz w:val="3"/>
                <w:szCs w:val="3"/>
                <w:color w:val="auto"/>
              </w:rPr>
            </w:pPr>
          </w:p>
        </w:tc>
        <w:tc>
          <w:tcPr>
            <w:tcW w:w="1700" w:type="dxa"/>
            <w:vAlign w:val="bottom"/>
            <w:tcBorders>
              <w:bottom w:val="single" w:sz="8" w:color="auto"/>
            </w:tcBorders>
          </w:tcPr>
          <w:p>
            <w:pPr>
              <w:spacing w:after="0"/>
              <w:rPr>
                <w:sz w:val="3"/>
                <w:szCs w:val="3"/>
                <w:color w:val="auto"/>
              </w:rPr>
            </w:pPr>
          </w:p>
        </w:tc>
        <w:tc>
          <w:tcPr>
            <w:tcW w:w="6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261"/>
        </w:trPr>
        <w:tc>
          <w:tcPr>
            <w:tcW w:w="4680" w:type="dxa"/>
            <w:vAlign w:val="bottom"/>
            <w:tcBorders>
              <w:left w:val="single" w:sz="8" w:color="auto"/>
              <w:right w:val="single" w:sz="8" w:color="auto"/>
            </w:tcBorders>
          </w:tcPr>
          <w:p>
            <w:pPr>
              <w:ind w:left="40"/>
              <w:spacing w:after="0"/>
              <w:rPr>
                <w:sz w:val="20"/>
                <w:szCs w:val="20"/>
                <w:color w:val="auto"/>
              </w:rPr>
            </w:pPr>
            <w:r>
              <w:rPr>
                <w:rFonts w:ascii="Calibri" w:cs="Calibri" w:eastAsia="Calibri" w:hAnsi="Calibri"/>
                <w:sz w:val="20"/>
                <w:szCs w:val="20"/>
                <w:color w:val="auto"/>
                <w:highlight w:val="white"/>
              </w:rPr>
              <w:t>Is  there  any  other  relevant  information  that  may</w:t>
            </w:r>
          </w:p>
        </w:tc>
        <w:tc>
          <w:tcPr>
            <w:tcW w:w="40" w:type="dxa"/>
            <w:vAlign w:val="bottom"/>
          </w:tcPr>
          <w:p>
            <w:pPr>
              <w:spacing w:after="0"/>
              <w:rPr>
                <w:sz w:val="22"/>
                <w:szCs w:val="22"/>
                <w:color w:val="auto"/>
              </w:rPr>
            </w:pPr>
          </w:p>
        </w:tc>
        <w:tc>
          <w:tcPr>
            <w:tcW w:w="1080" w:type="dxa"/>
            <w:vAlign w:val="bottom"/>
            <w:tcBorders>
              <w:right w:val="single" w:sz="8" w:color="auto"/>
            </w:tcBorders>
          </w:tcPr>
          <w:p>
            <w:pPr>
              <w:jc w:val="center"/>
              <w:spacing w:after="0"/>
              <w:rPr>
                <w:sz w:val="20"/>
                <w:szCs w:val="20"/>
                <w:color w:val="auto"/>
              </w:rPr>
            </w:pPr>
            <w:r>
              <w:rPr>
                <w:rFonts w:ascii="Calibri" w:cs="Calibri" w:eastAsia="Calibri" w:hAnsi="Calibri"/>
                <w:sz w:val="20"/>
                <w:szCs w:val="20"/>
                <w:color w:val="auto"/>
                <w:w w:val="97"/>
              </w:rPr>
              <w:t>Yes/ No</w:t>
            </w:r>
          </w:p>
        </w:tc>
        <w:tc>
          <w:tcPr>
            <w:tcW w:w="40" w:type="dxa"/>
            <w:vAlign w:val="bottom"/>
          </w:tcPr>
          <w:p>
            <w:pPr>
              <w:spacing w:after="0"/>
              <w:rPr>
                <w:sz w:val="22"/>
                <w:szCs w:val="22"/>
                <w:color w:val="auto"/>
              </w:rPr>
            </w:pPr>
          </w:p>
        </w:tc>
        <w:tc>
          <w:tcPr>
            <w:tcW w:w="1600" w:type="dxa"/>
            <w:vAlign w:val="bottom"/>
          </w:tcPr>
          <w:p>
            <w:pPr>
              <w:spacing w:after="0"/>
              <w:rPr>
                <w:sz w:val="22"/>
                <w:szCs w:val="22"/>
                <w:color w:val="auto"/>
              </w:rPr>
            </w:pPr>
          </w:p>
        </w:tc>
        <w:tc>
          <w:tcPr>
            <w:tcW w:w="60" w:type="dxa"/>
            <w:vAlign w:val="bottom"/>
            <w:tcBorders>
              <w:right w:val="single" w:sz="8" w:color="auto"/>
            </w:tcBorders>
          </w:tcPr>
          <w:p>
            <w:pPr>
              <w:spacing w:after="0"/>
              <w:rPr>
                <w:sz w:val="22"/>
                <w:szCs w:val="22"/>
                <w:color w:val="auto"/>
              </w:rPr>
            </w:pPr>
          </w:p>
        </w:tc>
        <w:tc>
          <w:tcPr>
            <w:tcW w:w="1700" w:type="dxa"/>
            <w:vAlign w:val="bottom"/>
          </w:tcPr>
          <w:p>
            <w:pPr>
              <w:spacing w:after="0"/>
              <w:rPr>
                <w:sz w:val="22"/>
                <w:szCs w:val="22"/>
                <w:color w:val="auto"/>
              </w:rPr>
            </w:pPr>
          </w:p>
        </w:tc>
        <w:tc>
          <w:tcPr>
            <w:tcW w:w="60" w:type="dxa"/>
            <w:vAlign w:val="bottom"/>
            <w:tcBorders>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245"/>
        </w:trPr>
        <w:tc>
          <w:tcPr>
            <w:tcW w:w="4680" w:type="dxa"/>
            <w:vAlign w:val="bottom"/>
            <w:tcBorders>
              <w:left w:val="single" w:sz="8" w:color="auto"/>
              <w:right w:val="single" w:sz="8" w:color="auto"/>
            </w:tcBorders>
          </w:tcPr>
          <w:p>
            <w:pPr>
              <w:ind w:left="40"/>
              <w:spacing w:after="0"/>
              <w:rPr>
                <w:sz w:val="20"/>
                <w:szCs w:val="20"/>
                <w:color w:val="auto"/>
              </w:rPr>
            </w:pPr>
            <w:r>
              <w:rPr>
                <w:rFonts w:ascii="Calibri" w:cs="Calibri" w:eastAsia="Calibri" w:hAnsi="Calibri"/>
                <w:sz w:val="20"/>
                <w:szCs w:val="20"/>
                <w:color w:val="auto"/>
              </w:rPr>
              <w:t>materially affect the decision making of the investors?</w:t>
            </w:r>
          </w:p>
        </w:tc>
        <w:tc>
          <w:tcPr>
            <w:tcW w:w="40" w:type="dxa"/>
            <w:vAlign w:val="bottom"/>
          </w:tcPr>
          <w:p>
            <w:pPr>
              <w:spacing w:after="0"/>
              <w:rPr>
                <w:sz w:val="21"/>
                <w:szCs w:val="21"/>
                <w:color w:val="auto"/>
              </w:rPr>
            </w:pPr>
          </w:p>
        </w:tc>
        <w:tc>
          <w:tcPr>
            <w:tcW w:w="1080" w:type="dxa"/>
            <w:vAlign w:val="bottom"/>
            <w:tcBorders>
              <w:right w:val="single" w:sz="8" w:color="auto"/>
            </w:tcBorders>
          </w:tcPr>
          <w:p>
            <w:pPr>
              <w:spacing w:after="0"/>
              <w:rPr>
                <w:sz w:val="21"/>
                <w:szCs w:val="21"/>
                <w:color w:val="auto"/>
              </w:rPr>
            </w:pPr>
          </w:p>
        </w:tc>
        <w:tc>
          <w:tcPr>
            <w:tcW w:w="40" w:type="dxa"/>
            <w:vAlign w:val="bottom"/>
          </w:tcPr>
          <w:p>
            <w:pPr>
              <w:spacing w:after="0"/>
              <w:rPr>
                <w:sz w:val="21"/>
                <w:szCs w:val="21"/>
                <w:color w:val="auto"/>
              </w:rPr>
            </w:pPr>
          </w:p>
        </w:tc>
        <w:tc>
          <w:tcPr>
            <w:tcW w:w="1600" w:type="dxa"/>
            <w:vAlign w:val="bottom"/>
          </w:tcPr>
          <w:p>
            <w:pPr>
              <w:spacing w:after="0"/>
              <w:rPr>
                <w:sz w:val="21"/>
                <w:szCs w:val="21"/>
                <w:color w:val="auto"/>
              </w:rPr>
            </w:pPr>
          </w:p>
        </w:tc>
        <w:tc>
          <w:tcPr>
            <w:tcW w:w="60" w:type="dxa"/>
            <w:vAlign w:val="bottom"/>
            <w:tcBorders>
              <w:right w:val="single" w:sz="8" w:color="auto"/>
            </w:tcBorders>
          </w:tcPr>
          <w:p>
            <w:pPr>
              <w:spacing w:after="0"/>
              <w:rPr>
                <w:sz w:val="21"/>
                <w:szCs w:val="21"/>
                <w:color w:val="auto"/>
              </w:rPr>
            </w:pPr>
          </w:p>
        </w:tc>
        <w:tc>
          <w:tcPr>
            <w:tcW w:w="1700" w:type="dxa"/>
            <w:vAlign w:val="bottom"/>
          </w:tcPr>
          <w:p>
            <w:pPr>
              <w:spacing w:after="0"/>
              <w:rPr>
                <w:sz w:val="21"/>
                <w:szCs w:val="21"/>
                <w:color w:val="auto"/>
              </w:rPr>
            </w:pPr>
          </w:p>
        </w:tc>
        <w:tc>
          <w:tcPr>
            <w:tcW w:w="60" w:type="dxa"/>
            <w:vAlign w:val="bottom"/>
            <w:tcBorders>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36"/>
        </w:trPr>
        <w:tc>
          <w:tcPr>
            <w:tcW w:w="4680" w:type="dxa"/>
            <w:vAlign w:val="bottom"/>
            <w:tcBorders>
              <w:left w:val="single" w:sz="8" w:color="auto"/>
              <w:bottom w:val="single" w:sz="8" w:color="auto"/>
              <w:right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1080" w:type="dxa"/>
            <w:vAlign w:val="bottom"/>
            <w:tcBorders>
              <w:bottom w:val="single" w:sz="8" w:color="auto"/>
              <w:right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1600" w:type="dxa"/>
            <w:vAlign w:val="bottom"/>
            <w:tcBorders>
              <w:bottom w:val="single" w:sz="8" w:color="auto"/>
            </w:tcBorders>
          </w:tcPr>
          <w:p>
            <w:pPr>
              <w:spacing w:after="0"/>
              <w:rPr>
                <w:sz w:val="3"/>
                <w:szCs w:val="3"/>
                <w:color w:val="auto"/>
              </w:rPr>
            </w:pPr>
          </w:p>
        </w:tc>
        <w:tc>
          <w:tcPr>
            <w:tcW w:w="60" w:type="dxa"/>
            <w:vAlign w:val="bottom"/>
            <w:tcBorders>
              <w:bottom w:val="single" w:sz="8" w:color="auto"/>
              <w:right w:val="single" w:sz="8" w:color="auto"/>
            </w:tcBorders>
          </w:tcPr>
          <w:p>
            <w:pPr>
              <w:spacing w:after="0"/>
              <w:rPr>
                <w:sz w:val="3"/>
                <w:szCs w:val="3"/>
                <w:color w:val="auto"/>
              </w:rPr>
            </w:pPr>
          </w:p>
        </w:tc>
        <w:tc>
          <w:tcPr>
            <w:tcW w:w="1700" w:type="dxa"/>
            <w:vAlign w:val="bottom"/>
            <w:tcBorders>
              <w:bottom w:val="single" w:sz="8" w:color="auto"/>
            </w:tcBorders>
          </w:tcPr>
          <w:p>
            <w:pPr>
              <w:spacing w:after="0"/>
              <w:rPr>
                <w:sz w:val="3"/>
                <w:szCs w:val="3"/>
                <w:color w:val="auto"/>
              </w:rPr>
            </w:pPr>
          </w:p>
        </w:tc>
        <w:tc>
          <w:tcPr>
            <w:tcW w:w="6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63500</wp:posOffset>
                </wp:positionH>
                <wp:positionV relativeFrom="paragraph">
                  <wp:posOffset>-3382010</wp:posOffset>
                </wp:positionV>
                <wp:extent cx="5869940" cy="0"/>
                <wp:wrapNone/>
                <wp:docPr id="195" name="Shape 1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9940" cy="4763"/>
                        </a:xfrm>
                        <a:prstGeom prst="line">
                          <a:avLst/>
                        </a:prstGeom>
                        <a:solidFill>
                          <a:srgbClr val="FFFFFF"/>
                        </a:solidFill>
                        <a:ln w="18288">
                          <a:solidFill>
                            <a:srgbClr val="FFFFFF"/>
                          </a:solidFill>
                          <a:miter lim="800000"/>
                          <a:headEnd/>
                          <a:tailEnd/>
                        </a:ln>
                      </wps:spPr>
                      <wps:bodyPr/>
                    </wps:wsp>
                  </a:graphicData>
                </a:graphic>
              </wp:anchor>
            </w:drawing>
          </mc:Choice>
          <mc:Fallback>
            <w:pict>
              <v:line id="Shape 195" o:spid="_x0000_s12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pt,-266.2999pt" to="467.2pt,-266.2999pt" o:allowincell="f" strokecolor="#FFFFFF" strokeweight="1.44pt"/>
            </w:pict>
          </mc:Fallback>
        </mc:AlternateContent>
        <mc:AlternateContent>
          <mc:Choice Requires="wps">
            <w:drawing>
              <wp:anchor simplePos="0" relativeHeight="251657728" behindDoc="1" locked="0" layoutInCell="0" allowOverlap="1">
                <wp:simplePos x="0" y="0"/>
                <wp:positionH relativeFrom="column">
                  <wp:posOffset>63500</wp:posOffset>
                </wp:positionH>
                <wp:positionV relativeFrom="paragraph">
                  <wp:posOffset>-3025775</wp:posOffset>
                </wp:positionV>
                <wp:extent cx="5869940" cy="0"/>
                <wp:wrapNone/>
                <wp:docPr id="196" name="Shape 1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9940" cy="4763"/>
                        </a:xfrm>
                        <a:prstGeom prst="line">
                          <a:avLst/>
                        </a:prstGeom>
                        <a:solidFill>
                          <a:srgbClr val="FFFFFF"/>
                        </a:solidFill>
                        <a:ln w="18288">
                          <a:solidFill>
                            <a:srgbClr val="FFFFFF"/>
                          </a:solidFill>
                          <a:miter lim="800000"/>
                          <a:headEnd/>
                          <a:tailEnd/>
                        </a:ln>
                      </wps:spPr>
                      <wps:bodyPr/>
                    </wps:wsp>
                  </a:graphicData>
                </a:graphic>
              </wp:anchor>
            </w:drawing>
          </mc:Choice>
          <mc:Fallback>
            <w:pict>
              <v:line id="Shape 196" o:spid="_x0000_s12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pt,-238.2499pt" to="467.2pt,-238.2499pt" o:allowincell="f" strokecolor="#FFFFFF" strokeweight="1.44pt"/>
            </w:pict>
          </mc:Fallback>
        </mc:AlternateContent>
        <mc:AlternateContent>
          <mc:Choice Requires="wps">
            <w:drawing>
              <wp:anchor simplePos="0" relativeHeight="251657728" behindDoc="1" locked="0" layoutInCell="0" allowOverlap="1">
                <wp:simplePos x="0" y="0"/>
                <wp:positionH relativeFrom="column">
                  <wp:posOffset>63500</wp:posOffset>
                </wp:positionH>
                <wp:positionV relativeFrom="paragraph">
                  <wp:posOffset>-2513330</wp:posOffset>
                </wp:positionV>
                <wp:extent cx="5869940" cy="0"/>
                <wp:wrapNone/>
                <wp:docPr id="197" name="Shape 1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9940" cy="4763"/>
                        </a:xfrm>
                        <a:prstGeom prst="line">
                          <a:avLst/>
                        </a:prstGeom>
                        <a:solidFill>
                          <a:srgbClr val="FFFFFF"/>
                        </a:solidFill>
                        <a:ln w="18288">
                          <a:solidFill>
                            <a:srgbClr val="FFFFFF"/>
                          </a:solidFill>
                          <a:miter lim="800000"/>
                          <a:headEnd/>
                          <a:tailEnd/>
                        </a:ln>
                      </wps:spPr>
                      <wps:bodyPr/>
                    </wps:wsp>
                  </a:graphicData>
                </a:graphic>
              </wp:anchor>
            </w:drawing>
          </mc:Choice>
          <mc:Fallback>
            <w:pict>
              <v:line id="Shape 197" o:spid="_x0000_s12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pt,-197.8999pt" to="467.2pt,-197.8999pt" o:allowincell="f" strokecolor="#FFFFFF" strokeweight="1.44pt"/>
            </w:pict>
          </mc:Fallback>
        </mc:AlternateContent>
        <mc:AlternateContent>
          <mc:Choice Requires="wps">
            <w:drawing>
              <wp:anchor simplePos="0" relativeHeight="251657728" behindDoc="1" locked="0" layoutInCell="0" allowOverlap="1">
                <wp:simplePos x="0" y="0"/>
                <wp:positionH relativeFrom="column">
                  <wp:posOffset>67945</wp:posOffset>
                </wp:positionH>
                <wp:positionV relativeFrom="paragraph">
                  <wp:posOffset>-2486025</wp:posOffset>
                </wp:positionV>
                <wp:extent cx="2960370" cy="0"/>
                <wp:wrapNone/>
                <wp:docPr id="198" name="Shape 1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60370" cy="4763"/>
                        </a:xfrm>
                        <a:prstGeom prst="line">
                          <a:avLst/>
                        </a:prstGeom>
                        <a:solidFill>
                          <a:srgbClr val="FFFFFF"/>
                        </a:solidFill>
                        <a:ln w="18288">
                          <a:solidFill>
                            <a:srgbClr val="FFFFFF"/>
                          </a:solidFill>
                          <a:miter lim="800000"/>
                          <a:headEnd/>
                          <a:tailEnd/>
                        </a:ln>
                      </wps:spPr>
                      <wps:bodyPr/>
                    </wps:wsp>
                  </a:graphicData>
                </a:graphic>
              </wp:anchor>
            </w:drawing>
          </mc:Choice>
          <mc:Fallback>
            <w:pict>
              <v:line id="Shape 198" o:spid="_x0000_s12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35pt,-195.7499pt" to="238.45pt,-195.7499pt" o:allowincell="f" strokecolor="#FFFFFF" strokeweight="1.44pt"/>
            </w:pict>
          </mc:Fallback>
        </mc:AlternateContent>
        <mc:AlternateContent>
          <mc:Choice Requires="wps">
            <w:drawing>
              <wp:anchor simplePos="0" relativeHeight="251657728" behindDoc="1" locked="0" layoutInCell="0" allowOverlap="1">
                <wp:simplePos x="0" y="0"/>
                <wp:positionH relativeFrom="column">
                  <wp:posOffset>3037205</wp:posOffset>
                </wp:positionH>
                <wp:positionV relativeFrom="paragraph">
                  <wp:posOffset>-2486025</wp:posOffset>
                </wp:positionV>
                <wp:extent cx="701040" cy="0"/>
                <wp:wrapNone/>
                <wp:docPr id="199" name="Shape 1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01040" cy="4763"/>
                        </a:xfrm>
                        <a:prstGeom prst="line">
                          <a:avLst/>
                        </a:prstGeom>
                        <a:solidFill>
                          <a:srgbClr val="FFFFFF"/>
                        </a:solidFill>
                        <a:ln w="18288">
                          <a:solidFill>
                            <a:srgbClr val="FFFFFF"/>
                          </a:solidFill>
                          <a:miter lim="800000"/>
                          <a:headEnd/>
                          <a:tailEnd/>
                        </a:ln>
                      </wps:spPr>
                      <wps:bodyPr/>
                    </wps:wsp>
                  </a:graphicData>
                </a:graphic>
              </wp:anchor>
            </w:drawing>
          </mc:Choice>
          <mc:Fallback>
            <w:pict>
              <v:line id="Shape 199" o:spid="_x0000_s12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9.15pt,-195.7499pt" to="294.35pt,-195.7499pt" o:allowincell="f" strokecolor="#FFFFFF" strokeweight="1.44pt"/>
            </w:pict>
          </mc:Fallback>
        </mc:AlternateContent>
        <mc:AlternateContent>
          <mc:Choice Requires="wps">
            <w:drawing>
              <wp:anchor simplePos="0" relativeHeight="251657728" behindDoc="1" locked="0" layoutInCell="0" allowOverlap="1">
                <wp:simplePos x="0" y="0"/>
                <wp:positionH relativeFrom="column">
                  <wp:posOffset>3747770</wp:posOffset>
                </wp:positionH>
                <wp:positionV relativeFrom="paragraph">
                  <wp:posOffset>-2486025</wp:posOffset>
                </wp:positionV>
                <wp:extent cx="1066800" cy="0"/>
                <wp:wrapNone/>
                <wp:docPr id="200" name="Shape 2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66800" cy="4763"/>
                        </a:xfrm>
                        <a:prstGeom prst="line">
                          <a:avLst/>
                        </a:prstGeom>
                        <a:solidFill>
                          <a:srgbClr val="FFFFFF"/>
                        </a:solidFill>
                        <a:ln w="18288">
                          <a:solidFill>
                            <a:srgbClr val="FFFFFF"/>
                          </a:solidFill>
                          <a:miter lim="800000"/>
                          <a:headEnd/>
                          <a:tailEnd/>
                        </a:ln>
                      </wps:spPr>
                      <wps:bodyPr/>
                    </wps:wsp>
                  </a:graphicData>
                </a:graphic>
              </wp:anchor>
            </w:drawing>
          </mc:Choice>
          <mc:Fallback>
            <w:pict>
              <v:line id="Shape 200" o:spid="_x0000_s12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5.1pt,-195.7499pt" to="379.1pt,-195.7499pt" o:allowincell="f" strokecolor="#FFFFFF" strokeweight="1.44pt"/>
            </w:pict>
          </mc:Fallback>
        </mc:AlternateContent>
        <mc:AlternateContent>
          <mc:Choice Requires="wps">
            <w:drawing>
              <wp:anchor simplePos="0" relativeHeight="251657728" behindDoc="1" locked="0" layoutInCell="0" allowOverlap="1">
                <wp:simplePos x="0" y="0"/>
                <wp:positionH relativeFrom="column">
                  <wp:posOffset>4824095</wp:posOffset>
                </wp:positionH>
                <wp:positionV relativeFrom="paragraph">
                  <wp:posOffset>-2486025</wp:posOffset>
                </wp:positionV>
                <wp:extent cx="1104900" cy="0"/>
                <wp:wrapNone/>
                <wp:docPr id="201" name="Shape 2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04900" cy="4763"/>
                        </a:xfrm>
                        <a:prstGeom prst="line">
                          <a:avLst/>
                        </a:prstGeom>
                        <a:solidFill>
                          <a:srgbClr val="FFFFFF"/>
                        </a:solidFill>
                        <a:ln w="18288">
                          <a:solidFill>
                            <a:srgbClr val="FFFFFF"/>
                          </a:solidFill>
                          <a:miter lim="800000"/>
                          <a:headEnd/>
                          <a:tailEnd/>
                        </a:ln>
                      </wps:spPr>
                      <wps:bodyPr/>
                    </wps:wsp>
                  </a:graphicData>
                </a:graphic>
              </wp:anchor>
            </w:drawing>
          </mc:Choice>
          <mc:Fallback>
            <w:pict>
              <v:line id="Shape 201" o:spid="_x0000_s12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9.85pt,-195.7499pt" to="466.85pt,-195.7499pt" o:allowincell="f" strokecolor="#FFFFFF" strokeweight="1.44pt"/>
            </w:pict>
          </mc:Fallback>
        </mc:AlternateContent>
        <mc:AlternateContent>
          <mc:Choice Requires="wps">
            <w:drawing>
              <wp:anchor simplePos="0" relativeHeight="251657728" behindDoc="1" locked="0" layoutInCell="0" allowOverlap="1">
                <wp:simplePos x="0" y="0"/>
                <wp:positionH relativeFrom="column">
                  <wp:posOffset>63500</wp:posOffset>
                </wp:positionH>
                <wp:positionV relativeFrom="paragraph">
                  <wp:posOffset>-2156460</wp:posOffset>
                </wp:positionV>
                <wp:extent cx="5869940" cy="0"/>
                <wp:wrapNone/>
                <wp:docPr id="202" name="Shape 2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9940" cy="4763"/>
                        </a:xfrm>
                        <a:prstGeom prst="line">
                          <a:avLst/>
                        </a:prstGeom>
                        <a:solidFill>
                          <a:srgbClr val="FFFFFF"/>
                        </a:solidFill>
                        <a:ln w="18288">
                          <a:solidFill>
                            <a:srgbClr val="FFFFFF"/>
                          </a:solidFill>
                          <a:miter lim="800000"/>
                          <a:headEnd/>
                          <a:tailEnd/>
                        </a:ln>
                      </wps:spPr>
                      <wps:bodyPr/>
                    </wps:wsp>
                  </a:graphicData>
                </a:graphic>
              </wp:anchor>
            </w:drawing>
          </mc:Choice>
          <mc:Fallback>
            <w:pict>
              <v:line id="Shape 202" o:spid="_x0000_s12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pt,-169.7999pt" to="467.2pt,-169.7999pt" o:allowincell="f" strokecolor="#FFFFFF" strokeweight="1.44pt"/>
            </w:pict>
          </mc:Fallback>
        </mc:AlternateContent>
        <mc:AlternateContent>
          <mc:Choice Requires="wps">
            <w:drawing>
              <wp:anchor simplePos="0" relativeHeight="251657728" behindDoc="1" locked="0" layoutInCell="0" allowOverlap="1">
                <wp:simplePos x="0" y="0"/>
                <wp:positionH relativeFrom="column">
                  <wp:posOffset>63500</wp:posOffset>
                </wp:positionH>
                <wp:positionV relativeFrom="paragraph">
                  <wp:posOffset>-1800225</wp:posOffset>
                </wp:positionV>
                <wp:extent cx="5869940" cy="0"/>
                <wp:wrapNone/>
                <wp:docPr id="203" name="Shape 2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9940" cy="4763"/>
                        </a:xfrm>
                        <a:prstGeom prst="line">
                          <a:avLst/>
                        </a:prstGeom>
                        <a:solidFill>
                          <a:srgbClr val="FFFFFF"/>
                        </a:solidFill>
                        <a:ln w="18288">
                          <a:solidFill>
                            <a:srgbClr val="FFFFFF"/>
                          </a:solidFill>
                          <a:miter lim="800000"/>
                          <a:headEnd/>
                          <a:tailEnd/>
                        </a:ln>
                      </wps:spPr>
                      <wps:bodyPr/>
                    </wps:wsp>
                  </a:graphicData>
                </a:graphic>
              </wp:anchor>
            </w:drawing>
          </mc:Choice>
          <mc:Fallback>
            <w:pict>
              <v:line id="Shape 203" o:spid="_x0000_s12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pt,-141.7499pt" to="467.2pt,-141.7499pt" o:allowincell="f" strokecolor="#FFFFFF" strokeweight="1.44pt"/>
            </w:pict>
          </mc:Fallback>
        </mc:AlternateContent>
        <mc:AlternateContent>
          <mc:Choice Requires="wps">
            <w:drawing>
              <wp:anchor simplePos="0" relativeHeight="251657728" behindDoc="1" locked="0" layoutInCell="0" allowOverlap="1">
                <wp:simplePos x="0" y="0"/>
                <wp:positionH relativeFrom="column">
                  <wp:posOffset>63500</wp:posOffset>
                </wp:positionH>
                <wp:positionV relativeFrom="paragraph">
                  <wp:posOffset>-1444625</wp:posOffset>
                </wp:positionV>
                <wp:extent cx="5869940" cy="0"/>
                <wp:wrapNone/>
                <wp:docPr id="204" name="Shape 2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9940" cy="4763"/>
                        </a:xfrm>
                        <a:prstGeom prst="line">
                          <a:avLst/>
                        </a:prstGeom>
                        <a:solidFill>
                          <a:srgbClr val="FFFFFF"/>
                        </a:solidFill>
                        <a:ln w="18288">
                          <a:solidFill>
                            <a:srgbClr val="FFFFFF"/>
                          </a:solidFill>
                          <a:miter lim="800000"/>
                          <a:headEnd/>
                          <a:tailEnd/>
                        </a:ln>
                      </wps:spPr>
                      <wps:bodyPr/>
                    </wps:wsp>
                  </a:graphicData>
                </a:graphic>
              </wp:anchor>
            </w:drawing>
          </mc:Choice>
          <mc:Fallback>
            <w:pict>
              <v:line id="Shape 204" o:spid="_x0000_s12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pt,-113.7499pt" to="467.2pt,-113.7499pt" o:allowincell="f" strokecolor="#FFFFFF" strokeweight="1.44pt"/>
            </w:pict>
          </mc:Fallback>
        </mc:AlternateContent>
        <mc:AlternateContent>
          <mc:Choice Requires="wps">
            <w:drawing>
              <wp:anchor simplePos="0" relativeHeight="251657728" behindDoc="1" locked="0" layoutInCell="0" allowOverlap="1">
                <wp:simplePos x="0" y="0"/>
                <wp:positionH relativeFrom="column">
                  <wp:posOffset>63500</wp:posOffset>
                </wp:positionH>
                <wp:positionV relativeFrom="paragraph">
                  <wp:posOffset>-1088390</wp:posOffset>
                </wp:positionV>
                <wp:extent cx="5869940" cy="0"/>
                <wp:wrapNone/>
                <wp:docPr id="205" name="Shape 2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9940" cy="4763"/>
                        </a:xfrm>
                        <a:prstGeom prst="line">
                          <a:avLst/>
                        </a:prstGeom>
                        <a:solidFill>
                          <a:srgbClr val="FFFFFF"/>
                        </a:solidFill>
                        <a:ln w="18288">
                          <a:solidFill>
                            <a:srgbClr val="FFFFFF"/>
                          </a:solidFill>
                          <a:miter lim="800000"/>
                          <a:headEnd/>
                          <a:tailEnd/>
                        </a:ln>
                      </wps:spPr>
                      <wps:bodyPr/>
                    </wps:wsp>
                  </a:graphicData>
                </a:graphic>
              </wp:anchor>
            </w:drawing>
          </mc:Choice>
          <mc:Fallback>
            <w:pict>
              <v:line id="Shape 205" o:spid="_x0000_s12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pt,-85.6999pt" to="467.2pt,-85.6999pt" o:allowincell="f" strokecolor="#FFFFFF" strokeweight="1.44pt"/>
            </w:pict>
          </mc:Fallback>
        </mc:AlternateContent>
        <mc:AlternateContent>
          <mc:Choice Requires="wps">
            <w:drawing>
              <wp:anchor simplePos="0" relativeHeight="251657728" behindDoc="1" locked="0" layoutInCell="0" allowOverlap="1">
                <wp:simplePos x="0" y="0"/>
                <wp:positionH relativeFrom="column">
                  <wp:posOffset>63500</wp:posOffset>
                </wp:positionH>
                <wp:positionV relativeFrom="paragraph">
                  <wp:posOffset>-731520</wp:posOffset>
                </wp:positionV>
                <wp:extent cx="5869940" cy="0"/>
                <wp:wrapNone/>
                <wp:docPr id="206" name="Shape 2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9940" cy="4763"/>
                        </a:xfrm>
                        <a:prstGeom prst="line">
                          <a:avLst/>
                        </a:prstGeom>
                        <a:solidFill>
                          <a:srgbClr val="FFFFFF"/>
                        </a:solidFill>
                        <a:ln w="18288">
                          <a:solidFill>
                            <a:srgbClr val="FFFFFF"/>
                          </a:solidFill>
                          <a:miter lim="800000"/>
                          <a:headEnd/>
                          <a:tailEnd/>
                        </a:ln>
                      </wps:spPr>
                      <wps:bodyPr/>
                    </wps:wsp>
                  </a:graphicData>
                </a:graphic>
              </wp:anchor>
            </w:drawing>
          </mc:Choice>
          <mc:Fallback>
            <w:pict>
              <v:line id="Shape 206" o:spid="_x0000_s12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pt,-57.5999pt" to="467.2pt,-57.5999pt" o:allowincell="f" strokecolor="#FFFFFF" strokeweight="1.44pt"/>
            </w:pict>
          </mc:Fallback>
        </mc:AlternateContent>
        <mc:AlternateContent>
          <mc:Choice Requires="wps">
            <w:drawing>
              <wp:anchor simplePos="0" relativeHeight="251657728" behindDoc="1" locked="0" layoutInCell="0" allowOverlap="1">
                <wp:simplePos x="0" y="0"/>
                <wp:positionH relativeFrom="column">
                  <wp:posOffset>63500</wp:posOffset>
                </wp:positionH>
                <wp:positionV relativeFrom="paragraph">
                  <wp:posOffset>-374650</wp:posOffset>
                </wp:positionV>
                <wp:extent cx="5869940" cy="0"/>
                <wp:wrapNone/>
                <wp:docPr id="207" name="Shape 2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9940" cy="4763"/>
                        </a:xfrm>
                        <a:prstGeom prst="line">
                          <a:avLst/>
                        </a:prstGeom>
                        <a:solidFill>
                          <a:srgbClr val="FFFFFF"/>
                        </a:solidFill>
                        <a:ln w="18288">
                          <a:solidFill>
                            <a:srgbClr val="FFFFFF"/>
                          </a:solidFill>
                          <a:miter lim="800000"/>
                          <a:headEnd/>
                          <a:tailEnd/>
                        </a:ln>
                      </wps:spPr>
                      <wps:bodyPr/>
                    </wps:wsp>
                  </a:graphicData>
                </a:graphic>
              </wp:anchor>
            </w:drawing>
          </mc:Choice>
          <mc:Fallback>
            <w:pict>
              <v:line id="Shape 207" o:spid="_x0000_s12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pt,-29.4999pt" to="467.2pt,-29.4999pt" o:allowincell="f" strokecolor="#FFFFFF" strokeweight="1.44pt"/>
            </w:pict>
          </mc:Fallback>
        </mc:AlternateContent>
        <mc:AlternateContent>
          <mc:Choice Requires="wps">
            <w:drawing>
              <wp:anchor simplePos="0" relativeHeight="251657728" behindDoc="1" locked="0" layoutInCell="0" allowOverlap="1">
                <wp:simplePos x="0" y="0"/>
                <wp:positionH relativeFrom="column">
                  <wp:posOffset>63500</wp:posOffset>
                </wp:positionH>
                <wp:positionV relativeFrom="paragraph">
                  <wp:posOffset>-17780</wp:posOffset>
                </wp:positionV>
                <wp:extent cx="5869940" cy="0"/>
                <wp:wrapNone/>
                <wp:docPr id="208" name="Shape 2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69940" cy="4763"/>
                        </a:xfrm>
                        <a:prstGeom prst="line">
                          <a:avLst/>
                        </a:prstGeom>
                        <a:solidFill>
                          <a:srgbClr val="FFFFFF"/>
                        </a:solidFill>
                        <a:ln w="18288">
                          <a:solidFill>
                            <a:srgbClr val="FFFFFF"/>
                          </a:solidFill>
                          <a:miter lim="800000"/>
                          <a:headEnd/>
                          <a:tailEnd/>
                        </a:ln>
                      </wps:spPr>
                      <wps:bodyPr/>
                    </wps:wsp>
                  </a:graphicData>
                </a:graphic>
              </wp:anchor>
            </w:drawing>
          </mc:Choice>
          <mc:Fallback>
            <w:pict>
              <v:line id="Shape 208" o:spid="_x0000_s12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pt,-1.3999pt" to="467.2pt,-1.3999pt" o:allowincell="f" strokecolor="#FFFFFF" strokeweight="1.44pt"/>
            </w:pict>
          </mc:Fallback>
        </mc:AlternateContent>
      </w:r>
    </w:p>
    <w:p>
      <w:pPr>
        <w:spacing w:after="0" w:line="218" w:lineRule="exact"/>
        <w:rPr>
          <w:sz w:val="20"/>
          <w:szCs w:val="20"/>
          <w:color w:val="auto"/>
        </w:rPr>
      </w:pPr>
    </w:p>
    <w:p>
      <w:pPr>
        <w:ind w:left="860"/>
        <w:spacing w:after="0"/>
        <w:rPr>
          <w:sz w:val="20"/>
          <w:szCs w:val="20"/>
          <w:color w:val="auto"/>
        </w:rPr>
      </w:pPr>
      <w:r>
        <w:rPr>
          <w:rFonts w:ascii="Calibri" w:cs="Calibri" w:eastAsia="Calibri" w:hAnsi="Calibri"/>
          <w:sz w:val="20"/>
          <w:szCs w:val="20"/>
          <w:color w:val="auto"/>
        </w:rPr>
        <w:t>*</w:t>
      </w:r>
      <w:r>
        <w:rPr>
          <w:rFonts w:ascii="Calibri" w:cs="Calibri" w:eastAsia="Calibri" w:hAnsi="Calibri"/>
          <w:sz w:val="20"/>
          <w:szCs w:val="20"/>
          <w:i w:val="1"/>
          <w:iCs w:val="1"/>
          <w:color w:val="auto"/>
        </w:rPr>
        <w:t>Where material deviation may be defined to mean:</w:t>
      </w:r>
    </w:p>
    <w:p>
      <w:pPr>
        <w:spacing w:after="0" w:line="1" w:lineRule="exact"/>
        <w:rPr>
          <w:sz w:val="20"/>
          <w:szCs w:val="20"/>
          <w:color w:val="auto"/>
        </w:rPr>
      </w:pPr>
    </w:p>
    <w:p>
      <w:pPr>
        <w:ind w:left="1580" w:hanging="719"/>
        <w:spacing w:after="0"/>
        <w:tabs>
          <w:tab w:leader="none" w:pos="1580" w:val="left"/>
        </w:tabs>
        <w:numPr>
          <w:ilvl w:val="1"/>
          <w:numId w:val="1173"/>
        </w:numPr>
        <w:rPr>
          <w:rFonts w:ascii="Calibri" w:cs="Calibri" w:eastAsia="Calibri" w:hAnsi="Calibri"/>
          <w:sz w:val="20"/>
          <w:szCs w:val="20"/>
          <w:color w:val="auto"/>
        </w:rPr>
      </w:pPr>
      <w:r>
        <w:rPr>
          <w:rFonts w:ascii="Calibri" w:cs="Calibri" w:eastAsia="Calibri" w:hAnsi="Calibri"/>
          <w:sz w:val="20"/>
          <w:szCs w:val="20"/>
          <w:color w:val="auto"/>
        </w:rPr>
        <w:t>Deviation in the objects or purposes for which the funds have been raised</w:t>
      </w:r>
    </w:p>
    <w:p>
      <w:pPr>
        <w:spacing w:after="0" w:line="44" w:lineRule="exact"/>
        <w:rPr>
          <w:rFonts w:ascii="Calibri" w:cs="Calibri" w:eastAsia="Calibri" w:hAnsi="Calibri"/>
          <w:sz w:val="20"/>
          <w:szCs w:val="20"/>
          <w:color w:val="auto"/>
        </w:rPr>
      </w:pPr>
    </w:p>
    <w:p>
      <w:pPr>
        <w:ind w:left="1580" w:right="80" w:hanging="719"/>
        <w:spacing w:after="0" w:line="217" w:lineRule="auto"/>
        <w:tabs>
          <w:tab w:leader="none" w:pos="1580" w:val="left"/>
        </w:tabs>
        <w:numPr>
          <w:ilvl w:val="1"/>
          <w:numId w:val="1173"/>
        </w:numPr>
        <w:rPr>
          <w:rFonts w:ascii="Calibri" w:cs="Calibri" w:eastAsia="Calibri" w:hAnsi="Calibri"/>
          <w:sz w:val="20"/>
          <w:szCs w:val="20"/>
          <w:color w:val="auto"/>
        </w:rPr>
      </w:pPr>
      <w:r>
        <w:rPr>
          <w:rFonts w:ascii="Calibri" w:cs="Calibri" w:eastAsia="Calibri" w:hAnsi="Calibri"/>
          <w:sz w:val="20"/>
          <w:szCs w:val="20"/>
          <w:color w:val="auto"/>
        </w:rPr>
        <w:t>Deviation in the amount of funds actually utilized by more than 10% of the amount projected in the offer documents.</w:t>
      </w:r>
    </w:p>
    <w:p>
      <w:pPr>
        <w:spacing w:after="0" w:line="243" w:lineRule="exact"/>
        <w:rPr>
          <w:rFonts w:ascii="Calibri" w:cs="Calibri" w:eastAsia="Calibri" w:hAnsi="Calibri"/>
          <w:sz w:val="20"/>
          <w:szCs w:val="20"/>
          <w:color w:val="auto"/>
        </w:rPr>
      </w:pPr>
    </w:p>
    <w:p>
      <w:pPr>
        <w:ind w:left="860" w:hanging="719"/>
        <w:spacing w:after="0"/>
        <w:tabs>
          <w:tab w:leader="none" w:pos="860" w:val="left"/>
        </w:tabs>
        <w:numPr>
          <w:ilvl w:val="0"/>
          <w:numId w:val="1174"/>
        </w:numPr>
        <w:rPr>
          <w:rFonts w:ascii="Calibri" w:cs="Calibri" w:eastAsia="Calibri" w:hAnsi="Calibri"/>
          <w:sz w:val="20"/>
          <w:szCs w:val="20"/>
          <w:color w:val="auto"/>
        </w:rPr>
      </w:pPr>
      <w:r>
        <w:rPr>
          <w:rFonts w:ascii="Calibri" w:cs="Calibri" w:eastAsia="Calibri" w:hAnsi="Calibri"/>
          <w:sz w:val="20"/>
          <w:szCs w:val="20"/>
          <w:b w:val="1"/>
          <w:bCs w:val="1"/>
          <w:color w:val="auto"/>
        </w:rPr>
        <w:t>Details of object(s)s to be monitored:</w:t>
      </w:r>
    </w:p>
    <w:p>
      <w:pPr>
        <w:spacing w:after="0" w:line="281" w:lineRule="exact"/>
        <w:rPr>
          <w:rFonts w:ascii="Calibri" w:cs="Calibri" w:eastAsia="Calibri" w:hAnsi="Calibri"/>
          <w:sz w:val="20"/>
          <w:szCs w:val="20"/>
          <w:color w:val="auto"/>
        </w:rPr>
      </w:pPr>
    </w:p>
    <w:p>
      <w:pPr>
        <w:ind w:left="1220" w:hanging="359"/>
        <w:spacing w:after="0"/>
        <w:tabs>
          <w:tab w:leader="none" w:pos="1220" w:val="left"/>
        </w:tabs>
        <w:numPr>
          <w:ilvl w:val="1"/>
          <w:numId w:val="1174"/>
        </w:numPr>
        <w:rPr>
          <w:rFonts w:ascii="Calibri" w:cs="Calibri" w:eastAsia="Calibri" w:hAnsi="Calibri"/>
          <w:sz w:val="20"/>
          <w:szCs w:val="20"/>
          <w:color w:val="auto"/>
        </w:rPr>
      </w:pPr>
      <w:r>
        <w:rPr>
          <w:rFonts w:ascii="Calibri" w:cs="Calibri" w:eastAsia="Calibri" w:hAnsi="Calibri"/>
          <w:sz w:val="20"/>
          <w:szCs w:val="20"/>
          <w:color w:val="auto"/>
        </w:rPr>
        <w:t>Cost of object(s)-</w:t>
      </w:r>
    </w:p>
    <w:p>
      <w:pPr>
        <w:spacing w:after="0" w:line="293" w:lineRule="exact"/>
        <w:rPr>
          <w:sz w:val="20"/>
          <w:szCs w:val="20"/>
          <w:color w:val="auto"/>
        </w:rPr>
      </w:pPr>
    </w:p>
    <w:p>
      <w:pPr>
        <w:ind w:left="860" w:right="80"/>
        <w:spacing w:after="0" w:line="214" w:lineRule="auto"/>
        <w:rPr>
          <w:sz w:val="20"/>
          <w:szCs w:val="20"/>
          <w:color w:val="auto"/>
        </w:rPr>
      </w:pPr>
      <w:r>
        <w:rPr>
          <w:rFonts w:ascii="Calibri" w:cs="Calibri" w:eastAsia="Calibri" w:hAnsi="Calibri"/>
          <w:sz w:val="20"/>
          <w:szCs w:val="20"/>
          <w:color w:val="auto"/>
        </w:rPr>
        <w:t>(Give Item by Item Description for all the Objects Stated in Offer Document separately in following format)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jc w:val="center"/>
        <w:ind w:right="-99"/>
        <w:spacing w:after="0"/>
        <w:rPr>
          <w:sz w:val="20"/>
          <w:szCs w:val="20"/>
          <w:color w:val="auto"/>
        </w:rPr>
      </w:pPr>
      <w:r>
        <w:rPr>
          <w:rFonts w:ascii="Times New Roman" w:cs="Times New Roman" w:eastAsia="Times New Roman" w:hAnsi="Times New Roman"/>
          <w:sz w:val="24"/>
          <w:szCs w:val="24"/>
          <w:color w:val="auto"/>
        </w:rPr>
        <w:t>387</w:t>
      </w:r>
    </w:p>
    <w:p>
      <w:pPr>
        <w:sectPr>
          <w:pgSz w:w="11900" w:h="16836" w:orient="portrait"/>
          <w:cols w:equalWidth="0" w:num="1">
            <w:col w:w="9360"/>
          </w:cols>
          <w:pgMar w:left="1160" w:top="1155" w:right="1384" w:bottom="103" w:gutter="0" w:footer="0" w:header="0"/>
          <w:type w:val="continuous"/>
        </w:sectPr>
      </w:pPr>
    </w:p>
    <w:bookmarkStart w:id="387" w:name="page388"/>
    <w:bookmarkEnd w:id="387"/>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6750050</wp:posOffset>
                </wp:positionH>
                <wp:positionV relativeFrom="page">
                  <wp:posOffset>1254125</wp:posOffset>
                </wp:positionV>
                <wp:extent cx="0" cy="6755130"/>
                <wp:wrapNone/>
                <wp:docPr id="209" name="Shape 2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75513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09" o:spid="_x0000_s123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31.5pt,98.75pt" to="531.5pt,630.6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728345</wp:posOffset>
                </wp:positionH>
                <wp:positionV relativeFrom="page">
                  <wp:posOffset>1257300</wp:posOffset>
                </wp:positionV>
                <wp:extent cx="6024880" cy="0"/>
                <wp:wrapNone/>
                <wp:docPr id="210" name="Shape 2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2488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10" o:spid="_x0000_s123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35pt,99pt" to="531.75pt,99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731520</wp:posOffset>
                </wp:positionH>
                <wp:positionV relativeFrom="page">
                  <wp:posOffset>1254125</wp:posOffset>
                </wp:positionV>
                <wp:extent cx="0" cy="6755130"/>
                <wp:wrapNone/>
                <wp:docPr id="211" name="Shape 2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75513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11" o:spid="_x0000_s123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6pt,98.75pt" to="57.6pt,630.6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728345</wp:posOffset>
                </wp:positionH>
                <wp:positionV relativeFrom="page">
                  <wp:posOffset>8006080</wp:posOffset>
                </wp:positionV>
                <wp:extent cx="6024880" cy="0"/>
                <wp:wrapNone/>
                <wp:docPr id="212" name="Shape 2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2488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12" o:spid="_x0000_s123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35pt,630.4pt" to="531.75pt,630.4pt" o:allowincell="f" strokecolor="#000000" strokeweight="0.5pt">
                <w10:wrap anchorx="page" anchory="page"/>
              </v:line>
            </w:pict>
          </mc:Fallback>
        </mc:AlternateContent>
      </w:r>
    </w:p>
    <w:p>
      <w:pPr>
        <w:spacing w:after="0" w:line="397" w:lineRule="exact"/>
        <w:rPr>
          <w:sz w:val="20"/>
          <w:szCs w:val="20"/>
          <w:color w:val="auto"/>
        </w:rPr>
      </w:pPr>
    </w:p>
    <w:tbl>
      <w:tblPr>
        <w:tblLayout w:type="fixed"/>
        <w:tblInd w:w="90" w:type="dxa"/>
        <w:tblCellMar>
          <w:top w:w="0" w:type="dxa"/>
          <w:left w:w="0" w:type="dxa"/>
          <w:bottom w:w="0" w:type="dxa"/>
          <w:right w:w="0" w:type="dxa"/>
        </w:tblCellMar>
      </w:tblPr>
      <w:tr>
        <w:trPr>
          <w:trHeight w:val="227"/>
        </w:trPr>
        <w:tc>
          <w:tcPr>
            <w:tcW w:w="520" w:type="dxa"/>
            <w:vAlign w:val="bottom"/>
            <w:tcBorders>
              <w:top w:val="single" w:sz="8" w:color="auto"/>
              <w:left w:val="single" w:sz="8" w:color="auto"/>
            </w:tcBorders>
          </w:tcPr>
          <w:p>
            <w:pPr>
              <w:spacing w:after="0"/>
              <w:rPr>
                <w:sz w:val="19"/>
                <w:szCs w:val="19"/>
                <w:color w:val="auto"/>
              </w:rPr>
            </w:pPr>
          </w:p>
        </w:tc>
        <w:tc>
          <w:tcPr>
            <w:tcW w:w="60" w:type="dxa"/>
            <w:vAlign w:val="bottom"/>
            <w:tcBorders>
              <w:top w:val="single" w:sz="8" w:color="auto"/>
              <w:right w:val="single" w:sz="8" w:color="auto"/>
            </w:tcBorders>
          </w:tcPr>
          <w:p>
            <w:pPr>
              <w:spacing w:after="0"/>
              <w:rPr>
                <w:sz w:val="19"/>
                <w:szCs w:val="19"/>
                <w:color w:val="auto"/>
              </w:rPr>
            </w:pPr>
          </w:p>
        </w:tc>
        <w:tc>
          <w:tcPr>
            <w:tcW w:w="760" w:type="dxa"/>
            <w:vAlign w:val="bottom"/>
            <w:tcBorders>
              <w:top w:val="single" w:sz="8" w:color="auto"/>
              <w:bottom w:val="single" w:sz="8" w:color="auto"/>
              <w:right w:val="single" w:sz="8" w:color="auto"/>
            </w:tcBorders>
            <w:vMerge w:val="restart"/>
          </w:tcPr>
          <w:p>
            <w:pPr>
              <w:ind w:left="200"/>
              <w:spacing w:after="0"/>
              <w:rPr>
                <w:sz w:val="20"/>
                <w:szCs w:val="20"/>
                <w:color w:val="auto"/>
              </w:rPr>
            </w:pPr>
            <w:r>
              <w:rPr>
                <w:rFonts w:ascii="Calibri" w:cs="Calibri" w:eastAsia="Calibri" w:hAnsi="Calibri"/>
                <w:sz w:val="18"/>
                <w:szCs w:val="18"/>
                <w:color w:val="auto"/>
              </w:rPr>
              <w:t>Item</w:t>
            </w:r>
          </w:p>
        </w:tc>
        <w:tc>
          <w:tcPr>
            <w:tcW w:w="40" w:type="dxa"/>
            <w:vAlign w:val="bottom"/>
            <w:tcBorders>
              <w:top w:val="single" w:sz="8" w:color="auto"/>
            </w:tcBorders>
          </w:tcPr>
          <w:p>
            <w:pPr>
              <w:spacing w:after="0"/>
              <w:rPr>
                <w:sz w:val="19"/>
                <w:szCs w:val="19"/>
                <w:color w:val="auto"/>
              </w:rPr>
            </w:pPr>
          </w:p>
        </w:tc>
        <w:tc>
          <w:tcPr>
            <w:tcW w:w="1280" w:type="dxa"/>
            <w:vAlign w:val="bottom"/>
            <w:tcBorders>
              <w:top w:val="single" w:sz="8" w:color="auto"/>
              <w:bottom w:val="single" w:sz="8" w:color="auto"/>
            </w:tcBorders>
            <w:vMerge w:val="restart"/>
          </w:tcPr>
          <w:p>
            <w:pPr>
              <w:jc w:val="center"/>
              <w:spacing w:after="0"/>
              <w:rPr>
                <w:sz w:val="20"/>
                <w:szCs w:val="20"/>
                <w:color w:val="auto"/>
              </w:rPr>
            </w:pPr>
            <w:r>
              <w:rPr>
                <w:rFonts w:ascii="Calibri" w:cs="Calibri" w:eastAsia="Calibri" w:hAnsi="Calibri"/>
                <w:sz w:val="18"/>
                <w:szCs w:val="18"/>
                <w:color w:val="auto"/>
                <w:highlight w:val="white"/>
              </w:rPr>
              <w:t>Original Cost (as</w:t>
            </w:r>
          </w:p>
        </w:tc>
        <w:tc>
          <w:tcPr>
            <w:tcW w:w="60" w:type="dxa"/>
            <w:vAlign w:val="bottom"/>
            <w:tcBorders>
              <w:top w:val="single" w:sz="8" w:color="auto"/>
              <w:right w:val="single" w:sz="8" w:color="auto"/>
            </w:tcBorders>
          </w:tcPr>
          <w:p>
            <w:pPr>
              <w:spacing w:after="0"/>
              <w:rPr>
                <w:sz w:val="19"/>
                <w:szCs w:val="19"/>
                <w:color w:val="auto"/>
              </w:rPr>
            </w:pPr>
          </w:p>
        </w:tc>
        <w:tc>
          <w:tcPr>
            <w:tcW w:w="1080" w:type="dxa"/>
            <w:vAlign w:val="bottom"/>
            <w:tcBorders>
              <w:top w:val="single" w:sz="8" w:color="auto"/>
            </w:tcBorders>
          </w:tcPr>
          <w:p>
            <w:pPr>
              <w:spacing w:after="0"/>
              <w:rPr>
                <w:sz w:val="19"/>
                <w:szCs w:val="19"/>
                <w:color w:val="auto"/>
              </w:rPr>
            </w:pPr>
          </w:p>
        </w:tc>
        <w:tc>
          <w:tcPr>
            <w:tcW w:w="60" w:type="dxa"/>
            <w:vAlign w:val="bottom"/>
            <w:tcBorders>
              <w:top w:val="single" w:sz="8" w:color="auto"/>
              <w:right w:val="single" w:sz="8" w:color="auto"/>
            </w:tcBorders>
          </w:tcPr>
          <w:p>
            <w:pPr>
              <w:spacing w:after="0"/>
              <w:rPr>
                <w:sz w:val="19"/>
                <w:szCs w:val="19"/>
                <w:color w:val="auto"/>
              </w:rPr>
            </w:pPr>
          </w:p>
        </w:tc>
        <w:tc>
          <w:tcPr>
            <w:tcW w:w="1520" w:type="dxa"/>
            <w:vAlign w:val="bottom"/>
            <w:tcBorders>
              <w:top w:val="single" w:sz="8" w:color="auto"/>
              <w:bottom w:val="single" w:sz="8" w:color="auto"/>
            </w:tcBorders>
            <w:vMerge w:val="restart"/>
          </w:tcPr>
          <w:p>
            <w:pPr>
              <w:jc w:val="center"/>
              <w:spacing w:after="0"/>
              <w:rPr>
                <w:sz w:val="20"/>
                <w:szCs w:val="20"/>
                <w:color w:val="auto"/>
              </w:rPr>
            </w:pPr>
            <w:r>
              <w:rPr>
                <w:rFonts w:ascii="Calibri" w:cs="Calibri" w:eastAsia="Calibri" w:hAnsi="Calibri"/>
                <w:sz w:val="18"/>
                <w:szCs w:val="18"/>
                <w:color w:val="auto"/>
                <w:highlight w:val="white"/>
                <w:w w:val="99"/>
              </w:rPr>
              <w:t>Comments of the</w:t>
            </w:r>
          </w:p>
        </w:tc>
        <w:tc>
          <w:tcPr>
            <w:tcW w:w="60" w:type="dxa"/>
            <w:vAlign w:val="bottom"/>
            <w:tcBorders>
              <w:top w:val="single" w:sz="8" w:color="auto"/>
              <w:right w:val="single" w:sz="8" w:color="auto"/>
            </w:tcBorders>
          </w:tcPr>
          <w:p>
            <w:pPr>
              <w:spacing w:after="0"/>
              <w:rPr>
                <w:sz w:val="19"/>
                <w:szCs w:val="19"/>
                <w:color w:val="auto"/>
              </w:rPr>
            </w:pPr>
          </w:p>
        </w:tc>
        <w:tc>
          <w:tcPr>
            <w:tcW w:w="3740" w:type="dxa"/>
            <w:vAlign w:val="bottom"/>
            <w:tcBorders>
              <w:top w:val="single" w:sz="8" w:color="auto"/>
              <w:bottom w:val="single" w:sz="8" w:color="auto"/>
            </w:tcBorders>
            <w:gridSpan w:val="5"/>
          </w:tcPr>
          <w:p>
            <w:pPr>
              <w:ind w:left="560"/>
              <w:spacing w:after="0"/>
              <w:rPr>
                <w:sz w:val="20"/>
                <w:szCs w:val="20"/>
                <w:color w:val="auto"/>
              </w:rPr>
            </w:pPr>
            <w:r>
              <w:rPr>
                <w:rFonts w:ascii="Calibri" w:cs="Calibri" w:eastAsia="Calibri" w:hAnsi="Calibri"/>
                <w:sz w:val="18"/>
                <w:szCs w:val="18"/>
                <w:color w:val="auto"/>
              </w:rPr>
              <w:t>Comments of the Board of Directors</w:t>
            </w:r>
          </w:p>
        </w:tc>
        <w:tc>
          <w:tcPr>
            <w:tcW w:w="60" w:type="dxa"/>
            <w:vAlign w:val="bottom"/>
            <w:tcBorders>
              <w:top w:val="single" w:sz="8" w:color="auto"/>
              <w:bottom w:val="single" w:sz="8" w:color="auto"/>
              <w:right w:val="single" w:sz="8" w:color="auto"/>
            </w:tcBorders>
          </w:tcPr>
          <w:p>
            <w:pPr>
              <w:spacing w:after="0"/>
              <w:rPr>
                <w:sz w:val="19"/>
                <w:szCs w:val="19"/>
                <w:color w:val="auto"/>
              </w:rPr>
            </w:pPr>
          </w:p>
        </w:tc>
        <w:tc>
          <w:tcPr>
            <w:tcW w:w="0" w:type="dxa"/>
            <w:vAlign w:val="bottom"/>
          </w:tcPr>
          <w:p>
            <w:pPr>
              <w:spacing w:after="0"/>
              <w:rPr>
                <w:sz w:val="1"/>
                <w:szCs w:val="1"/>
                <w:color w:val="auto"/>
              </w:rPr>
            </w:pPr>
          </w:p>
        </w:tc>
      </w:tr>
      <w:tr>
        <w:trPr>
          <w:trHeight w:val="92"/>
        </w:trPr>
        <w:tc>
          <w:tcPr>
            <w:tcW w:w="520" w:type="dxa"/>
            <w:vAlign w:val="bottom"/>
            <w:tcBorders>
              <w:left w:val="single" w:sz="8" w:color="auto"/>
            </w:tcBorders>
          </w:tcPr>
          <w:p>
            <w:pPr>
              <w:spacing w:after="0"/>
              <w:rPr>
                <w:sz w:val="8"/>
                <w:szCs w:val="8"/>
                <w:color w:val="auto"/>
              </w:rPr>
            </w:pPr>
          </w:p>
        </w:tc>
        <w:tc>
          <w:tcPr>
            <w:tcW w:w="60" w:type="dxa"/>
            <w:vAlign w:val="bottom"/>
            <w:tcBorders>
              <w:right w:val="single" w:sz="8" w:color="auto"/>
            </w:tcBorders>
          </w:tcPr>
          <w:p>
            <w:pPr>
              <w:spacing w:after="0"/>
              <w:rPr>
                <w:sz w:val="8"/>
                <w:szCs w:val="8"/>
                <w:color w:val="auto"/>
              </w:rPr>
            </w:pPr>
          </w:p>
        </w:tc>
        <w:tc>
          <w:tcPr>
            <w:tcW w:w="760" w:type="dxa"/>
            <w:vAlign w:val="bottom"/>
            <w:tcBorders>
              <w:right w:val="single" w:sz="8" w:color="auto"/>
            </w:tcBorders>
            <w:vMerge w:val="continue"/>
          </w:tcPr>
          <w:p>
            <w:pPr>
              <w:spacing w:after="0"/>
              <w:rPr>
                <w:sz w:val="8"/>
                <w:szCs w:val="8"/>
                <w:color w:val="auto"/>
              </w:rPr>
            </w:pPr>
          </w:p>
        </w:tc>
        <w:tc>
          <w:tcPr>
            <w:tcW w:w="40" w:type="dxa"/>
            <w:vAlign w:val="bottom"/>
          </w:tcPr>
          <w:p>
            <w:pPr>
              <w:spacing w:after="0"/>
              <w:rPr>
                <w:sz w:val="8"/>
                <w:szCs w:val="8"/>
                <w:color w:val="auto"/>
              </w:rPr>
            </w:pPr>
          </w:p>
        </w:tc>
        <w:tc>
          <w:tcPr>
            <w:tcW w:w="1280" w:type="dxa"/>
            <w:vAlign w:val="bottom"/>
            <w:vMerge w:val="continue"/>
          </w:tcPr>
          <w:p>
            <w:pPr>
              <w:spacing w:after="0"/>
              <w:rPr>
                <w:sz w:val="8"/>
                <w:szCs w:val="8"/>
                <w:color w:val="auto"/>
              </w:rPr>
            </w:pPr>
          </w:p>
        </w:tc>
        <w:tc>
          <w:tcPr>
            <w:tcW w:w="60" w:type="dxa"/>
            <w:vAlign w:val="bottom"/>
            <w:tcBorders>
              <w:right w:val="single" w:sz="8" w:color="auto"/>
            </w:tcBorders>
          </w:tcPr>
          <w:p>
            <w:pPr>
              <w:spacing w:after="0"/>
              <w:rPr>
                <w:sz w:val="8"/>
                <w:szCs w:val="8"/>
                <w:color w:val="auto"/>
              </w:rPr>
            </w:pPr>
          </w:p>
        </w:tc>
        <w:tc>
          <w:tcPr>
            <w:tcW w:w="1080" w:type="dxa"/>
            <w:vAlign w:val="bottom"/>
          </w:tcPr>
          <w:p>
            <w:pPr>
              <w:spacing w:after="0"/>
              <w:rPr>
                <w:sz w:val="8"/>
                <w:szCs w:val="8"/>
                <w:color w:val="auto"/>
              </w:rPr>
            </w:pPr>
          </w:p>
        </w:tc>
        <w:tc>
          <w:tcPr>
            <w:tcW w:w="60" w:type="dxa"/>
            <w:vAlign w:val="bottom"/>
            <w:tcBorders>
              <w:right w:val="single" w:sz="8" w:color="auto"/>
            </w:tcBorders>
          </w:tcPr>
          <w:p>
            <w:pPr>
              <w:spacing w:after="0"/>
              <w:rPr>
                <w:sz w:val="8"/>
                <w:szCs w:val="8"/>
                <w:color w:val="auto"/>
              </w:rPr>
            </w:pPr>
          </w:p>
        </w:tc>
        <w:tc>
          <w:tcPr>
            <w:tcW w:w="1520" w:type="dxa"/>
            <w:vAlign w:val="bottom"/>
            <w:vMerge w:val="continue"/>
          </w:tcPr>
          <w:p>
            <w:pPr>
              <w:spacing w:after="0"/>
              <w:rPr>
                <w:sz w:val="8"/>
                <w:szCs w:val="8"/>
                <w:color w:val="auto"/>
              </w:rPr>
            </w:pPr>
          </w:p>
        </w:tc>
        <w:tc>
          <w:tcPr>
            <w:tcW w:w="60" w:type="dxa"/>
            <w:vAlign w:val="bottom"/>
            <w:tcBorders>
              <w:right w:val="single" w:sz="8" w:color="auto"/>
            </w:tcBorders>
          </w:tcPr>
          <w:p>
            <w:pPr>
              <w:spacing w:after="0"/>
              <w:rPr>
                <w:sz w:val="8"/>
                <w:szCs w:val="8"/>
                <w:color w:val="auto"/>
              </w:rPr>
            </w:pPr>
          </w:p>
        </w:tc>
        <w:tc>
          <w:tcPr>
            <w:tcW w:w="980" w:type="dxa"/>
            <w:vAlign w:val="bottom"/>
          </w:tcPr>
          <w:p>
            <w:pPr>
              <w:spacing w:after="0"/>
              <w:rPr>
                <w:sz w:val="8"/>
                <w:szCs w:val="8"/>
                <w:color w:val="auto"/>
              </w:rPr>
            </w:pPr>
          </w:p>
        </w:tc>
        <w:tc>
          <w:tcPr>
            <w:tcW w:w="60" w:type="dxa"/>
            <w:vAlign w:val="bottom"/>
            <w:tcBorders>
              <w:right w:val="single" w:sz="8" w:color="auto"/>
            </w:tcBorders>
          </w:tcPr>
          <w:p>
            <w:pPr>
              <w:spacing w:after="0"/>
              <w:rPr>
                <w:sz w:val="8"/>
                <w:szCs w:val="8"/>
                <w:color w:val="auto"/>
              </w:rPr>
            </w:pPr>
          </w:p>
        </w:tc>
        <w:tc>
          <w:tcPr>
            <w:tcW w:w="1260" w:type="dxa"/>
            <w:vAlign w:val="bottom"/>
          </w:tcPr>
          <w:p>
            <w:pPr>
              <w:spacing w:after="0"/>
              <w:rPr>
                <w:sz w:val="8"/>
                <w:szCs w:val="8"/>
                <w:color w:val="auto"/>
              </w:rPr>
            </w:pPr>
          </w:p>
        </w:tc>
        <w:tc>
          <w:tcPr>
            <w:tcW w:w="60" w:type="dxa"/>
            <w:vAlign w:val="bottom"/>
            <w:tcBorders>
              <w:right w:val="single" w:sz="8" w:color="auto"/>
            </w:tcBorders>
          </w:tcPr>
          <w:p>
            <w:pPr>
              <w:spacing w:after="0"/>
              <w:rPr>
                <w:sz w:val="8"/>
                <w:szCs w:val="8"/>
                <w:color w:val="auto"/>
              </w:rPr>
            </w:pPr>
          </w:p>
        </w:tc>
        <w:tc>
          <w:tcPr>
            <w:tcW w:w="1380" w:type="dxa"/>
            <w:vAlign w:val="bottom"/>
            <w:vMerge w:val="restart"/>
          </w:tcPr>
          <w:p>
            <w:pPr>
              <w:jc w:val="center"/>
              <w:spacing w:after="0" w:line="206" w:lineRule="exact"/>
              <w:rPr>
                <w:sz w:val="20"/>
                <w:szCs w:val="20"/>
                <w:color w:val="auto"/>
              </w:rPr>
            </w:pPr>
            <w:r>
              <w:rPr>
                <w:rFonts w:ascii="Calibri" w:cs="Calibri" w:eastAsia="Calibri" w:hAnsi="Calibri"/>
                <w:sz w:val="18"/>
                <w:szCs w:val="18"/>
                <w:color w:val="auto"/>
                <w:highlight w:val="white"/>
              </w:rPr>
              <w:t>Particulars of firm</w:t>
            </w:r>
          </w:p>
        </w:tc>
        <w:tc>
          <w:tcPr>
            <w:tcW w:w="6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114"/>
        </w:trPr>
        <w:tc>
          <w:tcPr>
            <w:tcW w:w="520" w:type="dxa"/>
            <w:vAlign w:val="bottom"/>
            <w:tcBorders>
              <w:left w:val="single" w:sz="8" w:color="auto"/>
            </w:tcBorders>
            <w:vMerge w:val="restart"/>
          </w:tcPr>
          <w:p>
            <w:pPr>
              <w:ind w:left="60"/>
              <w:spacing w:after="0"/>
              <w:rPr>
                <w:sz w:val="20"/>
                <w:szCs w:val="20"/>
                <w:color w:val="auto"/>
              </w:rPr>
            </w:pPr>
            <w:r>
              <w:rPr>
                <w:rFonts w:ascii="Calibri" w:cs="Calibri" w:eastAsia="Calibri" w:hAnsi="Calibri"/>
                <w:sz w:val="18"/>
                <w:szCs w:val="18"/>
                <w:color w:val="auto"/>
              </w:rPr>
              <w:t>Sl. No</w:t>
            </w:r>
          </w:p>
        </w:tc>
        <w:tc>
          <w:tcPr>
            <w:tcW w:w="60" w:type="dxa"/>
            <w:vAlign w:val="bottom"/>
            <w:tcBorders>
              <w:right w:val="single" w:sz="8" w:color="auto"/>
            </w:tcBorders>
          </w:tcPr>
          <w:p>
            <w:pPr>
              <w:spacing w:after="0"/>
              <w:rPr>
                <w:sz w:val="9"/>
                <w:szCs w:val="9"/>
                <w:color w:val="auto"/>
              </w:rPr>
            </w:pPr>
          </w:p>
        </w:tc>
        <w:tc>
          <w:tcPr>
            <w:tcW w:w="760" w:type="dxa"/>
            <w:vAlign w:val="bottom"/>
            <w:tcBorders>
              <w:right w:val="single" w:sz="8" w:color="auto"/>
            </w:tcBorders>
            <w:vMerge w:val="continue"/>
          </w:tcPr>
          <w:p>
            <w:pPr>
              <w:spacing w:after="0"/>
              <w:rPr>
                <w:sz w:val="9"/>
                <w:szCs w:val="9"/>
                <w:color w:val="auto"/>
              </w:rPr>
            </w:pPr>
          </w:p>
        </w:tc>
        <w:tc>
          <w:tcPr>
            <w:tcW w:w="40" w:type="dxa"/>
            <w:vAlign w:val="bottom"/>
          </w:tcPr>
          <w:p>
            <w:pPr>
              <w:spacing w:after="0"/>
              <w:rPr>
                <w:sz w:val="9"/>
                <w:szCs w:val="9"/>
                <w:color w:val="auto"/>
              </w:rPr>
            </w:pPr>
          </w:p>
        </w:tc>
        <w:tc>
          <w:tcPr>
            <w:tcW w:w="1280" w:type="dxa"/>
            <w:vAlign w:val="bottom"/>
            <w:vMerge w:val="restart"/>
          </w:tcPr>
          <w:p>
            <w:pPr>
              <w:jc w:val="center"/>
              <w:spacing w:after="0"/>
              <w:rPr>
                <w:sz w:val="20"/>
                <w:szCs w:val="20"/>
                <w:color w:val="auto"/>
              </w:rPr>
            </w:pPr>
            <w:r>
              <w:rPr>
                <w:rFonts w:ascii="Calibri" w:cs="Calibri" w:eastAsia="Calibri" w:hAnsi="Calibri"/>
                <w:sz w:val="18"/>
                <w:szCs w:val="18"/>
                <w:color w:val="auto"/>
              </w:rPr>
              <w:t>per the Offer</w:t>
            </w:r>
          </w:p>
        </w:tc>
        <w:tc>
          <w:tcPr>
            <w:tcW w:w="60" w:type="dxa"/>
            <w:vAlign w:val="bottom"/>
            <w:tcBorders>
              <w:right w:val="single" w:sz="8" w:color="auto"/>
            </w:tcBorders>
          </w:tcPr>
          <w:p>
            <w:pPr>
              <w:spacing w:after="0"/>
              <w:rPr>
                <w:sz w:val="9"/>
                <w:szCs w:val="9"/>
                <w:color w:val="auto"/>
              </w:rPr>
            </w:pPr>
          </w:p>
        </w:tc>
        <w:tc>
          <w:tcPr>
            <w:tcW w:w="1080" w:type="dxa"/>
            <w:vAlign w:val="bottom"/>
            <w:vMerge w:val="restart"/>
          </w:tcPr>
          <w:p>
            <w:pPr>
              <w:ind w:left="100"/>
              <w:spacing w:after="0"/>
              <w:rPr>
                <w:sz w:val="20"/>
                <w:szCs w:val="20"/>
                <w:color w:val="auto"/>
              </w:rPr>
            </w:pPr>
            <w:r>
              <w:rPr>
                <w:rFonts w:ascii="Calibri" w:cs="Calibri" w:eastAsia="Calibri" w:hAnsi="Calibri"/>
                <w:sz w:val="18"/>
                <w:szCs w:val="18"/>
                <w:color w:val="auto"/>
                <w:highlight w:val="white"/>
              </w:rPr>
              <w:t>Revised Cost</w:t>
            </w:r>
          </w:p>
        </w:tc>
        <w:tc>
          <w:tcPr>
            <w:tcW w:w="60" w:type="dxa"/>
            <w:vAlign w:val="bottom"/>
            <w:tcBorders>
              <w:right w:val="single" w:sz="8" w:color="auto"/>
            </w:tcBorders>
          </w:tcPr>
          <w:p>
            <w:pPr>
              <w:spacing w:after="0"/>
              <w:rPr>
                <w:sz w:val="9"/>
                <w:szCs w:val="9"/>
                <w:color w:val="auto"/>
              </w:rPr>
            </w:pPr>
          </w:p>
        </w:tc>
        <w:tc>
          <w:tcPr>
            <w:tcW w:w="1520" w:type="dxa"/>
            <w:vAlign w:val="bottom"/>
            <w:vMerge w:val="continue"/>
          </w:tcPr>
          <w:p>
            <w:pPr>
              <w:spacing w:after="0"/>
              <w:rPr>
                <w:sz w:val="9"/>
                <w:szCs w:val="9"/>
                <w:color w:val="auto"/>
              </w:rPr>
            </w:pPr>
          </w:p>
        </w:tc>
        <w:tc>
          <w:tcPr>
            <w:tcW w:w="60" w:type="dxa"/>
            <w:vAlign w:val="bottom"/>
            <w:tcBorders>
              <w:right w:val="single" w:sz="8" w:color="auto"/>
            </w:tcBorders>
          </w:tcPr>
          <w:p>
            <w:pPr>
              <w:spacing w:after="0"/>
              <w:rPr>
                <w:sz w:val="9"/>
                <w:szCs w:val="9"/>
                <w:color w:val="auto"/>
              </w:rPr>
            </w:pPr>
          </w:p>
        </w:tc>
        <w:tc>
          <w:tcPr>
            <w:tcW w:w="980" w:type="dxa"/>
            <w:vAlign w:val="bottom"/>
            <w:vMerge w:val="restart"/>
          </w:tcPr>
          <w:p>
            <w:pPr>
              <w:jc w:val="center"/>
              <w:spacing w:after="0"/>
              <w:rPr>
                <w:sz w:val="20"/>
                <w:szCs w:val="20"/>
                <w:color w:val="auto"/>
              </w:rPr>
            </w:pPr>
            <w:r>
              <w:rPr>
                <w:rFonts w:ascii="Calibri" w:cs="Calibri" w:eastAsia="Calibri" w:hAnsi="Calibri"/>
                <w:sz w:val="18"/>
                <w:szCs w:val="18"/>
                <w:color w:val="auto"/>
                <w:w w:val="99"/>
              </w:rPr>
              <w:t>Reason of</w:t>
            </w:r>
          </w:p>
        </w:tc>
        <w:tc>
          <w:tcPr>
            <w:tcW w:w="60" w:type="dxa"/>
            <w:vAlign w:val="bottom"/>
            <w:tcBorders>
              <w:right w:val="single" w:sz="8" w:color="auto"/>
            </w:tcBorders>
          </w:tcPr>
          <w:p>
            <w:pPr>
              <w:spacing w:after="0"/>
              <w:rPr>
                <w:sz w:val="9"/>
                <w:szCs w:val="9"/>
                <w:color w:val="auto"/>
              </w:rPr>
            </w:pPr>
          </w:p>
        </w:tc>
        <w:tc>
          <w:tcPr>
            <w:tcW w:w="1260" w:type="dxa"/>
            <w:vAlign w:val="bottom"/>
            <w:vMerge w:val="restart"/>
          </w:tcPr>
          <w:p>
            <w:pPr>
              <w:jc w:val="center"/>
              <w:spacing w:after="0"/>
              <w:rPr>
                <w:sz w:val="20"/>
                <w:szCs w:val="20"/>
                <w:color w:val="auto"/>
              </w:rPr>
            </w:pPr>
            <w:r>
              <w:rPr>
                <w:rFonts w:ascii="Calibri" w:cs="Calibri" w:eastAsia="Calibri" w:hAnsi="Calibri"/>
                <w:sz w:val="18"/>
                <w:szCs w:val="18"/>
                <w:color w:val="auto"/>
                <w:w w:val="97"/>
              </w:rPr>
              <w:t>Proposed</w:t>
            </w:r>
          </w:p>
        </w:tc>
        <w:tc>
          <w:tcPr>
            <w:tcW w:w="60" w:type="dxa"/>
            <w:vAlign w:val="bottom"/>
            <w:tcBorders>
              <w:right w:val="single" w:sz="8" w:color="auto"/>
            </w:tcBorders>
          </w:tcPr>
          <w:p>
            <w:pPr>
              <w:spacing w:after="0"/>
              <w:rPr>
                <w:sz w:val="9"/>
                <w:szCs w:val="9"/>
                <w:color w:val="auto"/>
              </w:rPr>
            </w:pPr>
          </w:p>
        </w:tc>
        <w:tc>
          <w:tcPr>
            <w:tcW w:w="1380" w:type="dxa"/>
            <w:vAlign w:val="bottom"/>
            <w:vMerge w:val="continue"/>
          </w:tcPr>
          <w:p>
            <w:pPr>
              <w:spacing w:after="0"/>
              <w:rPr>
                <w:sz w:val="9"/>
                <w:szCs w:val="9"/>
                <w:color w:val="auto"/>
              </w:rPr>
            </w:pPr>
          </w:p>
        </w:tc>
        <w:tc>
          <w:tcPr>
            <w:tcW w:w="6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110"/>
        </w:trPr>
        <w:tc>
          <w:tcPr>
            <w:tcW w:w="520" w:type="dxa"/>
            <w:vAlign w:val="bottom"/>
            <w:tcBorders>
              <w:left w:val="single" w:sz="8" w:color="auto"/>
            </w:tcBorders>
            <w:vMerge w:val="continue"/>
          </w:tcPr>
          <w:p>
            <w:pPr>
              <w:spacing w:after="0"/>
              <w:rPr>
                <w:sz w:val="9"/>
                <w:szCs w:val="9"/>
                <w:color w:val="auto"/>
              </w:rPr>
            </w:pPr>
          </w:p>
        </w:tc>
        <w:tc>
          <w:tcPr>
            <w:tcW w:w="60" w:type="dxa"/>
            <w:vAlign w:val="bottom"/>
            <w:tcBorders>
              <w:right w:val="single" w:sz="8" w:color="auto"/>
            </w:tcBorders>
          </w:tcPr>
          <w:p>
            <w:pPr>
              <w:spacing w:after="0"/>
              <w:rPr>
                <w:sz w:val="9"/>
                <w:szCs w:val="9"/>
                <w:color w:val="auto"/>
              </w:rPr>
            </w:pPr>
          </w:p>
        </w:tc>
        <w:tc>
          <w:tcPr>
            <w:tcW w:w="760" w:type="dxa"/>
            <w:vAlign w:val="bottom"/>
            <w:tcBorders>
              <w:right w:val="single" w:sz="8" w:color="auto"/>
            </w:tcBorders>
            <w:vMerge w:val="restart"/>
          </w:tcPr>
          <w:p>
            <w:pPr>
              <w:ind w:left="180"/>
              <w:spacing w:after="0" w:line="215" w:lineRule="exact"/>
              <w:rPr>
                <w:sz w:val="20"/>
                <w:szCs w:val="20"/>
                <w:color w:val="auto"/>
              </w:rPr>
            </w:pPr>
            <w:r>
              <w:rPr>
                <w:rFonts w:ascii="Calibri" w:cs="Calibri" w:eastAsia="Calibri" w:hAnsi="Calibri"/>
                <w:sz w:val="18"/>
                <w:szCs w:val="18"/>
                <w:color w:val="auto"/>
              </w:rPr>
              <w:t>Head</w:t>
            </w:r>
          </w:p>
        </w:tc>
        <w:tc>
          <w:tcPr>
            <w:tcW w:w="40" w:type="dxa"/>
            <w:vAlign w:val="bottom"/>
          </w:tcPr>
          <w:p>
            <w:pPr>
              <w:spacing w:after="0"/>
              <w:rPr>
                <w:sz w:val="9"/>
                <w:szCs w:val="9"/>
                <w:color w:val="auto"/>
              </w:rPr>
            </w:pPr>
          </w:p>
        </w:tc>
        <w:tc>
          <w:tcPr>
            <w:tcW w:w="1280" w:type="dxa"/>
            <w:vAlign w:val="bottom"/>
            <w:vMerge w:val="continue"/>
          </w:tcPr>
          <w:p>
            <w:pPr>
              <w:spacing w:after="0"/>
              <w:rPr>
                <w:sz w:val="9"/>
                <w:szCs w:val="9"/>
                <w:color w:val="auto"/>
              </w:rPr>
            </w:pPr>
          </w:p>
        </w:tc>
        <w:tc>
          <w:tcPr>
            <w:tcW w:w="60" w:type="dxa"/>
            <w:vAlign w:val="bottom"/>
            <w:tcBorders>
              <w:right w:val="single" w:sz="8" w:color="auto"/>
            </w:tcBorders>
          </w:tcPr>
          <w:p>
            <w:pPr>
              <w:spacing w:after="0"/>
              <w:rPr>
                <w:sz w:val="9"/>
                <w:szCs w:val="9"/>
                <w:color w:val="auto"/>
              </w:rPr>
            </w:pPr>
          </w:p>
        </w:tc>
        <w:tc>
          <w:tcPr>
            <w:tcW w:w="1080" w:type="dxa"/>
            <w:vAlign w:val="bottom"/>
            <w:vMerge w:val="continue"/>
          </w:tcPr>
          <w:p>
            <w:pPr>
              <w:spacing w:after="0"/>
              <w:rPr>
                <w:sz w:val="9"/>
                <w:szCs w:val="9"/>
                <w:color w:val="auto"/>
              </w:rPr>
            </w:pPr>
          </w:p>
        </w:tc>
        <w:tc>
          <w:tcPr>
            <w:tcW w:w="60" w:type="dxa"/>
            <w:vAlign w:val="bottom"/>
            <w:tcBorders>
              <w:right w:val="single" w:sz="8" w:color="auto"/>
            </w:tcBorders>
          </w:tcPr>
          <w:p>
            <w:pPr>
              <w:spacing w:after="0"/>
              <w:rPr>
                <w:sz w:val="9"/>
                <w:szCs w:val="9"/>
                <w:color w:val="auto"/>
              </w:rPr>
            </w:pPr>
          </w:p>
        </w:tc>
        <w:tc>
          <w:tcPr>
            <w:tcW w:w="1520" w:type="dxa"/>
            <w:vAlign w:val="bottom"/>
            <w:vMerge w:val="restart"/>
          </w:tcPr>
          <w:p>
            <w:pPr>
              <w:jc w:val="center"/>
              <w:spacing w:after="0" w:line="215" w:lineRule="exact"/>
              <w:rPr>
                <w:sz w:val="20"/>
                <w:szCs w:val="20"/>
                <w:color w:val="auto"/>
              </w:rPr>
            </w:pPr>
            <w:r>
              <w:rPr>
                <w:rFonts w:ascii="Calibri" w:cs="Calibri" w:eastAsia="Calibri" w:hAnsi="Calibri"/>
                <w:sz w:val="18"/>
                <w:szCs w:val="18"/>
                <w:color w:val="auto"/>
                <w:highlight w:val="white"/>
                <w:w w:val="98"/>
              </w:rPr>
              <w:t>Monitoring Agency</w:t>
            </w:r>
          </w:p>
        </w:tc>
        <w:tc>
          <w:tcPr>
            <w:tcW w:w="60" w:type="dxa"/>
            <w:vAlign w:val="bottom"/>
            <w:tcBorders>
              <w:right w:val="single" w:sz="8" w:color="auto"/>
            </w:tcBorders>
          </w:tcPr>
          <w:p>
            <w:pPr>
              <w:spacing w:after="0"/>
              <w:rPr>
                <w:sz w:val="9"/>
                <w:szCs w:val="9"/>
                <w:color w:val="auto"/>
              </w:rPr>
            </w:pPr>
          </w:p>
        </w:tc>
        <w:tc>
          <w:tcPr>
            <w:tcW w:w="980" w:type="dxa"/>
            <w:vAlign w:val="bottom"/>
            <w:vMerge w:val="continue"/>
          </w:tcPr>
          <w:p>
            <w:pPr>
              <w:spacing w:after="0"/>
              <w:rPr>
                <w:sz w:val="9"/>
                <w:szCs w:val="9"/>
                <w:color w:val="auto"/>
              </w:rPr>
            </w:pPr>
          </w:p>
        </w:tc>
        <w:tc>
          <w:tcPr>
            <w:tcW w:w="60" w:type="dxa"/>
            <w:vAlign w:val="bottom"/>
            <w:tcBorders>
              <w:right w:val="single" w:sz="8" w:color="auto"/>
            </w:tcBorders>
          </w:tcPr>
          <w:p>
            <w:pPr>
              <w:spacing w:after="0"/>
              <w:rPr>
                <w:sz w:val="9"/>
                <w:szCs w:val="9"/>
                <w:color w:val="auto"/>
              </w:rPr>
            </w:pPr>
          </w:p>
        </w:tc>
        <w:tc>
          <w:tcPr>
            <w:tcW w:w="1260" w:type="dxa"/>
            <w:vAlign w:val="bottom"/>
            <w:vMerge w:val="continue"/>
          </w:tcPr>
          <w:p>
            <w:pPr>
              <w:spacing w:after="0"/>
              <w:rPr>
                <w:sz w:val="9"/>
                <w:szCs w:val="9"/>
                <w:color w:val="auto"/>
              </w:rPr>
            </w:pPr>
          </w:p>
        </w:tc>
        <w:tc>
          <w:tcPr>
            <w:tcW w:w="60" w:type="dxa"/>
            <w:vAlign w:val="bottom"/>
            <w:tcBorders>
              <w:right w:val="single" w:sz="8" w:color="auto"/>
            </w:tcBorders>
          </w:tcPr>
          <w:p>
            <w:pPr>
              <w:spacing w:after="0"/>
              <w:rPr>
                <w:sz w:val="9"/>
                <w:szCs w:val="9"/>
                <w:color w:val="auto"/>
              </w:rPr>
            </w:pPr>
          </w:p>
        </w:tc>
        <w:tc>
          <w:tcPr>
            <w:tcW w:w="1380" w:type="dxa"/>
            <w:vAlign w:val="bottom"/>
            <w:vMerge w:val="restart"/>
          </w:tcPr>
          <w:p>
            <w:pPr>
              <w:jc w:val="center"/>
              <w:spacing w:after="0"/>
              <w:rPr>
                <w:sz w:val="20"/>
                <w:szCs w:val="20"/>
                <w:color w:val="auto"/>
              </w:rPr>
            </w:pPr>
            <w:r>
              <w:rPr>
                <w:rFonts w:ascii="Calibri" w:cs="Calibri" w:eastAsia="Calibri" w:hAnsi="Calibri"/>
                <w:sz w:val="18"/>
                <w:szCs w:val="18"/>
                <w:color w:val="auto"/>
                <w:w w:val="99"/>
              </w:rPr>
              <w:t>arrangements</w:t>
            </w:r>
          </w:p>
        </w:tc>
        <w:tc>
          <w:tcPr>
            <w:tcW w:w="6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111"/>
        </w:trPr>
        <w:tc>
          <w:tcPr>
            <w:tcW w:w="520" w:type="dxa"/>
            <w:vAlign w:val="bottom"/>
            <w:tcBorders>
              <w:left w:val="single" w:sz="8" w:color="auto"/>
            </w:tcBorders>
          </w:tcPr>
          <w:p>
            <w:pPr>
              <w:spacing w:after="0"/>
              <w:rPr>
                <w:sz w:val="9"/>
                <w:szCs w:val="9"/>
                <w:color w:val="auto"/>
              </w:rPr>
            </w:pPr>
          </w:p>
        </w:tc>
        <w:tc>
          <w:tcPr>
            <w:tcW w:w="60" w:type="dxa"/>
            <w:vAlign w:val="bottom"/>
            <w:tcBorders>
              <w:right w:val="single" w:sz="8" w:color="auto"/>
            </w:tcBorders>
          </w:tcPr>
          <w:p>
            <w:pPr>
              <w:spacing w:after="0"/>
              <w:rPr>
                <w:sz w:val="9"/>
                <w:szCs w:val="9"/>
                <w:color w:val="auto"/>
              </w:rPr>
            </w:pPr>
          </w:p>
        </w:tc>
        <w:tc>
          <w:tcPr>
            <w:tcW w:w="760" w:type="dxa"/>
            <w:vAlign w:val="bottom"/>
            <w:tcBorders>
              <w:right w:val="single" w:sz="8" w:color="auto"/>
            </w:tcBorders>
            <w:vMerge w:val="continue"/>
          </w:tcPr>
          <w:p>
            <w:pPr>
              <w:spacing w:after="0"/>
              <w:rPr>
                <w:sz w:val="9"/>
                <w:szCs w:val="9"/>
                <w:color w:val="auto"/>
              </w:rPr>
            </w:pPr>
          </w:p>
        </w:tc>
        <w:tc>
          <w:tcPr>
            <w:tcW w:w="40" w:type="dxa"/>
            <w:vAlign w:val="bottom"/>
          </w:tcPr>
          <w:p>
            <w:pPr>
              <w:spacing w:after="0"/>
              <w:rPr>
                <w:sz w:val="9"/>
                <w:szCs w:val="9"/>
                <w:color w:val="auto"/>
              </w:rPr>
            </w:pPr>
          </w:p>
        </w:tc>
        <w:tc>
          <w:tcPr>
            <w:tcW w:w="1280" w:type="dxa"/>
            <w:vAlign w:val="bottom"/>
            <w:vMerge w:val="restart"/>
          </w:tcPr>
          <w:p>
            <w:pPr>
              <w:jc w:val="center"/>
              <w:spacing w:after="0" w:line="215" w:lineRule="exact"/>
              <w:rPr>
                <w:sz w:val="20"/>
                <w:szCs w:val="20"/>
                <w:color w:val="auto"/>
              </w:rPr>
            </w:pPr>
            <w:r>
              <w:rPr>
                <w:rFonts w:ascii="Calibri" w:cs="Calibri" w:eastAsia="Calibri" w:hAnsi="Calibri"/>
                <w:sz w:val="18"/>
                <w:szCs w:val="18"/>
                <w:color w:val="auto"/>
                <w:w w:val="97"/>
              </w:rPr>
              <w:t>Document)</w:t>
            </w:r>
          </w:p>
        </w:tc>
        <w:tc>
          <w:tcPr>
            <w:tcW w:w="60" w:type="dxa"/>
            <w:vAlign w:val="bottom"/>
            <w:tcBorders>
              <w:right w:val="single" w:sz="8" w:color="auto"/>
            </w:tcBorders>
          </w:tcPr>
          <w:p>
            <w:pPr>
              <w:spacing w:after="0"/>
              <w:rPr>
                <w:sz w:val="9"/>
                <w:szCs w:val="9"/>
                <w:color w:val="auto"/>
              </w:rPr>
            </w:pPr>
          </w:p>
        </w:tc>
        <w:tc>
          <w:tcPr>
            <w:tcW w:w="1080" w:type="dxa"/>
            <w:vAlign w:val="bottom"/>
          </w:tcPr>
          <w:p>
            <w:pPr>
              <w:spacing w:after="0"/>
              <w:rPr>
                <w:sz w:val="9"/>
                <w:szCs w:val="9"/>
                <w:color w:val="auto"/>
              </w:rPr>
            </w:pPr>
          </w:p>
        </w:tc>
        <w:tc>
          <w:tcPr>
            <w:tcW w:w="60" w:type="dxa"/>
            <w:vAlign w:val="bottom"/>
            <w:tcBorders>
              <w:right w:val="single" w:sz="8" w:color="auto"/>
            </w:tcBorders>
          </w:tcPr>
          <w:p>
            <w:pPr>
              <w:spacing w:after="0"/>
              <w:rPr>
                <w:sz w:val="9"/>
                <w:szCs w:val="9"/>
                <w:color w:val="auto"/>
              </w:rPr>
            </w:pPr>
          </w:p>
        </w:tc>
        <w:tc>
          <w:tcPr>
            <w:tcW w:w="1520" w:type="dxa"/>
            <w:vAlign w:val="bottom"/>
            <w:vMerge w:val="continue"/>
          </w:tcPr>
          <w:p>
            <w:pPr>
              <w:spacing w:after="0"/>
              <w:rPr>
                <w:sz w:val="9"/>
                <w:szCs w:val="9"/>
                <w:color w:val="auto"/>
              </w:rPr>
            </w:pPr>
          </w:p>
        </w:tc>
        <w:tc>
          <w:tcPr>
            <w:tcW w:w="60" w:type="dxa"/>
            <w:vAlign w:val="bottom"/>
            <w:tcBorders>
              <w:right w:val="single" w:sz="8" w:color="auto"/>
            </w:tcBorders>
          </w:tcPr>
          <w:p>
            <w:pPr>
              <w:spacing w:after="0"/>
              <w:rPr>
                <w:sz w:val="9"/>
                <w:szCs w:val="9"/>
                <w:color w:val="auto"/>
              </w:rPr>
            </w:pPr>
          </w:p>
        </w:tc>
        <w:tc>
          <w:tcPr>
            <w:tcW w:w="980" w:type="dxa"/>
            <w:vAlign w:val="bottom"/>
            <w:vMerge w:val="restart"/>
          </w:tcPr>
          <w:p>
            <w:pPr>
              <w:jc w:val="center"/>
              <w:spacing w:after="0"/>
              <w:rPr>
                <w:sz w:val="20"/>
                <w:szCs w:val="20"/>
                <w:color w:val="auto"/>
              </w:rPr>
            </w:pPr>
            <w:r>
              <w:rPr>
                <w:rFonts w:ascii="Calibri" w:cs="Calibri" w:eastAsia="Calibri" w:hAnsi="Calibri"/>
                <w:sz w:val="18"/>
                <w:szCs w:val="18"/>
                <w:color w:val="auto"/>
                <w:highlight w:val="white"/>
              </w:rPr>
              <w:t>cost revision</w:t>
            </w:r>
          </w:p>
        </w:tc>
        <w:tc>
          <w:tcPr>
            <w:tcW w:w="60" w:type="dxa"/>
            <w:vAlign w:val="bottom"/>
            <w:tcBorders>
              <w:right w:val="single" w:sz="8" w:color="auto"/>
            </w:tcBorders>
          </w:tcPr>
          <w:p>
            <w:pPr>
              <w:spacing w:after="0"/>
              <w:rPr>
                <w:sz w:val="9"/>
                <w:szCs w:val="9"/>
                <w:color w:val="auto"/>
              </w:rPr>
            </w:pPr>
          </w:p>
        </w:tc>
        <w:tc>
          <w:tcPr>
            <w:tcW w:w="1260" w:type="dxa"/>
            <w:vAlign w:val="bottom"/>
            <w:vMerge w:val="restart"/>
          </w:tcPr>
          <w:p>
            <w:pPr>
              <w:jc w:val="center"/>
              <w:spacing w:after="0"/>
              <w:rPr>
                <w:sz w:val="20"/>
                <w:szCs w:val="20"/>
                <w:color w:val="auto"/>
              </w:rPr>
            </w:pPr>
            <w:r>
              <w:rPr>
                <w:rFonts w:ascii="Calibri" w:cs="Calibri" w:eastAsia="Calibri" w:hAnsi="Calibri"/>
                <w:sz w:val="18"/>
                <w:szCs w:val="18"/>
                <w:color w:val="auto"/>
                <w:highlight w:val="white"/>
              </w:rPr>
              <w:t>financing option</w:t>
            </w:r>
          </w:p>
        </w:tc>
        <w:tc>
          <w:tcPr>
            <w:tcW w:w="60" w:type="dxa"/>
            <w:vAlign w:val="bottom"/>
            <w:tcBorders>
              <w:right w:val="single" w:sz="8" w:color="auto"/>
            </w:tcBorders>
          </w:tcPr>
          <w:p>
            <w:pPr>
              <w:spacing w:after="0"/>
              <w:rPr>
                <w:sz w:val="9"/>
                <w:szCs w:val="9"/>
                <w:color w:val="auto"/>
              </w:rPr>
            </w:pPr>
          </w:p>
        </w:tc>
        <w:tc>
          <w:tcPr>
            <w:tcW w:w="1380" w:type="dxa"/>
            <w:vAlign w:val="bottom"/>
            <w:vMerge w:val="continue"/>
          </w:tcPr>
          <w:p>
            <w:pPr>
              <w:spacing w:after="0"/>
              <w:rPr>
                <w:sz w:val="9"/>
                <w:szCs w:val="9"/>
                <w:color w:val="auto"/>
              </w:rPr>
            </w:pPr>
          </w:p>
        </w:tc>
        <w:tc>
          <w:tcPr>
            <w:tcW w:w="6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108"/>
        </w:trPr>
        <w:tc>
          <w:tcPr>
            <w:tcW w:w="520" w:type="dxa"/>
            <w:vAlign w:val="bottom"/>
            <w:tcBorders>
              <w:left w:val="single" w:sz="8" w:color="auto"/>
            </w:tcBorders>
          </w:tcPr>
          <w:p>
            <w:pPr>
              <w:spacing w:after="0"/>
              <w:rPr>
                <w:sz w:val="9"/>
                <w:szCs w:val="9"/>
                <w:color w:val="auto"/>
              </w:rPr>
            </w:pPr>
          </w:p>
        </w:tc>
        <w:tc>
          <w:tcPr>
            <w:tcW w:w="60" w:type="dxa"/>
            <w:vAlign w:val="bottom"/>
            <w:tcBorders>
              <w:right w:val="single" w:sz="8" w:color="auto"/>
            </w:tcBorders>
          </w:tcPr>
          <w:p>
            <w:pPr>
              <w:spacing w:after="0"/>
              <w:rPr>
                <w:sz w:val="9"/>
                <w:szCs w:val="9"/>
                <w:color w:val="auto"/>
              </w:rPr>
            </w:pPr>
          </w:p>
        </w:tc>
        <w:tc>
          <w:tcPr>
            <w:tcW w:w="760" w:type="dxa"/>
            <w:vAlign w:val="bottom"/>
            <w:tcBorders>
              <w:right w:val="single" w:sz="8" w:color="auto"/>
            </w:tcBorders>
          </w:tcPr>
          <w:p>
            <w:pPr>
              <w:spacing w:after="0"/>
              <w:rPr>
                <w:sz w:val="9"/>
                <w:szCs w:val="9"/>
                <w:color w:val="auto"/>
              </w:rPr>
            </w:pPr>
          </w:p>
        </w:tc>
        <w:tc>
          <w:tcPr>
            <w:tcW w:w="40" w:type="dxa"/>
            <w:vAlign w:val="bottom"/>
          </w:tcPr>
          <w:p>
            <w:pPr>
              <w:spacing w:after="0"/>
              <w:rPr>
                <w:sz w:val="9"/>
                <w:szCs w:val="9"/>
                <w:color w:val="auto"/>
              </w:rPr>
            </w:pPr>
          </w:p>
        </w:tc>
        <w:tc>
          <w:tcPr>
            <w:tcW w:w="1280" w:type="dxa"/>
            <w:vAlign w:val="bottom"/>
            <w:vMerge w:val="continue"/>
          </w:tcPr>
          <w:p>
            <w:pPr>
              <w:spacing w:after="0"/>
              <w:rPr>
                <w:sz w:val="9"/>
                <w:szCs w:val="9"/>
                <w:color w:val="auto"/>
              </w:rPr>
            </w:pPr>
          </w:p>
        </w:tc>
        <w:tc>
          <w:tcPr>
            <w:tcW w:w="60" w:type="dxa"/>
            <w:vAlign w:val="bottom"/>
            <w:tcBorders>
              <w:right w:val="single" w:sz="8" w:color="auto"/>
            </w:tcBorders>
          </w:tcPr>
          <w:p>
            <w:pPr>
              <w:spacing w:after="0"/>
              <w:rPr>
                <w:sz w:val="9"/>
                <w:szCs w:val="9"/>
                <w:color w:val="auto"/>
              </w:rPr>
            </w:pPr>
          </w:p>
        </w:tc>
        <w:tc>
          <w:tcPr>
            <w:tcW w:w="1080" w:type="dxa"/>
            <w:vAlign w:val="bottom"/>
          </w:tcPr>
          <w:p>
            <w:pPr>
              <w:spacing w:after="0"/>
              <w:rPr>
                <w:sz w:val="9"/>
                <w:szCs w:val="9"/>
                <w:color w:val="auto"/>
              </w:rPr>
            </w:pPr>
          </w:p>
        </w:tc>
        <w:tc>
          <w:tcPr>
            <w:tcW w:w="60" w:type="dxa"/>
            <w:vAlign w:val="bottom"/>
            <w:tcBorders>
              <w:right w:val="single" w:sz="8" w:color="auto"/>
            </w:tcBorders>
          </w:tcPr>
          <w:p>
            <w:pPr>
              <w:spacing w:after="0"/>
              <w:rPr>
                <w:sz w:val="9"/>
                <w:szCs w:val="9"/>
                <w:color w:val="auto"/>
              </w:rPr>
            </w:pPr>
          </w:p>
        </w:tc>
        <w:tc>
          <w:tcPr>
            <w:tcW w:w="1520" w:type="dxa"/>
            <w:vAlign w:val="bottom"/>
          </w:tcPr>
          <w:p>
            <w:pPr>
              <w:spacing w:after="0"/>
              <w:rPr>
                <w:sz w:val="9"/>
                <w:szCs w:val="9"/>
                <w:color w:val="auto"/>
              </w:rPr>
            </w:pPr>
          </w:p>
        </w:tc>
        <w:tc>
          <w:tcPr>
            <w:tcW w:w="60" w:type="dxa"/>
            <w:vAlign w:val="bottom"/>
            <w:tcBorders>
              <w:right w:val="single" w:sz="8" w:color="auto"/>
            </w:tcBorders>
          </w:tcPr>
          <w:p>
            <w:pPr>
              <w:spacing w:after="0"/>
              <w:rPr>
                <w:sz w:val="9"/>
                <w:szCs w:val="9"/>
                <w:color w:val="auto"/>
              </w:rPr>
            </w:pPr>
          </w:p>
        </w:tc>
        <w:tc>
          <w:tcPr>
            <w:tcW w:w="980" w:type="dxa"/>
            <w:vAlign w:val="bottom"/>
            <w:vMerge w:val="continue"/>
          </w:tcPr>
          <w:p>
            <w:pPr>
              <w:spacing w:after="0"/>
              <w:rPr>
                <w:sz w:val="9"/>
                <w:szCs w:val="9"/>
                <w:color w:val="auto"/>
              </w:rPr>
            </w:pPr>
          </w:p>
        </w:tc>
        <w:tc>
          <w:tcPr>
            <w:tcW w:w="60" w:type="dxa"/>
            <w:vAlign w:val="bottom"/>
            <w:tcBorders>
              <w:right w:val="single" w:sz="8" w:color="auto"/>
            </w:tcBorders>
          </w:tcPr>
          <w:p>
            <w:pPr>
              <w:spacing w:after="0"/>
              <w:rPr>
                <w:sz w:val="9"/>
                <w:szCs w:val="9"/>
                <w:color w:val="auto"/>
              </w:rPr>
            </w:pPr>
          </w:p>
        </w:tc>
        <w:tc>
          <w:tcPr>
            <w:tcW w:w="1260" w:type="dxa"/>
            <w:vAlign w:val="bottom"/>
            <w:vMerge w:val="continue"/>
          </w:tcPr>
          <w:p>
            <w:pPr>
              <w:spacing w:after="0"/>
              <w:rPr>
                <w:sz w:val="9"/>
                <w:szCs w:val="9"/>
                <w:color w:val="auto"/>
              </w:rPr>
            </w:pPr>
          </w:p>
        </w:tc>
        <w:tc>
          <w:tcPr>
            <w:tcW w:w="60" w:type="dxa"/>
            <w:vAlign w:val="bottom"/>
            <w:tcBorders>
              <w:right w:val="single" w:sz="8" w:color="auto"/>
            </w:tcBorders>
          </w:tcPr>
          <w:p>
            <w:pPr>
              <w:spacing w:after="0"/>
              <w:rPr>
                <w:sz w:val="9"/>
                <w:szCs w:val="9"/>
                <w:color w:val="auto"/>
              </w:rPr>
            </w:pPr>
          </w:p>
        </w:tc>
        <w:tc>
          <w:tcPr>
            <w:tcW w:w="1380" w:type="dxa"/>
            <w:vAlign w:val="bottom"/>
            <w:vMerge w:val="restart"/>
          </w:tcPr>
          <w:p>
            <w:pPr>
              <w:jc w:val="center"/>
              <w:spacing w:after="0" w:line="218" w:lineRule="exact"/>
              <w:rPr>
                <w:sz w:val="20"/>
                <w:szCs w:val="20"/>
                <w:color w:val="auto"/>
              </w:rPr>
            </w:pPr>
            <w:r>
              <w:rPr>
                <w:rFonts w:ascii="Calibri" w:cs="Calibri" w:eastAsia="Calibri" w:hAnsi="Calibri"/>
                <w:sz w:val="18"/>
                <w:szCs w:val="18"/>
                <w:color w:val="auto"/>
              </w:rPr>
              <w:t>made</w:t>
            </w:r>
          </w:p>
        </w:tc>
        <w:tc>
          <w:tcPr>
            <w:tcW w:w="6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114"/>
        </w:trPr>
        <w:tc>
          <w:tcPr>
            <w:tcW w:w="520" w:type="dxa"/>
            <w:vAlign w:val="bottom"/>
            <w:tcBorders>
              <w:left w:val="single" w:sz="8" w:color="auto"/>
              <w:bottom w:val="single" w:sz="8" w:color="auto"/>
            </w:tcBorders>
          </w:tcPr>
          <w:p>
            <w:pPr>
              <w:spacing w:after="0"/>
              <w:rPr>
                <w:sz w:val="9"/>
                <w:szCs w:val="9"/>
                <w:color w:val="auto"/>
              </w:rPr>
            </w:pPr>
          </w:p>
        </w:tc>
        <w:tc>
          <w:tcPr>
            <w:tcW w:w="60" w:type="dxa"/>
            <w:vAlign w:val="bottom"/>
            <w:tcBorders>
              <w:bottom w:val="single" w:sz="8" w:color="auto"/>
              <w:right w:val="single" w:sz="8" w:color="auto"/>
            </w:tcBorders>
          </w:tcPr>
          <w:p>
            <w:pPr>
              <w:spacing w:after="0"/>
              <w:rPr>
                <w:sz w:val="9"/>
                <w:szCs w:val="9"/>
                <w:color w:val="auto"/>
              </w:rPr>
            </w:pPr>
          </w:p>
        </w:tc>
        <w:tc>
          <w:tcPr>
            <w:tcW w:w="760" w:type="dxa"/>
            <w:vAlign w:val="bottom"/>
            <w:tcBorders>
              <w:bottom w:val="single" w:sz="8" w:color="auto"/>
              <w:right w:val="single" w:sz="8" w:color="auto"/>
            </w:tcBorders>
          </w:tcPr>
          <w:p>
            <w:pPr>
              <w:spacing w:after="0"/>
              <w:rPr>
                <w:sz w:val="9"/>
                <w:szCs w:val="9"/>
                <w:color w:val="auto"/>
              </w:rPr>
            </w:pPr>
          </w:p>
        </w:tc>
        <w:tc>
          <w:tcPr>
            <w:tcW w:w="40" w:type="dxa"/>
            <w:vAlign w:val="bottom"/>
            <w:tcBorders>
              <w:bottom w:val="single" w:sz="8" w:color="auto"/>
            </w:tcBorders>
          </w:tcPr>
          <w:p>
            <w:pPr>
              <w:spacing w:after="0"/>
              <w:rPr>
                <w:sz w:val="9"/>
                <w:szCs w:val="9"/>
                <w:color w:val="auto"/>
              </w:rPr>
            </w:pPr>
          </w:p>
        </w:tc>
        <w:tc>
          <w:tcPr>
            <w:tcW w:w="1280" w:type="dxa"/>
            <w:vAlign w:val="bottom"/>
            <w:tcBorders>
              <w:bottom w:val="single" w:sz="8" w:color="auto"/>
            </w:tcBorders>
          </w:tcPr>
          <w:p>
            <w:pPr>
              <w:spacing w:after="0"/>
              <w:rPr>
                <w:sz w:val="9"/>
                <w:szCs w:val="9"/>
                <w:color w:val="auto"/>
              </w:rPr>
            </w:pPr>
          </w:p>
        </w:tc>
        <w:tc>
          <w:tcPr>
            <w:tcW w:w="60" w:type="dxa"/>
            <w:vAlign w:val="bottom"/>
            <w:tcBorders>
              <w:bottom w:val="single" w:sz="8" w:color="auto"/>
              <w:right w:val="single" w:sz="8" w:color="auto"/>
            </w:tcBorders>
          </w:tcPr>
          <w:p>
            <w:pPr>
              <w:spacing w:after="0"/>
              <w:rPr>
                <w:sz w:val="9"/>
                <w:szCs w:val="9"/>
                <w:color w:val="auto"/>
              </w:rPr>
            </w:pPr>
          </w:p>
        </w:tc>
        <w:tc>
          <w:tcPr>
            <w:tcW w:w="1080" w:type="dxa"/>
            <w:vAlign w:val="bottom"/>
            <w:tcBorders>
              <w:bottom w:val="single" w:sz="8" w:color="auto"/>
            </w:tcBorders>
          </w:tcPr>
          <w:p>
            <w:pPr>
              <w:spacing w:after="0"/>
              <w:rPr>
                <w:sz w:val="9"/>
                <w:szCs w:val="9"/>
                <w:color w:val="auto"/>
              </w:rPr>
            </w:pPr>
          </w:p>
        </w:tc>
        <w:tc>
          <w:tcPr>
            <w:tcW w:w="60" w:type="dxa"/>
            <w:vAlign w:val="bottom"/>
            <w:tcBorders>
              <w:bottom w:val="single" w:sz="8" w:color="auto"/>
              <w:right w:val="single" w:sz="8" w:color="auto"/>
            </w:tcBorders>
          </w:tcPr>
          <w:p>
            <w:pPr>
              <w:spacing w:after="0"/>
              <w:rPr>
                <w:sz w:val="9"/>
                <w:szCs w:val="9"/>
                <w:color w:val="auto"/>
              </w:rPr>
            </w:pPr>
          </w:p>
        </w:tc>
        <w:tc>
          <w:tcPr>
            <w:tcW w:w="1520" w:type="dxa"/>
            <w:vAlign w:val="bottom"/>
            <w:tcBorders>
              <w:bottom w:val="single" w:sz="8" w:color="auto"/>
            </w:tcBorders>
          </w:tcPr>
          <w:p>
            <w:pPr>
              <w:spacing w:after="0"/>
              <w:rPr>
                <w:sz w:val="9"/>
                <w:szCs w:val="9"/>
                <w:color w:val="auto"/>
              </w:rPr>
            </w:pPr>
          </w:p>
        </w:tc>
        <w:tc>
          <w:tcPr>
            <w:tcW w:w="60" w:type="dxa"/>
            <w:vAlign w:val="bottom"/>
            <w:tcBorders>
              <w:bottom w:val="single" w:sz="8" w:color="auto"/>
              <w:right w:val="single" w:sz="8" w:color="auto"/>
            </w:tcBorders>
          </w:tcPr>
          <w:p>
            <w:pPr>
              <w:spacing w:after="0"/>
              <w:rPr>
                <w:sz w:val="9"/>
                <w:szCs w:val="9"/>
                <w:color w:val="auto"/>
              </w:rPr>
            </w:pPr>
          </w:p>
        </w:tc>
        <w:tc>
          <w:tcPr>
            <w:tcW w:w="980" w:type="dxa"/>
            <w:vAlign w:val="bottom"/>
            <w:tcBorders>
              <w:bottom w:val="single" w:sz="8" w:color="auto"/>
            </w:tcBorders>
          </w:tcPr>
          <w:p>
            <w:pPr>
              <w:spacing w:after="0"/>
              <w:rPr>
                <w:sz w:val="9"/>
                <w:szCs w:val="9"/>
                <w:color w:val="auto"/>
              </w:rPr>
            </w:pPr>
          </w:p>
        </w:tc>
        <w:tc>
          <w:tcPr>
            <w:tcW w:w="60" w:type="dxa"/>
            <w:vAlign w:val="bottom"/>
            <w:tcBorders>
              <w:bottom w:val="single" w:sz="8" w:color="auto"/>
              <w:right w:val="single" w:sz="8" w:color="auto"/>
            </w:tcBorders>
          </w:tcPr>
          <w:p>
            <w:pPr>
              <w:spacing w:after="0"/>
              <w:rPr>
                <w:sz w:val="9"/>
                <w:szCs w:val="9"/>
                <w:color w:val="auto"/>
              </w:rPr>
            </w:pPr>
          </w:p>
        </w:tc>
        <w:tc>
          <w:tcPr>
            <w:tcW w:w="1260" w:type="dxa"/>
            <w:vAlign w:val="bottom"/>
            <w:tcBorders>
              <w:bottom w:val="single" w:sz="8" w:color="auto"/>
            </w:tcBorders>
          </w:tcPr>
          <w:p>
            <w:pPr>
              <w:spacing w:after="0"/>
              <w:rPr>
                <w:sz w:val="9"/>
                <w:szCs w:val="9"/>
                <w:color w:val="auto"/>
              </w:rPr>
            </w:pPr>
          </w:p>
        </w:tc>
        <w:tc>
          <w:tcPr>
            <w:tcW w:w="60" w:type="dxa"/>
            <w:vAlign w:val="bottom"/>
            <w:tcBorders>
              <w:bottom w:val="single" w:sz="8" w:color="auto"/>
              <w:right w:val="single" w:sz="8" w:color="auto"/>
            </w:tcBorders>
          </w:tcPr>
          <w:p>
            <w:pPr>
              <w:spacing w:after="0"/>
              <w:rPr>
                <w:sz w:val="9"/>
                <w:szCs w:val="9"/>
                <w:color w:val="auto"/>
              </w:rPr>
            </w:pPr>
          </w:p>
        </w:tc>
        <w:tc>
          <w:tcPr>
            <w:tcW w:w="1380" w:type="dxa"/>
            <w:vAlign w:val="bottom"/>
            <w:tcBorders>
              <w:bottom w:val="single" w:sz="8" w:color="auto"/>
            </w:tcBorders>
            <w:vMerge w:val="continue"/>
          </w:tcPr>
          <w:p>
            <w:pPr>
              <w:spacing w:after="0"/>
              <w:rPr>
                <w:sz w:val="9"/>
                <w:szCs w:val="9"/>
                <w:color w:val="auto"/>
              </w:rPr>
            </w:pPr>
          </w:p>
        </w:tc>
        <w:tc>
          <w:tcPr>
            <w:tcW w:w="6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223"/>
        </w:trPr>
        <w:tc>
          <w:tcPr>
            <w:tcW w:w="520" w:type="dxa"/>
            <w:vAlign w:val="bottom"/>
            <w:tcBorders>
              <w:left w:val="single" w:sz="8" w:color="auto"/>
              <w:bottom w:val="single" w:sz="8" w:color="auto"/>
            </w:tcBorders>
          </w:tcPr>
          <w:p>
            <w:pPr>
              <w:spacing w:after="0"/>
              <w:rPr>
                <w:sz w:val="19"/>
                <w:szCs w:val="19"/>
                <w:color w:val="auto"/>
              </w:rPr>
            </w:pPr>
          </w:p>
        </w:tc>
        <w:tc>
          <w:tcPr>
            <w:tcW w:w="60" w:type="dxa"/>
            <w:vAlign w:val="bottom"/>
            <w:tcBorders>
              <w:bottom w:val="single" w:sz="8" w:color="auto"/>
              <w:right w:val="single" w:sz="8" w:color="auto"/>
            </w:tcBorders>
          </w:tcPr>
          <w:p>
            <w:pPr>
              <w:spacing w:after="0"/>
              <w:rPr>
                <w:sz w:val="19"/>
                <w:szCs w:val="19"/>
                <w:color w:val="auto"/>
              </w:rPr>
            </w:pPr>
          </w:p>
        </w:tc>
        <w:tc>
          <w:tcPr>
            <w:tcW w:w="760" w:type="dxa"/>
            <w:vAlign w:val="bottom"/>
            <w:tcBorders>
              <w:bottom w:val="single" w:sz="8" w:color="auto"/>
              <w:right w:val="single" w:sz="8" w:color="auto"/>
            </w:tcBorders>
          </w:tcPr>
          <w:p>
            <w:pPr>
              <w:spacing w:after="0"/>
              <w:rPr>
                <w:sz w:val="19"/>
                <w:szCs w:val="19"/>
                <w:color w:val="auto"/>
              </w:rPr>
            </w:pPr>
          </w:p>
        </w:tc>
        <w:tc>
          <w:tcPr>
            <w:tcW w:w="40" w:type="dxa"/>
            <w:vAlign w:val="bottom"/>
            <w:tcBorders>
              <w:bottom w:val="single" w:sz="8" w:color="auto"/>
            </w:tcBorders>
          </w:tcPr>
          <w:p>
            <w:pPr>
              <w:spacing w:after="0"/>
              <w:rPr>
                <w:sz w:val="19"/>
                <w:szCs w:val="19"/>
                <w:color w:val="auto"/>
              </w:rPr>
            </w:pPr>
          </w:p>
        </w:tc>
        <w:tc>
          <w:tcPr>
            <w:tcW w:w="1280" w:type="dxa"/>
            <w:vAlign w:val="bottom"/>
            <w:tcBorders>
              <w:bottom w:val="single" w:sz="8" w:color="auto"/>
            </w:tcBorders>
          </w:tcPr>
          <w:p>
            <w:pPr>
              <w:spacing w:after="0"/>
              <w:rPr>
                <w:sz w:val="19"/>
                <w:szCs w:val="19"/>
                <w:color w:val="auto"/>
              </w:rPr>
            </w:pPr>
          </w:p>
        </w:tc>
        <w:tc>
          <w:tcPr>
            <w:tcW w:w="60" w:type="dxa"/>
            <w:vAlign w:val="bottom"/>
            <w:tcBorders>
              <w:bottom w:val="single" w:sz="8" w:color="auto"/>
              <w:right w:val="single" w:sz="8" w:color="auto"/>
            </w:tcBorders>
          </w:tcPr>
          <w:p>
            <w:pPr>
              <w:spacing w:after="0"/>
              <w:rPr>
                <w:sz w:val="19"/>
                <w:szCs w:val="19"/>
                <w:color w:val="auto"/>
              </w:rPr>
            </w:pPr>
          </w:p>
        </w:tc>
        <w:tc>
          <w:tcPr>
            <w:tcW w:w="1080" w:type="dxa"/>
            <w:vAlign w:val="bottom"/>
            <w:tcBorders>
              <w:bottom w:val="single" w:sz="8" w:color="auto"/>
            </w:tcBorders>
          </w:tcPr>
          <w:p>
            <w:pPr>
              <w:spacing w:after="0"/>
              <w:rPr>
                <w:sz w:val="19"/>
                <w:szCs w:val="19"/>
                <w:color w:val="auto"/>
              </w:rPr>
            </w:pPr>
          </w:p>
        </w:tc>
        <w:tc>
          <w:tcPr>
            <w:tcW w:w="60" w:type="dxa"/>
            <w:vAlign w:val="bottom"/>
            <w:tcBorders>
              <w:bottom w:val="single" w:sz="8" w:color="auto"/>
              <w:right w:val="single" w:sz="8" w:color="auto"/>
            </w:tcBorders>
          </w:tcPr>
          <w:p>
            <w:pPr>
              <w:spacing w:after="0"/>
              <w:rPr>
                <w:sz w:val="19"/>
                <w:szCs w:val="19"/>
                <w:color w:val="auto"/>
              </w:rPr>
            </w:pPr>
          </w:p>
        </w:tc>
        <w:tc>
          <w:tcPr>
            <w:tcW w:w="1520" w:type="dxa"/>
            <w:vAlign w:val="bottom"/>
            <w:tcBorders>
              <w:bottom w:val="single" w:sz="8" w:color="auto"/>
            </w:tcBorders>
          </w:tcPr>
          <w:p>
            <w:pPr>
              <w:spacing w:after="0"/>
              <w:rPr>
                <w:sz w:val="19"/>
                <w:szCs w:val="19"/>
                <w:color w:val="auto"/>
              </w:rPr>
            </w:pPr>
          </w:p>
        </w:tc>
        <w:tc>
          <w:tcPr>
            <w:tcW w:w="60" w:type="dxa"/>
            <w:vAlign w:val="bottom"/>
            <w:tcBorders>
              <w:bottom w:val="single" w:sz="8" w:color="auto"/>
              <w:right w:val="single" w:sz="8" w:color="auto"/>
            </w:tcBorders>
          </w:tcPr>
          <w:p>
            <w:pPr>
              <w:spacing w:after="0"/>
              <w:rPr>
                <w:sz w:val="19"/>
                <w:szCs w:val="19"/>
                <w:color w:val="auto"/>
              </w:rPr>
            </w:pPr>
          </w:p>
        </w:tc>
        <w:tc>
          <w:tcPr>
            <w:tcW w:w="980" w:type="dxa"/>
            <w:vAlign w:val="bottom"/>
            <w:tcBorders>
              <w:bottom w:val="single" w:sz="8" w:color="auto"/>
            </w:tcBorders>
          </w:tcPr>
          <w:p>
            <w:pPr>
              <w:spacing w:after="0"/>
              <w:rPr>
                <w:sz w:val="19"/>
                <w:szCs w:val="19"/>
                <w:color w:val="auto"/>
              </w:rPr>
            </w:pPr>
          </w:p>
        </w:tc>
        <w:tc>
          <w:tcPr>
            <w:tcW w:w="60" w:type="dxa"/>
            <w:vAlign w:val="bottom"/>
            <w:tcBorders>
              <w:bottom w:val="single" w:sz="8" w:color="auto"/>
              <w:right w:val="single" w:sz="8" w:color="auto"/>
            </w:tcBorders>
          </w:tcPr>
          <w:p>
            <w:pPr>
              <w:spacing w:after="0"/>
              <w:rPr>
                <w:sz w:val="19"/>
                <w:szCs w:val="19"/>
                <w:color w:val="auto"/>
              </w:rPr>
            </w:pPr>
          </w:p>
        </w:tc>
        <w:tc>
          <w:tcPr>
            <w:tcW w:w="1260" w:type="dxa"/>
            <w:vAlign w:val="bottom"/>
            <w:tcBorders>
              <w:bottom w:val="single" w:sz="8" w:color="auto"/>
            </w:tcBorders>
          </w:tcPr>
          <w:p>
            <w:pPr>
              <w:spacing w:after="0"/>
              <w:rPr>
                <w:sz w:val="19"/>
                <w:szCs w:val="19"/>
                <w:color w:val="auto"/>
              </w:rPr>
            </w:pPr>
          </w:p>
        </w:tc>
        <w:tc>
          <w:tcPr>
            <w:tcW w:w="60" w:type="dxa"/>
            <w:vAlign w:val="bottom"/>
            <w:tcBorders>
              <w:bottom w:val="single" w:sz="8" w:color="auto"/>
              <w:right w:val="single" w:sz="8" w:color="auto"/>
            </w:tcBorders>
          </w:tcPr>
          <w:p>
            <w:pPr>
              <w:spacing w:after="0"/>
              <w:rPr>
                <w:sz w:val="19"/>
                <w:szCs w:val="19"/>
                <w:color w:val="auto"/>
              </w:rPr>
            </w:pPr>
          </w:p>
        </w:tc>
        <w:tc>
          <w:tcPr>
            <w:tcW w:w="1380" w:type="dxa"/>
            <w:vAlign w:val="bottom"/>
            <w:tcBorders>
              <w:bottom w:val="single" w:sz="8" w:color="auto"/>
            </w:tcBorders>
          </w:tcPr>
          <w:p>
            <w:pPr>
              <w:spacing w:after="0"/>
              <w:rPr>
                <w:sz w:val="19"/>
                <w:szCs w:val="19"/>
                <w:color w:val="auto"/>
              </w:rPr>
            </w:pPr>
          </w:p>
        </w:tc>
        <w:tc>
          <w:tcPr>
            <w:tcW w:w="60" w:type="dxa"/>
            <w:vAlign w:val="bottom"/>
            <w:tcBorders>
              <w:bottom w:val="single" w:sz="8" w:color="auto"/>
              <w:right w:val="single" w:sz="8" w:color="auto"/>
            </w:tcBorders>
          </w:tcPr>
          <w:p>
            <w:pPr>
              <w:spacing w:after="0"/>
              <w:rPr>
                <w:sz w:val="19"/>
                <w:szCs w:val="19"/>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81" w:lineRule="exact"/>
        <w:rPr>
          <w:sz w:val="20"/>
          <w:szCs w:val="20"/>
          <w:color w:val="auto"/>
        </w:rPr>
      </w:pPr>
    </w:p>
    <w:p>
      <w:pPr>
        <w:ind w:left="840"/>
        <w:spacing w:after="0"/>
        <w:rPr>
          <w:sz w:val="20"/>
          <w:szCs w:val="20"/>
          <w:color w:val="auto"/>
        </w:rPr>
      </w:pPr>
      <w:r>
        <w:rPr>
          <w:rFonts w:ascii="Calibri" w:cs="Calibri" w:eastAsia="Calibri" w:hAnsi="Calibri"/>
          <w:sz w:val="20"/>
          <w:szCs w:val="20"/>
          <w:color w:val="auto"/>
        </w:rPr>
        <w:t>(ii)  Progress in the object(s) -</w:t>
      </w:r>
    </w:p>
    <w:p>
      <w:pPr>
        <w:spacing w:after="0" w:line="245" w:lineRule="exact"/>
        <w:rPr>
          <w:sz w:val="20"/>
          <w:szCs w:val="20"/>
          <w:color w:val="auto"/>
        </w:rPr>
      </w:pPr>
    </w:p>
    <w:p>
      <w:pPr>
        <w:ind w:left="840"/>
        <w:spacing w:after="0"/>
        <w:rPr>
          <w:sz w:val="20"/>
          <w:szCs w:val="20"/>
          <w:color w:val="auto"/>
        </w:rPr>
      </w:pPr>
      <w:r>
        <w:rPr>
          <w:rFonts w:ascii="Calibri" w:cs="Calibri" w:eastAsia="Calibri" w:hAnsi="Calibri"/>
          <w:sz w:val="20"/>
          <w:szCs w:val="20"/>
          <w:color w:val="auto"/>
        </w:rPr>
        <w:t>(Give item by item description for all the Objects stated in the Offer Document in the following format)</w:t>
      </w:r>
    </w:p>
    <w:p>
      <w:pPr>
        <w:spacing w:after="0" w:line="230" w:lineRule="exact"/>
        <w:rPr>
          <w:sz w:val="20"/>
          <w:szCs w:val="20"/>
          <w:color w:val="auto"/>
        </w:rPr>
      </w:pPr>
    </w:p>
    <w:tbl>
      <w:tblPr>
        <w:tblLayout w:type="fixed"/>
        <w:tblInd w:w="10" w:type="dxa"/>
        <w:tblCellMar>
          <w:top w:w="0" w:type="dxa"/>
          <w:left w:w="0" w:type="dxa"/>
          <w:bottom w:w="0" w:type="dxa"/>
          <w:right w:w="0" w:type="dxa"/>
        </w:tblCellMar>
      </w:tblPr>
      <w:tr>
        <w:trPr>
          <w:trHeight w:val="224"/>
        </w:trPr>
        <w:tc>
          <w:tcPr>
            <w:tcW w:w="760" w:type="dxa"/>
            <w:vAlign w:val="bottom"/>
            <w:tcBorders>
              <w:top w:val="single" w:sz="8" w:color="auto"/>
              <w:left w:val="single" w:sz="8" w:color="auto"/>
              <w:right w:val="single" w:sz="8" w:color="auto"/>
            </w:tcBorders>
          </w:tcPr>
          <w:p>
            <w:pPr>
              <w:spacing w:after="0"/>
              <w:rPr>
                <w:sz w:val="19"/>
                <w:szCs w:val="19"/>
                <w:color w:val="auto"/>
              </w:rPr>
            </w:pPr>
          </w:p>
        </w:tc>
        <w:tc>
          <w:tcPr>
            <w:tcW w:w="680" w:type="dxa"/>
            <w:vAlign w:val="bottom"/>
            <w:tcBorders>
              <w:top w:val="single" w:sz="8" w:color="auto"/>
              <w:right w:val="single" w:sz="8" w:color="auto"/>
            </w:tcBorders>
          </w:tcPr>
          <w:p>
            <w:pPr>
              <w:spacing w:after="0"/>
              <w:rPr>
                <w:sz w:val="19"/>
                <w:szCs w:val="19"/>
                <w:color w:val="auto"/>
              </w:rPr>
            </w:pPr>
          </w:p>
        </w:tc>
        <w:tc>
          <w:tcPr>
            <w:tcW w:w="1040" w:type="dxa"/>
            <w:vAlign w:val="bottom"/>
            <w:tcBorders>
              <w:top w:val="single" w:sz="8" w:color="auto"/>
              <w:right w:val="single" w:sz="8" w:color="auto"/>
            </w:tcBorders>
            <w:vMerge w:val="restart"/>
          </w:tcPr>
          <w:p>
            <w:pPr>
              <w:jc w:val="center"/>
              <w:spacing w:after="0"/>
              <w:rPr>
                <w:sz w:val="20"/>
                <w:szCs w:val="20"/>
                <w:color w:val="auto"/>
              </w:rPr>
            </w:pPr>
            <w:r>
              <w:rPr>
                <w:rFonts w:ascii="Calibri" w:cs="Calibri" w:eastAsia="Calibri" w:hAnsi="Calibri"/>
                <w:sz w:val="18"/>
                <w:szCs w:val="18"/>
                <w:color w:val="auto"/>
                <w:w w:val="98"/>
              </w:rPr>
              <w:t>Amount as</w:t>
            </w:r>
          </w:p>
        </w:tc>
        <w:tc>
          <w:tcPr>
            <w:tcW w:w="1880" w:type="dxa"/>
            <w:vAlign w:val="bottom"/>
            <w:tcBorders>
              <w:top w:val="single" w:sz="8" w:color="auto"/>
            </w:tcBorders>
            <w:gridSpan w:val="3"/>
            <w:vMerge w:val="restart"/>
          </w:tcPr>
          <w:p>
            <w:pPr>
              <w:ind w:left="700"/>
              <w:spacing w:after="0"/>
              <w:rPr>
                <w:sz w:val="20"/>
                <w:szCs w:val="20"/>
                <w:color w:val="auto"/>
              </w:rPr>
            </w:pPr>
            <w:r>
              <w:rPr>
                <w:rFonts w:ascii="Calibri" w:cs="Calibri" w:eastAsia="Calibri" w:hAnsi="Calibri"/>
                <w:sz w:val="18"/>
                <w:szCs w:val="18"/>
                <w:color w:val="auto"/>
                <w:w w:val="99"/>
              </w:rPr>
              <w:t>Amount utilized</w:t>
            </w:r>
          </w:p>
        </w:tc>
        <w:tc>
          <w:tcPr>
            <w:tcW w:w="700" w:type="dxa"/>
            <w:vAlign w:val="bottom"/>
            <w:tcBorders>
              <w:top w:val="single" w:sz="8" w:color="auto"/>
              <w:right w:val="single" w:sz="8" w:color="auto"/>
            </w:tcBorders>
          </w:tcPr>
          <w:p>
            <w:pPr>
              <w:spacing w:after="0"/>
              <w:rPr>
                <w:sz w:val="19"/>
                <w:szCs w:val="19"/>
                <w:color w:val="auto"/>
              </w:rPr>
            </w:pPr>
          </w:p>
        </w:tc>
        <w:tc>
          <w:tcPr>
            <w:tcW w:w="1320" w:type="dxa"/>
            <w:vAlign w:val="bottom"/>
            <w:tcBorders>
              <w:top w:val="single" w:sz="8" w:color="auto"/>
              <w:right w:val="single" w:sz="8" w:color="auto"/>
            </w:tcBorders>
          </w:tcPr>
          <w:p>
            <w:pPr>
              <w:spacing w:after="0"/>
              <w:rPr>
                <w:sz w:val="19"/>
                <w:szCs w:val="19"/>
                <w:color w:val="auto"/>
              </w:rPr>
            </w:pPr>
          </w:p>
        </w:tc>
        <w:tc>
          <w:tcPr>
            <w:tcW w:w="1140" w:type="dxa"/>
            <w:vAlign w:val="bottom"/>
            <w:tcBorders>
              <w:top w:val="single" w:sz="8" w:color="auto"/>
              <w:right w:val="single" w:sz="8" w:color="auto"/>
            </w:tcBorders>
          </w:tcPr>
          <w:p>
            <w:pPr>
              <w:spacing w:after="0"/>
              <w:rPr>
                <w:sz w:val="19"/>
                <w:szCs w:val="19"/>
                <w:color w:val="auto"/>
              </w:rPr>
            </w:pPr>
          </w:p>
        </w:tc>
        <w:tc>
          <w:tcPr>
            <w:tcW w:w="1900" w:type="dxa"/>
            <w:vAlign w:val="bottom"/>
            <w:tcBorders>
              <w:top w:val="single" w:sz="8" w:color="auto"/>
              <w:right w:val="single" w:sz="8" w:color="auto"/>
            </w:tcBorders>
            <w:gridSpan w:val="2"/>
          </w:tcPr>
          <w:p>
            <w:pPr>
              <w:jc w:val="center"/>
              <w:spacing w:after="0"/>
              <w:rPr>
                <w:sz w:val="20"/>
                <w:szCs w:val="20"/>
                <w:color w:val="auto"/>
              </w:rPr>
            </w:pPr>
            <w:r>
              <w:rPr>
                <w:rFonts w:ascii="Calibri" w:cs="Calibri" w:eastAsia="Calibri" w:hAnsi="Calibri"/>
                <w:sz w:val="18"/>
                <w:szCs w:val="18"/>
                <w:color w:val="auto"/>
                <w:w w:val="99"/>
              </w:rPr>
              <w:t>Comments of the</w:t>
            </w:r>
          </w:p>
        </w:tc>
        <w:tc>
          <w:tcPr>
            <w:tcW w:w="0" w:type="dxa"/>
            <w:vAlign w:val="bottom"/>
          </w:tcPr>
          <w:p>
            <w:pPr>
              <w:spacing w:after="0"/>
              <w:rPr>
                <w:sz w:val="1"/>
                <w:szCs w:val="1"/>
                <w:color w:val="auto"/>
              </w:rPr>
            </w:pPr>
          </w:p>
        </w:tc>
      </w:tr>
      <w:tr>
        <w:trPr>
          <w:trHeight w:val="115"/>
        </w:trPr>
        <w:tc>
          <w:tcPr>
            <w:tcW w:w="760" w:type="dxa"/>
            <w:vAlign w:val="bottom"/>
            <w:tcBorders>
              <w:left w:val="single" w:sz="8" w:color="auto"/>
              <w:right w:val="single" w:sz="8" w:color="auto"/>
            </w:tcBorders>
          </w:tcPr>
          <w:p>
            <w:pPr>
              <w:spacing w:after="0"/>
              <w:rPr>
                <w:sz w:val="10"/>
                <w:szCs w:val="10"/>
                <w:color w:val="auto"/>
              </w:rPr>
            </w:pPr>
          </w:p>
        </w:tc>
        <w:tc>
          <w:tcPr>
            <w:tcW w:w="680" w:type="dxa"/>
            <w:vAlign w:val="bottom"/>
            <w:tcBorders>
              <w:right w:val="single" w:sz="8" w:color="auto"/>
            </w:tcBorders>
          </w:tcPr>
          <w:p>
            <w:pPr>
              <w:spacing w:after="0"/>
              <w:rPr>
                <w:sz w:val="10"/>
                <w:szCs w:val="10"/>
                <w:color w:val="auto"/>
              </w:rPr>
            </w:pPr>
          </w:p>
        </w:tc>
        <w:tc>
          <w:tcPr>
            <w:tcW w:w="1040" w:type="dxa"/>
            <w:vAlign w:val="bottom"/>
            <w:tcBorders>
              <w:right w:val="single" w:sz="8" w:color="auto"/>
            </w:tcBorders>
            <w:vMerge w:val="continue"/>
          </w:tcPr>
          <w:p>
            <w:pPr>
              <w:spacing w:after="0"/>
              <w:rPr>
                <w:sz w:val="10"/>
                <w:szCs w:val="10"/>
                <w:color w:val="auto"/>
              </w:rPr>
            </w:pPr>
          </w:p>
        </w:tc>
        <w:tc>
          <w:tcPr>
            <w:tcW w:w="1880" w:type="dxa"/>
            <w:vAlign w:val="bottom"/>
            <w:gridSpan w:val="3"/>
            <w:vMerge w:val="continue"/>
          </w:tcPr>
          <w:p>
            <w:pPr>
              <w:spacing w:after="0"/>
              <w:rPr>
                <w:sz w:val="10"/>
                <w:szCs w:val="10"/>
                <w:color w:val="auto"/>
              </w:rPr>
            </w:pPr>
          </w:p>
        </w:tc>
        <w:tc>
          <w:tcPr>
            <w:tcW w:w="700" w:type="dxa"/>
            <w:vAlign w:val="bottom"/>
            <w:tcBorders>
              <w:right w:val="single" w:sz="8" w:color="auto"/>
            </w:tcBorders>
          </w:tcPr>
          <w:p>
            <w:pPr>
              <w:spacing w:after="0"/>
              <w:rPr>
                <w:sz w:val="10"/>
                <w:szCs w:val="10"/>
                <w:color w:val="auto"/>
              </w:rPr>
            </w:pPr>
          </w:p>
        </w:tc>
        <w:tc>
          <w:tcPr>
            <w:tcW w:w="1320" w:type="dxa"/>
            <w:vAlign w:val="bottom"/>
            <w:tcBorders>
              <w:right w:val="single" w:sz="8" w:color="auto"/>
            </w:tcBorders>
          </w:tcPr>
          <w:p>
            <w:pPr>
              <w:spacing w:after="0"/>
              <w:rPr>
                <w:sz w:val="10"/>
                <w:szCs w:val="10"/>
                <w:color w:val="auto"/>
              </w:rPr>
            </w:pPr>
          </w:p>
        </w:tc>
        <w:tc>
          <w:tcPr>
            <w:tcW w:w="1140" w:type="dxa"/>
            <w:vAlign w:val="bottom"/>
            <w:tcBorders>
              <w:right w:val="single" w:sz="8" w:color="auto"/>
            </w:tcBorders>
            <w:vMerge w:val="restart"/>
          </w:tcPr>
          <w:p>
            <w:pPr>
              <w:jc w:val="center"/>
              <w:spacing w:after="0"/>
              <w:rPr>
                <w:sz w:val="20"/>
                <w:szCs w:val="20"/>
                <w:color w:val="auto"/>
              </w:rPr>
            </w:pPr>
            <w:r>
              <w:rPr>
                <w:rFonts w:ascii="Calibri" w:cs="Calibri" w:eastAsia="Calibri" w:hAnsi="Calibri"/>
                <w:sz w:val="18"/>
                <w:szCs w:val="18"/>
                <w:color w:val="auto"/>
              </w:rPr>
              <w:t>Comments</w:t>
            </w:r>
          </w:p>
        </w:tc>
        <w:tc>
          <w:tcPr>
            <w:tcW w:w="1900" w:type="dxa"/>
            <w:vAlign w:val="bottom"/>
            <w:tcBorders>
              <w:right w:val="single" w:sz="8" w:color="auto"/>
            </w:tcBorders>
            <w:gridSpan w:val="2"/>
            <w:vMerge w:val="restart"/>
          </w:tcPr>
          <w:p>
            <w:pPr>
              <w:jc w:val="center"/>
              <w:spacing w:after="0"/>
              <w:rPr>
                <w:sz w:val="20"/>
                <w:szCs w:val="20"/>
                <w:color w:val="auto"/>
              </w:rPr>
            </w:pPr>
            <w:r>
              <w:rPr>
                <w:rFonts w:ascii="Calibri" w:cs="Calibri" w:eastAsia="Calibri" w:hAnsi="Calibri"/>
                <w:sz w:val="18"/>
                <w:szCs w:val="18"/>
                <w:color w:val="auto"/>
              </w:rPr>
              <w:t>Board of Directors</w:t>
            </w:r>
          </w:p>
        </w:tc>
        <w:tc>
          <w:tcPr>
            <w:tcW w:w="0" w:type="dxa"/>
            <w:vAlign w:val="bottom"/>
          </w:tcPr>
          <w:p>
            <w:pPr>
              <w:spacing w:after="0"/>
              <w:rPr>
                <w:sz w:val="1"/>
                <w:szCs w:val="1"/>
                <w:color w:val="auto"/>
              </w:rPr>
            </w:pPr>
          </w:p>
        </w:tc>
      </w:tr>
      <w:tr>
        <w:trPr>
          <w:trHeight w:val="110"/>
        </w:trPr>
        <w:tc>
          <w:tcPr>
            <w:tcW w:w="760" w:type="dxa"/>
            <w:vAlign w:val="bottom"/>
            <w:tcBorders>
              <w:left w:val="single" w:sz="8" w:color="auto"/>
              <w:right w:val="single" w:sz="8" w:color="auto"/>
            </w:tcBorders>
          </w:tcPr>
          <w:p>
            <w:pPr>
              <w:spacing w:after="0"/>
              <w:rPr>
                <w:sz w:val="9"/>
                <w:szCs w:val="9"/>
                <w:color w:val="auto"/>
              </w:rPr>
            </w:pPr>
          </w:p>
        </w:tc>
        <w:tc>
          <w:tcPr>
            <w:tcW w:w="680" w:type="dxa"/>
            <w:vAlign w:val="bottom"/>
            <w:tcBorders>
              <w:right w:val="single" w:sz="8" w:color="auto"/>
            </w:tcBorders>
          </w:tcPr>
          <w:p>
            <w:pPr>
              <w:spacing w:after="0"/>
              <w:rPr>
                <w:sz w:val="9"/>
                <w:szCs w:val="9"/>
                <w:color w:val="auto"/>
              </w:rPr>
            </w:pPr>
          </w:p>
        </w:tc>
        <w:tc>
          <w:tcPr>
            <w:tcW w:w="1040" w:type="dxa"/>
            <w:vAlign w:val="bottom"/>
            <w:tcBorders>
              <w:right w:val="single" w:sz="8" w:color="auto"/>
            </w:tcBorders>
            <w:vMerge w:val="restart"/>
          </w:tcPr>
          <w:p>
            <w:pPr>
              <w:jc w:val="center"/>
              <w:spacing w:after="0"/>
              <w:rPr>
                <w:sz w:val="20"/>
                <w:szCs w:val="20"/>
                <w:color w:val="auto"/>
              </w:rPr>
            </w:pPr>
            <w:r>
              <w:rPr>
                <w:rFonts w:ascii="Calibri" w:cs="Calibri" w:eastAsia="Calibri" w:hAnsi="Calibri"/>
                <w:sz w:val="18"/>
                <w:szCs w:val="18"/>
                <w:color w:val="auto"/>
              </w:rPr>
              <w:t>proposed</w:t>
            </w:r>
          </w:p>
        </w:tc>
        <w:tc>
          <w:tcPr>
            <w:tcW w:w="1040" w:type="dxa"/>
            <w:vAlign w:val="bottom"/>
            <w:tcBorders>
              <w:bottom w:val="single" w:sz="8" w:color="auto"/>
            </w:tcBorders>
          </w:tcPr>
          <w:p>
            <w:pPr>
              <w:spacing w:after="0"/>
              <w:rPr>
                <w:sz w:val="9"/>
                <w:szCs w:val="9"/>
                <w:color w:val="auto"/>
              </w:rPr>
            </w:pPr>
          </w:p>
        </w:tc>
        <w:tc>
          <w:tcPr>
            <w:tcW w:w="780" w:type="dxa"/>
            <w:vAlign w:val="bottom"/>
            <w:tcBorders>
              <w:bottom w:val="single" w:sz="8" w:color="auto"/>
            </w:tcBorders>
          </w:tcPr>
          <w:p>
            <w:pPr>
              <w:spacing w:after="0"/>
              <w:rPr>
                <w:sz w:val="9"/>
                <w:szCs w:val="9"/>
                <w:color w:val="auto"/>
              </w:rPr>
            </w:pPr>
          </w:p>
        </w:tc>
        <w:tc>
          <w:tcPr>
            <w:tcW w:w="60" w:type="dxa"/>
            <w:vAlign w:val="bottom"/>
            <w:tcBorders>
              <w:bottom w:val="single" w:sz="8" w:color="auto"/>
            </w:tcBorders>
          </w:tcPr>
          <w:p>
            <w:pPr>
              <w:spacing w:after="0"/>
              <w:rPr>
                <w:sz w:val="9"/>
                <w:szCs w:val="9"/>
                <w:color w:val="auto"/>
              </w:rPr>
            </w:pPr>
          </w:p>
        </w:tc>
        <w:tc>
          <w:tcPr>
            <w:tcW w:w="700" w:type="dxa"/>
            <w:vAlign w:val="bottom"/>
            <w:tcBorders>
              <w:bottom w:val="single" w:sz="8" w:color="auto"/>
              <w:right w:val="single" w:sz="8" w:color="auto"/>
            </w:tcBorders>
          </w:tcPr>
          <w:p>
            <w:pPr>
              <w:spacing w:after="0"/>
              <w:rPr>
                <w:sz w:val="9"/>
                <w:szCs w:val="9"/>
                <w:color w:val="auto"/>
              </w:rPr>
            </w:pPr>
          </w:p>
        </w:tc>
        <w:tc>
          <w:tcPr>
            <w:tcW w:w="1320" w:type="dxa"/>
            <w:vAlign w:val="bottom"/>
            <w:tcBorders>
              <w:right w:val="single" w:sz="8" w:color="auto"/>
            </w:tcBorders>
            <w:vMerge w:val="restart"/>
          </w:tcPr>
          <w:p>
            <w:pPr>
              <w:jc w:val="center"/>
              <w:spacing w:after="0"/>
              <w:rPr>
                <w:sz w:val="20"/>
                <w:szCs w:val="20"/>
                <w:color w:val="auto"/>
              </w:rPr>
            </w:pPr>
            <w:r>
              <w:rPr>
                <w:rFonts w:ascii="Calibri" w:cs="Calibri" w:eastAsia="Calibri" w:hAnsi="Calibri"/>
                <w:sz w:val="18"/>
                <w:szCs w:val="18"/>
                <w:color w:val="auto"/>
              </w:rPr>
              <w:t>Total</w:t>
            </w:r>
          </w:p>
        </w:tc>
        <w:tc>
          <w:tcPr>
            <w:tcW w:w="1140" w:type="dxa"/>
            <w:vAlign w:val="bottom"/>
            <w:tcBorders>
              <w:right w:val="single" w:sz="8" w:color="auto"/>
            </w:tcBorders>
            <w:vMerge w:val="continue"/>
          </w:tcPr>
          <w:p>
            <w:pPr>
              <w:spacing w:after="0"/>
              <w:rPr>
                <w:sz w:val="9"/>
                <w:szCs w:val="9"/>
                <w:color w:val="auto"/>
              </w:rPr>
            </w:pPr>
          </w:p>
        </w:tc>
        <w:tc>
          <w:tcPr>
            <w:tcW w:w="1900" w:type="dxa"/>
            <w:vAlign w:val="bottom"/>
            <w:tcBorders>
              <w:bottom w:val="single" w:sz="8" w:color="auto"/>
              <w:right w:val="single" w:sz="8" w:color="auto"/>
            </w:tcBorders>
            <w:gridSpan w:val="2"/>
            <w:vMerge w:val="continue"/>
          </w:tcPr>
          <w:p>
            <w:pPr>
              <w:spacing w:after="0"/>
              <w:rPr>
                <w:sz w:val="9"/>
                <w:szCs w:val="9"/>
                <w:color w:val="auto"/>
              </w:rPr>
            </w:pPr>
          </w:p>
        </w:tc>
        <w:tc>
          <w:tcPr>
            <w:tcW w:w="0" w:type="dxa"/>
            <w:vAlign w:val="bottom"/>
          </w:tcPr>
          <w:p>
            <w:pPr>
              <w:spacing w:after="0"/>
              <w:rPr>
                <w:sz w:val="1"/>
                <w:szCs w:val="1"/>
                <w:color w:val="auto"/>
              </w:rPr>
            </w:pPr>
          </w:p>
        </w:tc>
      </w:tr>
      <w:tr>
        <w:trPr>
          <w:trHeight w:val="91"/>
        </w:trPr>
        <w:tc>
          <w:tcPr>
            <w:tcW w:w="760" w:type="dxa"/>
            <w:vAlign w:val="bottom"/>
            <w:tcBorders>
              <w:left w:val="single" w:sz="8" w:color="auto"/>
              <w:right w:val="single" w:sz="8" w:color="auto"/>
            </w:tcBorders>
          </w:tcPr>
          <w:p>
            <w:pPr>
              <w:spacing w:after="0"/>
              <w:rPr>
                <w:sz w:val="7"/>
                <w:szCs w:val="7"/>
                <w:color w:val="auto"/>
              </w:rPr>
            </w:pPr>
          </w:p>
        </w:tc>
        <w:tc>
          <w:tcPr>
            <w:tcW w:w="680" w:type="dxa"/>
            <w:vAlign w:val="bottom"/>
            <w:tcBorders>
              <w:right w:val="single" w:sz="8" w:color="auto"/>
            </w:tcBorders>
            <w:vMerge w:val="restart"/>
          </w:tcPr>
          <w:p>
            <w:pPr>
              <w:jc w:val="center"/>
              <w:spacing w:after="0" w:line="202" w:lineRule="exact"/>
              <w:rPr>
                <w:sz w:val="20"/>
                <w:szCs w:val="20"/>
                <w:color w:val="auto"/>
              </w:rPr>
            </w:pPr>
            <w:r>
              <w:rPr>
                <w:rFonts w:ascii="Calibri" w:cs="Calibri" w:eastAsia="Calibri" w:hAnsi="Calibri"/>
                <w:sz w:val="18"/>
                <w:szCs w:val="18"/>
                <w:color w:val="auto"/>
              </w:rPr>
              <w:t>Item</w:t>
            </w:r>
          </w:p>
        </w:tc>
        <w:tc>
          <w:tcPr>
            <w:tcW w:w="1040" w:type="dxa"/>
            <w:vAlign w:val="bottom"/>
            <w:tcBorders>
              <w:right w:val="single" w:sz="8" w:color="auto"/>
            </w:tcBorders>
            <w:vMerge w:val="continue"/>
          </w:tcPr>
          <w:p>
            <w:pPr>
              <w:spacing w:after="0"/>
              <w:rPr>
                <w:sz w:val="7"/>
                <w:szCs w:val="7"/>
                <w:color w:val="auto"/>
              </w:rPr>
            </w:pPr>
          </w:p>
        </w:tc>
        <w:tc>
          <w:tcPr>
            <w:tcW w:w="1040" w:type="dxa"/>
            <w:vAlign w:val="bottom"/>
            <w:tcBorders>
              <w:right w:val="single" w:sz="8" w:color="auto"/>
            </w:tcBorders>
            <w:vMerge w:val="restart"/>
          </w:tcPr>
          <w:p>
            <w:pPr>
              <w:jc w:val="center"/>
              <w:spacing w:after="0" w:line="206" w:lineRule="exact"/>
              <w:rPr>
                <w:sz w:val="20"/>
                <w:szCs w:val="20"/>
                <w:color w:val="auto"/>
              </w:rPr>
            </w:pPr>
            <w:r>
              <w:rPr>
                <w:rFonts w:ascii="Calibri" w:cs="Calibri" w:eastAsia="Calibri" w:hAnsi="Calibri"/>
                <w:sz w:val="18"/>
                <w:szCs w:val="18"/>
                <w:color w:val="auto"/>
                <w:w w:val="99"/>
              </w:rPr>
              <w:t>As at</w:t>
            </w:r>
          </w:p>
        </w:tc>
        <w:tc>
          <w:tcPr>
            <w:tcW w:w="780" w:type="dxa"/>
            <w:vAlign w:val="bottom"/>
            <w:tcBorders>
              <w:right w:val="single" w:sz="8" w:color="auto"/>
            </w:tcBorders>
          </w:tcPr>
          <w:p>
            <w:pPr>
              <w:spacing w:after="0"/>
              <w:rPr>
                <w:sz w:val="7"/>
                <w:szCs w:val="7"/>
                <w:color w:val="auto"/>
              </w:rPr>
            </w:pPr>
          </w:p>
        </w:tc>
        <w:tc>
          <w:tcPr>
            <w:tcW w:w="60" w:type="dxa"/>
            <w:vAlign w:val="bottom"/>
          </w:tcPr>
          <w:p>
            <w:pPr>
              <w:spacing w:after="0"/>
              <w:rPr>
                <w:sz w:val="7"/>
                <w:szCs w:val="7"/>
                <w:color w:val="auto"/>
              </w:rPr>
            </w:pPr>
          </w:p>
        </w:tc>
        <w:tc>
          <w:tcPr>
            <w:tcW w:w="700" w:type="dxa"/>
            <w:vAlign w:val="bottom"/>
            <w:tcBorders>
              <w:right w:val="single" w:sz="8" w:color="auto"/>
            </w:tcBorders>
            <w:vMerge w:val="restart"/>
          </w:tcPr>
          <w:p>
            <w:pPr>
              <w:jc w:val="center"/>
              <w:spacing w:after="0" w:line="206" w:lineRule="exact"/>
              <w:rPr>
                <w:sz w:val="20"/>
                <w:szCs w:val="20"/>
                <w:color w:val="auto"/>
              </w:rPr>
            </w:pPr>
            <w:r>
              <w:rPr>
                <w:rFonts w:ascii="Calibri" w:cs="Calibri" w:eastAsia="Calibri" w:hAnsi="Calibri"/>
                <w:sz w:val="18"/>
                <w:szCs w:val="18"/>
                <w:color w:val="auto"/>
              </w:rPr>
              <w:t>At the</w:t>
            </w:r>
          </w:p>
        </w:tc>
        <w:tc>
          <w:tcPr>
            <w:tcW w:w="1320" w:type="dxa"/>
            <w:vAlign w:val="bottom"/>
            <w:tcBorders>
              <w:right w:val="single" w:sz="8" w:color="auto"/>
            </w:tcBorders>
            <w:vMerge w:val="continue"/>
          </w:tcPr>
          <w:p>
            <w:pPr>
              <w:spacing w:after="0"/>
              <w:rPr>
                <w:sz w:val="7"/>
                <w:szCs w:val="7"/>
                <w:color w:val="auto"/>
              </w:rPr>
            </w:pPr>
          </w:p>
        </w:tc>
        <w:tc>
          <w:tcPr>
            <w:tcW w:w="1140" w:type="dxa"/>
            <w:vAlign w:val="bottom"/>
            <w:tcBorders>
              <w:right w:val="single" w:sz="8" w:color="auto"/>
            </w:tcBorders>
            <w:vMerge w:val="restart"/>
          </w:tcPr>
          <w:p>
            <w:pPr>
              <w:jc w:val="center"/>
              <w:spacing w:after="0" w:line="202" w:lineRule="exact"/>
              <w:rPr>
                <w:sz w:val="20"/>
                <w:szCs w:val="20"/>
                <w:color w:val="auto"/>
              </w:rPr>
            </w:pPr>
            <w:r>
              <w:rPr>
                <w:rFonts w:ascii="Calibri" w:cs="Calibri" w:eastAsia="Calibri" w:hAnsi="Calibri"/>
                <w:sz w:val="18"/>
                <w:szCs w:val="18"/>
                <w:color w:val="auto"/>
              </w:rPr>
              <w:t>of the</w:t>
            </w:r>
          </w:p>
        </w:tc>
        <w:tc>
          <w:tcPr>
            <w:tcW w:w="820" w:type="dxa"/>
            <w:vAlign w:val="bottom"/>
            <w:tcBorders>
              <w:right w:val="single" w:sz="8" w:color="auto"/>
            </w:tcBorders>
          </w:tcPr>
          <w:p>
            <w:pPr>
              <w:spacing w:after="0"/>
              <w:rPr>
                <w:sz w:val="7"/>
                <w:szCs w:val="7"/>
                <w:color w:val="auto"/>
              </w:rPr>
            </w:pPr>
          </w:p>
        </w:tc>
        <w:tc>
          <w:tcPr>
            <w:tcW w:w="108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115"/>
        </w:trPr>
        <w:tc>
          <w:tcPr>
            <w:tcW w:w="760" w:type="dxa"/>
            <w:vAlign w:val="bottom"/>
            <w:tcBorders>
              <w:left w:val="single" w:sz="8" w:color="auto"/>
              <w:right w:val="single" w:sz="8" w:color="auto"/>
            </w:tcBorders>
            <w:vMerge w:val="restart"/>
          </w:tcPr>
          <w:p>
            <w:pPr>
              <w:ind w:left="140"/>
              <w:spacing w:after="0" w:line="218" w:lineRule="exact"/>
              <w:rPr>
                <w:sz w:val="20"/>
                <w:szCs w:val="20"/>
                <w:color w:val="auto"/>
              </w:rPr>
            </w:pPr>
            <w:r>
              <w:rPr>
                <w:rFonts w:ascii="Calibri" w:cs="Calibri" w:eastAsia="Calibri" w:hAnsi="Calibri"/>
                <w:sz w:val="18"/>
                <w:szCs w:val="18"/>
                <w:color w:val="auto"/>
              </w:rPr>
              <w:t>Sr. No.</w:t>
            </w:r>
          </w:p>
        </w:tc>
        <w:tc>
          <w:tcPr>
            <w:tcW w:w="680" w:type="dxa"/>
            <w:vAlign w:val="bottom"/>
            <w:tcBorders>
              <w:right w:val="single" w:sz="8" w:color="auto"/>
            </w:tcBorders>
            <w:vMerge w:val="continue"/>
          </w:tcPr>
          <w:p>
            <w:pPr>
              <w:spacing w:after="0"/>
              <w:rPr>
                <w:sz w:val="10"/>
                <w:szCs w:val="10"/>
                <w:color w:val="auto"/>
              </w:rPr>
            </w:pPr>
          </w:p>
        </w:tc>
        <w:tc>
          <w:tcPr>
            <w:tcW w:w="1040" w:type="dxa"/>
            <w:vAlign w:val="bottom"/>
            <w:tcBorders>
              <w:right w:val="single" w:sz="8" w:color="auto"/>
            </w:tcBorders>
            <w:vMerge w:val="restart"/>
          </w:tcPr>
          <w:p>
            <w:pPr>
              <w:jc w:val="center"/>
              <w:spacing w:after="0" w:line="218" w:lineRule="exact"/>
              <w:rPr>
                <w:sz w:val="20"/>
                <w:szCs w:val="20"/>
                <w:color w:val="auto"/>
              </w:rPr>
            </w:pPr>
            <w:r>
              <w:rPr>
                <w:rFonts w:ascii="Calibri" w:cs="Calibri" w:eastAsia="Calibri" w:hAnsi="Calibri"/>
                <w:sz w:val="18"/>
                <w:szCs w:val="18"/>
                <w:color w:val="auto"/>
                <w:w w:val="99"/>
              </w:rPr>
              <w:t>in the</w:t>
            </w:r>
          </w:p>
        </w:tc>
        <w:tc>
          <w:tcPr>
            <w:tcW w:w="1040" w:type="dxa"/>
            <w:vAlign w:val="bottom"/>
            <w:tcBorders>
              <w:right w:val="single" w:sz="8" w:color="auto"/>
            </w:tcBorders>
            <w:vMerge w:val="continue"/>
          </w:tcPr>
          <w:p>
            <w:pPr>
              <w:spacing w:after="0"/>
              <w:rPr>
                <w:sz w:val="10"/>
                <w:szCs w:val="10"/>
                <w:color w:val="auto"/>
              </w:rPr>
            </w:pPr>
          </w:p>
        </w:tc>
        <w:tc>
          <w:tcPr>
            <w:tcW w:w="780" w:type="dxa"/>
            <w:vAlign w:val="bottom"/>
            <w:tcBorders>
              <w:right w:val="single" w:sz="8" w:color="auto"/>
            </w:tcBorders>
            <w:vMerge w:val="restart"/>
          </w:tcPr>
          <w:p>
            <w:pPr>
              <w:jc w:val="center"/>
              <w:spacing w:after="0"/>
              <w:rPr>
                <w:sz w:val="20"/>
                <w:szCs w:val="20"/>
                <w:color w:val="auto"/>
              </w:rPr>
            </w:pPr>
            <w:r>
              <w:rPr>
                <w:rFonts w:ascii="Calibri" w:cs="Calibri" w:eastAsia="Calibri" w:hAnsi="Calibri"/>
                <w:sz w:val="18"/>
                <w:szCs w:val="18"/>
                <w:color w:val="auto"/>
                <w:w w:val="98"/>
              </w:rPr>
              <w:t>During</w:t>
            </w:r>
          </w:p>
        </w:tc>
        <w:tc>
          <w:tcPr>
            <w:tcW w:w="60" w:type="dxa"/>
            <w:vAlign w:val="bottom"/>
          </w:tcPr>
          <w:p>
            <w:pPr>
              <w:spacing w:after="0"/>
              <w:rPr>
                <w:sz w:val="10"/>
                <w:szCs w:val="10"/>
                <w:color w:val="auto"/>
              </w:rPr>
            </w:pPr>
          </w:p>
        </w:tc>
        <w:tc>
          <w:tcPr>
            <w:tcW w:w="700" w:type="dxa"/>
            <w:vAlign w:val="bottom"/>
            <w:tcBorders>
              <w:right w:val="single" w:sz="8" w:color="auto"/>
            </w:tcBorders>
            <w:vMerge w:val="continue"/>
          </w:tcPr>
          <w:p>
            <w:pPr>
              <w:spacing w:after="0"/>
              <w:rPr>
                <w:sz w:val="10"/>
                <w:szCs w:val="10"/>
                <w:color w:val="auto"/>
              </w:rPr>
            </w:pPr>
          </w:p>
        </w:tc>
        <w:tc>
          <w:tcPr>
            <w:tcW w:w="1320" w:type="dxa"/>
            <w:vAlign w:val="bottom"/>
            <w:tcBorders>
              <w:right w:val="single" w:sz="8" w:color="auto"/>
            </w:tcBorders>
            <w:vMerge w:val="restart"/>
          </w:tcPr>
          <w:p>
            <w:pPr>
              <w:jc w:val="center"/>
              <w:spacing w:after="0" w:line="218" w:lineRule="exact"/>
              <w:rPr>
                <w:sz w:val="20"/>
                <w:szCs w:val="20"/>
                <w:color w:val="auto"/>
              </w:rPr>
            </w:pPr>
            <w:r>
              <w:rPr>
                <w:rFonts w:ascii="Calibri" w:cs="Calibri" w:eastAsia="Calibri" w:hAnsi="Calibri"/>
                <w:sz w:val="18"/>
                <w:szCs w:val="18"/>
                <w:color w:val="auto"/>
                <w:w w:val="99"/>
              </w:rPr>
              <w:t>unutilized</w:t>
            </w:r>
          </w:p>
        </w:tc>
        <w:tc>
          <w:tcPr>
            <w:tcW w:w="1140" w:type="dxa"/>
            <w:vAlign w:val="bottom"/>
            <w:tcBorders>
              <w:right w:val="single" w:sz="8" w:color="auto"/>
            </w:tcBorders>
            <w:vMerge w:val="continue"/>
          </w:tcPr>
          <w:p>
            <w:pPr>
              <w:spacing w:after="0"/>
              <w:rPr>
                <w:sz w:val="10"/>
                <w:szCs w:val="10"/>
                <w:color w:val="auto"/>
              </w:rPr>
            </w:pPr>
          </w:p>
        </w:tc>
        <w:tc>
          <w:tcPr>
            <w:tcW w:w="820" w:type="dxa"/>
            <w:vAlign w:val="bottom"/>
            <w:tcBorders>
              <w:right w:val="single" w:sz="8" w:color="auto"/>
            </w:tcBorders>
            <w:vMerge w:val="restart"/>
          </w:tcPr>
          <w:p>
            <w:pPr>
              <w:jc w:val="center"/>
              <w:spacing w:after="0"/>
              <w:rPr>
                <w:sz w:val="20"/>
                <w:szCs w:val="20"/>
                <w:color w:val="auto"/>
              </w:rPr>
            </w:pPr>
            <w:r>
              <w:rPr>
                <w:rFonts w:ascii="Calibri" w:cs="Calibri" w:eastAsia="Calibri" w:hAnsi="Calibri"/>
                <w:sz w:val="18"/>
                <w:szCs w:val="18"/>
                <w:color w:val="auto"/>
                <w:w w:val="99"/>
              </w:rPr>
              <w:t>Reasons</w:t>
            </w:r>
          </w:p>
        </w:tc>
        <w:tc>
          <w:tcPr>
            <w:tcW w:w="1080" w:type="dxa"/>
            <w:vAlign w:val="bottom"/>
            <w:tcBorders>
              <w:right w:val="single" w:sz="8" w:color="auto"/>
            </w:tcBorders>
            <w:vMerge w:val="restart"/>
          </w:tcPr>
          <w:p>
            <w:pPr>
              <w:jc w:val="center"/>
              <w:spacing w:after="0"/>
              <w:rPr>
                <w:sz w:val="20"/>
                <w:szCs w:val="20"/>
                <w:color w:val="auto"/>
              </w:rPr>
            </w:pPr>
            <w:r>
              <w:rPr>
                <w:rFonts w:ascii="Calibri" w:cs="Calibri" w:eastAsia="Calibri" w:hAnsi="Calibri"/>
                <w:sz w:val="18"/>
                <w:szCs w:val="18"/>
                <w:color w:val="auto"/>
                <w:w w:val="97"/>
              </w:rPr>
              <w:t>Proposed</w:t>
            </w:r>
          </w:p>
        </w:tc>
        <w:tc>
          <w:tcPr>
            <w:tcW w:w="0" w:type="dxa"/>
            <w:vAlign w:val="bottom"/>
          </w:tcPr>
          <w:p>
            <w:pPr>
              <w:spacing w:after="0"/>
              <w:rPr>
                <w:sz w:val="1"/>
                <w:szCs w:val="1"/>
                <w:color w:val="auto"/>
              </w:rPr>
            </w:pPr>
          </w:p>
        </w:tc>
      </w:tr>
      <w:tr>
        <w:trPr>
          <w:trHeight w:val="108"/>
        </w:trPr>
        <w:tc>
          <w:tcPr>
            <w:tcW w:w="760" w:type="dxa"/>
            <w:vAlign w:val="bottom"/>
            <w:tcBorders>
              <w:left w:val="single" w:sz="8" w:color="auto"/>
              <w:right w:val="single" w:sz="8" w:color="auto"/>
            </w:tcBorders>
            <w:vMerge w:val="continue"/>
          </w:tcPr>
          <w:p>
            <w:pPr>
              <w:spacing w:after="0"/>
              <w:rPr>
                <w:sz w:val="9"/>
                <w:szCs w:val="9"/>
                <w:color w:val="auto"/>
              </w:rPr>
            </w:pPr>
          </w:p>
        </w:tc>
        <w:tc>
          <w:tcPr>
            <w:tcW w:w="680" w:type="dxa"/>
            <w:vAlign w:val="bottom"/>
            <w:tcBorders>
              <w:right w:val="single" w:sz="8" w:color="auto"/>
            </w:tcBorders>
            <w:vMerge w:val="restart"/>
          </w:tcPr>
          <w:p>
            <w:pPr>
              <w:jc w:val="center"/>
              <w:spacing w:after="0" w:line="256" w:lineRule="exact"/>
              <w:rPr>
                <w:sz w:val="20"/>
                <w:szCs w:val="20"/>
                <w:color w:val="auto"/>
              </w:rPr>
            </w:pPr>
            <w:r>
              <w:rPr>
                <w:rFonts w:ascii="Calibri" w:cs="Calibri" w:eastAsia="Calibri" w:hAnsi="Calibri"/>
                <w:sz w:val="18"/>
                <w:szCs w:val="18"/>
                <w:color w:val="auto"/>
                <w:w w:val="94"/>
              </w:rPr>
              <w:t>Head</w:t>
            </w:r>
            <w:r>
              <w:rPr>
                <w:rFonts w:ascii="Calibri" w:cs="Calibri" w:eastAsia="Calibri" w:hAnsi="Calibri"/>
                <w:sz w:val="24"/>
                <w:szCs w:val="24"/>
                <w:color w:val="auto"/>
                <w:w w:val="94"/>
                <w:vertAlign w:val="superscript"/>
              </w:rPr>
              <w:t>$</w:t>
            </w:r>
          </w:p>
        </w:tc>
        <w:tc>
          <w:tcPr>
            <w:tcW w:w="1040" w:type="dxa"/>
            <w:vAlign w:val="bottom"/>
            <w:tcBorders>
              <w:right w:val="single" w:sz="8" w:color="auto"/>
            </w:tcBorders>
            <w:vMerge w:val="continue"/>
          </w:tcPr>
          <w:p>
            <w:pPr>
              <w:spacing w:after="0"/>
              <w:rPr>
                <w:sz w:val="9"/>
                <w:szCs w:val="9"/>
                <w:color w:val="auto"/>
              </w:rPr>
            </w:pPr>
          </w:p>
        </w:tc>
        <w:tc>
          <w:tcPr>
            <w:tcW w:w="1040" w:type="dxa"/>
            <w:vAlign w:val="bottom"/>
            <w:tcBorders>
              <w:right w:val="single" w:sz="8" w:color="auto"/>
            </w:tcBorders>
            <w:vMerge w:val="restart"/>
          </w:tcPr>
          <w:p>
            <w:pPr>
              <w:jc w:val="center"/>
              <w:spacing w:after="0" w:line="218" w:lineRule="exact"/>
              <w:rPr>
                <w:sz w:val="20"/>
                <w:szCs w:val="20"/>
                <w:color w:val="auto"/>
              </w:rPr>
            </w:pPr>
            <w:r>
              <w:rPr>
                <w:rFonts w:ascii="Calibri" w:cs="Calibri" w:eastAsia="Calibri" w:hAnsi="Calibri"/>
                <w:sz w:val="18"/>
                <w:szCs w:val="18"/>
                <w:color w:val="auto"/>
                <w:w w:val="99"/>
              </w:rPr>
              <w:t>beginning</w:t>
            </w:r>
          </w:p>
        </w:tc>
        <w:tc>
          <w:tcPr>
            <w:tcW w:w="780" w:type="dxa"/>
            <w:vAlign w:val="bottom"/>
            <w:tcBorders>
              <w:right w:val="single" w:sz="8" w:color="auto"/>
            </w:tcBorders>
            <w:vMerge w:val="continue"/>
          </w:tcPr>
          <w:p>
            <w:pPr>
              <w:spacing w:after="0"/>
              <w:rPr>
                <w:sz w:val="9"/>
                <w:szCs w:val="9"/>
                <w:color w:val="auto"/>
              </w:rPr>
            </w:pPr>
          </w:p>
        </w:tc>
        <w:tc>
          <w:tcPr>
            <w:tcW w:w="60" w:type="dxa"/>
            <w:vAlign w:val="bottom"/>
          </w:tcPr>
          <w:p>
            <w:pPr>
              <w:spacing w:after="0"/>
              <w:rPr>
                <w:sz w:val="9"/>
                <w:szCs w:val="9"/>
                <w:color w:val="auto"/>
              </w:rPr>
            </w:pPr>
          </w:p>
        </w:tc>
        <w:tc>
          <w:tcPr>
            <w:tcW w:w="700" w:type="dxa"/>
            <w:vAlign w:val="bottom"/>
            <w:tcBorders>
              <w:right w:val="single" w:sz="8" w:color="auto"/>
            </w:tcBorders>
            <w:vMerge w:val="restart"/>
          </w:tcPr>
          <w:p>
            <w:pPr>
              <w:jc w:val="center"/>
              <w:spacing w:after="0" w:line="218" w:lineRule="exact"/>
              <w:rPr>
                <w:sz w:val="20"/>
                <w:szCs w:val="20"/>
                <w:color w:val="auto"/>
              </w:rPr>
            </w:pPr>
            <w:r>
              <w:rPr>
                <w:rFonts w:ascii="Calibri" w:cs="Calibri" w:eastAsia="Calibri" w:hAnsi="Calibri"/>
                <w:sz w:val="18"/>
                <w:szCs w:val="18"/>
                <w:color w:val="auto"/>
                <w:w w:val="97"/>
              </w:rPr>
              <w:t>end of</w:t>
            </w:r>
          </w:p>
        </w:tc>
        <w:tc>
          <w:tcPr>
            <w:tcW w:w="1320" w:type="dxa"/>
            <w:vAlign w:val="bottom"/>
            <w:tcBorders>
              <w:right w:val="single" w:sz="8" w:color="auto"/>
            </w:tcBorders>
            <w:vMerge w:val="continue"/>
          </w:tcPr>
          <w:p>
            <w:pPr>
              <w:spacing w:after="0"/>
              <w:rPr>
                <w:sz w:val="9"/>
                <w:szCs w:val="9"/>
                <w:color w:val="auto"/>
              </w:rPr>
            </w:pPr>
          </w:p>
        </w:tc>
        <w:tc>
          <w:tcPr>
            <w:tcW w:w="1140" w:type="dxa"/>
            <w:vAlign w:val="bottom"/>
            <w:tcBorders>
              <w:right w:val="single" w:sz="8" w:color="auto"/>
            </w:tcBorders>
            <w:vMerge w:val="restart"/>
          </w:tcPr>
          <w:p>
            <w:pPr>
              <w:jc w:val="center"/>
              <w:spacing w:after="0" w:line="214" w:lineRule="exact"/>
              <w:rPr>
                <w:sz w:val="20"/>
                <w:szCs w:val="20"/>
                <w:color w:val="auto"/>
              </w:rPr>
            </w:pPr>
            <w:r>
              <w:rPr>
                <w:rFonts w:ascii="Calibri" w:cs="Calibri" w:eastAsia="Calibri" w:hAnsi="Calibri"/>
                <w:sz w:val="18"/>
                <w:szCs w:val="18"/>
                <w:color w:val="auto"/>
                <w:w w:val="99"/>
              </w:rPr>
              <w:t>Monitoring</w:t>
            </w:r>
          </w:p>
        </w:tc>
        <w:tc>
          <w:tcPr>
            <w:tcW w:w="820" w:type="dxa"/>
            <w:vAlign w:val="bottom"/>
            <w:tcBorders>
              <w:right w:val="single" w:sz="8" w:color="auto"/>
            </w:tcBorders>
            <w:vMerge w:val="continue"/>
          </w:tcPr>
          <w:p>
            <w:pPr>
              <w:spacing w:after="0"/>
              <w:rPr>
                <w:sz w:val="9"/>
                <w:szCs w:val="9"/>
                <w:color w:val="auto"/>
              </w:rPr>
            </w:pPr>
          </w:p>
        </w:tc>
        <w:tc>
          <w:tcPr>
            <w:tcW w:w="1080" w:type="dxa"/>
            <w:vAlign w:val="bottom"/>
            <w:tcBorders>
              <w:right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47"/>
        </w:trPr>
        <w:tc>
          <w:tcPr>
            <w:tcW w:w="760" w:type="dxa"/>
            <w:vAlign w:val="bottom"/>
            <w:tcBorders>
              <w:left w:val="single" w:sz="8" w:color="auto"/>
              <w:right w:val="single" w:sz="8" w:color="auto"/>
            </w:tcBorders>
          </w:tcPr>
          <w:p>
            <w:pPr>
              <w:spacing w:after="0"/>
              <w:rPr>
                <w:sz w:val="12"/>
                <w:szCs w:val="12"/>
                <w:color w:val="auto"/>
              </w:rPr>
            </w:pPr>
          </w:p>
        </w:tc>
        <w:tc>
          <w:tcPr>
            <w:tcW w:w="680" w:type="dxa"/>
            <w:vAlign w:val="bottom"/>
            <w:tcBorders>
              <w:right w:val="single" w:sz="8" w:color="auto"/>
            </w:tcBorders>
            <w:vMerge w:val="continue"/>
          </w:tcPr>
          <w:p>
            <w:pPr>
              <w:spacing w:after="0"/>
              <w:rPr>
                <w:sz w:val="12"/>
                <w:szCs w:val="12"/>
                <w:color w:val="auto"/>
              </w:rPr>
            </w:pPr>
          </w:p>
        </w:tc>
        <w:tc>
          <w:tcPr>
            <w:tcW w:w="1040" w:type="dxa"/>
            <w:vAlign w:val="bottom"/>
            <w:tcBorders>
              <w:right w:val="single" w:sz="8" w:color="auto"/>
            </w:tcBorders>
            <w:vMerge w:val="restart"/>
          </w:tcPr>
          <w:p>
            <w:pPr>
              <w:jc w:val="center"/>
              <w:spacing w:after="0" w:line="216" w:lineRule="exact"/>
              <w:rPr>
                <w:sz w:val="20"/>
                <w:szCs w:val="20"/>
                <w:color w:val="auto"/>
              </w:rPr>
            </w:pPr>
            <w:r>
              <w:rPr>
                <w:rFonts w:ascii="Calibri" w:cs="Calibri" w:eastAsia="Calibri" w:hAnsi="Calibri"/>
                <w:sz w:val="18"/>
                <w:szCs w:val="18"/>
                <w:color w:val="auto"/>
                <w:w w:val="99"/>
              </w:rPr>
              <w:t>Offer</w:t>
            </w:r>
          </w:p>
        </w:tc>
        <w:tc>
          <w:tcPr>
            <w:tcW w:w="1040" w:type="dxa"/>
            <w:vAlign w:val="bottom"/>
            <w:tcBorders>
              <w:right w:val="single" w:sz="8" w:color="auto"/>
            </w:tcBorders>
            <w:vMerge w:val="continue"/>
          </w:tcPr>
          <w:p>
            <w:pPr>
              <w:spacing w:after="0"/>
              <w:rPr>
                <w:sz w:val="12"/>
                <w:szCs w:val="12"/>
                <w:color w:val="auto"/>
              </w:rPr>
            </w:pPr>
          </w:p>
        </w:tc>
        <w:tc>
          <w:tcPr>
            <w:tcW w:w="780" w:type="dxa"/>
            <w:vAlign w:val="bottom"/>
            <w:tcBorders>
              <w:right w:val="single" w:sz="8" w:color="auto"/>
            </w:tcBorders>
            <w:vMerge w:val="restart"/>
          </w:tcPr>
          <w:p>
            <w:pPr>
              <w:jc w:val="center"/>
              <w:spacing w:after="0"/>
              <w:rPr>
                <w:sz w:val="20"/>
                <w:szCs w:val="20"/>
                <w:color w:val="auto"/>
              </w:rPr>
            </w:pPr>
            <w:r>
              <w:rPr>
                <w:rFonts w:ascii="Calibri" w:cs="Calibri" w:eastAsia="Calibri" w:hAnsi="Calibri"/>
                <w:sz w:val="18"/>
                <w:szCs w:val="18"/>
                <w:color w:val="auto"/>
                <w:w w:val="97"/>
              </w:rPr>
              <w:t>the</w:t>
            </w:r>
          </w:p>
        </w:tc>
        <w:tc>
          <w:tcPr>
            <w:tcW w:w="60" w:type="dxa"/>
            <w:vAlign w:val="bottom"/>
          </w:tcPr>
          <w:p>
            <w:pPr>
              <w:spacing w:after="0"/>
              <w:rPr>
                <w:sz w:val="12"/>
                <w:szCs w:val="12"/>
                <w:color w:val="auto"/>
              </w:rPr>
            </w:pPr>
          </w:p>
        </w:tc>
        <w:tc>
          <w:tcPr>
            <w:tcW w:w="700" w:type="dxa"/>
            <w:vAlign w:val="bottom"/>
            <w:tcBorders>
              <w:right w:val="single" w:sz="8" w:color="auto"/>
            </w:tcBorders>
            <w:vMerge w:val="continue"/>
          </w:tcPr>
          <w:p>
            <w:pPr>
              <w:spacing w:after="0"/>
              <w:rPr>
                <w:sz w:val="12"/>
                <w:szCs w:val="12"/>
                <w:color w:val="auto"/>
              </w:rPr>
            </w:pPr>
          </w:p>
        </w:tc>
        <w:tc>
          <w:tcPr>
            <w:tcW w:w="1320" w:type="dxa"/>
            <w:vAlign w:val="bottom"/>
            <w:tcBorders>
              <w:right w:val="single" w:sz="8" w:color="auto"/>
            </w:tcBorders>
            <w:vMerge w:val="restart"/>
          </w:tcPr>
          <w:p>
            <w:pPr>
              <w:jc w:val="center"/>
              <w:spacing w:after="0" w:line="216" w:lineRule="exact"/>
              <w:rPr>
                <w:sz w:val="20"/>
                <w:szCs w:val="20"/>
                <w:color w:val="auto"/>
              </w:rPr>
            </w:pPr>
            <w:r>
              <w:rPr>
                <w:rFonts w:ascii="Calibri" w:cs="Calibri" w:eastAsia="Calibri" w:hAnsi="Calibri"/>
                <w:sz w:val="18"/>
                <w:szCs w:val="18"/>
                <w:color w:val="auto"/>
              </w:rPr>
              <w:t>amount</w:t>
            </w:r>
          </w:p>
        </w:tc>
        <w:tc>
          <w:tcPr>
            <w:tcW w:w="1140" w:type="dxa"/>
            <w:vAlign w:val="bottom"/>
            <w:tcBorders>
              <w:right w:val="single" w:sz="8" w:color="auto"/>
            </w:tcBorders>
            <w:vMerge w:val="continue"/>
          </w:tcPr>
          <w:p>
            <w:pPr>
              <w:spacing w:after="0"/>
              <w:rPr>
                <w:sz w:val="12"/>
                <w:szCs w:val="12"/>
                <w:color w:val="auto"/>
              </w:rPr>
            </w:pPr>
          </w:p>
        </w:tc>
        <w:tc>
          <w:tcPr>
            <w:tcW w:w="820" w:type="dxa"/>
            <w:vAlign w:val="bottom"/>
            <w:tcBorders>
              <w:right w:val="single" w:sz="8" w:color="auto"/>
            </w:tcBorders>
            <w:vMerge w:val="restart"/>
          </w:tcPr>
          <w:p>
            <w:pPr>
              <w:jc w:val="center"/>
              <w:spacing w:after="0"/>
              <w:rPr>
                <w:sz w:val="20"/>
                <w:szCs w:val="20"/>
                <w:color w:val="auto"/>
              </w:rPr>
            </w:pPr>
            <w:r>
              <w:rPr>
                <w:rFonts w:ascii="Calibri" w:cs="Calibri" w:eastAsia="Calibri" w:hAnsi="Calibri"/>
                <w:sz w:val="18"/>
                <w:szCs w:val="18"/>
                <w:color w:val="auto"/>
                <w:w w:val="99"/>
              </w:rPr>
              <w:t>for idle</w:t>
            </w:r>
          </w:p>
        </w:tc>
        <w:tc>
          <w:tcPr>
            <w:tcW w:w="1080" w:type="dxa"/>
            <w:vAlign w:val="bottom"/>
            <w:tcBorders>
              <w:right w:val="single" w:sz="8" w:color="auto"/>
            </w:tcBorders>
            <w:vMerge w:val="restart"/>
          </w:tcPr>
          <w:p>
            <w:pPr>
              <w:jc w:val="center"/>
              <w:spacing w:after="0"/>
              <w:rPr>
                <w:sz w:val="20"/>
                <w:szCs w:val="20"/>
                <w:color w:val="auto"/>
              </w:rPr>
            </w:pPr>
            <w:r>
              <w:rPr>
                <w:rFonts w:ascii="Calibri" w:cs="Calibri" w:eastAsia="Calibri" w:hAnsi="Calibri"/>
                <w:sz w:val="18"/>
                <w:szCs w:val="18"/>
                <w:color w:val="auto"/>
              </w:rPr>
              <w:t>course of</w:t>
            </w:r>
          </w:p>
        </w:tc>
        <w:tc>
          <w:tcPr>
            <w:tcW w:w="0" w:type="dxa"/>
            <w:vAlign w:val="bottom"/>
          </w:tcPr>
          <w:p>
            <w:pPr>
              <w:spacing w:after="0"/>
              <w:rPr>
                <w:sz w:val="1"/>
                <w:szCs w:val="1"/>
                <w:color w:val="auto"/>
              </w:rPr>
            </w:pPr>
          </w:p>
        </w:tc>
      </w:tr>
      <w:tr>
        <w:trPr>
          <w:trHeight w:val="73"/>
        </w:trPr>
        <w:tc>
          <w:tcPr>
            <w:tcW w:w="760" w:type="dxa"/>
            <w:vAlign w:val="bottom"/>
            <w:tcBorders>
              <w:left w:val="single" w:sz="8" w:color="auto"/>
              <w:right w:val="single" w:sz="8" w:color="auto"/>
            </w:tcBorders>
          </w:tcPr>
          <w:p>
            <w:pPr>
              <w:spacing w:after="0"/>
              <w:rPr>
                <w:sz w:val="6"/>
                <w:szCs w:val="6"/>
                <w:color w:val="auto"/>
              </w:rPr>
            </w:pPr>
          </w:p>
        </w:tc>
        <w:tc>
          <w:tcPr>
            <w:tcW w:w="680" w:type="dxa"/>
            <w:vAlign w:val="bottom"/>
            <w:tcBorders>
              <w:right w:val="single" w:sz="8" w:color="auto"/>
            </w:tcBorders>
          </w:tcPr>
          <w:p>
            <w:pPr>
              <w:spacing w:after="0"/>
              <w:rPr>
                <w:sz w:val="6"/>
                <w:szCs w:val="6"/>
                <w:color w:val="auto"/>
              </w:rPr>
            </w:pPr>
          </w:p>
        </w:tc>
        <w:tc>
          <w:tcPr>
            <w:tcW w:w="1040" w:type="dxa"/>
            <w:vAlign w:val="bottom"/>
            <w:tcBorders>
              <w:right w:val="single" w:sz="8" w:color="auto"/>
            </w:tcBorders>
            <w:vMerge w:val="continue"/>
          </w:tcPr>
          <w:p>
            <w:pPr>
              <w:spacing w:after="0"/>
              <w:rPr>
                <w:sz w:val="6"/>
                <w:szCs w:val="6"/>
                <w:color w:val="auto"/>
              </w:rPr>
            </w:pPr>
          </w:p>
        </w:tc>
        <w:tc>
          <w:tcPr>
            <w:tcW w:w="1040" w:type="dxa"/>
            <w:vAlign w:val="bottom"/>
            <w:tcBorders>
              <w:right w:val="single" w:sz="8" w:color="auto"/>
            </w:tcBorders>
            <w:vMerge w:val="restart"/>
          </w:tcPr>
          <w:p>
            <w:pPr>
              <w:jc w:val="center"/>
              <w:spacing w:after="0" w:line="184" w:lineRule="exact"/>
              <w:rPr>
                <w:sz w:val="20"/>
                <w:szCs w:val="20"/>
                <w:color w:val="auto"/>
              </w:rPr>
            </w:pPr>
            <w:r>
              <w:rPr>
                <w:rFonts w:ascii="Calibri" w:cs="Calibri" w:eastAsia="Calibri" w:hAnsi="Calibri"/>
                <w:sz w:val="18"/>
                <w:szCs w:val="18"/>
                <w:color w:val="auto"/>
              </w:rPr>
              <w:t>of the</w:t>
            </w:r>
          </w:p>
        </w:tc>
        <w:tc>
          <w:tcPr>
            <w:tcW w:w="780" w:type="dxa"/>
            <w:vAlign w:val="bottom"/>
            <w:tcBorders>
              <w:right w:val="single" w:sz="8" w:color="auto"/>
            </w:tcBorders>
            <w:vMerge w:val="continue"/>
          </w:tcPr>
          <w:p>
            <w:pPr>
              <w:spacing w:after="0"/>
              <w:rPr>
                <w:sz w:val="6"/>
                <w:szCs w:val="6"/>
                <w:color w:val="auto"/>
              </w:rPr>
            </w:pPr>
          </w:p>
        </w:tc>
        <w:tc>
          <w:tcPr>
            <w:tcW w:w="60" w:type="dxa"/>
            <w:vAlign w:val="bottom"/>
          </w:tcPr>
          <w:p>
            <w:pPr>
              <w:spacing w:after="0"/>
              <w:rPr>
                <w:sz w:val="6"/>
                <w:szCs w:val="6"/>
                <w:color w:val="auto"/>
              </w:rPr>
            </w:pPr>
          </w:p>
        </w:tc>
        <w:tc>
          <w:tcPr>
            <w:tcW w:w="700" w:type="dxa"/>
            <w:vAlign w:val="bottom"/>
            <w:tcBorders>
              <w:right w:val="single" w:sz="8" w:color="auto"/>
            </w:tcBorders>
            <w:vMerge w:val="restart"/>
          </w:tcPr>
          <w:p>
            <w:pPr>
              <w:jc w:val="center"/>
              <w:spacing w:after="0" w:line="184" w:lineRule="exact"/>
              <w:rPr>
                <w:sz w:val="20"/>
                <w:szCs w:val="20"/>
                <w:color w:val="auto"/>
              </w:rPr>
            </w:pPr>
            <w:r>
              <w:rPr>
                <w:rFonts w:ascii="Calibri" w:cs="Calibri" w:eastAsia="Calibri" w:hAnsi="Calibri"/>
                <w:sz w:val="18"/>
                <w:szCs w:val="18"/>
                <w:color w:val="auto"/>
              </w:rPr>
              <w:t>the</w:t>
            </w:r>
          </w:p>
        </w:tc>
        <w:tc>
          <w:tcPr>
            <w:tcW w:w="1320" w:type="dxa"/>
            <w:vAlign w:val="bottom"/>
            <w:tcBorders>
              <w:right w:val="single" w:sz="8" w:color="auto"/>
            </w:tcBorders>
            <w:vMerge w:val="continue"/>
          </w:tcPr>
          <w:p>
            <w:pPr>
              <w:spacing w:after="0"/>
              <w:rPr>
                <w:sz w:val="6"/>
                <w:szCs w:val="6"/>
                <w:color w:val="auto"/>
              </w:rPr>
            </w:pPr>
          </w:p>
        </w:tc>
        <w:tc>
          <w:tcPr>
            <w:tcW w:w="1140" w:type="dxa"/>
            <w:vAlign w:val="bottom"/>
            <w:tcBorders>
              <w:right w:val="single" w:sz="8" w:color="auto"/>
            </w:tcBorders>
            <w:vMerge w:val="restart"/>
          </w:tcPr>
          <w:p>
            <w:pPr>
              <w:jc w:val="center"/>
              <w:spacing w:after="0" w:line="179" w:lineRule="exact"/>
              <w:rPr>
                <w:sz w:val="20"/>
                <w:szCs w:val="20"/>
                <w:color w:val="auto"/>
              </w:rPr>
            </w:pPr>
            <w:r>
              <w:rPr>
                <w:rFonts w:ascii="Calibri" w:cs="Calibri" w:eastAsia="Calibri" w:hAnsi="Calibri"/>
                <w:sz w:val="18"/>
                <w:szCs w:val="18"/>
                <w:color w:val="auto"/>
                <w:w w:val="97"/>
              </w:rPr>
              <w:t>Agency</w:t>
            </w:r>
          </w:p>
        </w:tc>
        <w:tc>
          <w:tcPr>
            <w:tcW w:w="820" w:type="dxa"/>
            <w:vAlign w:val="bottom"/>
            <w:tcBorders>
              <w:right w:val="single" w:sz="8" w:color="auto"/>
            </w:tcBorders>
            <w:vMerge w:val="continue"/>
          </w:tcPr>
          <w:p>
            <w:pPr>
              <w:spacing w:after="0"/>
              <w:rPr>
                <w:sz w:val="6"/>
                <w:szCs w:val="6"/>
                <w:color w:val="auto"/>
              </w:rPr>
            </w:pPr>
          </w:p>
        </w:tc>
        <w:tc>
          <w:tcPr>
            <w:tcW w:w="1080" w:type="dxa"/>
            <w:vAlign w:val="bottom"/>
            <w:tcBorders>
              <w:right w:val="single" w:sz="8" w:color="auto"/>
            </w:tcBorders>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10"/>
        </w:trPr>
        <w:tc>
          <w:tcPr>
            <w:tcW w:w="760" w:type="dxa"/>
            <w:vAlign w:val="bottom"/>
            <w:tcBorders>
              <w:left w:val="single" w:sz="8" w:color="auto"/>
              <w:right w:val="single" w:sz="8" w:color="auto"/>
            </w:tcBorders>
          </w:tcPr>
          <w:p>
            <w:pPr>
              <w:spacing w:after="0"/>
              <w:rPr>
                <w:sz w:val="9"/>
                <w:szCs w:val="9"/>
                <w:color w:val="auto"/>
              </w:rPr>
            </w:pPr>
          </w:p>
        </w:tc>
        <w:tc>
          <w:tcPr>
            <w:tcW w:w="680" w:type="dxa"/>
            <w:vAlign w:val="bottom"/>
            <w:tcBorders>
              <w:right w:val="single" w:sz="8" w:color="auto"/>
            </w:tcBorders>
          </w:tcPr>
          <w:p>
            <w:pPr>
              <w:spacing w:after="0"/>
              <w:rPr>
                <w:sz w:val="9"/>
                <w:szCs w:val="9"/>
                <w:color w:val="auto"/>
              </w:rPr>
            </w:pPr>
          </w:p>
        </w:tc>
        <w:tc>
          <w:tcPr>
            <w:tcW w:w="1040" w:type="dxa"/>
            <w:vAlign w:val="bottom"/>
            <w:tcBorders>
              <w:right w:val="single" w:sz="8" w:color="auto"/>
            </w:tcBorders>
            <w:vMerge w:val="restart"/>
          </w:tcPr>
          <w:p>
            <w:pPr>
              <w:jc w:val="center"/>
              <w:spacing w:after="0" w:line="214" w:lineRule="exact"/>
              <w:rPr>
                <w:sz w:val="20"/>
                <w:szCs w:val="20"/>
                <w:color w:val="auto"/>
              </w:rPr>
            </w:pPr>
            <w:r>
              <w:rPr>
                <w:rFonts w:ascii="Calibri" w:cs="Calibri" w:eastAsia="Calibri" w:hAnsi="Calibri"/>
                <w:sz w:val="18"/>
                <w:szCs w:val="18"/>
                <w:color w:val="auto"/>
              </w:rPr>
              <w:t>Document</w:t>
            </w:r>
          </w:p>
        </w:tc>
        <w:tc>
          <w:tcPr>
            <w:tcW w:w="1040" w:type="dxa"/>
            <w:vAlign w:val="bottom"/>
            <w:tcBorders>
              <w:right w:val="single" w:sz="8" w:color="auto"/>
            </w:tcBorders>
            <w:vMerge w:val="continue"/>
          </w:tcPr>
          <w:p>
            <w:pPr>
              <w:spacing w:after="0"/>
              <w:rPr>
                <w:sz w:val="9"/>
                <w:szCs w:val="9"/>
                <w:color w:val="auto"/>
              </w:rPr>
            </w:pPr>
          </w:p>
        </w:tc>
        <w:tc>
          <w:tcPr>
            <w:tcW w:w="780" w:type="dxa"/>
            <w:vAlign w:val="bottom"/>
            <w:tcBorders>
              <w:right w:val="single" w:sz="8" w:color="auto"/>
            </w:tcBorders>
            <w:vMerge w:val="restart"/>
          </w:tcPr>
          <w:p>
            <w:pPr>
              <w:jc w:val="center"/>
              <w:spacing w:after="0" w:line="218" w:lineRule="exact"/>
              <w:rPr>
                <w:sz w:val="20"/>
                <w:szCs w:val="20"/>
                <w:color w:val="auto"/>
              </w:rPr>
            </w:pPr>
            <w:r>
              <w:rPr>
                <w:rFonts w:ascii="Calibri" w:cs="Calibri" w:eastAsia="Calibri" w:hAnsi="Calibri"/>
                <w:sz w:val="18"/>
                <w:szCs w:val="18"/>
                <w:color w:val="auto"/>
                <w:w w:val="97"/>
              </w:rPr>
              <w:t>quarter</w:t>
            </w:r>
          </w:p>
        </w:tc>
        <w:tc>
          <w:tcPr>
            <w:tcW w:w="60" w:type="dxa"/>
            <w:vAlign w:val="bottom"/>
          </w:tcPr>
          <w:p>
            <w:pPr>
              <w:spacing w:after="0"/>
              <w:rPr>
                <w:sz w:val="9"/>
                <w:szCs w:val="9"/>
                <w:color w:val="auto"/>
              </w:rPr>
            </w:pPr>
          </w:p>
        </w:tc>
        <w:tc>
          <w:tcPr>
            <w:tcW w:w="700" w:type="dxa"/>
            <w:vAlign w:val="bottom"/>
            <w:tcBorders>
              <w:right w:val="single" w:sz="8" w:color="auto"/>
            </w:tcBorders>
            <w:vMerge w:val="continue"/>
          </w:tcPr>
          <w:p>
            <w:pPr>
              <w:spacing w:after="0"/>
              <w:rPr>
                <w:sz w:val="9"/>
                <w:szCs w:val="9"/>
                <w:color w:val="auto"/>
              </w:rPr>
            </w:pPr>
          </w:p>
        </w:tc>
        <w:tc>
          <w:tcPr>
            <w:tcW w:w="1320" w:type="dxa"/>
            <w:vAlign w:val="bottom"/>
            <w:tcBorders>
              <w:right w:val="single" w:sz="8" w:color="auto"/>
            </w:tcBorders>
          </w:tcPr>
          <w:p>
            <w:pPr>
              <w:spacing w:after="0"/>
              <w:rPr>
                <w:sz w:val="9"/>
                <w:szCs w:val="9"/>
                <w:color w:val="auto"/>
              </w:rPr>
            </w:pPr>
          </w:p>
        </w:tc>
        <w:tc>
          <w:tcPr>
            <w:tcW w:w="1140" w:type="dxa"/>
            <w:vAlign w:val="bottom"/>
            <w:tcBorders>
              <w:right w:val="single" w:sz="8" w:color="auto"/>
            </w:tcBorders>
            <w:vMerge w:val="continue"/>
          </w:tcPr>
          <w:p>
            <w:pPr>
              <w:spacing w:after="0"/>
              <w:rPr>
                <w:sz w:val="9"/>
                <w:szCs w:val="9"/>
                <w:color w:val="auto"/>
              </w:rPr>
            </w:pPr>
          </w:p>
        </w:tc>
        <w:tc>
          <w:tcPr>
            <w:tcW w:w="820" w:type="dxa"/>
            <w:vAlign w:val="bottom"/>
            <w:tcBorders>
              <w:right w:val="single" w:sz="8" w:color="auto"/>
            </w:tcBorders>
            <w:vMerge w:val="restart"/>
          </w:tcPr>
          <w:p>
            <w:pPr>
              <w:jc w:val="center"/>
              <w:spacing w:after="0" w:line="218" w:lineRule="exact"/>
              <w:rPr>
                <w:sz w:val="20"/>
                <w:szCs w:val="20"/>
                <w:color w:val="auto"/>
              </w:rPr>
            </w:pPr>
            <w:r>
              <w:rPr>
                <w:rFonts w:ascii="Calibri" w:cs="Calibri" w:eastAsia="Calibri" w:hAnsi="Calibri"/>
                <w:sz w:val="18"/>
                <w:szCs w:val="18"/>
                <w:color w:val="auto"/>
                <w:w w:val="97"/>
              </w:rPr>
              <w:t>funds</w:t>
            </w:r>
          </w:p>
        </w:tc>
        <w:tc>
          <w:tcPr>
            <w:tcW w:w="1080" w:type="dxa"/>
            <w:vAlign w:val="bottom"/>
            <w:tcBorders>
              <w:right w:val="single" w:sz="8" w:color="auto"/>
            </w:tcBorders>
            <w:vMerge w:val="restart"/>
          </w:tcPr>
          <w:p>
            <w:pPr>
              <w:jc w:val="center"/>
              <w:spacing w:after="0" w:line="218" w:lineRule="exact"/>
              <w:rPr>
                <w:sz w:val="20"/>
                <w:szCs w:val="20"/>
                <w:color w:val="auto"/>
              </w:rPr>
            </w:pPr>
            <w:r>
              <w:rPr>
                <w:rFonts w:ascii="Calibri" w:cs="Calibri" w:eastAsia="Calibri" w:hAnsi="Calibri"/>
                <w:sz w:val="18"/>
                <w:szCs w:val="18"/>
                <w:color w:val="auto"/>
                <w:w w:val="96"/>
              </w:rPr>
              <w:t>action</w:t>
            </w:r>
          </w:p>
        </w:tc>
        <w:tc>
          <w:tcPr>
            <w:tcW w:w="0" w:type="dxa"/>
            <w:vAlign w:val="bottom"/>
          </w:tcPr>
          <w:p>
            <w:pPr>
              <w:spacing w:after="0"/>
              <w:rPr>
                <w:sz w:val="1"/>
                <w:szCs w:val="1"/>
                <w:color w:val="auto"/>
              </w:rPr>
            </w:pPr>
          </w:p>
        </w:tc>
      </w:tr>
      <w:tr>
        <w:trPr>
          <w:trHeight w:val="108"/>
        </w:trPr>
        <w:tc>
          <w:tcPr>
            <w:tcW w:w="760" w:type="dxa"/>
            <w:vAlign w:val="bottom"/>
            <w:tcBorders>
              <w:left w:val="single" w:sz="8" w:color="auto"/>
              <w:right w:val="single" w:sz="8" w:color="auto"/>
            </w:tcBorders>
          </w:tcPr>
          <w:p>
            <w:pPr>
              <w:spacing w:after="0"/>
              <w:rPr>
                <w:sz w:val="9"/>
                <w:szCs w:val="9"/>
                <w:color w:val="auto"/>
              </w:rPr>
            </w:pPr>
          </w:p>
        </w:tc>
        <w:tc>
          <w:tcPr>
            <w:tcW w:w="680" w:type="dxa"/>
            <w:vAlign w:val="bottom"/>
            <w:tcBorders>
              <w:right w:val="single" w:sz="8" w:color="auto"/>
            </w:tcBorders>
          </w:tcPr>
          <w:p>
            <w:pPr>
              <w:spacing w:after="0"/>
              <w:rPr>
                <w:sz w:val="9"/>
                <w:szCs w:val="9"/>
                <w:color w:val="auto"/>
              </w:rPr>
            </w:pPr>
          </w:p>
        </w:tc>
        <w:tc>
          <w:tcPr>
            <w:tcW w:w="1040" w:type="dxa"/>
            <w:vAlign w:val="bottom"/>
            <w:tcBorders>
              <w:right w:val="single" w:sz="8" w:color="auto"/>
            </w:tcBorders>
            <w:vMerge w:val="continue"/>
          </w:tcPr>
          <w:p>
            <w:pPr>
              <w:spacing w:after="0"/>
              <w:rPr>
                <w:sz w:val="9"/>
                <w:szCs w:val="9"/>
                <w:color w:val="auto"/>
              </w:rPr>
            </w:pPr>
          </w:p>
        </w:tc>
        <w:tc>
          <w:tcPr>
            <w:tcW w:w="1040" w:type="dxa"/>
            <w:vAlign w:val="bottom"/>
            <w:tcBorders>
              <w:right w:val="single" w:sz="8" w:color="auto"/>
            </w:tcBorders>
            <w:vMerge w:val="restart"/>
          </w:tcPr>
          <w:p>
            <w:pPr>
              <w:jc w:val="center"/>
              <w:spacing w:after="0" w:line="218" w:lineRule="exact"/>
              <w:rPr>
                <w:sz w:val="20"/>
                <w:szCs w:val="20"/>
                <w:color w:val="auto"/>
              </w:rPr>
            </w:pPr>
            <w:r>
              <w:rPr>
                <w:rFonts w:ascii="Calibri" w:cs="Calibri" w:eastAsia="Calibri" w:hAnsi="Calibri"/>
                <w:sz w:val="18"/>
                <w:szCs w:val="18"/>
                <w:color w:val="auto"/>
                <w:w w:val="97"/>
              </w:rPr>
              <w:t>quarter</w:t>
            </w:r>
          </w:p>
        </w:tc>
        <w:tc>
          <w:tcPr>
            <w:tcW w:w="780" w:type="dxa"/>
            <w:vAlign w:val="bottom"/>
            <w:tcBorders>
              <w:right w:val="single" w:sz="8" w:color="auto"/>
            </w:tcBorders>
            <w:vMerge w:val="continue"/>
          </w:tcPr>
          <w:p>
            <w:pPr>
              <w:spacing w:after="0"/>
              <w:rPr>
                <w:sz w:val="9"/>
                <w:szCs w:val="9"/>
                <w:color w:val="auto"/>
              </w:rPr>
            </w:pPr>
          </w:p>
        </w:tc>
        <w:tc>
          <w:tcPr>
            <w:tcW w:w="60" w:type="dxa"/>
            <w:vAlign w:val="bottom"/>
          </w:tcPr>
          <w:p>
            <w:pPr>
              <w:spacing w:after="0"/>
              <w:rPr>
                <w:sz w:val="9"/>
                <w:szCs w:val="9"/>
                <w:color w:val="auto"/>
              </w:rPr>
            </w:pPr>
          </w:p>
        </w:tc>
        <w:tc>
          <w:tcPr>
            <w:tcW w:w="700" w:type="dxa"/>
            <w:vAlign w:val="bottom"/>
            <w:tcBorders>
              <w:right w:val="single" w:sz="8" w:color="auto"/>
            </w:tcBorders>
            <w:vMerge w:val="restart"/>
          </w:tcPr>
          <w:p>
            <w:pPr>
              <w:jc w:val="center"/>
              <w:spacing w:after="0" w:line="218" w:lineRule="exact"/>
              <w:rPr>
                <w:sz w:val="20"/>
                <w:szCs w:val="20"/>
                <w:color w:val="auto"/>
              </w:rPr>
            </w:pPr>
            <w:r>
              <w:rPr>
                <w:rFonts w:ascii="Calibri" w:cs="Calibri" w:eastAsia="Calibri" w:hAnsi="Calibri"/>
                <w:sz w:val="18"/>
                <w:szCs w:val="18"/>
                <w:color w:val="auto"/>
                <w:w w:val="97"/>
              </w:rPr>
              <w:t>quarter</w:t>
            </w:r>
          </w:p>
        </w:tc>
        <w:tc>
          <w:tcPr>
            <w:tcW w:w="1320" w:type="dxa"/>
            <w:vAlign w:val="bottom"/>
            <w:tcBorders>
              <w:right w:val="single" w:sz="8" w:color="auto"/>
            </w:tcBorders>
          </w:tcPr>
          <w:p>
            <w:pPr>
              <w:spacing w:after="0"/>
              <w:rPr>
                <w:sz w:val="9"/>
                <w:szCs w:val="9"/>
                <w:color w:val="auto"/>
              </w:rPr>
            </w:pPr>
          </w:p>
        </w:tc>
        <w:tc>
          <w:tcPr>
            <w:tcW w:w="1140" w:type="dxa"/>
            <w:vAlign w:val="bottom"/>
            <w:tcBorders>
              <w:right w:val="single" w:sz="8" w:color="auto"/>
            </w:tcBorders>
          </w:tcPr>
          <w:p>
            <w:pPr>
              <w:spacing w:after="0"/>
              <w:rPr>
                <w:sz w:val="9"/>
                <w:szCs w:val="9"/>
                <w:color w:val="auto"/>
              </w:rPr>
            </w:pPr>
          </w:p>
        </w:tc>
        <w:tc>
          <w:tcPr>
            <w:tcW w:w="820" w:type="dxa"/>
            <w:vAlign w:val="bottom"/>
            <w:tcBorders>
              <w:right w:val="single" w:sz="8" w:color="auto"/>
            </w:tcBorders>
            <w:vMerge w:val="continue"/>
          </w:tcPr>
          <w:p>
            <w:pPr>
              <w:spacing w:after="0"/>
              <w:rPr>
                <w:sz w:val="9"/>
                <w:szCs w:val="9"/>
                <w:color w:val="auto"/>
              </w:rPr>
            </w:pPr>
          </w:p>
        </w:tc>
        <w:tc>
          <w:tcPr>
            <w:tcW w:w="1080" w:type="dxa"/>
            <w:vAlign w:val="bottom"/>
            <w:tcBorders>
              <w:right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14"/>
        </w:trPr>
        <w:tc>
          <w:tcPr>
            <w:tcW w:w="760" w:type="dxa"/>
            <w:vAlign w:val="bottom"/>
            <w:tcBorders>
              <w:left w:val="single" w:sz="8" w:color="auto"/>
              <w:bottom w:val="single" w:sz="8" w:color="auto"/>
              <w:right w:val="single" w:sz="8" w:color="auto"/>
            </w:tcBorders>
          </w:tcPr>
          <w:p>
            <w:pPr>
              <w:spacing w:after="0"/>
              <w:rPr>
                <w:sz w:val="9"/>
                <w:szCs w:val="9"/>
                <w:color w:val="auto"/>
              </w:rPr>
            </w:pPr>
          </w:p>
        </w:tc>
        <w:tc>
          <w:tcPr>
            <w:tcW w:w="680" w:type="dxa"/>
            <w:vAlign w:val="bottom"/>
            <w:tcBorders>
              <w:bottom w:val="single" w:sz="8" w:color="auto"/>
              <w:right w:val="single" w:sz="8" w:color="auto"/>
            </w:tcBorders>
          </w:tcPr>
          <w:p>
            <w:pPr>
              <w:spacing w:after="0"/>
              <w:rPr>
                <w:sz w:val="9"/>
                <w:szCs w:val="9"/>
                <w:color w:val="auto"/>
              </w:rPr>
            </w:pPr>
          </w:p>
        </w:tc>
        <w:tc>
          <w:tcPr>
            <w:tcW w:w="1040" w:type="dxa"/>
            <w:vAlign w:val="bottom"/>
            <w:tcBorders>
              <w:bottom w:val="single" w:sz="8" w:color="auto"/>
              <w:right w:val="single" w:sz="8" w:color="auto"/>
            </w:tcBorders>
          </w:tcPr>
          <w:p>
            <w:pPr>
              <w:spacing w:after="0"/>
              <w:rPr>
                <w:sz w:val="9"/>
                <w:szCs w:val="9"/>
                <w:color w:val="auto"/>
              </w:rPr>
            </w:pPr>
          </w:p>
        </w:tc>
        <w:tc>
          <w:tcPr>
            <w:tcW w:w="1040" w:type="dxa"/>
            <w:vAlign w:val="bottom"/>
            <w:tcBorders>
              <w:bottom w:val="single" w:sz="8" w:color="auto"/>
              <w:right w:val="single" w:sz="8" w:color="auto"/>
            </w:tcBorders>
            <w:vMerge w:val="continue"/>
          </w:tcPr>
          <w:p>
            <w:pPr>
              <w:spacing w:after="0"/>
              <w:rPr>
                <w:sz w:val="9"/>
                <w:szCs w:val="9"/>
                <w:color w:val="auto"/>
              </w:rPr>
            </w:pPr>
          </w:p>
        </w:tc>
        <w:tc>
          <w:tcPr>
            <w:tcW w:w="780" w:type="dxa"/>
            <w:vAlign w:val="bottom"/>
            <w:tcBorders>
              <w:bottom w:val="single" w:sz="8" w:color="auto"/>
              <w:right w:val="single" w:sz="8" w:color="auto"/>
            </w:tcBorders>
          </w:tcPr>
          <w:p>
            <w:pPr>
              <w:spacing w:after="0"/>
              <w:rPr>
                <w:sz w:val="9"/>
                <w:szCs w:val="9"/>
                <w:color w:val="auto"/>
              </w:rPr>
            </w:pPr>
          </w:p>
        </w:tc>
        <w:tc>
          <w:tcPr>
            <w:tcW w:w="60" w:type="dxa"/>
            <w:vAlign w:val="bottom"/>
            <w:tcBorders>
              <w:bottom w:val="single" w:sz="8" w:color="auto"/>
            </w:tcBorders>
          </w:tcPr>
          <w:p>
            <w:pPr>
              <w:spacing w:after="0"/>
              <w:rPr>
                <w:sz w:val="9"/>
                <w:szCs w:val="9"/>
                <w:color w:val="auto"/>
              </w:rPr>
            </w:pPr>
          </w:p>
        </w:tc>
        <w:tc>
          <w:tcPr>
            <w:tcW w:w="700" w:type="dxa"/>
            <w:vAlign w:val="bottom"/>
            <w:tcBorders>
              <w:bottom w:val="single" w:sz="8" w:color="auto"/>
              <w:right w:val="single" w:sz="8" w:color="auto"/>
            </w:tcBorders>
            <w:vMerge w:val="continue"/>
          </w:tcPr>
          <w:p>
            <w:pPr>
              <w:spacing w:after="0"/>
              <w:rPr>
                <w:sz w:val="9"/>
                <w:szCs w:val="9"/>
                <w:color w:val="auto"/>
              </w:rPr>
            </w:pPr>
          </w:p>
        </w:tc>
        <w:tc>
          <w:tcPr>
            <w:tcW w:w="1320" w:type="dxa"/>
            <w:vAlign w:val="bottom"/>
            <w:tcBorders>
              <w:bottom w:val="single" w:sz="8" w:color="auto"/>
              <w:right w:val="single" w:sz="8" w:color="auto"/>
            </w:tcBorders>
          </w:tcPr>
          <w:p>
            <w:pPr>
              <w:spacing w:after="0"/>
              <w:rPr>
                <w:sz w:val="9"/>
                <w:szCs w:val="9"/>
                <w:color w:val="auto"/>
              </w:rPr>
            </w:pPr>
          </w:p>
        </w:tc>
        <w:tc>
          <w:tcPr>
            <w:tcW w:w="1140" w:type="dxa"/>
            <w:vAlign w:val="bottom"/>
            <w:tcBorders>
              <w:bottom w:val="single" w:sz="8" w:color="auto"/>
              <w:right w:val="single" w:sz="8" w:color="auto"/>
            </w:tcBorders>
          </w:tcPr>
          <w:p>
            <w:pPr>
              <w:spacing w:after="0"/>
              <w:rPr>
                <w:sz w:val="9"/>
                <w:szCs w:val="9"/>
                <w:color w:val="auto"/>
              </w:rPr>
            </w:pPr>
          </w:p>
        </w:tc>
        <w:tc>
          <w:tcPr>
            <w:tcW w:w="820" w:type="dxa"/>
            <w:vAlign w:val="bottom"/>
            <w:tcBorders>
              <w:bottom w:val="single" w:sz="8" w:color="auto"/>
              <w:right w:val="single" w:sz="8" w:color="auto"/>
            </w:tcBorders>
          </w:tcPr>
          <w:p>
            <w:pPr>
              <w:spacing w:after="0"/>
              <w:rPr>
                <w:sz w:val="9"/>
                <w:szCs w:val="9"/>
                <w:color w:val="auto"/>
              </w:rPr>
            </w:pPr>
          </w:p>
        </w:tc>
        <w:tc>
          <w:tcPr>
            <w:tcW w:w="108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242"/>
        </w:trPr>
        <w:tc>
          <w:tcPr>
            <w:tcW w:w="760" w:type="dxa"/>
            <w:vAlign w:val="bottom"/>
            <w:tcBorders>
              <w:left w:val="single" w:sz="8" w:color="auto"/>
              <w:bottom w:val="single" w:sz="8" w:color="auto"/>
              <w:right w:val="single" w:sz="8" w:color="auto"/>
            </w:tcBorders>
          </w:tcPr>
          <w:p>
            <w:pPr>
              <w:spacing w:after="0"/>
              <w:rPr>
                <w:sz w:val="21"/>
                <w:szCs w:val="21"/>
                <w:color w:val="auto"/>
              </w:rPr>
            </w:pPr>
          </w:p>
        </w:tc>
        <w:tc>
          <w:tcPr>
            <w:tcW w:w="680" w:type="dxa"/>
            <w:vAlign w:val="bottom"/>
            <w:tcBorders>
              <w:bottom w:val="single" w:sz="8" w:color="auto"/>
              <w:right w:val="single" w:sz="8" w:color="auto"/>
            </w:tcBorders>
          </w:tcPr>
          <w:p>
            <w:pPr>
              <w:spacing w:after="0"/>
              <w:rPr>
                <w:sz w:val="21"/>
                <w:szCs w:val="21"/>
                <w:color w:val="auto"/>
              </w:rPr>
            </w:pPr>
          </w:p>
        </w:tc>
        <w:tc>
          <w:tcPr>
            <w:tcW w:w="1040" w:type="dxa"/>
            <w:vAlign w:val="bottom"/>
            <w:tcBorders>
              <w:bottom w:val="single" w:sz="8" w:color="auto"/>
              <w:right w:val="single" w:sz="8" w:color="auto"/>
            </w:tcBorders>
          </w:tcPr>
          <w:p>
            <w:pPr>
              <w:spacing w:after="0"/>
              <w:rPr>
                <w:sz w:val="21"/>
                <w:szCs w:val="21"/>
                <w:color w:val="auto"/>
              </w:rPr>
            </w:pPr>
          </w:p>
        </w:tc>
        <w:tc>
          <w:tcPr>
            <w:tcW w:w="1040" w:type="dxa"/>
            <w:vAlign w:val="bottom"/>
            <w:tcBorders>
              <w:bottom w:val="single" w:sz="8" w:color="auto"/>
              <w:right w:val="single" w:sz="8" w:color="auto"/>
            </w:tcBorders>
          </w:tcPr>
          <w:p>
            <w:pPr>
              <w:spacing w:after="0"/>
              <w:rPr>
                <w:sz w:val="21"/>
                <w:szCs w:val="21"/>
                <w:color w:val="auto"/>
              </w:rPr>
            </w:pPr>
          </w:p>
        </w:tc>
        <w:tc>
          <w:tcPr>
            <w:tcW w:w="780" w:type="dxa"/>
            <w:vAlign w:val="bottom"/>
            <w:tcBorders>
              <w:bottom w:val="single" w:sz="8" w:color="auto"/>
              <w:right w:val="single" w:sz="8" w:color="auto"/>
            </w:tcBorders>
          </w:tcPr>
          <w:p>
            <w:pPr>
              <w:spacing w:after="0"/>
              <w:rPr>
                <w:sz w:val="21"/>
                <w:szCs w:val="21"/>
                <w:color w:val="auto"/>
              </w:rPr>
            </w:pPr>
          </w:p>
        </w:tc>
        <w:tc>
          <w:tcPr>
            <w:tcW w:w="60" w:type="dxa"/>
            <w:vAlign w:val="bottom"/>
            <w:tcBorders>
              <w:bottom w:val="single" w:sz="8" w:color="auto"/>
            </w:tcBorders>
          </w:tcPr>
          <w:p>
            <w:pPr>
              <w:spacing w:after="0"/>
              <w:rPr>
                <w:sz w:val="21"/>
                <w:szCs w:val="21"/>
                <w:color w:val="auto"/>
              </w:rPr>
            </w:pPr>
          </w:p>
        </w:tc>
        <w:tc>
          <w:tcPr>
            <w:tcW w:w="700" w:type="dxa"/>
            <w:vAlign w:val="bottom"/>
            <w:tcBorders>
              <w:bottom w:val="single" w:sz="8" w:color="auto"/>
              <w:right w:val="single" w:sz="8" w:color="auto"/>
            </w:tcBorders>
          </w:tcPr>
          <w:p>
            <w:pPr>
              <w:spacing w:after="0"/>
              <w:rPr>
                <w:sz w:val="21"/>
                <w:szCs w:val="21"/>
                <w:color w:val="auto"/>
              </w:rPr>
            </w:pPr>
          </w:p>
        </w:tc>
        <w:tc>
          <w:tcPr>
            <w:tcW w:w="1320" w:type="dxa"/>
            <w:vAlign w:val="bottom"/>
            <w:tcBorders>
              <w:bottom w:val="single" w:sz="8" w:color="auto"/>
              <w:right w:val="single" w:sz="8" w:color="auto"/>
            </w:tcBorders>
          </w:tcPr>
          <w:p>
            <w:pPr>
              <w:spacing w:after="0"/>
              <w:rPr>
                <w:sz w:val="21"/>
                <w:szCs w:val="21"/>
                <w:color w:val="auto"/>
              </w:rPr>
            </w:pPr>
          </w:p>
        </w:tc>
        <w:tc>
          <w:tcPr>
            <w:tcW w:w="1140" w:type="dxa"/>
            <w:vAlign w:val="bottom"/>
            <w:tcBorders>
              <w:bottom w:val="single" w:sz="8" w:color="auto"/>
              <w:right w:val="single" w:sz="8" w:color="auto"/>
            </w:tcBorders>
          </w:tcPr>
          <w:p>
            <w:pPr>
              <w:spacing w:after="0"/>
              <w:rPr>
                <w:sz w:val="21"/>
                <w:szCs w:val="21"/>
                <w:color w:val="auto"/>
              </w:rPr>
            </w:pPr>
          </w:p>
        </w:tc>
        <w:tc>
          <w:tcPr>
            <w:tcW w:w="820" w:type="dxa"/>
            <w:vAlign w:val="bottom"/>
            <w:tcBorders>
              <w:bottom w:val="single" w:sz="8" w:color="auto"/>
              <w:right w:val="single" w:sz="8" w:color="auto"/>
            </w:tcBorders>
          </w:tcPr>
          <w:p>
            <w:pPr>
              <w:spacing w:after="0"/>
              <w:rPr>
                <w:sz w:val="21"/>
                <w:szCs w:val="21"/>
                <w:color w:val="auto"/>
              </w:rPr>
            </w:pPr>
          </w:p>
        </w:tc>
        <w:tc>
          <w:tcPr>
            <w:tcW w:w="1080" w:type="dxa"/>
            <w:vAlign w:val="bottom"/>
            <w:tcBorders>
              <w:bottom w:val="single" w:sz="8" w:color="auto"/>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bl>
    <w:p>
      <w:pPr>
        <w:spacing w:after="0" w:line="225" w:lineRule="exact"/>
        <w:rPr>
          <w:sz w:val="20"/>
          <w:szCs w:val="20"/>
          <w:color w:val="auto"/>
        </w:rPr>
      </w:pPr>
    </w:p>
    <w:p>
      <w:pPr>
        <w:ind w:left="840"/>
        <w:spacing w:after="0"/>
        <w:rPr>
          <w:sz w:val="20"/>
          <w:szCs w:val="20"/>
          <w:color w:val="auto"/>
        </w:rPr>
      </w:pPr>
      <w:r>
        <w:rPr>
          <w:rFonts w:ascii="Calibri" w:cs="Calibri" w:eastAsia="Calibri" w:hAnsi="Calibri"/>
          <w:sz w:val="25"/>
          <w:szCs w:val="25"/>
          <w:i w:val="1"/>
          <w:iCs w:val="1"/>
          <w:color w:val="auto"/>
          <w:vertAlign w:val="superscript"/>
        </w:rPr>
        <w:t>$</w:t>
      </w:r>
      <w:r>
        <w:rPr>
          <w:rFonts w:ascii="Calibri" w:cs="Calibri" w:eastAsia="Calibri" w:hAnsi="Calibri"/>
          <w:sz w:val="20"/>
          <w:szCs w:val="20"/>
          <w:i w:val="1"/>
          <w:iCs w:val="1"/>
          <w:color w:val="auto"/>
        </w:rPr>
        <w:t>Provide following details under Item Head:</w:t>
      </w:r>
    </w:p>
    <w:p>
      <w:pPr>
        <w:ind w:left="1200" w:hanging="359"/>
        <w:spacing w:after="0" w:line="194" w:lineRule="auto"/>
        <w:tabs>
          <w:tab w:leader="none" w:pos="1200" w:val="left"/>
        </w:tabs>
        <w:numPr>
          <w:ilvl w:val="0"/>
          <w:numId w:val="1175"/>
        </w:numPr>
        <w:rPr>
          <w:rFonts w:ascii="Calibri" w:cs="Calibri" w:eastAsia="Calibri" w:hAnsi="Calibri"/>
          <w:sz w:val="20"/>
          <w:szCs w:val="20"/>
          <w:color w:val="auto"/>
        </w:rPr>
      </w:pPr>
      <w:r>
        <w:rPr>
          <w:rFonts w:ascii="Calibri" w:cs="Calibri" w:eastAsia="Calibri" w:hAnsi="Calibri"/>
          <w:sz w:val="20"/>
          <w:szCs w:val="20"/>
          <w:i w:val="1"/>
          <w:iCs w:val="1"/>
          <w:color w:val="auto"/>
        </w:rPr>
        <w:t>Name of the object(s):</w:t>
      </w:r>
    </w:p>
    <w:p>
      <w:pPr>
        <w:ind w:left="1200" w:hanging="359"/>
        <w:spacing w:after="0" w:line="238" w:lineRule="auto"/>
        <w:tabs>
          <w:tab w:leader="none" w:pos="1200" w:val="left"/>
        </w:tabs>
        <w:numPr>
          <w:ilvl w:val="0"/>
          <w:numId w:val="1175"/>
        </w:numPr>
        <w:rPr>
          <w:rFonts w:ascii="Calibri" w:cs="Calibri" w:eastAsia="Calibri" w:hAnsi="Calibri"/>
          <w:sz w:val="20"/>
          <w:szCs w:val="20"/>
          <w:color w:val="auto"/>
        </w:rPr>
      </w:pPr>
      <w:r>
        <w:rPr>
          <w:rFonts w:ascii="Calibri" w:cs="Calibri" w:eastAsia="Calibri" w:hAnsi="Calibri"/>
          <w:sz w:val="20"/>
          <w:szCs w:val="20"/>
          <w:i w:val="1"/>
          <w:iCs w:val="1"/>
          <w:color w:val="auto"/>
        </w:rPr>
        <w:t>Brief description of the object(s):</w:t>
      </w:r>
    </w:p>
    <w:p>
      <w:pPr>
        <w:ind w:left="1200" w:hanging="359"/>
        <w:spacing w:after="0"/>
        <w:tabs>
          <w:tab w:leader="none" w:pos="1200" w:val="left"/>
        </w:tabs>
        <w:numPr>
          <w:ilvl w:val="0"/>
          <w:numId w:val="1175"/>
        </w:numPr>
        <w:rPr>
          <w:rFonts w:ascii="Calibri" w:cs="Calibri" w:eastAsia="Calibri" w:hAnsi="Calibri"/>
          <w:sz w:val="20"/>
          <w:szCs w:val="20"/>
          <w:color w:val="auto"/>
        </w:rPr>
      </w:pPr>
      <w:r>
        <w:rPr>
          <w:rFonts w:ascii="Calibri" w:cs="Calibri" w:eastAsia="Calibri" w:hAnsi="Calibri"/>
          <w:sz w:val="20"/>
          <w:szCs w:val="20"/>
          <w:i w:val="1"/>
          <w:iCs w:val="1"/>
          <w:color w:val="auto"/>
        </w:rPr>
        <w:t>Location of the object(s) (if applicable):</w:t>
      </w:r>
    </w:p>
    <w:p>
      <w:pPr>
        <w:spacing w:after="0" w:line="246" w:lineRule="exact"/>
        <w:rPr>
          <w:sz w:val="20"/>
          <w:szCs w:val="20"/>
          <w:color w:val="auto"/>
        </w:rPr>
      </w:pPr>
    </w:p>
    <w:p>
      <w:pPr>
        <w:ind w:left="1200" w:hanging="359"/>
        <w:spacing w:after="0"/>
        <w:tabs>
          <w:tab w:leader="none" w:pos="1200" w:val="left"/>
        </w:tabs>
        <w:numPr>
          <w:ilvl w:val="0"/>
          <w:numId w:val="1176"/>
        </w:numPr>
        <w:rPr>
          <w:rFonts w:ascii="Calibri" w:cs="Calibri" w:eastAsia="Calibri" w:hAnsi="Calibri"/>
          <w:sz w:val="20"/>
          <w:szCs w:val="20"/>
          <w:color w:val="auto"/>
        </w:rPr>
      </w:pPr>
      <w:r>
        <w:rPr>
          <w:rFonts w:ascii="Calibri" w:cs="Calibri" w:eastAsia="Calibri" w:hAnsi="Calibri"/>
          <w:sz w:val="20"/>
          <w:szCs w:val="20"/>
          <w:i w:val="1"/>
          <w:iCs w:val="1"/>
          <w:color w:val="auto"/>
        </w:rPr>
        <w:t>Deployment of unutilised IPO proceeds:</w:t>
      </w:r>
    </w:p>
    <w:p>
      <w:pPr>
        <w:spacing w:after="0" w:line="230" w:lineRule="exact"/>
        <w:rPr>
          <w:sz w:val="20"/>
          <w:szCs w:val="20"/>
          <w:color w:val="auto"/>
        </w:rPr>
      </w:pPr>
    </w:p>
    <w:tbl>
      <w:tblPr>
        <w:tblLayout w:type="fixed"/>
        <w:tblInd w:w="10" w:type="dxa"/>
        <w:tblCellMar>
          <w:top w:w="0" w:type="dxa"/>
          <w:left w:w="0" w:type="dxa"/>
          <w:bottom w:w="0" w:type="dxa"/>
          <w:right w:w="0" w:type="dxa"/>
        </w:tblCellMar>
      </w:tblPr>
      <w:tr>
        <w:trPr>
          <w:trHeight w:val="247"/>
        </w:trPr>
        <w:tc>
          <w:tcPr>
            <w:tcW w:w="100" w:type="dxa"/>
            <w:vAlign w:val="bottom"/>
            <w:tcBorders>
              <w:top w:val="single" w:sz="8" w:color="auto"/>
              <w:left w:val="single" w:sz="8" w:color="auto"/>
            </w:tcBorders>
          </w:tcPr>
          <w:p>
            <w:pPr>
              <w:spacing w:after="0"/>
              <w:rPr>
                <w:sz w:val="21"/>
                <w:szCs w:val="21"/>
                <w:color w:val="auto"/>
              </w:rPr>
            </w:pPr>
          </w:p>
        </w:tc>
        <w:tc>
          <w:tcPr>
            <w:tcW w:w="720" w:type="dxa"/>
            <w:vAlign w:val="bottom"/>
            <w:tcBorders>
              <w:top w:val="single" w:sz="8" w:color="auto"/>
              <w:right w:val="single" w:sz="8" w:color="auto"/>
            </w:tcBorders>
          </w:tcPr>
          <w:p>
            <w:pPr>
              <w:spacing w:after="0"/>
              <w:rPr>
                <w:sz w:val="21"/>
                <w:szCs w:val="21"/>
                <w:color w:val="auto"/>
              </w:rPr>
            </w:pPr>
          </w:p>
        </w:tc>
        <w:tc>
          <w:tcPr>
            <w:tcW w:w="300" w:type="dxa"/>
            <w:vAlign w:val="bottom"/>
            <w:tcBorders>
              <w:top w:val="single" w:sz="8" w:color="auto"/>
            </w:tcBorders>
          </w:tcPr>
          <w:p>
            <w:pPr>
              <w:spacing w:after="0"/>
              <w:rPr>
                <w:sz w:val="21"/>
                <w:szCs w:val="21"/>
                <w:color w:val="auto"/>
              </w:rPr>
            </w:pPr>
          </w:p>
        </w:tc>
        <w:tc>
          <w:tcPr>
            <w:tcW w:w="1140" w:type="dxa"/>
            <w:vAlign w:val="bottom"/>
            <w:tcBorders>
              <w:top w:val="single" w:sz="8" w:color="auto"/>
              <w:right w:val="single" w:sz="8" w:color="auto"/>
            </w:tcBorders>
            <w:gridSpan w:val="2"/>
          </w:tcPr>
          <w:p>
            <w:pPr>
              <w:jc w:val="center"/>
              <w:ind w:right="240"/>
              <w:spacing w:after="0"/>
              <w:rPr>
                <w:sz w:val="20"/>
                <w:szCs w:val="20"/>
                <w:color w:val="auto"/>
              </w:rPr>
            </w:pPr>
            <w:r>
              <w:rPr>
                <w:rFonts w:ascii="Calibri" w:cs="Calibri" w:eastAsia="Calibri" w:hAnsi="Calibri"/>
                <w:sz w:val="20"/>
                <w:szCs w:val="20"/>
                <w:color w:val="auto"/>
                <w:w w:val="99"/>
              </w:rPr>
              <w:t>Type of</w:t>
            </w:r>
          </w:p>
        </w:tc>
        <w:tc>
          <w:tcPr>
            <w:tcW w:w="640" w:type="dxa"/>
            <w:vAlign w:val="bottom"/>
            <w:tcBorders>
              <w:top w:val="single" w:sz="8" w:color="auto"/>
            </w:tcBorders>
          </w:tcPr>
          <w:p>
            <w:pPr>
              <w:spacing w:after="0"/>
              <w:rPr>
                <w:sz w:val="21"/>
                <w:szCs w:val="21"/>
                <w:color w:val="auto"/>
              </w:rPr>
            </w:pPr>
          </w:p>
        </w:tc>
        <w:tc>
          <w:tcPr>
            <w:tcW w:w="60" w:type="dxa"/>
            <w:vAlign w:val="bottom"/>
            <w:tcBorders>
              <w:top w:val="single" w:sz="8" w:color="auto"/>
            </w:tcBorders>
          </w:tcPr>
          <w:p>
            <w:pPr>
              <w:spacing w:after="0"/>
              <w:rPr>
                <w:sz w:val="21"/>
                <w:szCs w:val="21"/>
                <w:color w:val="auto"/>
              </w:rPr>
            </w:pPr>
          </w:p>
        </w:tc>
        <w:tc>
          <w:tcPr>
            <w:tcW w:w="440" w:type="dxa"/>
            <w:vAlign w:val="bottom"/>
            <w:tcBorders>
              <w:top w:val="single" w:sz="8" w:color="auto"/>
            </w:tcBorders>
          </w:tcPr>
          <w:p>
            <w:pPr>
              <w:spacing w:after="0"/>
              <w:rPr>
                <w:sz w:val="21"/>
                <w:szCs w:val="21"/>
                <w:color w:val="auto"/>
              </w:rPr>
            </w:pPr>
          </w:p>
        </w:tc>
        <w:tc>
          <w:tcPr>
            <w:tcW w:w="280" w:type="dxa"/>
            <w:vAlign w:val="bottom"/>
            <w:tcBorders>
              <w:top w:val="single" w:sz="8" w:color="auto"/>
              <w:right w:val="single" w:sz="8" w:color="auto"/>
            </w:tcBorders>
          </w:tcPr>
          <w:p>
            <w:pPr>
              <w:spacing w:after="0"/>
              <w:rPr>
                <w:sz w:val="21"/>
                <w:szCs w:val="21"/>
                <w:color w:val="auto"/>
              </w:rPr>
            </w:pPr>
          </w:p>
        </w:tc>
        <w:tc>
          <w:tcPr>
            <w:tcW w:w="1020" w:type="dxa"/>
            <w:vAlign w:val="bottom"/>
            <w:tcBorders>
              <w:top w:val="single" w:sz="8" w:color="auto"/>
            </w:tcBorders>
          </w:tcPr>
          <w:p>
            <w:pPr>
              <w:spacing w:after="0"/>
              <w:rPr>
                <w:sz w:val="21"/>
                <w:szCs w:val="21"/>
                <w:color w:val="auto"/>
              </w:rPr>
            </w:pPr>
          </w:p>
        </w:tc>
        <w:tc>
          <w:tcPr>
            <w:tcW w:w="240" w:type="dxa"/>
            <w:vAlign w:val="bottom"/>
            <w:tcBorders>
              <w:top w:val="single" w:sz="8" w:color="auto"/>
            </w:tcBorders>
          </w:tcPr>
          <w:p>
            <w:pPr>
              <w:spacing w:after="0"/>
              <w:rPr>
                <w:sz w:val="21"/>
                <w:szCs w:val="21"/>
                <w:color w:val="auto"/>
              </w:rPr>
            </w:pPr>
          </w:p>
        </w:tc>
        <w:tc>
          <w:tcPr>
            <w:tcW w:w="160" w:type="dxa"/>
            <w:vAlign w:val="bottom"/>
            <w:tcBorders>
              <w:top w:val="single" w:sz="8" w:color="auto"/>
              <w:right w:val="single" w:sz="8" w:color="auto"/>
            </w:tcBorders>
          </w:tcPr>
          <w:p>
            <w:pPr>
              <w:spacing w:after="0"/>
              <w:rPr>
                <w:sz w:val="21"/>
                <w:szCs w:val="21"/>
                <w:color w:val="auto"/>
              </w:rPr>
            </w:pPr>
          </w:p>
        </w:tc>
        <w:tc>
          <w:tcPr>
            <w:tcW w:w="1120" w:type="dxa"/>
            <w:vAlign w:val="bottom"/>
            <w:tcBorders>
              <w:top w:val="single" w:sz="8" w:color="auto"/>
            </w:tcBorders>
          </w:tcPr>
          <w:p>
            <w:pPr>
              <w:spacing w:after="0"/>
              <w:rPr>
                <w:sz w:val="21"/>
                <w:szCs w:val="21"/>
                <w:color w:val="auto"/>
              </w:rPr>
            </w:pPr>
          </w:p>
        </w:tc>
        <w:tc>
          <w:tcPr>
            <w:tcW w:w="40" w:type="dxa"/>
            <w:vAlign w:val="bottom"/>
            <w:tcBorders>
              <w:top w:val="single" w:sz="8" w:color="auto"/>
            </w:tcBorders>
          </w:tcPr>
          <w:p>
            <w:pPr>
              <w:spacing w:after="0"/>
              <w:rPr>
                <w:sz w:val="21"/>
                <w:szCs w:val="21"/>
                <w:color w:val="auto"/>
              </w:rPr>
            </w:pPr>
          </w:p>
        </w:tc>
        <w:tc>
          <w:tcPr>
            <w:tcW w:w="260" w:type="dxa"/>
            <w:vAlign w:val="bottom"/>
            <w:tcBorders>
              <w:top w:val="single" w:sz="8" w:color="auto"/>
              <w:right w:val="single" w:sz="8" w:color="auto"/>
            </w:tcBorders>
          </w:tcPr>
          <w:p>
            <w:pPr>
              <w:spacing w:after="0"/>
              <w:rPr>
                <w:sz w:val="21"/>
                <w:szCs w:val="21"/>
                <w:color w:val="auto"/>
              </w:rPr>
            </w:pPr>
          </w:p>
        </w:tc>
        <w:tc>
          <w:tcPr>
            <w:tcW w:w="1180" w:type="dxa"/>
            <w:vAlign w:val="bottom"/>
            <w:tcBorders>
              <w:top w:val="single" w:sz="8" w:color="auto"/>
            </w:tcBorders>
          </w:tcPr>
          <w:p>
            <w:pPr>
              <w:spacing w:after="0"/>
              <w:rPr>
                <w:sz w:val="21"/>
                <w:szCs w:val="21"/>
                <w:color w:val="auto"/>
              </w:rPr>
            </w:pPr>
          </w:p>
        </w:tc>
        <w:tc>
          <w:tcPr>
            <w:tcW w:w="40" w:type="dxa"/>
            <w:vAlign w:val="bottom"/>
            <w:tcBorders>
              <w:top w:val="single" w:sz="8" w:color="auto"/>
            </w:tcBorders>
          </w:tcPr>
          <w:p>
            <w:pPr>
              <w:spacing w:after="0"/>
              <w:rPr>
                <w:sz w:val="21"/>
                <w:szCs w:val="21"/>
                <w:color w:val="auto"/>
              </w:rPr>
            </w:pPr>
          </w:p>
        </w:tc>
        <w:tc>
          <w:tcPr>
            <w:tcW w:w="220" w:type="dxa"/>
            <w:vAlign w:val="bottom"/>
            <w:tcBorders>
              <w:top w:val="single" w:sz="8" w:color="auto"/>
              <w:right w:val="single" w:sz="8" w:color="auto"/>
            </w:tcBorders>
          </w:tcPr>
          <w:p>
            <w:pPr>
              <w:spacing w:after="0"/>
              <w:rPr>
                <w:sz w:val="21"/>
                <w:szCs w:val="21"/>
                <w:color w:val="auto"/>
              </w:rPr>
            </w:pPr>
          </w:p>
        </w:tc>
        <w:tc>
          <w:tcPr>
            <w:tcW w:w="1420" w:type="dxa"/>
            <w:vAlign w:val="bottom"/>
            <w:tcBorders>
              <w:top w:val="single" w:sz="8" w:color="auto"/>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245"/>
        </w:trPr>
        <w:tc>
          <w:tcPr>
            <w:tcW w:w="100" w:type="dxa"/>
            <w:vAlign w:val="bottom"/>
            <w:tcBorders>
              <w:left w:val="single" w:sz="8" w:color="auto"/>
            </w:tcBorders>
          </w:tcPr>
          <w:p>
            <w:pPr>
              <w:spacing w:after="0"/>
              <w:rPr>
                <w:sz w:val="21"/>
                <w:szCs w:val="21"/>
                <w:color w:val="auto"/>
              </w:rPr>
            </w:pPr>
          </w:p>
        </w:tc>
        <w:tc>
          <w:tcPr>
            <w:tcW w:w="720" w:type="dxa"/>
            <w:vAlign w:val="bottom"/>
            <w:tcBorders>
              <w:right w:val="single" w:sz="8" w:color="auto"/>
            </w:tcBorders>
          </w:tcPr>
          <w:p>
            <w:pPr>
              <w:spacing w:after="0"/>
              <w:rPr>
                <w:sz w:val="21"/>
                <w:szCs w:val="21"/>
                <w:color w:val="auto"/>
              </w:rPr>
            </w:pPr>
          </w:p>
        </w:tc>
        <w:tc>
          <w:tcPr>
            <w:tcW w:w="1440" w:type="dxa"/>
            <w:vAlign w:val="bottom"/>
            <w:tcBorders>
              <w:right w:val="single" w:sz="8" w:color="auto"/>
            </w:tcBorders>
            <w:gridSpan w:val="3"/>
          </w:tcPr>
          <w:p>
            <w:pPr>
              <w:jc w:val="center"/>
              <w:spacing w:after="0"/>
              <w:rPr>
                <w:sz w:val="20"/>
                <w:szCs w:val="20"/>
                <w:color w:val="auto"/>
              </w:rPr>
            </w:pPr>
            <w:r>
              <w:rPr>
                <w:rFonts w:ascii="Calibri" w:cs="Calibri" w:eastAsia="Calibri" w:hAnsi="Calibri"/>
                <w:sz w:val="20"/>
                <w:szCs w:val="20"/>
                <w:color w:val="auto"/>
                <w:w w:val="99"/>
              </w:rPr>
              <w:t>instrument</w:t>
            </w:r>
          </w:p>
        </w:tc>
        <w:tc>
          <w:tcPr>
            <w:tcW w:w="1140" w:type="dxa"/>
            <w:vAlign w:val="bottom"/>
            <w:gridSpan w:val="3"/>
            <w:vMerge w:val="restart"/>
          </w:tcPr>
          <w:p>
            <w:pPr>
              <w:jc w:val="center"/>
              <w:ind w:left="140"/>
              <w:spacing w:after="0"/>
              <w:rPr>
                <w:sz w:val="20"/>
                <w:szCs w:val="20"/>
                <w:color w:val="auto"/>
              </w:rPr>
            </w:pPr>
            <w:r>
              <w:rPr>
                <w:rFonts w:ascii="Calibri" w:cs="Calibri" w:eastAsia="Calibri" w:hAnsi="Calibri"/>
                <w:sz w:val="20"/>
                <w:szCs w:val="20"/>
                <w:color w:val="auto"/>
              </w:rPr>
              <w:t>Amount</w:t>
            </w:r>
          </w:p>
        </w:tc>
        <w:tc>
          <w:tcPr>
            <w:tcW w:w="280" w:type="dxa"/>
            <w:vAlign w:val="bottom"/>
            <w:tcBorders>
              <w:right w:val="single" w:sz="8" w:color="auto"/>
            </w:tcBorders>
          </w:tcPr>
          <w:p>
            <w:pPr>
              <w:spacing w:after="0"/>
              <w:rPr>
                <w:sz w:val="21"/>
                <w:szCs w:val="21"/>
                <w:color w:val="auto"/>
              </w:rPr>
            </w:pPr>
          </w:p>
        </w:tc>
        <w:tc>
          <w:tcPr>
            <w:tcW w:w="102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160" w:type="dxa"/>
            <w:vAlign w:val="bottom"/>
            <w:tcBorders>
              <w:right w:val="single" w:sz="8" w:color="auto"/>
            </w:tcBorders>
          </w:tcPr>
          <w:p>
            <w:pPr>
              <w:spacing w:after="0"/>
              <w:rPr>
                <w:sz w:val="21"/>
                <w:szCs w:val="21"/>
                <w:color w:val="auto"/>
              </w:rPr>
            </w:pPr>
          </w:p>
        </w:tc>
        <w:tc>
          <w:tcPr>
            <w:tcW w:w="112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260" w:type="dxa"/>
            <w:vAlign w:val="bottom"/>
            <w:tcBorders>
              <w:right w:val="single" w:sz="8" w:color="auto"/>
            </w:tcBorders>
          </w:tcPr>
          <w:p>
            <w:pPr>
              <w:spacing w:after="0"/>
              <w:rPr>
                <w:sz w:val="21"/>
                <w:szCs w:val="21"/>
                <w:color w:val="auto"/>
              </w:rPr>
            </w:pPr>
          </w:p>
        </w:tc>
        <w:tc>
          <w:tcPr>
            <w:tcW w:w="1180" w:type="dxa"/>
            <w:vAlign w:val="bottom"/>
          </w:tcPr>
          <w:p>
            <w:pPr>
              <w:jc w:val="center"/>
              <w:ind w:left="120"/>
              <w:spacing w:after="0"/>
              <w:rPr>
                <w:sz w:val="20"/>
                <w:szCs w:val="20"/>
                <w:color w:val="auto"/>
              </w:rPr>
            </w:pPr>
            <w:r>
              <w:rPr>
                <w:rFonts w:ascii="Calibri" w:cs="Calibri" w:eastAsia="Calibri" w:hAnsi="Calibri"/>
                <w:sz w:val="20"/>
                <w:szCs w:val="20"/>
                <w:color w:val="auto"/>
                <w:w w:val="98"/>
              </w:rPr>
              <w:t>Return on</w:t>
            </w:r>
          </w:p>
        </w:tc>
        <w:tc>
          <w:tcPr>
            <w:tcW w:w="40" w:type="dxa"/>
            <w:vAlign w:val="bottom"/>
          </w:tcPr>
          <w:p>
            <w:pPr>
              <w:spacing w:after="0"/>
              <w:rPr>
                <w:sz w:val="21"/>
                <w:szCs w:val="21"/>
                <w:color w:val="auto"/>
              </w:rPr>
            </w:pPr>
          </w:p>
        </w:tc>
        <w:tc>
          <w:tcPr>
            <w:tcW w:w="220" w:type="dxa"/>
            <w:vAlign w:val="bottom"/>
            <w:tcBorders>
              <w:right w:val="single" w:sz="8" w:color="auto"/>
            </w:tcBorders>
          </w:tcPr>
          <w:p>
            <w:pPr>
              <w:spacing w:after="0"/>
              <w:rPr>
                <w:sz w:val="21"/>
                <w:szCs w:val="21"/>
                <w:color w:val="auto"/>
              </w:rPr>
            </w:pPr>
          </w:p>
        </w:tc>
        <w:tc>
          <w:tcPr>
            <w:tcW w:w="1420" w:type="dxa"/>
            <w:vAlign w:val="bottom"/>
            <w:tcBorders>
              <w:right w:val="single" w:sz="8" w:color="auto"/>
            </w:tcBorders>
          </w:tcPr>
          <w:p>
            <w:pPr>
              <w:jc w:val="center"/>
              <w:spacing w:after="0"/>
              <w:rPr>
                <w:sz w:val="20"/>
                <w:szCs w:val="20"/>
                <w:color w:val="auto"/>
              </w:rPr>
            </w:pPr>
            <w:r>
              <w:rPr>
                <w:rFonts w:ascii="Calibri" w:cs="Calibri" w:eastAsia="Calibri" w:hAnsi="Calibri"/>
                <w:sz w:val="20"/>
                <w:szCs w:val="20"/>
                <w:color w:val="auto"/>
              </w:rPr>
              <w:t>Market Value</w:t>
            </w:r>
          </w:p>
        </w:tc>
        <w:tc>
          <w:tcPr>
            <w:tcW w:w="0" w:type="dxa"/>
            <w:vAlign w:val="bottom"/>
          </w:tcPr>
          <w:p>
            <w:pPr>
              <w:spacing w:after="0"/>
              <w:rPr>
                <w:sz w:val="1"/>
                <w:szCs w:val="1"/>
                <w:color w:val="auto"/>
              </w:rPr>
            </w:pPr>
          </w:p>
        </w:tc>
      </w:tr>
      <w:tr>
        <w:trPr>
          <w:trHeight w:val="122"/>
        </w:trPr>
        <w:tc>
          <w:tcPr>
            <w:tcW w:w="100" w:type="dxa"/>
            <w:vAlign w:val="bottom"/>
            <w:tcBorders>
              <w:left w:val="single" w:sz="8" w:color="auto"/>
            </w:tcBorders>
          </w:tcPr>
          <w:p>
            <w:pPr>
              <w:spacing w:after="0"/>
              <w:rPr>
                <w:sz w:val="10"/>
                <w:szCs w:val="10"/>
                <w:color w:val="auto"/>
              </w:rPr>
            </w:pPr>
          </w:p>
        </w:tc>
        <w:tc>
          <w:tcPr>
            <w:tcW w:w="720" w:type="dxa"/>
            <w:vAlign w:val="bottom"/>
            <w:tcBorders>
              <w:right w:val="single" w:sz="8" w:color="auto"/>
            </w:tcBorders>
            <w:vMerge w:val="restart"/>
          </w:tcPr>
          <w:p>
            <w:pPr>
              <w:ind w:left="40"/>
              <w:spacing w:after="0"/>
              <w:rPr>
                <w:sz w:val="20"/>
                <w:szCs w:val="20"/>
                <w:color w:val="auto"/>
              </w:rPr>
            </w:pPr>
            <w:r>
              <w:rPr>
                <w:rFonts w:ascii="Calibri" w:cs="Calibri" w:eastAsia="Calibri" w:hAnsi="Calibri"/>
                <w:sz w:val="20"/>
                <w:szCs w:val="20"/>
                <w:color w:val="auto"/>
              </w:rPr>
              <w:t>Sr. No.</w:t>
            </w:r>
          </w:p>
        </w:tc>
        <w:tc>
          <w:tcPr>
            <w:tcW w:w="1440" w:type="dxa"/>
            <w:vAlign w:val="bottom"/>
            <w:tcBorders>
              <w:right w:val="single" w:sz="8" w:color="auto"/>
            </w:tcBorders>
            <w:gridSpan w:val="3"/>
            <w:vMerge w:val="restart"/>
          </w:tcPr>
          <w:p>
            <w:pPr>
              <w:jc w:val="center"/>
              <w:spacing w:after="0"/>
              <w:rPr>
                <w:sz w:val="20"/>
                <w:szCs w:val="20"/>
                <w:color w:val="auto"/>
              </w:rPr>
            </w:pPr>
            <w:r>
              <w:rPr>
                <w:rFonts w:ascii="Calibri" w:cs="Calibri" w:eastAsia="Calibri" w:hAnsi="Calibri"/>
                <w:sz w:val="20"/>
                <w:szCs w:val="20"/>
                <w:color w:val="auto"/>
                <w:w w:val="99"/>
              </w:rPr>
              <w:t>and name of</w:t>
            </w:r>
          </w:p>
        </w:tc>
        <w:tc>
          <w:tcPr>
            <w:tcW w:w="1140" w:type="dxa"/>
            <w:vAlign w:val="bottom"/>
            <w:gridSpan w:val="3"/>
            <w:vMerge w:val="continue"/>
          </w:tcPr>
          <w:p>
            <w:pPr>
              <w:spacing w:after="0"/>
              <w:rPr>
                <w:sz w:val="10"/>
                <w:szCs w:val="10"/>
                <w:color w:val="auto"/>
              </w:rPr>
            </w:pPr>
          </w:p>
        </w:tc>
        <w:tc>
          <w:tcPr>
            <w:tcW w:w="280" w:type="dxa"/>
            <w:vAlign w:val="bottom"/>
            <w:tcBorders>
              <w:right w:val="single" w:sz="8" w:color="auto"/>
            </w:tcBorders>
          </w:tcPr>
          <w:p>
            <w:pPr>
              <w:spacing w:after="0"/>
              <w:rPr>
                <w:sz w:val="10"/>
                <w:szCs w:val="10"/>
                <w:color w:val="auto"/>
              </w:rPr>
            </w:pPr>
          </w:p>
        </w:tc>
        <w:tc>
          <w:tcPr>
            <w:tcW w:w="1260" w:type="dxa"/>
            <w:vAlign w:val="bottom"/>
            <w:gridSpan w:val="2"/>
            <w:vMerge w:val="restart"/>
          </w:tcPr>
          <w:p>
            <w:pPr>
              <w:ind w:left="140"/>
              <w:spacing w:after="0"/>
              <w:rPr>
                <w:sz w:val="20"/>
                <w:szCs w:val="20"/>
                <w:color w:val="auto"/>
              </w:rPr>
            </w:pPr>
            <w:r>
              <w:rPr>
                <w:rFonts w:ascii="Calibri" w:cs="Calibri" w:eastAsia="Calibri" w:hAnsi="Calibri"/>
                <w:sz w:val="20"/>
                <w:szCs w:val="20"/>
                <w:color w:val="auto"/>
                <w:w w:val="97"/>
              </w:rPr>
              <w:t>Maturity date</w:t>
            </w:r>
          </w:p>
        </w:tc>
        <w:tc>
          <w:tcPr>
            <w:tcW w:w="160" w:type="dxa"/>
            <w:vAlign w:val="bottom"/>
            <w:tcBorders>
              <w:right w:val="single" w:sz="8" w:color="auto"/>
            </w:tcBorders>
          </w:tcPr>
          <w:p>
            <w:pPr>
              <w:spacing w:after="0"/>
              <w:rPr>
                <w:sz w:val="10"/>
                <w:szCs w:val="10"/>
                <w:color w:val="auto"/>
              </w:rPr>
            </w:pPr>
          </w:p>
        </w:tc>
        <w:tc>
          <w:tcPr>
            <w:tcW w:w="1120" w:type="dxa"/>
            <w:vAlign w:val="bottom"/>
            <w:vMerge w:val="restart"/>
          </w:tcPr>
          <w:p>
            <w:pPr>
              <w:ind w:left="400"/>
              <w:spacing w:after="0"/>
              <w:rPr>
                <w:sz w:val="20"/>
                <w:szCs w:val="20"/>
                <w:color w:val="auto"/>
              </w:rPr>
            </w:pPr>
            <w:r>
              <w:rPr>
                <w:rFonts w:ascii="Calibri" w:cs="Calibri" w:eastAsia="Calibri" w:hAnsi="Calibri"/>
                <w:sz w:val="20"/>
                <w:szCs w:val="20"/>
                <w:color w:val="auto"/>
              </w:rPr>
              <w:t>Earning</w:t>
            </w:r>
          </w:p>
        </w:tc>
        <w:tc>
          <w:tcPr>
            <w:tcW w:w="40" w:type="dxa"/>
            <w:vAlign w:val="bottom"/>
          </w:tcPr>
          <w:p>
            <w:pPr>
              <w:spacing w:after="0"/>
              <w:rPr>
                <w:sz w:val="10"/>
                <w:szCs w:val="10"/>
                <w:color w:val="auto"/>
              </w:rPr>
            </w:pPr>
          </w:p>
        </w:tc>
        <w:tc>
          <w:tcPr>
            <w:tcW w:w="260" w:type="dxa"/>
            <w:vAlign w:val="bottom"/>
            <w:tcBorders>
              <w:right w:val="single" w:sz="8" w:color="auto"/>
            </w:tcBorders>
          </w:tcPr>
          <w:p>
            <w:pPr>
              <w:spacing w:after="0"/>
              <w:rPr>
                <w:sz w:val="10"/>
                <w:szCs w:val="10"/>
                <w:color w:val="auto"/>
              </w:rPr>
            </w:pPr>
          </w:p>
        </w:tc>
        <w:tc>
          <w:tcPr>
            <w:tcW w:w="1180" w:type="dxa"/>
            <w:vAlign w:val="bottom"/>
            <w:vMerge w:val="restart"/>
          </w:tcPr>
          <w:p>
            <w:pPr>
              <w:jc w:val="center"/>
              <w:ind w:left="120"/>
              <w:spacing w:after="0"/>
              <w:rPr>
                <w:sz w:val="20"/>
                <w:szCs w:val="20"/>
                <w:color w:val="auto"/>
              </w:rPr>
            </w:pPr>
            <w:r>
              <w:rPr>
                <w:rFonts w:ascii="Calibri" w:cs="Calibri" w:eastAsia="Calibri" w:hAnsi="Calibri"/>
                <w:sz w:val="20"/>
                <w:szCs w:val="20"/>
                <w:color w:val="auto"/>
                <w:w w:val="99"/>
              </w:rPr>
              <w:t>Investment</w:t>
            </w:r>
          </w:p>
        </w:tc>
        <w:tc>
          <w:tcPr>
            <w:tcW w:w="40" w:type="dxa"/>
            <w:vAlign w:val="bottom"/>
          </w:tcPr>
          <w:p>
            <w:pPr>
              <w:spacing w:after="0"/>
              <w:rPr>
                <w:sz w:val="10"/>
                <w:szCs w:val="10"/>
                <w:color w:val="auto"/>
              </w:rPr>
            </w:pPr>
          </w:p>
        </w:tc>
        <w:tc>
          <w:tcPr>
            <w:tcW w:w="220" w:type="dxa"/>
            <w:vAlign w:val="bottom"/>
            <w:tcBorders>
              <w:right w:val="single" w:sz="8" w:color="auto"/>
            </w:tcBorders>
          </w:tcPr>
          <w:p>
            <w:pPr>
              <w:spacing w:after="0"/>
              <w:rPr>
                <w:sz w:val="10"/>
                <w:szCs w:val="10"/>
                <w:color w:val="auto"/>
              </w:rPr>
            </w:pPr>
          </w:p>
        </w:tc>
        <w:tc>
          <w:tcPr>
            <w:tcW w:w="1420" w:type="dxa"/>
            <w:vAlign w:val="bottom"/>
            <w:tcBorders>
              <w:right w:val="single" w:sz="8" w:color="auto"/>
            </w:tcBorders>
            <w:vMerge w:val="restart"/>
          </w:tcPr>
          <w:p>
            <w:pPr>
              <w:jc w:val="center"/>
              <w:spacing w:after="0"/>
              <w:rPr>
                <w:sz w:val="20"/>
                <w:szCs w:val="20"/>
                <w:color w:val="auto"/>
              </w:rPr>
            </w:pPr>
            <w:r>
              <w:rPr>
                <w:rFonts w:ascii="Calibri" w:cs="Calibri" w:eastAsia="Calibri" w:hAnsi="Calibri"/>
                <w:sz w:val="20"/>
                <w:szCs w:val="20"/>
                <w:color w:val="auto"/>
              </w:rPr>
              <w:t>as at the end</w:t>
            </w:r>
          </w:p>
        </w:tc>
        <w:tc>
          <w:tcPr>
            <w:tcW w:w="0" w:type="dxa"/>
            <w:vAlign w:val="bottom"/>
          </w:tcPr>
          <w:p>
            <w:pPr>
              <w:spacing w:after="0"/>
              <w:rPr>
                <w:sz w:val="1"/>
                <w:szCs w:val="1"/>
                <w:color w:val="auto"/>
              </w:rPr>
            </w:pPr>
          </w:p>
        </w:tc>
      </w:tr>
      <w:tr>
        <w:trPr>
          <w:trHeight w:val="122"/>
        </w:trPr>
        <w:tc>
          <w:tcPr>
            <w:tcW w:w="100" w:type="dxa"/>
            <w:vAlign w:val="bottom"/>
            <w:tcBorders>
              <w:left w:val="single" w:sz="8" w:color="auto"/>
            </w:tcBorders>
          </w:tcPr>
          <w:p>
            <w:pPr>
              <w:spacing w:after="0"/>
              <w:rPr>
                <w:sz w:val="10"/>
                <w:szCs w:val="10"/>
                <w:color w:val="auto"/>
              </w:rPr>
            </w:pPr>
          </w:p>
        </w:tc>
        <w:tc>
          <w:tcPr>
            <w:tcW w:w="720" w:type="dxa"/>
            <w:vAlign w:val="bottom"/>
            <w:tcBorders>
              <w:right w:val="single" w:sz="8" w:color="auto"/>
            </w:tcBorders>
            <w:vMerge w:val="continue"/>
          </w:tcPr>
          <w:p>
            <w:pPr>
              <w:spacing w:after="0"/>
              <w:rPr>
                <w:sz w:val="10"/>
                <w:szCs w:val="10"/>
                <w:color w:val="auto"/>
              </w:rPr>
            </w:pPr>
          </w:p>
        </w:tc>
        <w:tc>
          <w:tcPr>
            <w:tcW w:w="1440" w:type="dxa"/>
            <w:vAlign w:val="bottom"/>
            <w:tcBorders>
              <w:right w:val="single" w:sz="8" w:color="auto"/>
            </w:tcBorders>
            <w:gridSpan w:val="3"/>
            <w:vMerge w:val="continue"/>
          </w:tcPr>
          <w:p>
            <w:pPr>
              <w:spacing w:after="0"/>
              <w:rPr>
                <w:sz w:val="10"/>
                <w:szCs w:val="10"/>
                <w:color w:val="auto"/>
              </w:rPr>
            </w:pPr>
          </w:p>
        </w:tc>
        <w:tc>
          <w:tcPr>
            <w:tcW w:w="1140" w:type="dxa"/>
            <w:vAlign w:val="bottom"/>
            <w:gridSpan w:val="3"/>
            <w:vMerge w:val="restart"/>
          </w:tcPr>
          <w:p>
            <w:pPr>
              <w:jc w:val="center"/>
              <w:ind w:left="140"/>
              <w:spacing w:after="0"/>
              <w:rPr>
                <w:sz w:val="20"/>
                <w:szCs w:val="20"/>
                <w:color w:val="auto"/>
              </w:rPr>
            </w:pPr>
            <w:r>
              <w:rPr>
                <w:rFonts w:ascii="Calibri" w:cs="Calibri" w:eastAsia="Calibri" w:hAnsi="Calibri"/>
                <w:sz w:val="20"/>
                <w:szCs w:val="20"/>
                <w:color w:val="auto"/>
              </w:rPr>
              <w:t>invested</w:t>
            </w:r>
          </w:p>
        </w:tc>
        <w:tc>
          <w:tcPr>
            <w:tcW w:w="280" w:type="dxa"/>
            <w:vAlign w:val="bottom"/>
            <w:tcBorders>
              <w:right w:val="single" w:sz="8" w:color="auto"/>
            </w:tcBorders>
          </w:tcPr>
          <w:p>
            <w:pPr>
              <w:spacing w:after="0"/>
              <w:rPr>
                <w:sz w:val="10"/>
                <w:szCs w:val="10"/>
                <w:color w:val="auto"/>
              </w:rPr>
            </w:pPr>
          </w:p>
        </w:tc>
        <w:tc>
          <w:tcPr>
            <w:tcW w:w="1260" w:type="dxa"/>
            <w:vAlign w:val="bottom"/>
            <w:gridSpan w:val="2"/>
            <w:vMerge w:val="continue"/>
          </w:tcPr>
          <w:p>
            <w:pPr>
              <w:spacing w:after="0"/>
              <w:rPr>
                <w:sz w:val="10"/>
                <w:szCs w:val="10"/>
                <w:color w:val="auto"/>
              </w:rPr>
            </w:pPr>
          </w:p>
        </w:tc>
        <w:tc>
          <w:tcPr>
            <w:tcW w:w="160" w:type="dxa"/>
            <w:vAlign w:val="bottom"/>
            <w:tcBorders>
              <w:right w:val="single" w:sz="8" w:color="auto"/>
            </w:tcBorders>
          </w:tcPr>
          <w:p>
            <w:pPr>
              <w:spacing w:after="0"/>
              <w:rPr>
                <w:sz w:val="10"/>
                <w:szCs w:val="10"/>
                <w:color w:val="auto"/>
              </w:rPr>
            </w:pPr>
          </w:p>
        </w:tc>
        <w:tc>
          <w:tcPr>
            <w:tcW w:w="1120" w:type="dxa"/>
            <w:vAlign w:val="bottom"/>
            <w:vMerge w:val="continue"/>
          </w:tcPr>
          <w:p>
            <w:pPr>
              <w:spacing w:after="0"/>
              <w:rPr>
                <w:sz w:val="10"/>
                <w:szCs w:val="10"/>
                <w:color w:val="auto"/>
              </w:rPr>
            </w:pPr>
          </w:p>
        </w:tc>
        <w:tc>
          <w:tcPr>
            <w:tcW w:w="40" w:type="dxa"/>
            <w:vAlign w:val="bottom"/>
          </w:tcPr>
          <w:p>
            <w:pPr>
              <w:spacing w:after="0"/>
              <w:rPr>
                <w:sz w:val="10"/>
                <w:szCs w:val="10"/>
                <w:color w:val="auto"/>
              </w:rPr>
            </w:pPr>
          </w:p>
        </w:tc>
        <w:tc>
          <w:tcPr>
            <w:tcW w:w="260" w:type="dxa"/>
            <w:vAlign w:val="bottom"/>
            <w:tcBorders>
              <w:right w:val="single" w:sz="8" w:color="auto"/>
            </w:tcBorders>
          </w:tcPr>
          <w:p>
            <w:pPr>
              <w:spacing w:after="0"/>
              <w:rPr>
                <w:sz w:val="10"/>
                <w:szCs w:val="10"/>
                <w:color w:val="auto"/>
              </w:rPr>
            </w:pPr>
          </w:p>
        </w:tc>
        <w:tc>
          <w:tcPr>
            <w:tcW w:w="1180" w:type="dxa"/>
            <w:vAlign w:val="bottom"/>
            <w:vMerge w:val="continue"/>
          </w:tcPr>
          <w:p>
            <w:pPr>
              <w:spacing w:after="0"/>
              <w:rPr>
                <w:sz w:val="10"/>
                <w:szCs w:val="10"/>
                <w:color w:val="auto"/>
              </w:rPr>
            </w:pPr>
          </w:p>
        </w:tc>
        <w:tc>
          <w:tcPr>
            <w:tcW w:w="40" w:type="dxa"/>
            <w:vAlign w:val="bottom"/>
          </w:tcPr>
          <w:p>
            <w:pPr>
              <w:spacing w:after="0"/>
              <w:rPr>
                <w:sz w:val="10"/>
                <w:szCs w:val="10"/>
                <w:color w:val="auto"/>
              </w:rPr>
            </w:pPr>
          </w:p>
        </w:tc>
        <w:tc>
          <w:tcPr>
            <w:tcW w:w="220" w:type="dxa"/>
            <w:vAlign w:val="bottom"/>
            <w:tcBorders>
              <w:right w:val="single" w:sz="8" w:color="auto"/>
            </w:tcBorders>
          </w:tcPr>
          <w:p>
            <w:pPr>
              <w:spacing w:after="0"/>
              <w:rPr>
                <w:sz w:val="10"/>
                <w:szCs w:val="10"/>
                <w:color w:val="auto"/>
              </w:rPr>
            </w:pPr>
          </w:p>
        </w:tc>
        <w:tc>
          <w:tcPr>
            <w:tcW w:w="1420" w:type="dxa"/>
            <w:vAlign w:val="bottom"/>
            <w:tcBorders>
              <w:right w:val="single" w:sz="8" w:color="auto"/>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22"/>
        </w:trPr>
        <w:tc>
          <w:tcPr>
            <w:tcW w:w="100" w:type="dxa"/>
            <w:vAlign w:val="bottom"/>
            <w:tcBorders>
              <w:left w:val="single" w:sz="8" w:color="auto"/>
            </w:tcBorders>
          </w:tcPr>
          <w:p>
            <w:pPr>
              <w:spacing w:after="0"/>
              <w:rPr>
                <w:sz w:val="10"/>
                <w:szCs w:val="10"/>
                <w:color w:val="auto"/>
              </w:rPr>
            </w:pPr>
          </w:p>
        </w:tc>
        <w:tc>
          <w:tcPr>
            <w:tcW w:w="720" w:type="dxa"/>
            <w:vAlign w:val="bottom"/>
            <w:tcBorders>
              <w:right w:val="single" w:sz="8" w:color="auto"/>
            </w:tcBorders>
          </w:tcPr>
          <w:p>
            <w:pPr>
              <w:spacing w:after="0"/>
              <w:rPr>
                <w:sz w:val="10"/>
                <w:szCs w:val="10"/>
                <w:color w:val="auto"/>
              </w:rPr>
            </w:pPr>
          </w:p>
        </w:tc>
        <w:tc>
          <w:tcPr>
            <w:tcW w:w="300" w:type="dxa"/>
            <w:vAlign w:val="bottom"/>
          </w:tcPr>
          <w:p>
            <w:pPr>
              <w:spacing w:after="0"/>
              <w:rPr>
                <w:sz w:val="10"/>
                <w:szCs w:val="10"/>
                <w:color w:val="auto"/>
              </w:rPr>
            </w:pPr>
          </w:p>
        </w:tc>
        <w:tc>
          <w:tcPr>
            <w:tcW w:w="1140" w:type="dxa"/>
            <w:vAlign w:val="bottom"/>
            <w:tcBorders>
              <w:right w:val="single" w:sz="8" w:color="auto"/>
            </w:tcBorders>
            <w:gridSpan w:val="2"/>
            <w:vMerge w:val="restart"/>
          </w:tcPr>
          <w:p>
            <w:pPr>
              <w:jc w:val="center"/>
              <w:ind w:right="240"/>
              <w:spacing w:after="0" w:line="243" w:lineRule="exact"/>
              <w:rPr>
                <w:sz w:val="20"/>
                <w:szCs w:val="20"/>
                <w:color w:val="auto"/>
              </w:rPr>
            </w:pPr>
            <w:r>
              <w:rPr>
                <w:rFonts w:ascii="Calibri" w:cs="Calibri" w:eastAsia="Calibri" w:hAnsi="Calibri"/>
                <w:sz w:val="20"/>
                <w:szCs w:val="20"/>
                <w:color w:val="auto"/>
              </w:rPr>
              <w:t>the entity</w:t>
            </w:r>
          </w:p>
        </w:tc>
        <w:tc>
          <w:tcPr>
            <w:tcW w:w="1140" w:type="dxa"/>
            <w:vAlign w:val="bottom"/>
            <w:gridSpan w:val="3"/>
            <w:vMerge w:val="continue"/>
          </w:tcPr>
          <w:p>
            <w:pPr>
              <w:spacing w:after="0"/>
              <w:rPr>
                <w:sz w:val="10"/>
                <w:szCs w:val="10"/>
                <w:color w:val="auto"/>
              </w:rPr>
            </w:pPr>
          </w:p>
        </w:tc>
        <w:tc>
          <w:tcPr>
            <w:tcW w:w="280" w:type="dxa"/>
            <w:vAlign w:val="bottom"/>
            <w:tcBorders>
              <w:right w:val="single" w:sz="8" w:color="auto"/>
            </w:tcBorders>
          </w:tcPr>
          <w:p>
            <w:pPr>
              <w:spacing w:after="0"/>
              <w:rPr>
                <w:sz w:val="10"/>
                <w:szCs w:val="10"/>
                <w:color w:val="auto"/>
              </w:rPr>
            </w:pPr>
          </w:p>
        </w:tc>
        <w:tc>
          <w:tcPr>
            <w:tcW w:w="10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160" w:type="dxa"/>
            <w:vAlign w:val="bottom"/>
            <w:tcBorders>
              <w:right w:val="single" w:sz="8" w:color="auto"/>
            </w:tcBorders>
          </w:tcPr>
          <w:p>
            <w:pPr>
              <w:spacing w:after="0"/>
              <w:rPr>
                <w:sz w:val="10"/>
                <w:szCs w:val="10"/>
                <w:color w:val="auto"/>
              </w:rPr>
            </w:pPr>
          </w:p>
        </w:tc>
        <w:tc>
          <w:tcPr>
            <w:tcW w:w="112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260" w:type="dxa"/>
            <w:vAlign w:val="bottom"/>
            <w:tcBorders>
              <w:right w:val="single" w:sz="8" w:color="auto"/>
            </w:tcBorders>
          </w:tcPr>
          <w:p>
            <w:pPr>
              <w:spacing w:after="0"/>
              <w:rPr>
                <w:sz w:val="10"/>
                <w:szCs w:val="10"/>
                <w:color w:val="auto"/>
              </w:rPr>
            </w:pPr>
          </w:p>
        </w:tc>
        <w:tc>
          <w:tcPr>
            <w:tcW w:w="1180" w:type="dxa"/>
            <w:vAlign w:val="bottom"/>
            <w:vMerge w:val="restart"/>
          </w:tcPr>
          <w:p>
            <w:pPr>
              <w:jc w:val="center"/>
              <w:ind w:left="140"/>
              <w:spacing w:after="0" w:line="243" w:lineRule="exact"/>
              <w:rPr>
                <w:sz w:val="20"/>
                <w:szCs w:val="20"/>
                <w:color w:val="auto"/>
              </w:rPr>
            </w:pPr>
            <w:r>
              <w:rPr>
                <w:rFonts w:ascii="Calibri" w:cs="Calibri" w:eastAsia="Calibri" w:hAnsi="Calibri"/>
                <w:sz w:val="20"/>
                <w:szCs w:val="20"/>
                <w:color w:val="auto"/>
                <w:w w:val="98"/>
              </w:rPr>
              <w:t>(%)</w:t>
            </w:r>
          </w:p>
        </w:tc>
        <w:tc>
          <w:tcPr>
            <w:tcW w:w="40" w:type="dxa"/>
            <w:vAlign w:val="bottom"/>
          </w:tcPr>
          <w:p>
            <w:pPr>
              <w:spacing w:after="0"/>
              <w:rPr>
                <w:sz w:val="10"/>
                <w:szCs w:val="10"/>
                <w:color w:val="auto"/>
              </w:rPr>
            </w:pPr>
          </w:p>
        </w:tc>
        <w:tc>
          <w:tcPr>
            <w:tcW w:w="220" w:type="dxa"/>
            <w:vAlign w:val="bottom"/>
            <w:tcBorders>
              <w:right w:val="single" w:sz="8" w:color="auto"/>
            </w:tcBorders>
          </w:tcPr>
          <w:p>
            <w:pPr>
              <w:spacing w:after="0"/>
              <w:rPr>
                <w:sz w:val="10"/>
                <w:szCs w:val="10"/>
                <w:color w:val="auto"/>
              </w:rPr>
            </w:pPr>
          </w:p>
        </w:tc>
        <w:tc>
          <w:tcPr>
            <w:tcW w:w="1420" w:type="dxa"/>
            <w:vAlign w:val="bottom"/>
            <w:tcBorders>
              <w:right w:val="single" w:sz="8" w:color="auto"/>
            </w:tcBorders>
            <w:vMerge w:val="restart"/>
          </w:tcPr>
          <w:p>
            <w:pPr>
              <w:jc w:val="center"/>
              <w:spacing w:after="0" w:line="243" w:lineRule="exact"/>
              <w:rPr>
                <w:sz w:val="20"/>
                <w:szCs w:val="20"/>
                <w:color w:val="auto"/>
              </w:rPr>
            </w:pPr>
            <w:r>
              <w:rPr>
                <w:rFonts w:ascii="Calibri" w:cs="Calibri" w:eastAsia="Calibri" w:hAnsi="Calibri"/>
                <w:sz w:val="20"/>
                <w:szCs w:val="20"/>
                <w:color w:val="auto"/>
                <w:w w:val="99"/>
              </w:rPr>
              <w:t>of quarter*</w:t>
            </w:r>
          </w:p>
        </w:tc>
        <w:tc>
          <w:tcPr>
            <w:tcW w:w="0" w:type="dxa"/>
            <w:vAlign w:val="bottom"/>
          </w:tcPr>
          <w:p>
            <w:pPr>
              <w:spacing w:after="0"/>
              <w:rPr>
                <w:sz w:val="1"/>
                <w:szCs w:val="1"/>
                <w:color w:val="auto"/>
              </w:rPr>
            </w:pPr>
          </w:p>
        </w:tc>
      </w:tr>
      <w:tr>
        <w:trPr>
          <w:trHeight w:val="120"/>
        </w:trPr>
        <w:tc>
          <w:tcPr>
            <w:tcW w:w="100" w:type="dxa"/>
            <w:vAlign w:val="bottom"/>
            <w:tcBorders>
              <w:left w:val="single" w:sz="8" w:color="auto"/>
            </w:tcBorders>
          </w:tcPr>
          <w:p>
            <w:pPr>
              <w:spacing w:after="0"/>
              <w:rPr>
                <w:sz w:val="10"/>
                <w:szCs w:val="10"/>
                <w:color w:val="auto"/>
              </w:rPr>
            </w:pPr>
          </w:p>
        </w:tc>
        <w:tc>
          <w:tcPr>
            <w:tcW w:w="720" w:type="dxa"/>
            <w:vAlign w:val="bottom"/>
            <w:tcBorders>
              <w:right w:val="single" w:sz="8" w:color="auto"/>
            </w:tcBorders>
          </w:tcPr>
          <w:p>
            <w:pPr>
              <w:spacing w:after="0"/>
              <w:rPr>
                <w:sz w:val="10"/>
                <w:szCs w:val="10"/>
                <w:color w:val="auto"/>
              </w:rPr>
            </w:pPr>
          </w:p>
        </w:tc>
        <w:tc>
          <w:tcPr>
            <w:tcW w:w="300" w:type="dxa"/>
            <w:vAlign w:val="bottom"/>
          </w:tcPr>
          <w:p>
            <w:pPr>
              <w:spacing w:after="0"/>
              <w:rPr>
                <w:sz w:val="10"/>
                <w:szCs w:val="10"/>
                <w:color w:val="auto"/>
              </w:rPr>
            </w:pPr>
          </w:p>
        </w:tc>
        <w:tc>
          <w:tcPr>
            <w:tcW w:w="1140" w:type="dxa"/>
            <w:vAlign w:val="bottom"/>
            <w:tcBorders>
              <w:right w:val="single" w:sz="8" w:color="auto"/>
            </w:tcBorders>
            <w:gridSpan w:val="2"/>
            <w:vMerge w:val="continue"/>
          </w:tcPr>
          <w:p>
            <w:pPr>
              <w:spacing w:after="0"/>
              <w:rPr>
                <w:sz w:val="10"/>
                <w:szCs w:val="10"/>
                <w:color w:val="auto"/>
              </w:rPr>
            </w:pPr>
          </w:p>
        </w:tc>
        <w:tc>
          <w:tcPr>
            <w:tcW w:w="64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280" w:type="dxa"/>
            <w:vAlign w:val="bottom"/>
            <w:tcBorders>
              <w:right w:val="single" w:sz="8" w:color="auto"/>
            </w:tcBorders>
          </w:tcPr>
          <w:p>
            <w:pPr>
              <w:spacing w:after="0"/>
              <w:rPr>
                <w:sz w:val="10"/>
                <w:szCs w:val="10"/>
                <w:color w:val="auto"/>
              </w:rPr>
            </w:pPr>
          </w:p>
        </w:tc>
        <w:tc>
          <w:tcPr>
            <w:tcW w:w="10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160" w:type="dxa"/>
            <w:vAlign w:val="bottom"/>
            <w:tcBorders>
              <w:right w:val="single" w:sz="8" w:color="auto"/>
            </w:tcBorders>
          </w:tcPr>
          <w:p>
            <w:pPr>
              <w:spacing w:after="0"/>
              <w:rPr>
                <w:sz w:val="10"/>
                <w:szCs w:val="10"/>
                <w:color w:val="auto"/>
              </w:rPr>
            </w:pPr>
          </w:p>
        </w:tc>
        <w:tc>
          <w:tcPr>
            <w:tcW w:w="112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260" w:type="dxa"/>
            <w:vAlign w:val="bottom"/>
            <w:tcBorders>
              <w:right w:val="single" w:sz="8" w:color="auto"/>
            </w:tcBorders>
          </w:tcPr>
          <w:p>
            <w:pPr>
              <w:spacing w:after="0"/>
              <w:rPr>
                <w:sz w:val="10"/>
                <w:szCs w:val="10"/>
                <w:color w:val="auto"/>
              </w:rPr>
            </w:pPr>
          </w:p>
        </w:tc>
        <w:tc>
          <w:tcPr>
            <w:tcW w:w="1180" w:type="dxa"/>
            <w:vAlign w:val="bottom"/>
            <w:vMerge w:val="continue"/>
          </w:tcPr>
          <w:p>
            <w:pPr>
              <w:spacing w:after="0"/>
              <w:rPr>
                <w:sz w:val="10"/>
                <w:szCs w:val="10"/>
                <w:color w:val="auto"/>
              </w:rPr>
            </w:pPr>
          </w:p>
        </w:tc>
        <w:tc>
          <w:tcPr>
            <w:tcW w:w="40" w:type="dxa"/>
            <w:vAlign w:val="bottom"/>
          </w:tcPr>
          <w:p>
            <w:pPr>
              <w:spacing w:after="0"/>
              <w:rPr>
                <w:sz w:val="10"/>
                <w:szCs w:val="10"/>
                <w:color w:val="auto"/>
              </w:rPr>
            </w:pPr>
          </w:p>
        </w:tc>
        <w:tc>
          <w:tcPr>
            <w:tcW w:w="220" w:type="dxa"/>
            <w:vAlign w:val="bottom"/>
            <w:tcBorders>
              <w:right w:val="single" w:sz="8" w:color="auto"/>
            </w:tcBorders>
          </w:tcPr>
          <w:p>
            <w:pPr>
              <w:spacing w:after="0"/>
              <w:rPr>
                <w:sz w:val="10"/>
                <w:szCs w:val="10"/>
                <w:color w:val="auto"/>
              </w:rPr>
            </w:pPr>
          </w:p>
        </w:tc>
        <w:tc>
          <w:tcPr>
            <w:tcW w:w="1420" w:type="dxa"/>
            <w:vAlign w:val="bottom"/>
            <w:tcBorders>
              <w:right w:val="single" w:sz="8" w:color="auto"/>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248"/>
        </w:trPr>
        <w:tc>
          <w:tcPr>
            <w:tcW w:w="100" w:type="dxa"/>
            <w:vAlign w:val="bottom"/>
            <w:tcBorders>
              <w:left w:val="single" w:sz="8" w:color="auto"/>
              <w:bottom w:val="single" w:sz="8" w:color="auto"/>
            </w:tcBorders>
          </w:tcPr>
          <w:p>
            <w:pPr>
              <w:spacing w:after="0"/>
              <w:rPr>
                <w:sz w:val="21"/>
                <w:szCs w:val="21"/>
                <w:color w:val="auto"/>
              </w:rPr>
            </w:pPr>
          </w:p>
        </w:tc>
        <w:tc>
          <w:tcPr>
            <w:tcW w:w="720" w:type="dxa"/>
            <w:vAlign w:val="bottom"/>
            <w:tcBorders>
              <w:bottom w:val="single" w:sz="8" w:color="auto"/>
              <w:right w:val="single" w:sz="8" w:color="auto"/>
            </w:tcBorders>
          </w:tcPr>
          <w:p>
            <w:pPr>
              <w:spacing w:after="0"/>
              <w:rPr>
                <w:sz w:val="21"/>
                <w:szCs w:val="21"/>
                <w:color w:val="auto"/>
              </w:rPr>
            </w:pPr>
          </w:p>
        </w:tc>
        <w:tc>
          <w:tcPr>
            <w:tcW w:w="1440" w:type="dxa"/>
            <w:vAlign w:val="bottom"/>
            <w:tcBorders>
              <w:bottom w:val="single" w:sz="8" w:color="auto"/>
              <w:right w:val="single" w:sz="8" w:color="auto"/>
            </w:tcBorders>
            <w:gridSpan w:val="3"/>
          </w:tcPr>
          <w:p>
            <w:pPr>
              <w:jc w:val="center"/>
              <w:spacing w:after="0"/>
              <w:rPr>
                <w:sz w:val="20"/>
                <w:szCs w:val="20"/>
                <w:color w:val="auto"/>
              </w:rPr>
            </w:pPr>
            <w:r>
              <w:rPr>
                <w:rFonts w:ascii="Calibri" w:cs="Calibri" w:eastAsia="Calibri" w:hAnsi="Calibri"/>
                <w:sz w:val="20"/>
                <w:szCs w:val="20"/>
                <w:color w:val="auto"/>
                <w:w w:val="99"/>
              </w:rPr>
              <w:t>invested in</w:t>
            </w:r>
          </w:p>
        </w:tc>
        <w:tc>
          <w:tcPr>
            <w:tcW w:w="640" w:type="dxa"/>
            <w:vAlign w:val="bottom"/>
            <w:tcBorders>
              <w:bottom w:val="single" w:sz="8" w:color="auto"/>
            </w:tcBorders>
          </w:tcPr>
          <w:p>
            <w:pPr>
              <w:spacing w:after="0"/>
              <w:rPr>
                <w:sz w:val="21"/>
                <w:szCs w:val="21"/>
                <w:color w:val="auto"/>
              </w:rPr>
            </w:pPr>
          </w:p>
        </w:tc>
        <w:tc>
          <w:tcPr>
            <w:tcW w:w="60" w:type="dxa"/>
            <w:vAlign w:val="bottom"/>
            <w:tcBorders>
              <w:bottom w:val="single" w:sz="8" w:color="auto"/>
            </w:tcBorders>
          </w:tcPr>
          <w:p>
            <w:pPr>
              <w:spacing w:after="0"/>
              <w:rPr>
                <w:sz w:val="21"/>
                <w:szCs w:val="21"/>
                <w:color w:val="auto"/>
              </w:rPr>
            </w:pPr>
          </w:p>
        </w:tc>
        <w:tc>
          <w:tcPr>
            <w:tcW w:w="440" w:type="dxa"/>
            <w:vAlign w:val="bottom"/>
            <w:tcBorders>
              <w:bottom w:val="single" w:sz="8" w:color="auto"/>
            </w:tcBorders>
          </w:tcPr>
          <w:p>
            <w:pPr>
              <w:spacing w:after="0"/>
              <w:rPr>
                <w:sz w:val="21"/>
                <w:szCs w:val="21"/>
                <w:color w:val="auto"/>
              </w:rPr>
            </w:pPr>
          </w:p>
        </w:tc>
        <w:tc>
          <w:tcPr>
            <w:tcW w:w="280" w:type="dxa"/>
            <w:vAlign w:val="bottom"/>
            <w:tcBorders>
              <w:bottom w:val="single" w:sz="8" w:color="auto"/>
              <w:right w:val="single" w:sz="8" w:color="auto"/>
            </w:tcBorders>
          </w:tcPr>
          <w:p>
            <w:pPr>
              <w:spacing w:after="0"/>
              <w:rPr>
                <w:sz w:val="21"/>
                <w:szCs w:val="21"/>
                <w:color w:val="auto"/>
              </w:rPr>
            </w:pPr>
          </w:p>
        </w:tc>
        <w:tc>
          <w:tcPr>
            <w:tcW w:w="1020" w:type="dxa"/>
            <w:vAlign w:val="bottom"/>
            <w:tcBorders>
              <w:bottom w:val="single" w:sz="8" w:color="auto"/>
            </w:tcBorders>
          </w:tcPr>
          <w:p>
            <w:pPr>
              <w:spacing w:after="0"/>
              <w:rPr>
                <w:sz w:val="21"/>
                <w:szCs w:val="21"/>
                <w:color w:val="auto"/>
              </w:rPr>
            </w:pPr>
          </w:p>
        </w:tc>
        <w:tc>
          <w:tcPr>
            <w:tcW w:w="240" w:type="dxa"/>
            <w:vAlign w:val="bottom"/>
            <w:tcBorders>
              <w:bottom w:val="single" w:sz="8" w:color="auto"/>
            </w:tcBorders>
          </w:tcPr>
          <w:p>
            <w:pPr>
              <w:spacing w:after="0"/>
              <w:rPr>
                <w:sz w:val="21"/>
                <w:szCs w:val="21"/>
                <w:color w:val="auto"/>
              </w:rPr>
            </w:pPr>
          </w:p>
        </w:tc>
        <w:tc>
          <w:tcPr>
            <w:tcW w:w="160" w:type="dxa"/>
            <w:vAlign w:val="bottom"/>
            <w:tcBorders>
              <w:bottom w:val="single" w:sz="8" w:color="auto"/>
              <w:right w:val="single" w:sz="8" w:color="auto"/>
            </w:tcBorders>
          </w:tcPr>
          <w:p>
            <w:pPr>
              <w:spacing w:after="0"/>
              <w:rPr>
                <w:sz w:val="21"/>
                <w:szCs w:val="21"/>
                <w:color w:val="auto"/>
              </w:rPr>
            </w:pPr>
          </w:p>
        </w:tc>
        <w:tc>
          <w:tcPr>
            <w:tcW w:w="1120" w:type="dxa"/>
            <w:vAlign w:val="bottom"/>
            <w:tcBorders>
              <w:bottom w:val="single" w:sz="8" w:color="auto"/>
            </w:tcBorders>
          </w:tcPr>
          <w:p>
            <w:pPr>
              <w:spacing w:after="0"/>
              <w:rPr>
                <w:sz w:val="21"/>
                <w:szCs w:val="21"/>
                <w:color w:val="auto"/>
              </w:rPr>
            </w:pPr>
          </w:p>
        </w:tc>
        <w:tc>
          <w:tcPr>
            <w:tcW w:w="40" w:type="dxa"/>
            <w:vAlign w:val="bottom"/>
            <w:tcBorders>
              <w:bottom w:val="single" w:sz="8" w:color="auto"/>
            </w:tcBorders>
          </w:tcPr>
          <w:p>
            <w:pPr>
              <w:spacing w:after="0"/>
              <w:rPr>
                <w:sz w:val="21"/>
                <w:szCs w:val="21"/>
                <w:color w:val="auto"/>
              </w:rPr>
            </w:pPr>
          </w:p>
        </w:tc>
        <w:tc>
          <w:tcPr>
            <w:tcW w:w="260" w:type="dxa"/>
            <w:vAlign w:val="bottom"/>
            <w:tcBorders>
              <w:bottom w:val="single" w:sz="8" w:color="auto"/>
              <w:right w:val="single" w:sz="8" w:color="auto"/>
            </w:tcBorders>
          </w:tcPr>
          <w:p>
            <w:pPr>
              <w:spacing w:after="0"/>
              <w:rPr>
                <w:sz w:val="21"/>
                <w:szCs w:val="21"/>
                <w:color w:val="auto"/>
              </w:rPr>
            </w:pPr>
          </w:p>
        </w:tc>
        <w:tc>
          <w:tcPr>
            <w:tcW w:w="1180" w:type="dxa"/>
            <w:vAlign w:val="bottom"/>
            <w:tcBorders>
              <w:bottom w:val="single" w:sz="8" w:color="auto"/>
            </w:tcBorders>
          </w:tcPr>
          <w:p>
            <w:pPr>
              <w:spacing w:after="0"/>
              <w:rPr>
                <w:sz w:val="21"/>
                <w:szCs w:val="21"/>
                <w:color w:val="auto"/>
              </w:rPr>
            </w:pPr>
          </w:p>
        </w:tc>
        <w:tc>
          <w:tcPr>
            <w:tcW w:w="40" w:type="dxa"/>
            <w:vAlign w:val="bottom"/>
            <w:tcBorders>
              <w:bottom w:val="single" w:sz="8" w:color="auto"/>
            </w:tcBorders>
          </w:tcPr>
          <w:p>
            <w:pPr>
              <w:spacing w:after="0"/>
              <w:rPr>
                <w:sz w:val="21"/>
                <w:szCs w:val="21"/>
                <w:color w:val="auto"/>
              </w:rPr>
            </w:pPr>
          </w:p>
        </w:tc>
        <w:tc>
          <w:tcPr>
            <w:tcW w:w="220" w:type="dxa"/>
            <w:vAlign w:val="bottom"/>
            <w:tcBorders>
              <w:bottom w:val="single" w:sz="8" w:color="auto"/>
              <w:right w:val="single" w:sz="8" w:color="auto"/>
            </w:tcBorders>
          </w:tcPr>
          <w:p>
            <w:pPr>
              <w:spacing w:after="0"/>
              <w:rPr>
                <w:sz w:val="21"/>
                <w:szCs w:val="21"/>
                <w:color w:val="auto"/>
              </w:rPr>
            </w:pPr>
          </w:p>
        </w:tc>
        <w:tc>
          <w:tcPr>
            <w:tcW w:w="1420" w:type="dxa"/>
            <w:vAlign w:val="bottom"/>
            <w:tcBorders>
              <w:bottom w:val="single" w:sz="8" w:color="auto"/>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255"/>
        </w:trPr>
        <w:tc>
          <w:tcPr>
            <w:tcW w:w="100" w:type="dxa"/>
            <w:vAlign w:val="bottom"/>
            <w:tcBorders>
              <w:left w:val="single" w:sz="8" w:color="auto"/>
              <w:bottom w:val="single" w:sz="8" w:color="auto"/>
            </w:tcBorders>
          </w:tcPr>
          <w:p>
            <w:pPr>
              <w:spacing w:after="0"/>
              <w:rPr>
                <w:sz w:val="22"/>
                <w:szCs w:val="22"/>
                <w:color w:val="auto"/>
              </w:rPr>
            </w:pPr>
          </w:p>
        </w:tc>
        <w:tc>
          <w:tcPr>
            <w:tcW w:w="720" w:type="dxa"/>
            <w:vAlign w:val="bottom"/>
            <w:tcBorders>
              <w:bottom w:val="single" w:sz="8" w:color="auto"/>
              <w:right w:val="single" w:sz="8" w:color="auto"/>
            </w:tcBorders>
          </w:tcPr>
          <w:p>
            <w:pPr>
              <w:spacing w:after="0"/>
              <w:rPr>
                <w:sz w:val="22"/>
                <w:szCs w:val="22"/>
                <w:color w:val="auto"/>
              </w:rPr>
            </w:pPr>
          </w:p>
        </w:tc>
        <w:tc>
          <w:tcPr>
            <w:tcW w:w="300" w:type="dxa"/>
            <w:vAlign w:val="bottom"/>
            <w:tcBorders>
              <w:bottom w:val="single" w:sz="8" w:color="auto"/>
            </w:tcBorders>
          </w:tcPr>
          <w:p>
            <w:pPr>
              <w:spacing w:after="0"/>
              <w:rPr>
                <w:sz w:val="22"/>
                <w:szCs w:val="22"/>
                <w:color w:val="auto"/>
              </w:rPr>
            </w:pPr>
          </w:p>
        </w:tc>
        <w:tc>
          <w:tcPr>
            <w:tcW w:w="160" w:type="dxa"/>
            <w:vAlign w:val="bottom"/>
            <w:tcBorders>
              <w:bottom w:val="single" w:sz="8" w:color="auto"/>
            </w:tcBorders>
          </w:tcPr>
          <w:p>
            <w:pPr>
              <w:spacing w:after="0"/>
              <w:rPr>
                <w:sz w:val="22"/>
                <w:szCs w:val="22"/>
                <w:color w:val="auto"/>
              </w:rPr>
            </w:pPr>
          </w:p>
        </w:tc>
        <w:tc>
          <w:tcPr>
            <w:tcW w:w="980" w:type="dxa"/>
            <w:vAlign w:val="bottom"/>
            <w:tcBorders>
              <w:bottom w:val="single" w:sz="8" w:color="auto"/>
              <w:right w:val="single" w:sz="8" w:color="auto"/>
            </w:tcBorders>
          </w:tcPr>
          <w:p>
            <w:pPr>
              <w:spacing w:after="0"/>
              <w:rPr>
                <w:sz w:val="22"/>
                <w:szCs w:val="22"/>
                <w:color w:val="auto"/>
              </w:rPr>
            </w:pPr>
          </w:p>
        </w:tc>
        <w:tc>
          <w:tcPr>
            <w:tcW w:w="640" w:type="dxa"/>
            <w:vAlign w:val="bottom"/>
            <w:tcBorders>
              <w:bottom w:val="single" w:sz="8" w:color="auto"/>
            </w:tcBorders>
          </w:tcPr>
          <w:p>
            <w:pPr>
              <w:spacing w:after="0"/>
              <w:rPr>
                <w:sz w:val="22"/>
                <w:szCs w:val="22"/>
                <w:color w:val="auto"/>
              </w:rPr>
            </w:pPr>
          </w:p>
        </w:tc>
        <w:tc>
          <w:tcPr>
            <w:tcW w:w="60" w:type="dxa"/>
            <w:vAlign w:val="bottom"/>
            <w:tcBorders>
              <w:bottom w:val="single" w:sz="8" w:color="auto"/>
            </w:tcBorders>
          </w:tcPr>
          <w:p>
            <w:pPr>
              <w:spacing w:after="0"/>
              <w:rPr>
                <w:sz w:val="22"/>
                <w:szCs w:val="22"/>
                <w:color w:val="auto"/>
              </w:rPr>
            </w:pPr>
          </w:p>
        </w:tc>
        <w:tc>
          <w:tcPr>
            <w:tcW w:w="720" w:type="dxa"/>
            <w:vAlign w:val="bottom"/>
            <w:tcBorders>
              <w:bottom w:val="single" w:sz="8" w:color="auto"/>
              <w:right w:val="single" w:sz="8" w:color="auto"/>
            </w:tcBorders>
            <w:gridSpan w:val="2"/>
          </w:tcPr>
          <w:p>
            <w:pPr>
              <w:spacing w:after="0"/>
              <w:rPr>
                <w:sz w:val="22"/>
                <w:szCs w:val="22"/>
                <w:color w:val="auto"/>
              </w:rPr>
            </w:pPr>
          </w:p>
        </w:tc>
        <w:tc>
          <w:tcPr>
            <w:tcW w:w="1020" w:type="dxa"/>
            <w:vAlign w:val="bottom"/>
            <w:tcBorders>
              <w:bottom w:val="single" w:sz="8" w:color="auto"/>
            </w:tcBorders>
          </w:tcPr>
          <w:p>
            <w:pPr>
              <w:spacing w:after="0"/>
              <w:rPr>
                <w:sz w:val="22"/>
                <w:szCs w:val="22"/>
                <w:color w:val="auto"/>
              </w:rPr>
            </w:pPr>
          </w:p>
        </w:tc>
        <w:tc>
          <w:tcPr>
            <w:tcW w:w="400" w:type="dxa"/>
            <w:vAlign w:val="bottom"/>
            <w:tcBorders>
              <w:bottom w:val="single" w:sz="8" w:color="auto"/>
              <w:right w:val="single" w:sz="8" w:color="auto"/>
            </w:tcBorders>
            <w:gridSpan w:val="2"/>
          </w:tcPr>
          <w:p>
            <w:pPr>
              <w:spacing w:after="0"/>
              <w:rPr>
                <w:sz w:val="22"/>
                <w:szCs w:val="22"/>
                <w:color w:val="auto"/>
              </w:rPr>
            </w:pPr>
          </w:p>
        </w:tc>
        <w:tc>
          <w:tcPr>
            <w:tcW w:w="1120" w:type="dxa"/>
            <w:vAlign w:val="bottom"/>
            <w:tcBorders>
              <w:bottom w:val="single" w:sz="8" w:color="auto"/>
            </w:tcBorders>
          </w:tcPr>
          <w:p>
            <w:pPr>
              <w:spacing w:after="0"/>
              <w:rPr>
                <w:sz w:val="22"/>
                <w:szCs w:val="22"/>
                <w:color w:val="auto"/>
              </w:rPr>
            </w:pPr>
          </w:p>
        </w:tc>
        <w:tc>
          <w:tcPr>
            <w:tcW w:w="40" w:type="dxa"/>
            <w:vAlign w:val="bottom"/>
            <w:tcBorders>
              <w:bottom w:val="single" w:sz="8" w:color="auto"/>
            </w:tcBorders>
          </w:tcPr>
          <w:p>
            <w:pPr>
              <w:spacing w:after="0"/>
              <w:rPr>
                <w:sz w:val="22"/>
                <w:szCs w:val="22"/>
                <w:color w:val="auto"/>
              </w:rPr>
            </w:pPr>
          </w:p>
        </w:tc>
        <w:tc>
          <w:tcPr>
            <w:tcW w:w="260" w:type="dxa"/>
            <w:vAlign w:val="bottom"/>
            <w:tcBorders>
              <w:bottom w:val="single" w:sz="8" w:color="auto"/>
              <w:right w:val="single" w:sz="8" w:color="auto"/>
            </w:tcBorders>
          </w:tcPr>
          <w:p>
            <w:pPr>
              <w:spacing w:after="0"/>
              <w:rPr>
                <w:sz w:val="22"/>
                <w:szCs w:val="22"/>
                <w:color w:val="auto"/>
              </w:rPr>
            </w:pPr>
          </w:p>
        </w:tc>
        <w:tc>
          <w:tcPr>
            <w:tcW w:w="1180" w:type="dxa"/>
            <w:vAlign w:val="bottom"/>
            <w:tcBorders>
              <w:bottom w:val="single" w:sz="8" w:color="auto"/>
            </w:tcBorders>
          </w:tcPr>
          <w:p>
            <w:pPr>
              <w:spacing w:after="0"/>
              <w:rPr>
                <w:sz w:val="22"/>
                <w:szCs w:val="22"/>
                <w:color w:val="auto"/>
              </w:rPr>
            </w:pPr>
          </w:p>
        </w:tc>
        <w:tc>
          <w:tcPr>
            <w:tcW w:w="40" w:type="dxa"/>
            <w:vAlign w:val="bottom"/>
            <w:tcBorders>
              <w:bottom w:val="single" w:sz="8" w:color="auto"/>
            </w:tcBorders>
          </w:tcPr>
          <w:p>
            <w:pPr>
              <w:spacing w:after="0"/>
              <w:rPr>
                <w:sz w:val="22"/>
                <w:szCs w:val="22"/>
                <w:color w:val="auto"/>
              </w:rPr>
            </w:pPr>
          </w:p>
        </w:tc>
        <w:tc>
          <w:tcPr>
            <w:tcW w:w="220" w:type="dxa"/>
            <w:vAlign w:val="bottom"/>
            <w:tcBorders>
              <w:bottom w:val="single" w:sz="8" w:color="auto"/>
              <w:right w:val="single" w:sz="8" w:color="auto"/>
            </w:tcBorders>
          </w:tcPr>
          <w:p>
            <w:pPr>
              <w:spacing w:after="0"/>
              <w:rPr>
                <w:sz w:val="22"/>
                <w:szCs w:val="22"/>
                <w:color w:val="auto"/>
              </w:rPr>
            </w:pPr>
          </w:p>
        </w:tc>
        <w:tc>
          <w:tcPr>
            <w:tcW w:w="1420" w:type="dxa"/>
            <w:vAlign w:val="bottom"/>
            <w:tcBorders>
              <w:bottom w:val="single" w:sz="8" w:color="auto"/>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472"/>
        </w:trPr>
        <w:tc>
          <w:tcPr>
            <w:tcW w:w="10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6880" w:type="dxa"/>
            <w:vAlign w:val="bottom"/>
            <w:gridSpan w:val="14"/>
          </w:tcPr>
          <w:p>
            <w:pPr>
              <w:ind w:left="20"/>
              <w:spacing w:after="0"/>
              <w:rPr>
                <w:sz w:val="20"/>
                <w:szCs w:val="20"/>
                <w:color w:val="auto"/>
              </w:rPr>
            </w:pPr>
            <w:r>
              <w:rPr>
                <w:rFonts w:ascii="Calibri" w:cs="Calibri" w:eastAsia="Calibri" w:hAnsi="Calibri"/>
                <w:sz w:val="20"/>
                <w:szCs w:val="20"/>
                <w:i w:val="1"/>
                <w:iCs w:val="1"/>
                <w:color w:val="auto"/>
              </w:rPr>
              <w:t>* Where the market value is not feasible, provide NAV/NRV/Book Value of the same</w:t>
            </w:r>
          </w:p>
        </w:tc>
        <w:tc>
          <w:tcPr>
            <w:tcW w:w="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87"/>
        </w:trPr>
        <w:tc>
          <w:tcPr>
            <w:tcW w:w="10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300" w:type="dxa"/>
            <w:vAlign w:val="bottom"/>
          </w:tcPr>
          <w:p>
            <w:pPr>
              <w:ind w:left="20"/>
              <w:spacing w:after="0"/>
              <w:rPr>
                <w:sz w:val="20"/>
                <w:szCs w:val="20"/>
                <w:color w:val="auto"/>
              </w:rPr>
            </w:pPr>
            <w:r>
              <w:rPr>
                <w:rFonts w:ascii="Calibri" w:cs="Calibri" w:eastAsia="Calibri" w:hAnsi="Calibri"/>
                <w:sz w:val="20"/>
                <w:szCs w:val="20"/>
                <w:color w:val="auto"/>
              </w:rPr>
              <w:t>(iv)</w:t>
            </w:r>
          </w:p>
        </w:tc>
        <w:tc>
          <w:tcPr>
            <w:tcW w:w="3580" w:type="dxa"/>
            <w:vAlign w:val="bottom"/>
            <w:gridSpan w:val="7"/>
          </w:tcPr>
          <w:p>
            <w:pPr>
              <w:ind w:left="80"/>
              <w:spacing w:after="0"/>
              <w:rPr>
                <w:sz w:val="20"/>
                <w:szCs w:val="20"/>
                <w:color w:val="auto"/>
              </w:rPr>
            </w:pPr>
            <w:r>
              <w:rPr>
                <w:rFonts w:ascii="Calibri" w:cs="Calibri" w:eastAsia="Calibri" w:hAnsi="Calibri"/>
                <w:sz w:val="20"/>
                <w:szCs w:val="20"/>
                <w:color w:val="auto"/>
              </w:rPr>
              <w:t>Delay in implementation of the object(s)</w:t>
            </w:r>
          </w:p>
        </w:tc>
        <w:tc>
          <w:tcPr>
            <w:tcW w:w="2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53"/>
        </w:trPr>
        <w:tc>
          <w:tcPr>
            <w:tcW w:w="100" w:type="dxa"/>
            <w:vAlign w:val="bottom"/>
          </w:tcPr>
          <w:p>
            <w:pPr>
              <w:spacing w:after="0"/>
              <w:rPr>
                <w:sz w:val="21"/>
                <w:szCs w:val="21"/>
                <w:color w:val="auto"/>
              </w:rPr>
            </w:pPr>
          </w:p>
        </w:tc>
        <w:tc>
          <w:tcPr>
            <w:tcW w:w="720" w:type="dxa"/>
            <w:vAlign w:val="bottom"/>
            <w:tcBorders>
              <w:bottom w:val="single" w:sz="8" w:color="auto"/>
            </w:tcBorders>
          </w:tcPr>
          <w:p>
            <w:pPr>
              <w:spacing w:after="0"/>
              <w:rPr>
                <w:sz w:val="21"/>
                <w:szCs w:val="21"/>
                <w:color w:val="auto"/>
              </w:rPr>
            </w:pPr>
          </w:p>
        </w:tc>
        <w:tc>
          <w:tcPr>
            <w:tcW w:w="300" w:type="dxa"/>
            <w:vAlign w:val="bottom"/>
            <w:tcBorders>
              <w:bottom w:val="single" w:sz="8" w:color="auto"/>
            </w:tcBorders>
          </w:tcPr>
          <w:p>
            <w:pPr>
              <w:spacing w:after="0"/>
              <w:rPr>
                <w:sz w:val="21"/>
                <w:szCs w:val="21"/>
                <w:color w:val="auto"/>
              </w:rPr>
            </w:pPr>
          </w:p>
        </w:tc>
        <w:tc>
          <w:tcPr>
            <w:tcW w:w="160" w:type="dxa"/>
            <w:vAlign w:val="bottom"/>
            <w:tcBorders>
              <w:bottom w:val="single" w:sz="8" w:color="auto"/>
            </w:tcBorders>
          </w:tcPr>
          <w:p>
            <w:pPr>
              <w:spacing w:after="0"/>
              <w:rPr>
                <w:sz w:val="21"/>
                <w:szCs w:val="21"/>
                <w:color w:val="auto"/>
              </w:rPr>
            </w:pPr>
          </w:p>
        </w:tc>
        <w:tc>
          <w:tcPr>
            <w:tcW w:w="980" w:type="dxa"/>
            <w:vAlign w:val="bottom"/>
            <w:tcBorders>
              <w:bottom w:val="single" w:sz="8" w:color="auto"/>
            </w:tcBorders>
          </w:tcPr>
          <w:p>
            <w:pPr>
              <w:spacing w:after="0"/>
              <w:rPr>
                <w:sz w:val="21"/>
                <w:szCs w:val="21"/>
                <w:color w:val="auto"/>
              </w:rPr>
            </w:pPr>
          </w:p>
        </w:tc>
        <w:tc>
          <w:tcPr>
            <w:tcW w:w="640" w:type="dxa"/>
            <w:vAlign w:val="bottom"/>
            <w:tcBorders>
              <w:bottom w:val="single" w:sz="8" w:color="auto"/>
            </w:tcBorders>
          </w:tcPr>
          <w:p>
            <w:pPr>
              <w:spacing w:after="0"/>
              <w:rPr>
                <w:sz w:val="21"/>
                <w:szCs w:val="21"/>
                <w:color w:val="auto"/>
              </w:rPr>
            </w:pPr>
          </w:p>
        </w:tc>
        <w:tc>
          <w:tcPr>
            <w:tcW w:w="60" w:type="dxa"/>
            <w:vAlign w:val="bottom"/>
            <w:tcBorders>
              <w:bottom w:val="single" w:sz="8" w:color="auto"/>
            </w:tcBorders>
          </w:tcPr>
          <w:p>
            <w:pPr>
              <w:spacing w:after="0"/>
              <w:rPr>
                <w:sz w:val="21"/>
                <w:szCs w:val="21"/>
                <w:color w:val="auto"/>
              </w:rPr>
            </w:pPr>
          </w:p>
        </w:tc>
        <w:tc>
          <w:tcPr>
            <w:tcW w:w="1740" w:type="dxa"/>
            <w:vAlign w:val="bottom"/>
            <w:tcBorders>
              <w:bottom w:val="single" w:sz="8" w:color="auto"/>
            </w:tcBorders>
            <w:gridSpan w:val="3"/>
          </w:tcPr>
          <w:p>
            <w:pPr>
              <w:spacing w:after="0"/>
              <w:rPr>
                <w:sz w:val="21"/>
                <w:szCs w:val="21"/>
                <w:color w:val="auto"/>
              </w:rPr>
            </w:pPr>
          </w:p>
        </w:tc>
        <w:tc>
          <w:tcPr>
            <w:tcW w:w="240" w:type="dxa"/>
            <w:vAlign w:val="bottom"/>
            <w:tcBorders>
              <w:bottom w:val="single" w:sz="8" w:color="auto"/>
            </w:tcBorders>
          </w:tcPr>
          <w:p>
            <w:pPr>
              <w:spacing w:after="0"/>
              <w:rPr>
                <w:sz w:val="21"/>
                <w:szCs w:val="21"/>
                <w:color w:val="auto"/>
              </w:rPr>
            </w:pPr>
          </w:p>
        </w:tc>
        <w:tc>
          <w:tcPr>
            <w:tcW w:w="160" w:type="dxa"/>
            <w:vAlign w:val="bottom"/>
            <w:tcBorders>
              <w:bottom w:val="single" w:sz="8" w:color="auto"/>
            </w:tcBorders>
          </w:tcPr>
          <w:p>
            <w:pPr>
              <w:spacing w:after="0"/>
              <w:rPr>
                <w:sz w:val="21"/>
                <w:szCs w:val="21"/>
                <w:color w:val="auto"/>
              </w:rPr>
            </w:pPr>
          </w:p>
        </w:tc>
        <w:tc>
          <w:tcPr>
            <w:tcW w:w="1120" w:type="dxa"/>
            <w:vAlign w:val="bottom"/>
            <w:tcBorders>
              <w:bottom w:val="single" w:sz="8" w:color="auto"/>
            </w:tcBorders>
          </w:tcPr>
          <w:p>
            <w:pPr>
              <w:spacing w:after="0"/>
              <w:rPr>
                <w:sz w:val="21"/>
                <w:szCs w:val="21"/>
                <w:color w:val="auto"/>
              </w:rPr>
            </w:pPr>
          </w:p>
        </w:tc>
        <w:tc>
          <w:tcPr>
            <w:tcW w:w="40" w:type="dxa"/>
            <w:vAlign w:val="bottom"/>
            <w:tcBorders>
              <w:bottom w:val="single" w:sz="8" w:color="auto"/>
            </w:tcBorders>
          </w:tcPr>
          <w:p>
            <w:pPr>
              <w:spacing w:after="0"/>
              <w:rPr>
                <w:sz w:val="21"/>
                <w:szCs w:val="21"/>
                <w:color w:val="auto"/>
              </w:rPr>
            </w:pPr>
          </w:p>
        </w:tc>
        <w:tc>
          <w:tcPr>
            <w:tcW w:w="1440" w:type="dxa"/>
            <w:vAlign w:val="bottom"/>
            <w:tcBorders>
              <w:bottom w:val="single" w:sz="8" w:color="auto"/>
            </w:tcBorders>
            <w:gridSpan w:val="2"/>
          </w:tcPr>
          <w:p>
            <w:pPr>
              <w:spacing w:after="0"/>
              <w:rPr>
                <w:sz w:val="21"/>
                <w:szCs w:val="21"/>
                <w:color w:val="auto"/>
              </w:rPr>
            </w:pPr>
          </w:p>
        </w:tc>
        <w:tc>
          <w:tcPr>
            <w:tcW w:w="40" w:type="dxa"/>
            <w:vAlign w:val="bottom"/>
            <w:tcBorders>
              <w:bottom w:val="single" w:sz="8" w:color="auto"/>
            </w:tcBorders>
          </w:tcPr>
          <w:p>
            <w:pPr>
              <w:spacing w:after="0"/>
              <w:rPr>
                <w:sz w:val="21"/>
                <w:szCs w:val="21"/>
                <w:color w:val="auto"/>
              </w:rPr>
            </w:pPr>
          </w:p>
        </w:tc>
        <w:tc>
          <w:tcPr>
            <w:tcW w:w="1640" w:type="dxa"/>
            <w:vAlign w:val="bottom"/>
            <w:tcBorders>
              <w:bottom w:val="single" w:sz="8" w:color="auto"/>
            </w:tcBorders>
            <w:gridSpan w:val="2"/>
          </w:tcPr>
          <w:p>
            <w:pPr>
              <w:spacing w:after="0"/>
              <w:rPr>
                <w:sz w:val="21"/>
                <w:szCs w:val="21"/>
                <w:color w:val="auto"/>
              </w:rPr>
            </w:pPr>
          </w:p>
        </w:tc>
        <w:tc>
          <w:tcPr>
            <w:tcW w:w="0" w:type="dxa"/>
            <w:vAlign w:val="bottom"/>
          </w:tcPr>
          <w:p>
            <w:pPr>
              <w:spacing w:after="0"/>
              <w:rPr>
                <w:sz w:val="1"/>
                <w:szCs w:val="1"/>
                <w:color w:val="auto"/>
              </w:rPr>
            </w:pPr>
          </w:p>
        </w:tc>
      </w:tr>
      <w:tr>
        <w:trPr>
          <w:trHeight w:val="254"/>
        </w:trPr>
        <w:tc>
          <w:tcPr>
            <w:tcW w:w="100" w:type="dxa"/>
            <w:vAlign w:val="bottom"/>
            <w:tcBorders>
              <w:right w:val="single" w:sz="8" w:color="auto"/>
            </w:tcBorders>
          </w:tcPr>
          <w:p>
            <w:pPr>
              <w:spacing w:after="0"/>
              <w:rPr>
                <w:sz w:val="22"/>
                <w:szCs w:val="22"/>
                <w:color w:val="auto"/>
              </w:rPr>
            </w:pPr>
          </w:p>
        </w:tc>
        <w:tc>
          <w:tcPr>
            <w:tcW w:w="1020" w:type="dxa"/>
            <w:vAlign w:val="bottom"/>
            <w:gridSpan w:val="2"/>
            <w:vMerge w:val="restart"/>
          </w:tcPr>
          <w:p>
            <w:pPr>
              <w:ind w:left="200"/>
              <w:spacing w:after="0"/>
              <w:rPr>
                <w:sz w:val="20"/>
                <w:szCs w:val="20"/>
                <w:color w:val="auto"/>
              </w:rPr>
            </w:pPr>
            <w:r>
              <w:rPr>
                <w:rFonts w:ascii="Calibri" w:cs="Calibri" w:eastAsia="Calibri" w:hAnsi="Calibri"/>
                <w:sz w:val="20"/>
                <w:szCs w:val="20"/>
                <w:color w:val="auto"/>
              </w:rPr>
              <w:t>Object(s)</w:t>
            </w:r>
          </w:p>
        </w:tc>
        <w:tc>
          <w:tcPr>
            <w:tcW w:w="160" w:type="dxa"/>
            <w:vAlign w:val="bottom"/>
            <w:tcBorders>
              <w:right w:val="single" w:sz="8" w:color="auto"/>
            </w:tcBorders>
          </w:tcPr>
          <w:p>
            <w:pPr>
              <w:spacing w:after="0"/>
              <w:rPr>
                <w:sz w:val="22"/>
                <w:szCs w:val="22"/>
                <w:color w:val="auto"/>
              </w:rPr>
            </w:pPr>
          </w:p>
        </w:tc>
        <w:tc>
          <w:tcPr>
            <w:tcW w:w="980" w:type="dxa"/>
            <w:vAlign w:val="bottom"/>
            <w:tcBorders>
              <w:bottom w:val="single" w:sz="8" w:color="auto"/>
            </w:tcBorders>
          </w:tcPr>
          <w:p>
            <w:pPr>
              <w:spacing w:after="0"/>
              <w:rPr>
                <w:sz w:val="22"/>
                <w:szCs w:val="22"/>
                <w:color w:val="auto"/>
              </w:rPr>
            </w:pPr>
          </w:p>
        </w:tc>
        <w:tc>
          <w:tcPr>
            <w:tcW w:w="2440" w:type="dxa"/>
            <w:vAlign w:val="bottom"/>
            <w:tcBorders>
              <w:bottom w:val="single" w:sz="8" w:color="auto"/>
              <w:right w:val="single" w:sz="8" w:color="auto"/>
            </w:tcBorders>
            <w:gridSpan w:val="5"/>
          </w:tcPr>
          <w:p>
            <w:pPr>
              <w:jc w:val="center"/>
              <w:ind w:right="920"/>
              <w:spacing w:after="0" w:line="242" w:lineRule="exact"/>
              <w:rPr>
                <w:sz w:val="20"/>
                <w:szCs w:val="20"/>
                <w:color w:val="auto"/>
              </w:rPr>
            </w:pPr>
            <w:r>
              <w:rPr>
                <w:rFonts w:ascii="Calibri" w:cs="Calibri" w:eastAsia="Calibri" w:hAnsi="Calibri"/>
                <w:sz w:val="20"/>
                <w:szCs w:val="20"/>
                <w:color w:val="auto"/>
              </w:rPr>
              <w:t>Completion Date</w:t>
            </w:r>
          </w:p>
        </w:tc>
        <w:tc>
          <w:tcPr>
            <w:tcW w:w="240" w:type="dxa"/>
            <w:vAlign w:val="bottom"/>
          </w:tcPr>
          <w:p>
            <w:pPr>
              <w:spacing w:after="0"/>
              <w:rPr>
                <w:sz w:val="22"/>
                <w:szCs w:val="22"/>
                <w:color w:val="auto"/>
              </w:rPr>
            </w:pPr>
          </w:p>
        </w:tc>
        <w:tc>
          <w:tcPr>
            <w:tcW w:w="1280" w:type="dxa"/>
            <w:vAlign w:val="bottom"/>
            <w:tcBorders>
              <w:right w:val="single" w:sz="8" w:color="auto"/>
            </w:tcBorders>
            <w:gridSpan w:val="2"/>
            <w:vMerge w:val="restart"/>
          </w:tcPr>
          <w:p>
            <w:pPr>
              <w:jc w:val="center"/>
              <w:ind w:right="160"/>
              <w:spacing w:after="0"/>
              <w:rPr>
                <w:sz w:val="20"/>
                <w:szCs w:val="20"/>
                <w:color w:val="auto"/>
              </w:rPr>
            </w:pPr>
            <w:r>
              <w:rPr>
                <w:rFonts w:ascii="Calibri" w:cs="Calibri" w:eastAsia="Calibri" w:hAnsi="Calibri"/>
                <w:sz w:val="20"/>
                <w:szCs w:val="20"/>
                <w:color w:val="auto"/>
                <w:w w:val="98"/>
              </w:rPr>
              <w:t>Delay (no. of</w:t>
            </w:r>
          </w:p>
        </w:tc>
        <w:tc>
          <w:tcPr>
            <w:tcW w:w="40" w:type="dxa"/>
            <w:vAlign w:val="bottom"/>
            <w:tcBorders>
              <w:bottom w:val="single" w:sz="8" w:color="auto"/>
            </w:tcBorders>
          </w:tcPr>
          <w:p>
            <w:pPr>
              <w:spacing w:after="0"/>
              <w:rPr>
                <w:sz w:val="22"/>
                <w:szCs w:val="22"/>
                <w:color w:val="auto"/>
              </w:rPr>
            </w:pPr>
          </w:p>
        </w:tc>
        <w:tc>
          <w:tcPr>
            <w:tcW w:w="3120" w:type="dxa"/>
            <w:vAlign w:val="bottom"/>
            <w:tcBorders>
              <w:bottom w:val="single" w:sz="8" w:color="auto"/>
              <w:right w:val="single" w:sz="8" w:color="auto"/>
            </w:tcBorders>
            <w:gridSpan w:val="5"/>
          </w:tcPr>
          <w:p>
            <w:pPr>
              <w:ind w:left="60"/>
              <w:spacing w:after="0" w:line="242" w:lineRule="exact"/>
              <w:rPr>
                <w:sz w:val="20"/>
                <w:szCs w:val="20"/>
                <w:color w:val="auto"/>
              </w:rPr>
            </w:pPr>
            <w:r>
              <w:rPr>
                <w:rFonts w:ascii="Calibri" w:cs="Calibri" w:eastAsia="Calibri" w:hAnsi="Calibri"/>
                <w:sz w:val="20"/>
                <w:szCs w:val="20"/>
                <w:color w:val="auto"/>
                <w:highlight w:val="white"/>
              </w:rPr>
              <w:t>Comments of the Board of Directors</w:t>
            </w:r>
          </w:p>
        </w:tc>
        <w:tc>
          <w:tcPr>
            <w:tcW w:w="0" w:type="dxa"/>
            <w:vAlign w:val="bottom"/>
          </w:tcPr>
          <w:p>
            <w:pPr>
              <w:spacing w:after="0"/>
              <w:rPr>
                <w:sz w:val="1"/>
                <w:szCs w:val="1"/>
                <w:color w:val="auto"/>
              </w:rPr>
            </w:pPr>
          </w:p>
        </w:tc>
      </w:tr>
      <w:tr>
        <w:trPr>
          <w:trHeight w:val="97"/>
        </w:trPr>
        <w:tc>
          <w:tcPr>
            <w:tcW w:w="100" w:type="dxa"/>
            <w:vAlign w:val="bottom"/>
            <w:tcBorders>
              <w:right w:val="single" w:sz="8" w:color="auto"/>
            </w:tcBorders>
          </w:tcPr>
          <w:p>
            <w:pPr>
              <w:spacing w:after="0"/>
              <w:rPr>
                <w:sz w:val="8"/>
                <w:szCs w:val="8"/>
                <w:color w:val="auto"/>
              </w:rPr>
            </w:pPr>
          </w:p>
        </w:tc>
        <w:tc>
          <w:tcPr>
            <w:tcW w:w="1020" w:type="dxa"/>
            <w:vAlign w:val="bottom"/>
            <w:gridSpan w:val="2"/>
            <w:vMerge w:val="continue"/>
          </w:tcPr>
          <w:p>
            <w:pPr>
              <w:spacing w:after="0"/>
              <w:rPr>
                <w:sz w:val="8"/>
                <w:szCs w:val="8"/>
                <w:color w:val="auto"/>
              </w:rPr>
            </w:pPr>
          </w:p>
        </w:tc>
        <w:tc>
          <w:tcPr>
            <w:tcW w:w="160" w:type="dxa"/>
            <w:vAlign w:val="bottom"/>
            <w:tcBorders>
              <w:right w:val="single" w:sz="8" w:color="auto"/>
            </w:tcBorders>
          </w:tcPr>
          <w:p>
            <w:pPr>
              <w:spacing w:after="0"/>
              <w:rPr>
                <w:sz w:val="8"/>
                <w:szCs w:val="8"/>
                <w:color w:val="auto"/>
              </w:rPr>
            </w:pPr>
          </w:p>
        </w:tc>
        <w:tc>
          <w:tcPr>
            <w:tcW w:w="1620" w:type="dxa"/>
            <w:vAlign w:val="bottom"/>
            <w:gridSpan w:val="2"/>
            <w:vMerge w:val="restart"/>
          </w:tcPr>
          <w:p>
            <w:pPr>
              <w:jc w:val="center"/>
              <w:spacing w:after="0" w:line="239" w:lineRule="exact"/>
              <w:rPr>
                <w:sz w:val="20"/>
                <w:szCs w:val="20"/>
                <w:color w:val="auto"/>
              </w:rPr>
            </w:pPr>
            <w:r>
              <w:rPr>
                <w:rFonts w:ascii="Calibri" w:cs="Calibri" w:eastAsia="Calibri" w:hAnsi="Calibri"/>
                <w:sz w:val="20"/>
                <w:szCs w:val="20"/>
                <w:color w:val="auto"/>
              </w:rPr>
              <w:t>As per the Offer</w:t>
            </w:r>
          </w:p>
        </w:tc>
        <w:tc>
          <w:tcPr>
            <w:tcW w:w="60" w:type="dxa"/>
            <w:vAlign w:val="bottom"/>
            <w:tcBorders>
              <w:right w:val="single" w:sz="8" w:color="auto"/>
            </w:tcBorders>
          </w:tcPr>
          <w:p>
            <w:pPr>
              <w:spacing w:after="0"/>
              <w:rPr>
                <w:sz w:val="8"/>
                <w:szCs w:val="8"/>
                <w:color w:val="auto"/>
              </w:rPr>
            </w:pPr>
          </w:p>
        </w:tc>
        <w:tc>
          <w:tcPr>
            <w:tcW w:w="440" w:type="dxa"/>
            <w:vAlign w:val="bottom"/>
          </w:tcPr>
          <w:p>
            <w:pPr>
              <w:spacing w:after="0"/>
              <w:rPr>
                <w:sz w:val="8"/>
                <w:szCs w:val="8"/>
                <w:color w:val="auto"/>
              </w:rPr>
            </w:pPr>
          </w:p>
        </w:tc>
        <w:tc>
          <w:tcPr>
            <w:tcW w:w="280" w:type="dxa"/>
            <w:vAlign w:val="bottom"/>
          </w:tcPr>
          <w:p>
            <w:pPr>
              <w:spacing w:after="0"/>
              <w:rPr>
                <w:sz w:val="8"/>
                <w:szCs w:val="8"/>
                <w:color w:val="auto"/>
              </w:rPr>
            </w:pPr>
          </w:p>
        </w:tc>
        <w:tc>
          <w:tcPr>
            <w:tcW w:w="1020" w:type="dxa"/>
            <w:vAlign w:val="bottom"/>
            <w:tcBorders>
              <w:right w:val="single" w:sz="8" w:color="auto"/>
            </w:tcBorders>
          </w:tcPr>
          <w:p>
            <w:pPr>
              <w:spacing w:after="0"/>
              <w:rPr>
                <w:sz w:val="8"/>
                <w:szCs w:val="8"/>
                <w:color w:val="auto"/>
              </w:rPr>
            </w:pPr>
          </w:p>
        </w:tc>
        <w:tc>
          <w:tcPr>
            <w:tcW w:w="240" w:type="dxa"/>
            <w:vAlign w:val="bottom"/>
          </w:tcPr>
          <w:p>
            <w:pPr>
              <w:spacing w:after="0"/>
              <w:rPr>
                <w:sz w:val="8"/>
                <w:szCs w:val="8"/>
                <w:color w:val="auto"/>
              </w:rPr>
            </w:pPr>
          </w:p>
        </w:tc>
        <w:tc>
          <w:tcPr>
            <w:tcW w:w="1280" w:type="dxa"/>
            <w:vAlign w:val="bottom"/>
            <w:tcBorders>
              <w:right w:val="single" w:sz="8" w:color="auto"/>
            </w:tcBorders>
            <w:gridSpan w:val="2"/>
            <w:vMerge w:val="continue"/>
          </w:tcPr>
          <w:p>
            <w:pPr>
              <w:spacing w:after="0"/>
              <w:rPr>
                <w:sz w:val="8"/>
                <w:szCs w:val="8"/>
                <w:color w:val="auto"/>
              </w:rPr>
            </w:pPr>
          </w:p>
        </w:tc>
        <w:tc>
          <w:tcPr>
            <w:tcW w:w="40" w:type="dxa"/>
            <w:vAlign w:val="bottom"/>
          </w:tcPr>
          <w:p>
            <w:pPr>
              <w:spacing w:after="0"/>
              <w:rPr>
                <w:sz w:val="8"/>
                <w:szCs w:val="8"/>
                <w:color w:val="auto"/>
              </w:rPr>
            </w:pPr>
          </w:p>
        </w:tc>
        <w:tc>
          <w:tcPr>
            <w:tcW w:w="260" w:type="dxa"/>
            <w:vAlign w:val="bottom"/>
          </w:tcPr>
          <w:p>
            <w:pPr>
              <w:spacing w:after="0"/>
              <w:rPr>
                <w:sz w:val="8"/>
                <w:szCs w:val="8"/>
                <w:color w:val="auto"/>
              </w:rPr>
            </w:pPr>
          </w:p>
        </w:tc>
        <w:tc>
          <w:tcPr>
            <w:tcW w:w="1180" w:type="dxa"/>
            <w:vAlign w:val="bottom"/>
            <w:tcBorders>
              <w:right w:val="single" w:sz="8" w:color="auto"/>
            </w:tcBorders>
          </w:tcPr>
          <w:p>
            <w:pPr>
              <w:spacing w:after="0"/>
              <w:rPr>
                <w:sz w:val="8"/>
                <w:szCs w:val="8"/>
                <w:color w:val="auto"/>
              </w:rPr>
            </w:pPr>
          </w:p>
        </w:tc>
        <w:tc>
          <w:tcPr>
            <w:tcW w:w="40" w:type="dxa"/>
            <w:vAlign w:val="bottom"/>
          </w:tcPr>
          <w:p>
            <w:pPr>
              <w:spacing w:after="0"/>
              <w:rPr>
                <w:sz w:val="8"/>
                <w:szCs w:val="8"/>
                <w:color w:val="auto"/>
              </w:rPr>
            </w:pPr>
          </w:p>
        </w:tc>
        <w:tc>
          <w:tcPr>
            <w:tcW w:w="1640" w:type="dxa"/>
            <w:vAlign w:val="bottom"/>
            <w:tcBorders>
              <w:right w:val="single" w:sz="8" w:color="auto"/>
            </w:tcBorders>
            <w:gridSpan w:val="2"/>
            <w:vMerge w:val="restart"/>
          </w:tcPr>
          <w:p>
            <w:pPr>
              <w:jc w:val="center"/>
              <w:spacing w:after="0" w:line="239" w:lineRule="exact"/>
              <w:rPr>
                <w:sz w:val="20"/>
                <w:szCs w:val="20"/>
                <w:color w:val="auto"/>
              </w:rPr>
            </w:pPr>
            <w:r>
              <w:rPr>
                <w:rFonts w:ascii="Calibri" w:cs="Calibri" w:eastAsia="Calibri" w:hAnsi="Calibri"/>
                <w:sz w:val="20"/>
                <w:szCs w:val="20"/>
                <w:color w:val="auto"/>
                <w:highlight w:val="white"/>
              </w:rPr>
              <w:t>Proposed course of</w:t>
            </w:r>
          </w:p>
        </w:tc>
        <w:tc>
          <w:tcPr>
            <w:tcW w:w="0" w:type="dxa"/>
            <w:vAlign w:val="bottom"/>
          </w:tcPr>
          <w:p>
            <w:pPr>
              <w:spacing w:after="0"/>
              <w:rPr>
                <w:sz w:val="1"/>
                <w:szCs w:val="1"/>
                <w:color w:val="auto"/>
              </w:rPr>
            </w:pPr>
          </w:p>
        </w:tc>
      </w:tr>
      <w:tr>
        <w:trPr>
          <w:trHeight w:val="142"/>
        </w:trPr>
        <w:tc>
          <w:tcPr>
            <w:tcW w:w="100" w:type="dxa"/>
            <w:vAlign w:val="bottom"/>
            <w:tcBorders>
              <w:right w:val="single" w:sz="8" w:color="auto"/>
            </w:tcBorders>
          </w:tcPr>
          <w:p>
            <w:pPr>
              <w:spacing w:after="0"/>
              <w:rPr>
                <w:sz w:val="12"/>
                <w:szCs w:val="12"/>
                <w:color w:val="auto"/>
              </w:rPr>
            </w:pPr>
          </w:p>
        </w:tc>
        <w:tc>
          <w:tcPr>
            <w:tcW w:w="1020" w:type="dxa"/>
            <w:vAlign w:val="bottom"/>
            <w:gridSpan w:val="2"/>
            <w:vMerge w:val="continue"/>
          </w:tcPr>
          <w:p>
            <w:pPr>
              <w:spacing w:after="0"/>
              <w:rPr>
                <w:sz w:val="12"/>
                <w:szCs w:val="12"/>
                <w:color w:val="auto"/>
              </w:rPr>
            </w:pPr>
          </w:p>
        </w:tc>
        <w:tc>
          <w:tcPr>
            <w:tcW w:w="160" w:type="dxa"/>
            <w:vAlign w:val="bottom"/>
            <w:tcBorders>
              <w:right w:val="single" w:sz="8" w:color="auto"/>
            </w:tcBorders>
          </w:tcPr>
          <w:p>
            <w:pPr>
              <w:spacing w:after="0"/>
              <w:rPr>
                <w:sz w:val="12"/>
                <w:szCs w:val="12"/>
                <w:color w:val="auto"/>
              </w:rPr>
            </w:pPr>
          </w:p>
        </w:tc>
        <w:tc>
          <w:tcPr>
            <w:tcW w:w="1620" w:type="dxa"/>
            <w:vAlign w:val="bottom"/>
            <w:gridSpan w:val="2"/>
            <w:vMerge w:val="continue"/>
          </w:tcPr>
          <w:p>
            <w:pPr>
              <w:spacing w:after="0"/>
              <w:rPr>
                <w:sz w:val="12"/>
                <w:szCs w:val="12"/>
                <w:color w:val="auto"/>
              </w:rPr>
            </w:pPr>
          </w:p>
        </w:tc>
        <w:tc>
          <w:tcPr>
            <w:tcW w:w="60" w:type="dxa"/>
            <w:vAlign w:val="bottom"/>
            <w:tcBorders>
              <w:right w:val="single" w:sz="8" w:color="auto"/>
            </w:tcBorders>
          </w:tcPr>
          <w:p>
            <w:pPr>
              <w:spacing w:after="0"/>
              <w:rPr>
                <w:sz w:val="12"/>
                <w:szCs w:val="12"/>
                <w:color w:val="auto"/>
              </w:rPr>
            </w:pPr>
          </w:p>
        </w:tc>
        <w:tc>
          <w:tcPr>
            <w:tcW w:w="440" w:type="dxa"/>
            <w:vAlign w:val="bottom"/>
          </w:tcPr>
          <w:p>
            <w:pPr>
              <w:spacing w:after="0"/>
              <w:rPr>
                <w:sz w:val="12"/>
                <w:szCs w:val="12"/>
                <w:color w:val="auto"/>
              </w:rPr>
            </w:pPr>
          </w:p>
        </w:tc>
        <w:tc>
          <w:tcPr>
            <w:tcW w:w="1300" w:type="dxa"/>
            <w:vAlign w:val="bottom"/>
            <w:tcBorders>
              <w:right w:val="single" w:sz="8" w:color="auto"/>
            </w:tcBorders>
            <w:gridSpan w:val="2"/>
            <w:vMerge w:val="restart"/>
          </w:tcPr>
          <w:p>
            <w:pPr>
              <w:ind w:left="100"/>
              <w:spacing w:after="0"/>
              <w:rPr>
                <w:sz w:val="20"/>
                <w:szCs w:val="20"/>
                <w:color w:val="auto"/>
              </w:rPr>
            </w:pPr>
            <w:r>
              <w:rPr>
                <w:rFonts w:ascii="Calibri" w:cs="Calibri" w:eastAsia="Calibri" w:hAnsi="Calibri"/>
                <w:sz w:val="20"/>
                <w:szCs w:val="20"/>
                <w:color w:val="auto"/>
              </w:rPr>
              <w:t>Actual*</w:t>
            </w:r>
          </w:p>
        </w:tc>
        <w:tc>
          <w:tcPr>
            <w:tcW w:w="1520" w:type="dxa"/>
            <w:vAlign w:val="bottom"/>
            <w:tcBorders>
              <w:right w:val="single" w:sz="8" w:color="auto"/>
            </w:tcBorders>
            <w:gridSpan w:val="3"/>
            <w:vMerge w:val="restart"/>
          </w:tcPr>
          <w:p>
            <w:pPr>
              <w:jc w:val="center"/>
              <w:spacing w:after="0"/>
              <w:rPr>
                <w:sz w:val="20"/>
                <w:szCs w:val="20"/>
                <w:color w:val="auto"/>
              </w:rPr>
            </w:pPr>
            <w:r>
              <w:rPr>
                <w:rFonts w:ascii="Calibri" w:cs="Calibri" w:eastAsia="Calibri" w:hAnsi="Calibri"/>
                <w:sz w:val="20"/>
                <w:szCs w:val="20"/>
                <w:color w:val="auto"/>
              </w:rPr>
              <w:t>days/ months)</w:t>
            </w:r>
          </w:p>
        </w:tc>
        <w:tc>
          <w:tcPr>
            <w:tcW w:w="40" w:type="dxa"/>
            <w:vAlign w:val="bottom"/>
          </w:tcPr>
          <w:p>
            <w:pPr>
              <w:spacing w:after="0"/>
              <w:rPr>
                <w:sz w:val="12"/>
                <w:szCs w:val="12"/>
                <w:color w:val="auto"/>
              </w:rPr>
            </w:pPr>
          </w:p>
        </w:tc>
        <w:tc>
          <w:tcPr>
            <w:tcW w:w="1440" w:type="dxa"/>
            <w:vAlign w:val="bottom"/>
            <w:tcBorders>
              <w:right w:val="single" w:sz="8" w:color="auto"/>
            </w:tcBorders>
            <w:gridSpan w:val="2"/>
            <w:vMerge w:val="restart"/>
          </w:tcPr>
          <w:p>
            <w:pPr>
              <w:ind w:left="40"/>
              <w:spacing w:after="0"/>
              <w:rPr>
                <w:sz w:val="20"/>
                <w:szCs w:val="20"/>
                <w:color w:val="auto"/>
              </w:rPr>
            </w:pPr>
            <w:r>
              <w:rPr>
                <w:rFonts w:ascii="Calibri" w:cs="Calibri" w:eastAsia="Calibri" w:hAnsi="Calibri"/>
                <w:sz w:val="20"/>
                <w:szCs w:val="20"/>
                <w:color w:val="auto"/>
                <w:highlight w:val="white"/>
              </w:rPr>
              <w:t>Reason of delay</w:t>
            </w:r>
          </w:p>
        </w:tc>
        <w:tc>
          <w:tcPr>
            <w:tcW w:w="40" w:type="dxa"/>
            <w:vAlign w:val="bottom"/>
          </w:tcPr>
          <w:p>
            <w:pPr>
              <w:spacing w:after="0"/>
              <w:rPr>
                <w:sz w:val="12"/>
                <w:szCs w:val="12"/>
                <w:color w:val="auto"/>
              </w:rPr>
            </w:pPr>
          </w:p>
        </w:tc>
        <w:tc>
          <w:tcPr>
            <w:tcW w:w="1640" w:type="dxa"/>
            <w:vAlign w:val="bottom"/>
            <w:tcBorders>
              <w:right w:val="single" w:sz="8" w:color="auto"/>
            </w:tcBorders>
            <w:gridSpan w:val="2"/>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10"/>
        </w:trPr>
        <w:tc>
          <w:tcPr>
            <w:tcW w:w="100" w:type="dxa"/>
            <w:vAlign w:val="bottom"/>
            <w:tcBorders>
              <w:right w:val="single" w:sz="8" w:color="auto"/>
            </w:tcBorders>
          </w:tcPr>
          <w:p>
            <w:pPr>
              <w:spacing w:after="0"/>
              <w:rPr>
                <w:sz w:val="9"/>
                <w:szCs w:val="9"/>
                <w:color w:val="auto"/>
              </w:rPr>
            </w:pPr>
          </w:p>
        </w:tc>
        <w:tc>
          <w:tcPr>
            <w:tcW w:w="720" w:type="dxa"/>
            <w:vAlign w:val="bottom"/>
          </w:tcPr>
          <w:p>
            <w:pPr>
              <w:spacing w:after="0"/>
              <w:rPr>
                <w:sz w:val="9"/>
                <w:szCs w:val="9"/>
                <w:color w:val="auto"/>
              </w:rPr>
            </w:pPr>
          </w:p>
        </w:tc>
        <w:tc>
          <w:tcPr>
            <w:tcW w:w="300" w:type="dxa"/>
            <w:vAlign w:val="bottom"/>
          </w:tcPr>
          <w:p>
            <w:pPr>
              <w:spacing w:after="0"/>
              <w:rPr>
                <w:sz w:val="9"/>
                <w:szCs w:val="9"/>
                <w:color w:val="auto"/>
              </w:rPr>
            </w:pPr>
          </w:p>
        </w:tc>
        <w:tc>
          <w:tcPr>
            <w:tcW w:w="160" w:type="dxa"/>
            <w:vAlign w:val="bottom"/>
            <w:tcBorders>
              <w:right w:val="single" w:sz="8" w:color="auto"/>
            </w:tcBorders>
          </w:tcPr>
          <w:p>
            <w:pPr>
              <w:spacing w:after="0"/>
              <w:rPr>
                <w:sz w:val="9"/>
                <w:szCs w:val="9"/>
                <w:color w:val="auto"/>
              </w:rPr>
            </w:pPr>
          </w:p>
        </w:tc>
        <w:tc>
          <w:tcPr>
            <w:tcW w:w="1620" w:type="dxa"/>
            <w:vAlign w:val="bottom"/>
            <w:gridSpan w:val="2"/>
            <w:vMerge w:val="restart"/>
          </w:tcPr>
          <w:p>
            <w:pPr>
              <w:jc w:val="center"/>
              <w:spacing w:after="0" w:line="243" w:lineRule="exact"/>
              <w:rPr>
                <w:sz w:val="20"/>
                <w:szCs w:val="20"/>
                <w:color w:val="auto"/>
              </w:rPr>
            </w:pPr>
            <w:r>
              <w:rPr>
                <w:rFonts w:ascii="Calibri" w:cs="Calibri" w:eastAsia="Calibri" w:hAnsi="Calibri"/>
                <w:sz w:val="20"/>
                <w:szCs w:val="20"/>
                <w:color w:val="auto"/>
                <w:w w:val="98"/>
              </w:rPr>
              <w:t>Document</w:t>
            </w:r>
          </w:p>
        </w:tc>
        <w:tc>
          <w:tcPr>
            <w:tcW w:w="60" w:type="dxa"/>
            <w:vAlign w:val="bottom"/>
            <w:tcBorders>
              <w:right w:val="single" w:sz="8" w:color="auto"/>
            </w:tcBorders>
          </w:tcPr>
          <w:p>
            <w:pPr>
              <w:spacing w:after="0"/>
              <w:rPr>
                <w:sz w:val="9"/>
                <w:szCs w:val="9"/>
                <w:color w:val="auto"/>
              </w:rPr>
            </w:pPr>
          </w:p>
        </w:tc>
        <w:tc>
          <w:tcPr>
            <w:tcW w:w="440" w:type="dxa"/>
            <w:vAlign w:val="bottom"/>
          </w:tcPr>
          <w:p>
            <w:pPr>
              <w:spacing w:after="0"/>
              <w:rPr>
                <w:sz w:val="9"/>
                <w:szCs w:val="9"/>
                <w:color w:val="auto"/>
              </w:rPr>
            </w:pPr>
          </w:p>
        </w:tc>
        <w:tc>
          <w:tcPr>
            <w:tcW w:w="1300" w:type="dxa"/>
            <w:vAlign w:val="bottom"/>
            <w:tcBorders>
              <w:right w:val="single" w:sz="8" w:color="auto"/>
            </w:tcBorders>
            <w:gridSpan w:val="2"/>
            <w:vMerge w:val="continue"/>
          </w:tcPr>
          <w:p>
            <w:pPr>
              <w:spacing w:after="0"/>
              <w:rPr>
                <w:sz w:val="9"/>
                <w:szCs w:val="9"/>
                <w:color w:val="auto"/>
              </w:rPr>
            </w:pPr>
          </w:p>
        </w:tc>
        <w:tc>
          <w:tcPr>
            <w:tcW w:w="1520" w:type="dxa"/>
            <w:vAlign w:val="bottom"/>
            <w:tcBorders>
              <w:right w:val="single" w:sz="8" w:color="auto"/>
            </w:tcBorders>
            <w:gridSpan w:val="3"/>
            <w:vMerge w:val="continue"/>
          </w:tcPr>
          <w:p>
            <w:pPr>
              <w:spacing w:after="0"/>
              <w:rPr>
                <w:sz w:val="9"/>
                <w:szCs w:val="9"/>
                <w:color w:val="auto"/>
              </w:rPr>
            </w:pPr>
          </w:p>
        </w:tc>
        <w:tc>
          <w:tcPr>
            <w:tcW w:w="40" w:type="dxa"/>
            <w:vAlign w:val="bottom"/>
          </w:tcPr>
          <w:p>
            <w:pPr>
              <w:spacing w:after="0"/>
              <w:rPr>
                <w:sz w:val="9"/>
                <w:szCs w:val="9"/>
                <w:color w:val="auto"/>
              </w:rPr>
            </w:pPr>
          </w:p>
        </w:tc>
        <w:tc>
          <w:tcPr>
            <w:tcW w:w="1440" w:type="dxa"/>
            <w:vAlign w:val="bottom"/>
            <w:tcBorders>
              <w:right w:val="single" w:sz="8" w:color="auto"/>
            </w:tcBorders>
            <w:gridSpan w:val="2"/>
            <w:vMerge w:val="continue"/>
          </w:tcPr>
          <w:p>
            <w:pPr>
              <w:spacing w:after="0"/>
              <w:rPr>
                <w:sz w:val="9"/>
                <w:szCs w:val="9"/>
                <w:color w:val="auto"/>
              </w:rPr>
            </w:pPr>
          </w:p>
        </w:tc>
        <w:tc>
          <w:tcPr>
            <w:tcW w:w="40" w:type="dxa"/>
            <w:vAlign w:val="bottom"/>
          </w:tcPr>
          <w:p>
            <w:pPr>
              <w:spacing w:after="0"/>
              <w:rPr>
                <w:sz w:val="9"/>
                <w:szCs w:val="9"/>
                <w:color w:val="auto"/>
              </w:rPr>
            </w:pPr>
          </w:p>
        </w:tc>
        <w:tc>
          <w:tcPr>
            <w:tcW w:w="220" w:type="dxa"/>
            <w:vAlign w:val="bottom"/>
          </w:tcPr>
          <w:p>
            <w:pPr>
              <w:spacing w:after="0"/>
              <w:rPr>
                <w:sz w:val="9"/>
                <w:szCs w:val="9"/>
                <w:color w:val="auto"/>
              </w:rPr>
            </w:pPr>
          </w:p>
        </w:tc>
        <w:tc>
          <w:tcPr>
            <w:tcW w:w="1420" w:type="dxa"/>
            <w:vAlign w:val="bottom"/>
            <w:tcBorders>
              <w:right w:val="single" w:sz="8" w:color="auto"/>
            </w:tcBorders>
            <w:vMerge w:val="restart"/>
          </w:tcPr>
          <w:p>
            <w:pPr>
              <w:jc w:val="center"/>
              <w:ind w:right="180"/>
              <w:spacing w:after="0" w:line="243" w:lineRule="exact"/>
              <w:rPr>
                <w:sz w:val="20"/>
                <w:szCs w:val="20"/>
                <w:color w:val="auto"/>
              </w:rPr>
            </w:pPr>
            <w:r>
              <w:rPr>
                <w:rFonts w:ascii="Calibri" w:cs="Calibri" w:eastAsia="Calibri" w:hAnsi="Calibri"/>
                <w:sz w:val="20"/>
                <w:szCs w:val="20"/>
                <w:color w:val="auto"/>
                <w:w w:val="99"/>
              </w:rPr>
              <w:t>action</w:t>
            </w:r>
          </w:p>
        </w:tc>
        <w:tc>
          <w:tcPr>
            <w:tcW w:w="0" w:type="dxa"/>
            <w:vAlign w:val="bottom"/>
          </w:tcPr>
          <w:p>
            <w:pPr>
              <w:spacing w:after="0"/>
              <w:rPr>
                <w:sz w:val="1"/>
                <w:szCs w:val="1"/>
                <w:color w:val="auto"/>
              </w:rPr>
            </w:pPr>
          </w:p>
        </w:tc>
      </w:tr>
      <w:tr>
        <w:trPr>
          <w:trHeight w:val="137"/>
        </w:trPr>
        <w:tc>
          <w:tcPr>
            <w:tcW w:w="100" w:type="dxa"/>
            <w:vAlign w:val="bottom"/>
            <w:tcBorders>
              <w:right w:val="single" w:sz="8" w:color="auto"/>
            </w:tcBorders>
          </w:tcPr>
          <w:p>
            <w:pPr>
              <w:spacing w:after="0"/>
              <w:rPr>
                <w:sz w:val="11"/>
                <w:szCs w:val="11"/>
                <w:color w:val="auto"/>
              </w:rPr>
            </w:pPr>
          </w:p>
        </w:tc>
        <w:tc>
          <w:tcPr>
            <w:tcW w:w="720" w:type="dxa"/>
            <w:vAlign w:val="bottom"/>
            <w:tcBorders>
              <w:bottom w:val="single" w:sz="8" w:color="auto"/>
            </w:tcBorders>
          </w:tcPr>
          <w:p>
            <w:pPr>
              <w:spacing w:after="0"/>
              <w:rPr>
                <w:sz w:val="11"/>
                <w:szCs w:val="11"/>
                <w:color w:val="auto"/>
              </w:rPr>
            </w:pPr>
          </w:p>
        </w:tc>
        <w:tc>
          <w:tcPr>
            <w:tcW w:w="300" w:type="dxa"/>
            <w:vAlign w:val="bottom"/>
            <w:tcBorders>
              <w:bottom w:val="single" w:sz="8" w:color="auto"/>
            </w:tcBorders>
          </w:tcPr>
          <w:p>
            <w:pPr>
              <w:spacing w:after="0"/>
              <w:rPr>
                <w:sz w:val="11"/>
                <w:szCs w:val="11"/>
                <w:color w:val="auto"/>
              </w:rPr>
            </w:pPr>
          </w:p>
        </w:tc>
        <w:tc>
          <w:tcPr>
            <w:tcW w:w="160" w:type="dxa"/>
            <w:vAlign w:val="bottom"/>
            <w:tcBorders>
              <w:bottom w:val="single" w:sz="8" w:color="auto"/>
              <w:right w:val="single" w:sz="8" w:color="auto"/>
            </w:tcBorders>
          </w:tcPr>
          <w:p>
            <w:pPr>
              <w:spacing w:after="0"/>
              <w:rPr>
                <w:sz w:val="11"/>
                <w:szCs w:val="11"/>
                <w:color w:val="auto"/>
              </w:rPr>
            </w:pPr>
          </w:p>
        </w:tc>
        <w:tc>
          <w:tcPr>
            <w:tcW w:w="1620" w:type="dxa"/>
            <w:vAlign w:val="bottom"/>
            <w:tcBorders>
              <w:bottom w:val="single" w:sz="8" w:color="auto"/>
            </w:tcBorders>
            <w:gridSpan w:val="2"/>
            <w:vMerge w:val="continue"/>
          </w:tcPr>
          <w:p>
            <w:pPr>
              <w:spacing w:after="0"/>
              <w:rPr>
                <w:sz w:val="11"/>
                <w:szCs w:val="11"/>
                <w:color w:val="auto"/>
              </w:rPr>
            </w:pPr>
          </w:p>
        </w:tc>
        <w:tc>
          <w:tcPr>
            <w:tcW w:w="60" w:type="dxa"/>
            <w:vAlign w:val="bottom"/>
            <w:tcBorders>
              <w:bottom w:val="single" w:sz="8" w:color="auto"/>
              <w:right w:val="single" w:sz="8" w:color="auto"/>
            </w:tcBorders>
          </w:tcPr>
          <w:p>
            <w:pPr>
              <w:spacing w:after="0"/>
              <w:rPr>
                <w:sz w:val="11"/>
                <w:szCs w:val="11"/>
                <w:color w:val="auto"/>
              </w:rPr>
            </w:pPr>
          </w:p>
        </w:tc>
        <w:tc>
          <w:tcPr>
            <w:tcW w:w="440" w:type="dxa"/>
            <w:vAlign w:val="bottom"/>
            <w:tcBorders>
              <w:bottom w:val="single" w:sz="8" w:color="auto"/>
            </w:tcBorders>
          </w:tcPr>
          <w:p>
            <w:pPr>
              <w:spacing w:after="0"/>
              <w:rPr>
                <w:sz w:val="11"/>
                <w:szCs w:val="11"/>
                <w:color w:val="auto"/>
              </w:rPr>
            </w:pPr>
          </w:p>
        </w:tc>
        <w:tc>
          <w:tcPr>
            <w:tcW w:w="280" w:type="dxa"/>
            <w:vAlign w:val="bottom"/>
            <w:tcBorders>
              <w:bottom w:val="single" w:sz="8" w:color="auto"/>
            </w:tcBorders>
          </w:tcPr>
          <w:p>
            <w:pPr>
              <w:spacing w:after="0"/>
              <w:rPr>
                <w:sz w:val="11"/>
                <w:szCs w:val="11"/>
                <w:color w:val="auto"/>
              </w:rPr>
            </w:pPr>
          </w:p>
        </w:tc>
        <w:tc>
          <w:tcPr>
            <w:tcW w:w="1020" w:type="dxa"/>
            <w:vAlign w:val="bottom"/>
            <w:tcBorders>
              <w:bottom w:val="single" w:sz="8" w:color="auto"/>
              <w:right w:val="single" w:sz="8" w:color="auto"/>
            </w:tcBorders>
          </w:tcPr>
          <w:p>
            <w:pPr>
              <w:spacing w:after="0"/>
              <w:rPr>
                <w:sz w:val="11"/>
                <w:szCs w:val="11"/>
                <w:color w:val="auto"/>
              </w:rPr>
            </w:pPr>
          </w:p>
        </w:tc>
        <w:tc>
          <w:tcPr>
            <w:tcW w:w="240" w:type="dxa"/>
            <w:vAlign w:val="bottom"/>
            <w:tcBorders>
              <w:bottom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1120" w:type="dxa"/>
            <w:vAlign w:val="bottom"/>
            <w:tcBorders>
              <w:bottom w:val="single" w:sz="8" w:color="auto"/>
              <w:right w:val="single" w:sz="8" w:color="auto"/>
            </w:tcBorders>
          </w:tcPr>
          <w:p>
            <w:pPr>
              <w:spacing w:after="0"/>
              <w:rPr>
                <w:sz w:val="11"/>
                <w:szCs w:val="11"/>
                <w:color w:val="auto"/>
              </w:rPr>
            </w:pPr>
          </w:p>
        </w:tc>
        <w:tc>
          <w:tcPr>
            <w:tcW w:w="40" w:type="dxa"/>
            <w:vAlign w:val="bottom"/>
            <w:tcBorders>
              <w:bottom w:val="single" w:sz="8" w:color="auto"/>
            </w:tcBorders>
          </w:tcPr>
          <w:p>
            <w:pPr>
              <w:spacing w:after="0"/>
              <w:rPr>
                <w:sz w:val="11"/>
                <w:szCs w:val="11"/>
                <w:color w:val="auto"/>
              </w:rPr>
            </w:pPr>
          </w:p>
        </w:tc>
        <w:tc>
          <w:tcPr>
            <w:tcW w:w="260" w:type="dxa"/>
            <w:vAlign w:val="bottom"/>
            <w:tcBorders>
              <w:bottom w:val="single" w:sz="8" w:color="auto"/>
            </w:tcBorders>
          </w:tcPr>
          <w:p>
            <w:pPr>
              <w:spacing w:after="0"/>
              <w:rPr>
                <w:sz w:val="11"/>
                <w:szCs w:val="11"/>
                <w:color w:val="auto"/>
              </w:rPr>
            </w:pPr>
          </w:p>
        </w:tc>
        <w:tc>
          <w:tcPr>
            <w:tcW w:w="1180" w:type="dxa"/>
            <w:vAlign w:val="bottom"/>
            <w:tcBorders>
              <w:bottom w:val="single" w:sz="8" w:color="auto"/>
              <w:right w:val="single" w:sz="8" w:color="auto"/>
            </w:tcBorders>
          </w:tcPr>
          <w:p>
            <w:pPr>
              <w:spacing w:after="0"/>
              <w:rPr>
                <w:sz w:val="11"/>
                <w:szCs w:val="11"/>
                <w:color w:val="auto"/>
              </w:rPr>
            </w:pPr>
          </w:p>
        </w:tc>
        <w:tc>
          <w:tcPr>
            <w:tcW w:w="40" w:type="dxa"/>
            <w:vAlign w:val="bottom"/>
            <w:tcBorders>
              <w:bottom w:val="single" w:sz="8" w:color="auto"/>
            </w:tcBorders>
          </w:tcPr>
          <w:p>
            <w:pPr>
              <w:spacing w:after="0"/>
              <w:rPr>
                <w:sz w:val="11"/>
                <w:szCs w:val="11"/>
                <w:color w:val="auto"/>
              </w:rPr>
            </w:pPr>
          </w:p>
        </w:tc>
        <w:tc>
          <w:tcPr>
            <w:tcW w:w="220" w:type="dxa"/>
            <w:vAlign w:val="bottom"/>
            <w:tcBorders>
              <w:bottom w:val="single" w:sz="8" w:color="auto"/>
            </w:tcBorders>
          </w:tcPr>
          <w:p>
            <w:pPr>
              <w:spacing w:after="0"/>
              <w:rPr>
                <w:sz w:val="11"/>
                <w:szCs w:val="11"/>
                <w:color w:val="auto"/>
              </w:rPr>
            </w:pPr>
          </w:p>
        </w:tc>
        <w:tc>
          <w:tcPr>
            <w:tcW w:w="1420" w:type="dxa"/>
            <w:vAlign w:val="bottom"/>
            <w:tcBorders>
              <w:bottom w:val="single" w:sz="8" w:color="auto"/>
              <w:right w:val="single" w:sz="8" w:color="auto"/>
            </w:tcBorders>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263"/>
        </w:trPr>
        <w:tc>
          <w:tcPr>
            <w:tcW w:w="100" w:type="dxa"/>
            <w:vAlign w:val="bottom"/>
            <w:tcBorders>
              <w:right w:val="single" w:sz="8" w:color="auto"/>
            </w:tcBorders>
          </w:tcPr>
          <w:p>
            <w:pPr>
              <w:spacing w:after="0"/>
              <w:rPr>
                <w:sz w:val="22"/>
                <w:szCs w:val="22"/>
                <w:color w:val="auto"/>
              </w:rPr>
            </w:pPr>
          </w:p>
        </w:tc>
        <w:tc>
          <w:tcPr>
            <w:tcW w:w="720" w:type="dxa"/>
            <w:vAlign w:val="bottom"/>
            <w:tcBorders>
              <w:bottom w:val="single" w:sz="8" w:color="auto"/>
            </w:tcBorders>
          </w:tcPr>
          <w:p>
            <w:pPr>
              <w:spacing w:after="0"/>
              <w:rPr>
                <w:sz w:val="22"/>
                <w:szCs w:val="22"/>
                <w:color w:val="auto"/>
              </w:rPr>
            </w:pPr>
          </w:p>
        </w:tc>
        <w:tc>
          <w:tcPr>
            <w:tcW w:w="300" w:type="dxa"/>
            <w:vAlign w:val="bottom"/>
            <w:tcBorders>
              <w:bottom w:val="single" w:sz="8" w:color="auto"/>
            </w:tcBorders>
          </w:tcPr>
          <w:p>
            <w:pPr>
              <w:spacing w:after="0"/>
              <w:rPr>
                <w:sz w:val="22"/>
                <w:szCs w:val="22"/>
                <w:color w:val="auto"/>
              </w:rPr>
            </w:pPr>
          </w:p>
        </w:tc>
        <w:tc>
          <w:tcPr>
            <w:tcW w:w="160" w:type="dxa"/>
            <w:vAlign w:val="bottom"/>
            <w:tcBorders>
              <w:bottom w:val="single" w:sz="8" w:color="auto"/>
              <w:right w:val="single" w:sz="8" w:color="auto"/>
            </w:tcBorders>
          </w:tcPr>
          <w:p>
            <w:pPr>
              <w:spacing w:after="0"/>
              <w:rPr>
                <w:sz w:val="22"/>
                <w:szCs w:val="22"/>
                <w:color w:val="auto"/>
              </w:rPr>
            </w:pPr>
          </w:p>
        </w:tc>
        <w:tc>
          <w:tcPr>
            <w:tcW w:w="980" w:type="dxa"/>
            <w:vAlign w:val="bottom"/>
            <w:tcBorders>
              <w:bottom w:val="single" w:sz="8" w:color="auto"/>
            </w:tcBorders>
          </w:tcPr>
          <w:p>
            <w:pPr>
              <w:spacing w:after="0"/>
              <w:rPr>
                <w:sz w:val="22"/>
                <w:szCs w:val="22"/>
                <w:color w:val="auto"/>
              </w:rPr>
            </w:pPr>
          </w:p>
        </w:tc>
        <w:tc>
          <w:tcPr>
            <w:tcW w:w="640" w:type="dxa"/>
            <w:vAlign w:val="bottom"/>
            <w:tcBorders>
              <w:bottom w:val="single" w:sz="8" w:color="auto"/>
            </w:tcBorders>
          </w:tcPr>
          <w:p>
            <w:pPr>
              <w:spacing w:after="0"/>
              <w:rPr>
                <w:sz w:val="22"/>
                <w:szCs w:val="22"/>
                <w:color w:val="auto"/>
              </w:rPr>
            </w:pPr>
          </w:p>
        </w:tc>
        <w:tc>
          <w:tcPr>
            <w:tcW w:w="60" w:type="dxa"/>
            <w:vAlign w:val="bottom"/>
            <w:tcBorders>
              <w:bottom w:val="single" w:sz="8" w:color="auto"/>
              <w:right w:val="single" w:sz="8" w:color="auto"/>
            </w:tcBorders>
          </w:tcPr>
          <w:p>
            <w:pPr>
              <w:spacing w:after="0"/>
              <w:rPr>
                <w:sz w:val="22"/>
                <w:szCs w:val="22"/>
                <w:color w:val="auto"/>
              </w:rPr>
            </w:pPr>
          </w:p>
        </w:tc>
        <w:tc>
          <w:tcPr>
            <w:tcW w:w="440" w:type="dxa"/>
            <w:vAlign w:val="bottom"/>
            <w:tcBorders>
              <w:bottom w:val="single" w:sz="8" w:color="auto"/>
            </w:tcBorders>
          </w:tcPr>
          <w:p>
            <w:pPr>
              <w:spacing w:after="0"/>
              <w:rPr>
                <w:sz w:val="22"/>
                <w:szCs w:val="22"/>
                <w:color w:val="auto"/>
              </w:rPr>
            </w:pPr>
          </w:p>
        </w:tc>
        <w:tc>
          <w:tcPr>
            <w:tcW w:w="280" w:type="dxa"/>
            <w:vAlign w:val="bottom"/>
            <w:tcBorders>
              <w:bottom w:val="single" w:sz="8" w:color="auto"/>
            </w:tcBorders>
          </w:tcPr>
          <w:p>
            <w:pPr>
              <w:spacing w:after="0"/>
              <w:rPr>
                <w:sz w:val="22"/>
                <w:szCs w:val="22"/>
                <w:color w:val="auto"/>
              </w:rPr>
            </w:pPr>
          </w:p>
        </w:tc>
        <w:tc>
          <w:tcPr>
            <w:tcW w:w="1020" w:type="dxa"/>
            <w:vAlign w:val="bottom"/>
            <w:tcBorders>
              <w:bottom w:val="single" w:sz="8" w:color="auto"/>
              <w:right w:val="single" w:sz="8" w:color="auto"/>
            </w:tcBorders>
          </w:tcPr>
          <w:p>
            <w:pPr>
              <w:spacing w:after="0"/>
              <w:rPr>
                <w:sz w:val="22"/>
                <w:szCs w:val="22"/>
                <w:color w:val="auto"/>
              </w:rPr>
            </w:pPr>
          </w:p>
        </w:tc>
        <w:tc>
          <w:tcPr>
            <w:tcW w:w="240" w:type="dxa"/>
            <w:vAlign w:val="bottom"/>
            <w:tcBorders>
              <w:bottom w:val="single" w:sz="8" w:color="auto"/>
            </w:tcBorders>
          </w:tcPr>
          <w:p>
            <w:pPr>
              <w:spacing w:after="0"/>
              <w:rPr>
                <w:sz w:val="22"/>
                <w:szCs w:val="22"/>
                <w:color w:val="auto"/>
              </w:rPr>
            </w:pPr>
          </w:p>
        </w:tc>
        <w:tc>
          <w:tcPr>
            <w:tcW w:w="160" w:type="dxa"/>
            <w:vAlign w:val="bottom"/>
            <w:tcBorders>
              <w:bottom w:val="single" w:sz="8" w:color="auto"/>
            </w:tcBorders>
          </w:tcPr>
          <w:p>
            <w:pPr>
              <w:spacing w:after="0"/>
              <w:rPr>
                <w:sz w:val="22"/>
                <w:szCs w:val="22"/>
                <w:color w:val="auto"/>
              </w:rPr>
            </w:pPr>
          </w:p>
        </w:tc>
        <w:tc>
          <w:tcPr>
            <w:tcW w:w="1120" w:type="dxa"/>
            <w:vAlign w:val="bottom"/>
            <w:tcBorders>
              <w:bottom w:val="single" w:sz="8" w:color="auto"/>
              <w:right w:val="single" w:sz="8" w:color="auto"/>
            </w:tcBorders>
          </w:tcPr>
          <w:p>
            <w:pPr>
              <w:spacing w:after="0"/>
              <w:rPr>
                <w:sz w:val="22"/>
                <w:szCs w:val="22"/>
                <w:color w:val="auto"/>
              </w:rPr>
            </w:pPr>
          </w:p>
        </w:tc>
        <w:tc>
          <w:tcPr>
            <w:tcW w:w="40" w:type="dxa"/>
            <w:vAlign w:val="bottom"/>
            <w:tcBorders>
              <w:bottom w:val="single" w:sz="8" w:color="auto"/>
            </w:tcBorders>
          </w:tcPr>
          <w:p>
            <w:pPr>
              <w:spacing w:after="0"/>
              <w:rPr>
                <w:sz w:val="22"/>
                <w:szCs w:val="22"/>
                <w:color w:val="auto"/>
              </w:rPr>
            </w:pPr>
          </w:p>
        </w:tc>
        <w:tc>
          <w:tcPr>
            <w:tcW w:w="260" w:type="dxa"/>
            <w:vAlign w:val="bottom"/>
            <w:tcBorders>
              <w:bottom w:val="single" w:sz="8" w:color="auto"/>
            </w:tcBorders>
          </w:tcPr>
          <w:p>
            <w:pPr>
              <w:spacing w:after="0"/>
              <w:rPr>
                <w:sz w:val="22"/>
                <w:szCs w:val="22"/>
                <w:color w:val="auto"/>
              </w:rPr>
            </w:pPr>
          </w:p>
        </w:tc>
        <w:tc>
          <w:tcPr>
            <w:tcW w:w="1180" w:type="dxa"/>
            <w:vAlign w:val="bottom"/>
            <w:tcBorders>
              <w:bottom w:val="single" w:sz="8" w:color="auto"/>
              <w:right w:val="single" w:sz="8" w:color="auto"/>
            </w:tcBorders>
          </w:tcPr>
          <w:p>
            <w:pPr>
              <w:spacing w:after="0"/>
              <w:rPr>
                <w:sz w:val="22"/>
                <w:szCs w:val="22"/>
                <w:color w:val="auto"/>
              </w:rPr>
            </w:pPr>
          </w:p>
        </w:tc>
        <w:tc>
          <w:tcPr>
            <w:tcW w:w="40" w:type="dxa"/>
            <w:vAlign w:val="bottom"/>
            <w:tcBorders>
              <w:bottom w:val="single" w:sz="8" w:color="auto"/>
            </w:tcBorders>
          </w:tcPr>
          <w:p>
            <w:pPr>
              <w:spacing w:after="0"/>
              <w:rPr>
                <w:sz w:val="22"/>
                <w:szCs w:val="22"/>
                <w:color w:val="auto"/>
              </w:rPr>
            </w:pPr>
          </w:p>
        </w:tc>
        <w:tc>
          <w:tcPr>
            <w:tcW w:w="220" w:type="dxa"/>
            <w:vAlign w:val="bottom"/>
            <w:tcBorders>
              <w:bottom w:val="single" w:sz="8" w:color="auto"/>
            </w:tcBorders>
          </w:tcPr>
          <w:p>
            <w:pPr>
              <w:spacing w:after="0"/>
              <w:rPr>
                <w:sz w:val="22"/>
                <w:szCs w:val="22"/>
                <w:color w:val="auto"/>
              </w:rPr>
            </w:pPr>
          </w:p>
        </w:tc>
        <w:tc>
          <w:tcPr>
            <w:tcW w:w="1420" w:type="dxa"/>
            <w:vAlign w:val="bottom"/>
            <w:tcBorders>
              <w:bottom w:val="single" w:sz="8" w:color="auto"/>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bl>
    <w:p>
      <w:pPr>
        <w:spacing w:after="0" w:line="238" w:lineRule="exact"/>
        <w:rPr>
          <w:sz w:val="20"/>
          <w:szCs w:val="20"/>
          <w:color w:val="auto"/>
        </w:rPr>
      </w:pPr>
    </w:p>
    <w:p>
      <w:pPr>
        <w:ind w:left="840"/>
        <w:spacing w:after="0"/>
        <w:rPr>
          <w:sz w:val="20"/>
          <w:szCs w:val="20"/>
          <w:color w:val="auto"/>
        </w:rPr>
      </w:pPr>
      <w:r>
        <w:rPr>
          <w:rFonts w:ascii="Calibri" w:cs="Calibri" w:eastAsia="Calibri" w:hAnsi="Calibri"/>
          <w:sz w:val="20"/>
          <w:szCs w:val="20"/>
          <w:i w:val="1"/>
          <w:iCs w:val="1"/>
          <w:color w:val="auto"/>
        </w:rPr>
        <w:t>* In case of continuing object(s), please specify latest/revised estimate of the completion date.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24"/>
          <w:szCs w:val="24"/>
          <w:color w:val="auto"/>
        </w:rPr>
        <w:t>388</w:t>
      </w:r>
    </w:p>
    <w:p>
      <w:pPr>
        <w:sectPr>
          <w:pgSz w:w="11900" w:h="16836" w:orient="portrait"/>
          <w:cols w:equalWidth="0" w:num="1">
            <w:col w:w="9400"/>
          </w:cols>
          <w:pgMar w:left="1180" w:top="1440" w:right="1324" w:bottom="103" w:gutter="0" w:footer="0" w:header="0"/>
        </w:sectPr>
      </w:pPr>
    </w:p>
    <w:bookmarkStart w:id="388" w:name="page389"/>
    <w:bookmarkEnd w:id="388"/>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SCHEDULE XII – MANDATORY COLLECTION CENTRES</w:t>
      </w:r>
    </w:p>
    <w:p>
      <w:pPr>
        <w:spacing w:after="0" w:line="137"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[See regulation 23(6), 69(6), 121(6), 184(6) and 244(6)]</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ind w:left="568" w:hanging="568"/>
        <w:spacing w:after="0" w:line="333" w:lineRule="auto"/>
        <w:tabs>
          <w:tab w:leader="none" w:pos="568" w:val="left"/>
        </w:tabs>
        <w:numPr>
          <w:ilvl w:val="0"/>
          <w:numId w:val="1177"/>
        </w:numPr>
        <w:rPr>
          <w:rFonts w:ascii="Calibri" w:cs="Calibri" w:eastAsia="Calibri" w:hAnsi="Calibri"/>
          <w:sz w:val="24"/>
          <w:szCs w:val="24"/>
          <w:color w:val="auto"/>
        </w:rPr>
      </w:pPr>
      <w:r>
        <w:rPr>
          <w:rFonts w:ascii="Times New Roman" w:cs="Times New Roman" w:eastAsia="Times New Roman" w:hAnsi="Times New Roman"/>
          <w:sz w:val="24"/>
          <w:szCs w:val="24"/>
          <w:color w:val="auto"/>
        </w:rPr>
        <w:t>The issuer shall designate collection centre(s) at the four metropolitan centres situated at Mumbai, Delhi, Kolkata and Chennai.</w:t>
      </w:r>
    </w:p>
    <w:p>
      <w:pPr>
        <w:spacing w:after="0" w:line="200" w:lineRule="exact"/>
        <w:rPr>
          <w:rFonts w:ascii="Calibri" w:cs="Calibri" w:eastAsia="Calibri" w:hAnsi="Calibri"/>
          <w:sz w:val="24"/>
          <w:szCs w:val="24"/>
          <w:color w:val="auto"/>
        </w:rPr>
      </w:pPr>
    </w:p>
    <w:p>
      <w:pPr>
        <w:spacing w:after="0" w:line="226" w:lineRule="exact"/>
        <w:rPr>
          <w:rFonts w:ascii="Calibri" w:cs="Calibri" w:eastAsia="Calibri" w:hAnsi="Calibri"/>
          <w:sz w:val="24"/>
          <w:szCs w:val="24"/>
          <w:color w:val="auto"/>
        </w:rPr>
      </w:pPr>
    </w:p>
    <w:p>
      <w:pPr>
        <w:ind w:left="568" w:hanging="568"/>
        <w:spacing w:after="0"/>
        <w:tabs>
          <w:tab w:leader="none" w:pos="568" w:val="left"/>
        </w:tabs>
        <w:numPr>
          <w:ilvl w:val="0"/>
          <w:numId w:val="1177"/>
        </w:numPr>
        <w:rPr>
          <w:rFonts w:ascii="Calibri" w:cs="Calibri" w:eastAsia="Calibri" w:hAnsi="Calibri"/>
          <w:sz w:val="24"/>
          <w:szCs w:val="24"/>
          <w:color w:val="auto"/>
        </w:rPr>
      </w:pPr>
      <w:r>
        <w:rPr>
          <w:rFonts w:ascii="Times New Roman" w:cs="Times New Roman" w:eastAsia="Times New Roman" w:hAnsi="Times New Roman"/>
          <w:sz w:val="24"/>
          <w:szCs w:val="24"/>
          <w:color w:val="auto"/>
        </w:rPr>
        <w:t>All such places where recognised stock exchanges are located.</w:t>
      </w:r>
    </w:p>
    <w:p>
      <w:pPr>
        <w:spacing w:after="0" w:line="200" w:lineRule="exact"/>
        <w:rPr>
          <w:rFonts w:ascii="Calibri" w:cs="Calibri" w:eastAsia="Calibri" w:hAnsi="Calibri"/>
          <w:sz w:val="24"/>
          <w:szCs w:val="24"/>
          <w:color w:val="auto"/>
        </w:rPr>
      </w:pPr>
    </w:p>
    <w:p>
      <w:pPr>
        <w:spacing w:after="0" w:line="369" w:lineRule="exact"/>
        <w:rPr>
          <w:rFonts w:ascii="Calibri" w:cs="Calibri" w:eastAsia="Calibri" w:hAnsi="Calibri"/>
          <w:sz w:val="24"/>
          <w:szCs w:val="24"/>
          <w:color w:val="auto"/>
        </w:rPr>
      </w:pPr>
    </w:p>
    <w:p>
      <w:pPr>
        <w:jc w:val="both"/>
        <w:ind w:left="568" w:hanging="568"/>
        <w:spacing w:after="0" w:line="344" w:lineRule="auto"/>
        <w:tabs>
          <w:tab w:leader="none" w:pos="568" w:val="left"/>
        </w:tabs>
        <w:numPr>
          <w:ilvl w:val="0"/>
          <w:numId w:val="1177"/>
        </w:numPr>
        <w:rPr>
          <w:rFonts w:ascii="Calibri" w:cs="Calibri" w:eastAsia="Calibri" w:hAnsi="Calibri"/>
          <w:sz w:val="24"/>
          <w:szCs w:val="24"/>
          <w:color w:val="auto"/>
        </w:rPr>
      </w:pPr>
      <w:r>
        <w:rPr>
          <w:rFonts w:ascii="Times New Roman" w:cs="Times New Roman" w:eastAsia="Times New Roman" w:hAnsi="Times New Roman"/>
          <w:sz w:val="24"/>
          <w:szCs w:val="24"/>
          <w:color w:val="auto"/>
        </w:rPr>
        <w:t>In addition, all designated branches of the self-certified syndicate banks, as displayed on the websites of such banks and of the Board, shall be deemed to be mandatory collection centres.</w:t>
      </w:r>
    </w:p>
    <w:p>
      <w:pPr>
        <w:spacing w:after="0" w:line="200" w:lineRule="exact"/>
        <w:rPr>
          <w:rFonts w:ascii="Calibri" w:cs="Calibri" w:eastAsia="Calibri" w:hAnsi="Calibri"/>
          <w:sz w:val="24"/>
          <w:szCs w:val="24"/>
          <w:color w:val="auto"/>
        </w:rPr>
      </w:pPr>
    </w:p>
    <w:p>
      <w:pPr>
        <w:spacing w:after="0" w:line="220" w:lineRule="exact"/>
        <w:rPr>
          <w:rFonts w:ascii="Calibri" w:cs="Calibri" w:eastAsia="Calibri" w:hAnsi="Calibri"/>
          <w:sz w:val="24"/>
          <w:szCs w:val="24"/>
          <w:color w:val="auto"/>
        </w:rPr>
      </w:pPr>
    </w:p>
    <w:p>
      <w:pPr>
        <w:ind w:left="568" w:hanging="568"/>
        <w:spacing w:after="0"/>
        <w:tabs>
          <w:tab w:leader="none" w:pos="568" w:val="left"/>
        </w:tabs>
        <w:numPr>
          <w:ilvl w:val="0"/>
          <w:numId w:val="1177"/>
        </w:numPr>
        <w:rPr>
          <w:rFonts w:ascii="Calibri" w:cs="Calibri" w:eastAsia="Calibri" w:hAnsi="Calibri"/>
          <w:sz w:val="24"/>
          <w:szCs w:val="24"/>
          <w:color w:val="auto"/>
        </w:rPr>
      </w:pPr>
      <w:r>
        <w:rPr>
          <w:rFonts w:ascii="Times New Roman" w:cs="Times New Roman" w:eastAsia="Times New Roman" w:hAnsi="Times New Roman"/>
          <w:sz w:val="24"/>
          <w:szCs w:val="24"/>
          <w:color w:val="auto"/>
        </w:rPr>
        <w:t>The issuer may appoint other collection centres as it may deem fit.</w:t>
      </w:r>
    </w:p>
    <w:p>
      <w:pPr>
        <w:spacing w:after="0" w:line="200" w:lineRule="exact"/>
        <w:rPr>
          <w:sz w:val="20"/>
          <w:szCs w:val="20"/>
          <w:color w:val="auto"/>
        </w:rPr>
      </w:pPr>
    </w:p>
    <w:p>
      <w:pPr>
        <w:spacing w:after="0" w:line="357"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SCHEDULE XIII - BOOK BUILDING PROCESS</w:t>
      </w:r>
    </w:p>
    <w:p>
      <w:pPr>
        <w:spacing w:after="0" w:line="137"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[See regulation 28(2), 30(1)(c), 32(2), 126(2), 128(1)(d), 129(3), 188(2), 190(1)(b), 250(2),</w:t>
      </w:r>
    </w:p>
    <w:p>
      <w:pPr>
        <w:spacing w:after="0" w:line="13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252(1)(c) and 291(4)]</w:t>
      </w:r>
    </w:p>
    <w:p>
      <w:pPr>
        <w:spacing w:after="0" w:line="137"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Part A – Book building process</w:t>
      </w:r>
    </w:p>
    <w:p>
      <w:pPr>
        <w:spacing w:after="0" w:line="200" w:lineRule="exact"/>
        <w:rPr>
          <w:sz w:val="20"/>
          <w:szCs w:val="20"/>
          <w:color w:val="auto"/>
        </w:rPr>
      </w:pPr>
    </w:p>
    <w:p>
      <w:pPr>
        <w:spacing w:after="0" w:line="359" w:lineRule="exact"/>
        <w:rPr>
          <w:sz w:val="20"/>
          <w:szCs w:val="20"/>
          <w:color w:val="auto"/>
        </w:rPr>
      </w:pPr>
    </w:p>
    <w:p>
      <w:pPr>
        <w:ind w:left="8"/>
        <w:spacing w:after="0" w:line="350" w:lineRule="auto"/>
        <w:rPr>
          <w:sz w:val="20"/>
          <w:szCs w:val="20"/>
          <w:color w:val="auto"/>
        </w:rPr>
      </w:pPr>
      <w:r>
        <w:rPr>
          <w:rFonts w:ascii="Times New Roman" w:cs="Times New Roman" w:eastAsia="Times New Roman" w:hAnsi="Times New Roman"/>
          <w:sz w:val="24"/>
          <w:szCs w:val="24"/>
          <w:color w:val="auto"/>
        </w:rPr>
        <w:t>An issuer proposing to issue specified securities through the book building process shall comply with the requirements of this Schedule.</w:t>
      </w:r>
    </w:p>
    <w:p>
      <w:pPr>
        <w:spacing w:after="0" w:line="200" w:lineRule="exact"/>
        <w:rPr>
          <w:sz w:val="20"/>
          <w:szCs w:val="20"/>
          <w:color w:val="auto"/>
        </w:rPr>
      </w:pPr>
    </w:p>
    <w:p>
      <w:pPr>
        <w:spacing w:after="0" w:line="231" w:lineRule="exact"/>
        <w:rPr>
          <w:sz w:val="20"/>
          <w:szCs w:val="20"/>
          <w:color w:val="auto"/>
        </w:rPr>
      </w:pPr>
    </w:p>
    <w:p>
      <w:pPr>
        <w:ind w:left="568" w:hanging="568"/>
        <w:spacing w:after="0"/>
        <w:tabs>
          <w:tab w:leader="none" w:pos="568" w:val="left"/>
        </w:tabs>
        <w:numPr>
          <w:ilvl w:val="0"/>
          <w:numId w:val="117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Lead Manager(s)</w:t>
      </w:r>
    </w:p>
    <w:p>
      <w:pPr>
        <w:spacing w:after="0" w:line="144" w:lineRule="exact"/>
        <w:rPr>
          <w:rFonts w:ascii="Times New Roman" w:cs="Times New Roman" w:eastAsia="Times New Roman" w:hAnsi="Times New Roman"/>
          <w:sz w:val="24"/>
          <w:szCs w:val="24"/>
          <w:color w:val="auto"/>
        </w:rPr>
      </w:pPr>
    </w:p>
    <w:p>
      <w:pPr>
        <w:ind w:left="1148" w:hanging="572"/>
        <w:spacing w:after="0" w:line="350" w:lineRule="auto"/>
        <w:tabs>
          <w:tab w:leader="none" w:pos="1148" w:val="left"/>
        </w:tabs>
        <w:numPr>
          <w:ilvl w:val="1"/>
          <w:numId w:val="117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appoint one or more merchant banker(s) as lead manager(s) and their name(s) shall be disclosed in the draft offer document and the offer document(s).</w:t>
      </w:r>
    </w:p>
    <w:p>
      <w:pPr>
        <w:spacing w:after="0" w:line="23" w:lineRule="exact"/>
        <w:rPr>
          <w:rFonts w:ascii="Times New Roman" w:cs="Times New Roman" w:eastAsia="Times New Roman" w:hAnsi="Times New Roman"/>
          <w:sz w:val="24"/>
          <w:szCs w:val="24"/>
          <w:color w:val="auto"/>
        </w:rPr>
      </w:pPr>
    </w:p>
    <w:p>
      <w:pPr>
        <w:jc w:val="both"/>
        <w:ind w:left="1148" w:hanging="572"/>
        <w:spacing w:after="0" w:line="354" w:lineRule="auto"/>
        <w:tabs>
          <w:tab w:leader="none" w:pos="1148" w:val="left"/>
        </w:tabs>
        <w:numPr>
          <w:ilvl w:val="1"/>
          <w:numId w:val="117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In case there is more than one lead manager(s), the rights, obligations and responsibilities of each shall be delineated in the inter-se allocation of responsibility as specified in </w:t>
      </w:r>
      <w:r>
        <w:rPr>
          <w:rFonts w:ascii="Times New Roman" w:cs="Times New Roman" w:eastAsia="Times New Roman" w:hAnsi="Times New Roman"/>
          <w:sz w:val="24"/>
          <w:szCs w:val="24"/>
          <w:b w:val="1"/>
          <w:bCs w:val="1"/>
          <w:color w:val="auto"/>
        </w:rPr>
        <w:t>Schedule I.</w:t>
      </w:r>
    </w:p>
    <w:p>
      <w:pPr>
        <w:spacing w:after="0" w:line="7"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17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Co-ordination of various activities may be allocated to more than one lead manager.</w:t>
      </w:r>
    </w:p>
    <w:p>
      <w:pPr>
        <w:spacing w:after="0" w:line="200" w:lineRule="exact"/>
        <w:rPr>
          <w:rFonts w:ascii="Times New Roman" w:cs="Times New Roman" w:eastAsia="Times New Roman" w:hAnsi="Times New Roman"/>
          <w:sz w:val="24"/>
          <w:szCs w:val="24"/>
          <w:color w:val="auto"/>
        </w:rPr>
      </w:pPr>
    </w:p>
    <w:p>
      <w:pPr>
        <w:spacing w:after="0" w:line="357"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17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Syndicate Member(s)</w:t>
      </w:r>
    </w:p>
    <w:p>
      <w:pPr>
        <w:spacing w:after="0" w:line="134" w:lineRule="exact"/>
        <w:rPr>
          <w:rFonts w:ascii="Times New Roman" w:cs="Times New Roman" w:eastAsia="Times New Roman" w:hAnsi="Times New Roman"/>
          <w:sz w:val="24"/>
          <w:szCs w:val="24"/>
          <w:color w:val="auto"/>
        </w:rPr>
      </w:pPr>
    </w:p>
    <w:p>
      <w:pPr>
        <w:ind w:left="568"/>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may appoint syndicate member(s).</w:t>
      </w:r>
    </w:p>
    <w:p>
      <w:pPr>
        <w:spacing w:after="0" w:line="200" w:lineRule="exact"/>
        <w:rPr>
          <w:rFonts w:ascii="Times New Roman" w:cs="Times New Roman" w:eastAsia="Times New Roman" w:hAnsi="Times New Roman"/>
          <w:sz w:val="24"/>
          <w:szCs w:val="24"/>
          <w:color w:val="auto"/>
        </w:rPr>
      </w:pPr>
    </w:p>
    <w:p>
      <w:pPr>
        <w:spacing w:after="0" w:line="356"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17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Underwriting</w:t>
      </w:r>
    </w:p>
    <w:p>
      <w:pPr>
        <w:spacing w:after="0" w:line="372"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389</w:t>
      </w:r>
    </w:p>
    <w:p>
      <w:pPr>
        <w:sectPr>
          <w:pgSz w:w="11900" w:h="16836" w:orient="portrait"/>
          <w:cols w:equalWidth="0" w:num="1">
            <w:col w:w="9468"/>
          </w:cols>
          <w:pgMar w:left="1152" w:top="1149" w:right="1284" w:bottom="103" w:gutter="0" w:footer="0" w:header="0"/>
        </w:sectPr>
      </w:pPr>
    </w:p>
    <w:bookmarkStart w:id="389" w:name="page390"/>
    <w:bookmarkEnd w:id="389"/>
    <w:p>
      <w:pPr>
        <w:ind w:left="1148" w:hanging="572"/>
        <w:spacing w:after="0" w:line="348" w:lineRule="auto"/>
        <w:tabs>
          <w:tab w:leader="none" w:pos="1148" w:val="left"/>
        </w:tabs>
        <w:numPr>
          <w:ilvl w:val="1"/>
          <w:numId w:val="117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 shall compulsorily underwrite the issue and the syndicate member(s) shall sub-underwrite with the lead manager(s).</w:t>
      </w:r>
    </w:p>
    <w:p>
      <w:pPr>
        <w:spacing w:after="0" w:line="28" w:lineRule="exact"/>
        <w:rPr>
          <w:rFonts w:ascii="Times New Roman" w:cs="Times New Roman" w:eastAsia="Times New Roman" w:hAnsi="Times New Roman"/>
          <w:sz w:val="24"/>
          <w:szCs w:val="24"/>
          <w:color w:val="auto"/>
        </w:rPr>
      </w:pPr>
    </w:p>
    <w:p>
      <w:pPr>
        <w:ind w:left="1148" w:hanging="572"/>
        <w:spacing w:after="0" w:line="348" w:lineRule="auto"/>
        <w:tabs>
          <w:tab w:leader="none" w:pos="1148" w:val="left"/>
        </w:tabs>
        <w:numPr>
          <w:ilvl w:val="1"/>
          <w:numId w:val="117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 / syndicate member(s) shall enter into underwriting/ sub underwriting agreement on a date prior to filing of the prospectus.</w:t>
      </w:r>
    </w:p>
    <w:p>
      <w:pPr>
        <w:spacing w:after="0" w:line="27" w:lineRule="exact"/>
        <w:rPr>
          <w:rFonts w:ascii="Times New Roman" w:cs="Times New Roman" w:eastAsia="Times New Roman" w:hAnsi="Times New Roman"/>
          <w:sz w:val="24"/>
          <w:szCs w:val="24"/>
          <w:color w:val="auto"/>
        </w:rPr>
      </w:pPr>
    </w:p>
    <w:p>
      <w:pPr>
        <w:jc w:val="both"/>
        <w:ind w:left="1148" w:hanging="572"/>
        <w:spacing w:after="0" w:line="354" w:lineRule="auto"/>
        <w:tabs>
          <w:tab w:leader="none" w:pos="1148" w:val="left"/>
        </w:tabs>
        <w:numPr>
          <w:ilvl w:val="1"/>
          <w:numId w:val="117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details of the final underwriting arrangement indicating actual numbers of shares underwritten shall be disclosed and printed in the prospectus before it is filed with the Registrar of Companies.</w:t>
      </w:r>
    </w:p>
    <w:p>
      <w:pPr>
        <w:spacing w:after="0" w:line="19" w:lineRule="exact"/>
        <w:rPr>
          <w:rFonts w:ascii="Times New Roman" w:cs="Times New Roman" w:eastAsia="Times New Roman" w:hAnsi="Times New Roman"/>
          <w:sz w:val="24"/>
          <w:szCs w:val="24"/>
          <w:color w:val="auto"/>
        </w:rPr>
      </w:pPr>
    </w:p>
    <w:p>
      <w:pPr>
        <w:jc w:val="both"/>
        <w:ind w:left="1148" w:hanging="572"/>
        <w:spacing w:after="0" w:line="354" w:lineRule="auto"/>
        <w:tabs>
          <w:tab w:leader="none" w:pos="1148" w:val="left"/>
        </w:tabs>
        <w:numPr>
          <w:ilvl w:val="1"/>
          <w:numId w:val="117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In case of an under-subscription in an issue, the shortfall shall be made good by the lead manager(s) and the same shall be incorporated in the inter-se allocation of responsibility as specified in </w:t>
      </w:r>
      <w:r>
        <w:rPr>
          <w:rFonts w:ascii="Times New Roman" w:cs="Times New Roman" w:eastAsia="Times New Roman" w:hAnsi="Times New Roman"/>
          <w:sz w:val="24"/>
          <w:szCs w:val="24"/>
          <w:b w:val="1"/>
          <w:bCs w:val="1"/>
          <w:color w:val="auto"/>
        </w:rPr>
        <w:t>Schedule I</w:t>
      </w:r>
      <w:r>
        <w:rPr>
          <w:rFonts w:ascii="Times New Roman" w:cs="Times New Roman" w:eastAsia="Times New Roman" w:hAnsi="Times New Roman"/>
          <w:sz w:val="24"/>
          <w:szCs w:val="24"/>
          <w:color w:val="auto"/>
        </w:rPr>
        <w:t>.</w:t>
      </w:r>
    </w:p>
    <w:p>
      <w:pPr>
        <w:spacing w:after="0" w:line="200" w:lineRule="exact"/>
        <w:rPr>
          <w:rFonts w:ascii="Times New Roman" w:cs="Times New Roman" w:eastAsia="Times New Roman" w:hAnsi="Times New Roman"/>
          <w:sz w:val="24"/>
          <w:szCs w:val="24"/>
          <w:color w:val="auto"/>
        </w:rPr>
      </w:pPr>
    </w:p>
    <w:p>
      <w:pPr>
        <w:spacing w:after="0" w:line="227"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18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Agreement with the stock exchanges</w:t>
      </w:r>
    </w:p>
    <w:p>
      <w:pPr>
        <w:spacing w:after="0" w:line="146" w:lineRule="exact"/>
        <w:rPr>
          <w:rFonts w:ascii="Times New Roman" w:cs="Times New Roman" w:eastAsia="Times New Roman" w:hAnsi="Times New Roman"/>
          <w:sz w:val="24"/>
          <w:szCs w:val="24"/>
          <w:color w:val="auto"/>
        </w:rPr>
      </w:pPr>
    </w:p>
    <w:p>
      <w:pPr>
        <w:ind w:left="1148" w:hanging="572"/>
        <w:spacing w:after="0" w:line="348" w:lineRule="auto"/>
        <w:tabs>
          <w:tab w:leader="none" w:pos="1148" w:val="left"/>
        </w:tabs>
        <w:numPr>
          <w:ilvl w:val="1"/>
          <w:numId w:val="118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enter into an agreement with one or more stock exchange(s) which have the facility of book building through the electronic bidding system.</w:t>
      </w:r>
    </w:p>
    <w:p>
      <w:pPr>
        <w:spacing w:after="0" w:line="27" w:lineRule="exact"/>
        <w:rPr>
          <w:rFonts w:ascii="Times New Roman" w:cs="Times New Roman" w:eastAsia="Times New Roman" w:hAnsi="Times New Roman"/>
          <w:sz w:val="24"/>
          <w:szCs w:val="24"/>
          <w:color w:val="auto"/>
        </w:rPr>
      </w:pPr>
    </w:p>
    <w:p>
      <w:pPr>
        <w:ind w:left="1148" w:hanging="572"/>
        <w:spacing w:after="0" w:line="348" w:lineRule="auto"/>
        <w:tabs>
          <w:tab w:leader="none" w:pos="1148" w:val="left"/>
        </w:tabs>
        <w:numPr>
          <w:ilvl w:val="1"/>
          <w:numId w:val="118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agreement shall specify inter-alia, the rights, duties, responsibilities and obligations of the issuer and the stock exchange(s) inter se.</w:t>
      </w:r>
    </w:p>
    <w:p>
      <w:pPr>
        <w:spacing w:after="0" w:line="28" w:lineRule="exact"/>
        <w:rPr>
          <w:rFonts w:ascii="Times New Roman" w:cs="Times New Roman" w:eastAsia="Times New Roman" w:hAnsi="Times New Roman"/>
          <w:sz w:val="24"/>
          <w:szCs w:val="24"/>
          <w:color w:val="auto"/>
        </w:rPr>
      </w:pPr>
    </w:p>
    <w:p>
      <w:pPr>
        <w:ind w:left="1148" w:hanging="572"/>
        <w:spacing w:after="0" w:line="348" w:lineRule="auto"/>
        <w:tabs>
          <w:tab w:leader="none" w:pos="1508" w:val="left"/>
        </w:tabs>
        <w:numPr>
          <w:ilvl w:val="1"/>
          <w:numId w:val="118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agreement may also provide for a dispute resolution mechanism between the issuer and the stock exchange.</w:t>
      </w:r>
    </w:p>
    <w:p>
      <w:pPr>
        <w:spacing w:after="0" w:line="200" w:lineRule="exact"/>
        <w:rPr>
          <w:rFonts w:ascii="Times New Roman" w:cs="Times New Roman" w:eastAsia="Times New Roman" w:hAnsi="Times New Roman"/>
          <w:sz w:val="24"/>
          <w:szCs w:val="24"/>
          <w:color w:val="auto"/>
        </w:rPr>
      </w:pPr>
    </w:p>
    <w:p>
      <w:pPr>
        <w:spacing w:after="0" w:line="233" w:lineRule="exact"/>
        <w:rPr>
          <w:rFonts w:ascii="Times New Roman" w:cs="Times New Roman" w:eastAsia="Times New Roman" w:hAnsi="Times New Roman"/>
          <w:sz w:val="24"/>
          <w:szCs w:val="24"/>
          <w:color w:val="auto"/>
        </w:rPr>
      </w:pPr>
    </w:p>
    <w:p>
      <w:pPr>
        <w:ind w:left="928" w:hanging="928"/>
        <w:spacing w:after="0"/>
        <w:tabs>
          <w:tab w:leader="none" w:pos="928" w:val="left"/>
        </w:tabs>
        <w:numPr>
          <w:ilvl w:val="0"/>
          <w:numId w:val="118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Appointment of stock brokers as bidding/collection centres</w:t>
      </w:r>
    </w:p>
    <w:p>
      <w:pPr>
        <w:spacing w:after="0" w:line="146" w:lineRule="exact"/>
        <w:rPr>
          <w:rFonts w:ascii="Times New Roman" w:cs="Times New Roman" w:eastAsia="Times New Roman" w:hAnsi="Times New Roman"/>
          <w:sz w:val="24"/>
          <w:szCs w:val="24"/>
          <w:color w:val="auto"/>
        </w:rPr>
      </w:pPr>
    </w:p>
    <w:p>
      <w:pPr>
        <w:jc w:val="both"/>
        <w:ind w:left="1148" w:hanging="572"/>
        <w:spacing w:after="0" w:line="357" w:lineRule="auto"/>
        <w:tabs>
          <w:tab w:leader="none" w:pos="1263" w:val="left"/>
        </w:tabs>
        <w:numPr>
          <w:ilvl w:val="1"/>
          <w:numId w:val="118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manager(s)/syndicate member(s) shall appoint stock brokers who are members of the stock exchange(s) and registered with the Board, for the purpose of accepting bids and placing orders with the issuer and ensure that the stock brokers so appointed are financially capable of honouring their commitments arising out of defaults of their clients/investors, if any;</w:t>
      </w:r>
    </w:p>
    <w:p>
      <w:pPr>
        <w:spacing w:after="0" w:line="16" w:lineRule="exact"/>
        <w:rPr>
          <w:rFonts w:ascii="Times New Roman" w:cs="Times New Roman" w:eastAsia="Times New Roman" w:hAnsi="Times New Roman"/>
          <w:sz w:val="24"/>
          <w:szCs w:val="24"/>
          <w:color w:val="auto"/>
        </w:rPr>
      </w:pPr>
    </w:p>
    <w:p>
      <w:pPr>
        <w:jc w:val="both"/>
        <w:ind w:left="1148"/>
        <w:spacing w:after="0" w:line="356"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Provided that in case of Application Supported by Blocked Amount, the self certified syndicate banks, registrar and share transfer agents, depository participants and stock brokers shall also be authorised to accept and upload the requisite details in the electronic bidding system of the stock exchange(s).</w:t>
      </w:r>
    </w:p>
    <w:p>
      <w:pPr>
        <w:spacing w:after="0" w:line="6" w:lineRule="exact"/>
        <w:rPr>
          <w:rFonts w:ascii="Times New Roman" w:cs="Times New Roman" w:eastAsia="Times New Roman" w:hAnsi="Times New Roman"/>
          <w:sz w:val="24"/>
          <w:szCs w:val="24"/>
          <w:color w:val="auto"/>
        </w:rPr>
      </w:pPr>
    </w:p>
    <w:p>
      <w:pPr>
        <w:ind w:left="1328" w:hanging="752"/>
        <w:spacing w:after="0"/>
        <w:tabs>
          <w:tab w:leader="none" w:pos="1328" w:val="left"/>
        </w:tabs>
        <w:numPr>
          <w:ilvl w:val="1"/>
          <w:numId w:val="118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self certified syndicate banks, registrar and share transfer agents, depository</w:t>
      </w:r>
    </w:p>
    <w:p>
      <w:pPr>
        <w:spacing w:after="0" w:line="151" w:lineRule="exact"/>
        <w:rPr>
          <w:sz w:val="20"/>
          <w:szCs w:val="20"/>
          <w:color w:val="auto"/>
        </w:rPr>
      </w:pPr>
    </w:p>
    <w:p>
      <w:pPr>
        <w:ind w:left="1148"/>
        <w:spacing w:after="0" w:line="348" w:lineRule="auto"/>
        <w:rPr>
          <w:sz w:val="20"/>
          <w:szCs w:val="20"/>
          <w:color w:val="auto"/>
        </w:rPr>
      </w:pPr>
      <w:r>
        <w:rPr>
          <w:rFonts w:ascii="Times New Roman" w:cs="Times New Roman" w:eastAsia="Times New Roman" w:hAnsi="Times New Roman"/>
          <w:sz w:val="24"/>
          <w:szCs w:val="24"/>
          <w:color w:val="auto"/>
        </w:rPr>
        <w:t>participants and stock brokers accepting applications and application monies shall be deemed as ‘bidding/collection centres’.</w:t>
      </w:r>
    </w:p>
    <w:p>
      <w:pPr>
        <w:spacing w:after="0" w:line="28" w:lineRule="exact"/>
        <w:rPr>
          <w:sz w:val="20"/>
          <w:szCs w:val="20"/>
          <w:color w:val="auto"/>
        </w:rPr>
      </w:pPr>
    </w:p>
    <w:p>
      <w:pPr>
        <w:jc w:val="both"/>
        <w:ind w:left="1148" w:hanging="572"/>
        <w:spacing w:after="0" w:line="348" w:lineRule="auto"/>
        <w:tabs>
          <w:tab w:leader="none" w:pos="1263" w:val="left"/>
        </w:tabs>
        <w:numPr>
          <w:ilvl w:val="0"/>
          <w:numId w:val="118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pay to the SEBI registered intermediaries involved in the above activities a reasonable commission/fee for the services rendered by them. These</w:t>
      </w: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390</w:t>
      </w:r>
    </w:p>
    <w:p>
      <w:pPr>
        <w:sectPr>
          <w:pgSz w:w="11900" w:h="16836" w:orient="portrait"/>
          <w:cols w:equalWidth="0" w:num="1">
            <w:col w:w="9468"/>
          </w:cols>
          <w:pgMar w:left="1152" w:top="1156" w:right="1284" w:bottom="103" w:gutter="0" w:footer="0" w:header="0"/>
        </w:sectPr>
      </w:pPr>
    </w:p>
    <w:bookmarkStart w:id="390" w:name="page391"/>
    <w:bookmarkEnd w:id="390"/>
    <w:p>
      <w:pPr>
        <w:ind w:left="1148"/>
        <w:spacing w:after="0" w:line="348" w:lineRule="auto"/>
        <w:rPr>
          <w:sz w:val="20"/>
          <w:szCs w:val="20"/>
          <w:color w:val="auto"/>
        </w:rPr>
      </w:pPr>
      <w:r>
        <w:rPr>
          <w:rFonts w:ascii="Times New Roman" w:cs="Times New Roman" w:eastAsia="Times New Roman" w:hAnsi="Times New Roman"/>
          <w:sz w:val="24"/>
          <w:szCs w:val="24"/>
          <w:color w:val="auto"/>
        </w:rPr>
        <w:t>intermediaries shall not levy service fee on their clients/investors in lieu of their services.</w:t>
      </w:r>
    </w:p>
    <w:p>
      <w:pPr>
        <w:spacing w:after="0" w:line="28" w:lineRule="exact"/>
        <w:rPr>
          <w:sz w:val="20"/>
          <w:szCs w:val="20"/>
          <w:color w:val="auto"/>
        </w:rPr>
      </w:pPr>
    </w:p>
    <w:p>
      <w:pPr>
        <w:ind w:left="1148" w:hanging="572"/>
        <w:spacing w:after="0" w:line="348" w:lineRule="auto"/>
        <w:tabs>
          <w:tab w:leader="none" w:pos="1263" w:val="left"/>
        </w:tabs>
        <w:numPr>
          <w:ilvl w:val="1"/>
          <w:numId w:val="118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stock exchanges shall ensure that no stock broker levies a service fee on their clients/investors in lieu of their services.</w:t>
      </w:r>
    </w:p>
    <w:p>
      <w:pPr>
        <w:spacing w:after="0" w:line="200" w:lineRule="exact"/>
        <w:rPr>
          <w:rFonts w:ascii="Times New Roman" w:cs="Times New Roman" w:eastAsia="Times New Roman" w:hAnsi="Times New Roman"/>
          <w:sz w:val="24"/>
          <w:szCs w:val="24"/>
          <w:color w:val="auto"/>
        </w:rPr>
      </w:pPr>
    </w:p>
    <w:p>
      <w:pPr>
        <w:spacing w:after="0" w:line="233" w:lineRule="exact"/>
        <w:rPr>
          <w:rFonts w:ascii="Times New Roman" w:cs="Times New Roman" w:eastAsia="Times New Roman" w:hAnsi="Times New Roman"/>
          <w:sz w:val="24"/>
          <w:szCs w:val="24"/>
          <w:color w:val="auto"/>
        </w:rPr>
      </w:pPr>
    </w:p>
    <w:p>
      <w:pPr>
        <w:ind w:left="928" w:hanging="928"/>
        <w:spacing w:after="0"/>
        <w:tabs>
          <w:tab w:leader="none" w:pos="928" w:val="left"/>
        </w:tabs>
        <w:numPr>
          <w:ilvl w:val="0"/>
          <w:numId w:val="118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Price not to be disclosed in the draft red herring prospectus</w:t>
      </w:r>
    </w:p>
    <w:p>
      <w:pPr>
        <w:spacing w:after="0" w:line="147" w:lineRule="exact"/>
        <w:rPr>
          <w:sz w:val="20"/>
          <w:szCs w:val="20"/>
          <w:color w:val="auto"/>
        </w:rPr>
      </w:pPr>
    </w:p>
    <w:p>
      <w:pPr>
        <w:jc w:val="both"/>
        <w:ind w:left="568"/>
        <w:spacing w:after="0" w:line="354" w:lineRule="auto"/>
        <w:rPr>
          <w:sz w:val="20"/>
          <w:szCs w:val="20"/>
          <w:color w:val="auto"/>
        </w:rPr>
      </w:pPr>
      <w:r>
        <w:rPr>
          <w:rFonts w:ascii="Times New Roman" w:cs="Times New Roman" w:eastAsia="Times New Roman" w:hAnsi="Times New Roman"/>
          <w:sz w:val="24"/>
          <w:szCs w:val="24"/>
          <w:color w:val="auto"/>
        </w:rPr>
        <w:t>The draft red herring prospectus shall contain the total issue size which may be expressed either in terms of the total amount to be raised or the total number of specified securities to be issued. and shall not contain the price of the specified securities.</w:t>
      </w:r>
    </w:p>
    <w:p>
      <w:pPr>
        <w:spacing w:after="0" w:line="20" w:lineRule="exact"/>
        <w:rPr>
          <w:sz w:val="20"/>
          <w:szCs w:val="20"/>
          <w:color w:val="auto"/>
        </w:rPr>
      </w:pPr>
    </w:p>
    <w:p>
      <w:pPr>
        <w:jc w:val="both"/>
        <w:ind w:left="568"/>
        <w:spacing w:after="0" w:line="350" w:lineRule="auto"/>
        <w:rPr>
          <w:sz w:val="20"/>
          <w:szCs w:val="20"/>
          <w:color w:val="auto"/>
        </w:rPr>
      </w:pPr>
      <w:r>
        <w:rPr>
          <w:rFonts w:ascii="Times New Roman" w:cs="Times New Roman" w:eastAsia="Times New Roman" w:hAnsi="Times New Roman"/>
          <w:sz w:val="24"/>
          <w:szCs w:val="24"/>
          <w:color w:val="auto"/>
        </w:rPr>
        <w:t>In case the offer has an offer for sale and/or a fresh issue, each component of the issue may be expressed in either value terms or number of specified securities.</w:t>
      </w:r>
    </w:p>
    <w:p>
      <w:pPr>
        <w:spacing w:after="0" w:line="200" w:lineRule="exact"/>
        <w:rPr>
          <w:sz w:val="20"/>
          <w:szCs w:val="20"/>
          <w:color w:val="auto"/>
        </w:rPr>
      </w:pPr>
    </w:p>
    <w:p>
      <w:pPr>
        <w:spacing w:after="0" w:line="231" w:lineRule="exact"/>
        <w:rPr>
          <w:sz w:val="20"/>
          <w:szCs w:val="20"/>
          <w:color w:val="auto"/>
        </w:rPr>
      </w:pPr>
    </w:p>
    <w:p>
      <w:pPr>
        <w:ind w:left="928" w:hanging="928"/>
        <w:spacing w:after="0"/>
        <w:tabs>
          <w:tab w:leader="none" w:pos="928" w:val="left"/>
        </w:tabs>
        <w:numPr>
          <w:ilvl w:val="0"/>
          <w:numId w:val="118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Floor price and price band</w:t>
      </w:r>
    </w:p>
    <w:p>
      <w:pPr>
        <w:spacing w:after="0" w:line="144" w:lineRule="exact"/>
        <w:rPr>
          <w:sz w:val="20"/>
          <w:szCs w:val="20"/>
          <w:color w:val="auto"/>
        </w:rPr>
      </w:pPr>
    </w:p>
    <w:p>
      <w:pPr>
        <w:ind w:left="568"/>
        <w:spacing w:after="0" w:line="350" w:lineRule="auto"/>
        <w:rPr>
          <w:sz w:val="20"/>
          <w:szCs w:val="20"/>
          <w:color w:val="auto"/>
        </w:rPr>
      </w:pPr>
      <w:r>
        <w:rPr>
          <w:rFonts w:ascii="Times New Roman" w:cs="Times New Roman" w:eastAsia="Times New Roman" w:hAnsi="Times New Roman"/>
          <w:sz w:val="24"/>
          <w:szCs w:val="24"/>
          <w:color w:val="auto"/>
        </w:rPr>
        <w:t>Subject to applicable provisions of these regulations and the provisions of this clause, the issuer may mention the floor price or price band in the red herring prospectus.</w:t>
      </w:r>
    </w:p>
    <w:p>
      <w:pPr>
        <w:spacing w:after="0" w:line="23" w:lineRule="exact"/>
        <w:rPr>
          <w:sz w:val="20"/>
          <w:szCs w:val="20"/>
          <w:color w:val="auto"/>
        </w:rPr>
      </w:pPr>
    </w:p>
    <w:p>
      <w:pPr>
        <w:jc w:val="both"/>
        <w:ind w:left="1148" w:hanging="572"/>
        <w:spacing w:after="0" w:line="354" w:lineRule="auto"/>
        <w:tabs>
          <w:tab w:leader="none" w:pos="1508" w:val="left"/>
        </w:tabs>
        <w:numPr>
          <w:ilvl w:val="0"/>
          <w:numId w:val="118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where the issuer opts not to make the disclosure of the price band or floor price in the red-herring prospectus, the following shall also be disclosed in the red-herring prospectus:</w:t>
      </w:r>
    </w:p>
    <w:p>
      <w:pPr>
        <w:spacing w:after="0" w:line="22" w:lineRule="exact"/>
        <w:rPr>
          <w:rFonts w:ascii="Times New Roman" w:cs="Times New Roman" w:eastAsia="Times New Roman" w:hAnsi="Times New Roman"/>
          <w:sz w:val="24"/>
          <w:szCs w:val="24"/>
          <w:color w:val="auto"/>
        </w:rPr>
      </w:pPr>
    </w:p>
    <w:p>
      <w:pPr>
        <w:jc w:val="both"/>
        <w:ind w:left="1728" w:hanging="576"/>
        <w:spacing w:after="0" w:line="353" w:lineRule="auto"/>
        <w:tabs>
          <w:tab w:leader="none" w:pos="2088" w:val="left"/>
        </w:tabs>
        <w:numPr>
          <w:ilvl w:val="1"/>
          <w:numId w:val="1185"/>
        </w:numPr>
        <w:rPr>
          <w:rFonts w:ascii="Calibri" w:cs="Calibri" w:eastAsia="Calibri" w:hAnsi="Calibri"/>
          <w:sz w:val="22"/>
          <w:szCs w:val="22"/>
          <w:color w:val="auto"/>
        </w:rPr>
      </w:pPr>
      <w:r>
        <w:rPr>
          <w:rFonts w:ascii="Times New Roman" w:cs="Times New Roman" w:eastAsia="Times New Roman" w:hAnsi="Times New Roman"/>
          <w:sz w:val="24"/>
          <w:szCs w:val="24"/>
          <w:color w:val="auto"/>
        </w:rPr>
        <w:t>a statement that the floor price or price band, as the case may be, shall be disclosed at least two working days (in case of an initial public offer) and at least one working day (in case of a further public offer) before the opening of the issue;</w:t>
      </w:r>
    </w:p>
    <w:p>
      <w:pPr>
        <w:spacing w:after="0" w:line="21" w:lineRule="exact"/>
        <w:rPr>
          <w:rFonts w:ascii="Calibri" w:cs="Calibri" w:eastAsia="Calibri" w:hAnsi="Calibri"/>
          <w:sz w:val="22"/>
          <w:szCs w:val="22"/>
          <w:color w:val="auto"/>
        </w:rPr>
      </w:pPr>
    </w:p>
    <w:p>
      <w:pPr>
        <w:ind w:left="1728" w:hanging="576"/>
        <w:spacing w:after="0" w:line="342" w:lineRule="auto"/>
        <w:tabs>
          <w:tab w:leader="none" w:pos="2088" w:val="left"/>
        </w:tabs>
        <w:numPr>
          <w:ilvl w:val="1"/>
          <w:numId w:val="1185"/>
        </w:numPr>
        <w:rPr>
          <w:rFonts w:ascii="Calibri" w:cs="Calibri" w:eastAsia="Calibri" w:hAnsi="Calibri"/>
          <w:sz w:val="22"/>
          <w:szCs w:val="22"/>
          <w:color w:val="auto"/>
        </w:rPr>
      </w:pPr>
      <w:r>
        <w:rPr>
          <w:rFonts w:ascii="Times New Roman" w:cs="Times New Roman" w:eastAsia="Times New Roman" w:hAnsi="Times New Roman"/>
          <w:sz w:val="24"/>
          <w:szCs w:val="24"/>
          <w:color w:val="auto"/>
        </w:rPr>
        <w:t>a statement that the investors may be guided by the secondary market prices (in case of a further public offer);</w:t>
      </w:r>
    </w:p>
    <w:p>
      <w:pPr>
        <w:spacing w:after="0" w:line="31" w:lineRule="exact"/>
        <w:rPr>
          <w:rFonts w:ascii="Calibri" w:cs="Calibri" w:eastAsia="Calibri" w:hAnsi="Calibri"/>
          <w:sz w:val="22"/>
          <w:szCs w:val="22"/>
          <w:color w:val="auto"/>
        </w:rPr>
      </w:pPr>
    </w:p>
    <w:p>
      <w:pPr>
        <w:ind w:left="1728" w:hanging="576"/>
        <w:spacing w:after="0" w:line="342" w:lineRule="auto"/>
        <w:tabs>
          <w:tab w:leader="none" w:pos="2088" w:val="left"/>
        </w:tabs>
        <w:numPr>
          <w:ilvl w:val="1"/>
          <w:numId w:val="1185"/>
        </w:numPr>
        <w:rPr>
          <w:rFonts w:ascii="Calibri" w:cs="Calibri" w:eastAsia="Calibri" w:hAnsi="Calibri"/>
          <w:sz w:val="22"/>
          <w:szCs w:val="22"/>
          <w:color w:val="auto"/>
        </w:rPr>
      </w:pPr>
      <w:r>
        <w:rPr>
          <w:rFonts w:ascii="Times New Roman" w:cs="Times New Roman" w:eastAsia="Times New Roman" w:hAnsi="Times New Roman"/>
          <w:sz w:val="24"/>
          <w:szCs w:val="24"/>
          <w:color w:val="auto"/>
        </w:rPr>
        <w:t>names and editions of the newspapers where the announcement of the floor price or price band would be made;</w:t>
      </w:r>
    </w:p>
    <w:p>
      <w:pPr>
        <w:spacing w:after="0" w:line="11" w:lineRule="exact"/>
        <w:rPr>
          <w:rFonts w:ascii="Calibri" w:cs="Calibri" w:eastAsia="Calibri" w:hAnsi="Calibri"/>
          <w:sz w:val="22"/>
          <w:szCs w:val="22"/>
          <w:color w:val="auto"/>
        </w:rPr>
      </w:pPr>
    </w:p>
    <w:p>
      <w:pPr>
        <w:ind w:left="2088" w:hanging="936"/>
        <w:spacing w:after="0"/>
        <w:tabs>
          <w:tab w:leader="none" w:pos="2088" w:val="left"/>
        </w:tabs>
        <w:numPr>
          <w:ilvl w:val="1"/>
          <w:numId w:val="1185"/>
        </w:numPr>
        <w:rPr>
          <w:rFonts w:ascii="Calibri" w:cs="Calibri" w:eastAsia="Calibri" w:hAnsi="Calibri"/>
          <w:sz w:val="22"/>
          <w:szCs w:val="22"/>
          <w:color w:val="auto"/>
        </w:rPr>
      </w:pPr>
      <w:r>
        <w:rPr>
          <w:rFonts w:ascii="Times New Roman" w:cs="Times New Roman" w:eastAsia="Times New Roman" w:hAnsi="Times New Roman"/>
          <w:sz w:val="24"/>
          <w:szCs w:val="24"/>
          <w:color w:val="auto"/>
        </w:rPr>
        <w:t>website addresses where the announcement is available.</w:t>
      </w:r>
    </w:p>
    <w:p>
      <w:pPr>
        <w:spacing w:after="0" w:line="149" w:lineRule="exact"/>
        <w:rPr>
          <w:rFonts w:ascii="Calibri" w:cs="Calibri" w:eastAsia="Calibri" w:hAnsi="Calibri"/>
          <w:sz w:val="22"/>
          <w:szCs w:val="22"/>
          <w:color w:val="auto"/>
        </w:rPr>
      </w:pPr>
    </w:p>
    <w:p>
      <w:pPr>
        <w:ind w:left="1148" w:hanging="572"/>
        <w:spacing w:after="0" w:line="350" w:lineRule="auto"/>
        <w:tabs>
          <w:tab w:leader="none" w:pos="1508" w:val="left"/>
        </w:tabs>
        <w:numPr>
          <w:ilvl w:val="0"/>
          <w:numId w:val="118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where the issuer decides to opts for a price band instead of a floor price, the issuer shall also ensure compliance with the following conditions:</w:t>
      </w:r>
    </w:p>
    <w:p>
      <w:pPr>
        <w:spacing w:after="0" w:line="23" w:lineRule="exact"/>
        <w:rPr>
          <w:rFonts w:ascii="Times New Roman" w:cs="Times New Roman" w:eastAsia="Times New Roman" w:hAnsi="Times New Roman"/>
          <w:sz w:val="24"/>
          <w:szCs w:val="24"/>
          <w:color w:val="auto"/>
        </w:rPr>
      </w:pPr>
    </w:p>
    <w:p>
      <w:pPr>
        <w:jc w:val="both"/>
        <w:ind w:left="1728" w:hanging="576"/>
        <w:spacing w:after="0" w:line="350" w:lineRule="auto"/>
        <w:tabs>
          <w:tab w:leader="none" w:pos="2088" w:val="left"/>
        </w:tabs>
        <w:numPr>
          <w:ilvl w:val="1"/>
          <w:numId w:val="1185"/>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cap of the price band should not be higher by more than 20 per cent. of the floor of the band; i.e. cap of the price band shall be less than or equal to 120 per cent. of the floor of the price band;</w:t>
      </w:r>
    </w:p>
    <w:p>
      <w:pPr>
        <w:spacing w:after="0" w:line="25" w:lineRule="exact"/>
        <w:rPr>
          <w:rFonts w:ascii="Calibri" w:cs="Calibri" w:eastAsia="Calibri" w:hAnsi="Calibri"/>
          <w:sz w:val="22"/>
          <w:szCs w:val="22"/>
          <w:color w:val="auto"/>
        </w:rPr>
      </w:pPr>
    </w:p>
    <w:p>
      <w:pPr>
        <w:jc w:val="both"/>
        <w:ind w:left="1728" w:hanging="576"/>
        <w:spacing w:after="0" w:line="350" w:lineRule="auto"/>
        <w:tabs>
          <w:tab w:leader="none" w:pos="2088" w:val="left"/>
        </w:tabs>
        <w:numPr>
          <w:ilvl w:val="1"/>
          <w:numId w:val="1185"/>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price band can be revised during the bidding period, provided the maximum revision on either side shall not exceed 20 per cent. i.e. floor of price band can move up or down to the extent of 20 per cent. of floor of the price</w:t>
      </w:r>
    </w:p>
    <w:p>
      <w:pPr>
        <w:spacing w:after="0" w:line="268"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391</w:t>
      </w:r>
    </w:p>
    <w:p>
      <w:pPr>
        <w:sectPr>
          <w:pgSz w:w="11900" w:h="16836" w:orient="portrait"/>
          <w:cols w:equalWidth="0" w:num="1">
            <w:col w:w="9468"/>
          </w:cols>
          <w:pgMar w:left="1152" w:top="1156" w:right="1284" w:bottom="103" w:gutter="0" w:footer="0" w:header="0"/>
        </w:sectPr>
      </w:pPr>
    </w:p>
    <w:bookmarkStart w:id="391" w:name="page392"/>
    <w:bookmarkEnd w:id="391"/>
    <w:p>
      <w:pPr>
        <w:ind w:left="1728"/>
        <w:spacing w:after="0" w:line="348" w:lineRule="auto"/>
        <w:rPr>
          <w:sz w:val="20"/>
          <w:szCs w:val="20"/>
          <w:color w:val="auto"/>
        </w:rPr>
      </w:pPr>
      <w:r>
        <w:rPr>
          <w:rFonts w:ascii="Times New Roman" w:cs="Times New Roman" w:eastAsia="Times New Roman" w:hAnsi="Times New Roman"/>
          <w:sz w:val="24"/>
          <w:szCs w:val="24"/>
          <w:color w:val="auto"/>
        </w:rPr>
        <w:t>band disclosed in the red herring prospectus and the cap of the revised price band will be fixed in accordance with clause (i) above;</w:t>
      </w:r>
    </w:p>
    <w:p>
      <w:pPr>
        <w:spacing w:after="0" w:line="28" w:lineRule="exact"/>
        <w:rPr>
          <w:sz w:val="20"/>
          <w:szCs w:val="20"/>
          <w:color w:val="auto"/>
        </w:rPr>
      </w:pPr>
    </w:p>
    <w:p>
      <w:pPr>
        <w:jc w:val="both"/>
        <w:ind w:left="1728" w:hanging="576"/>
        <w:spacing w:after="0" w:line="350" w:lineRule="auto"/>
        <w:tabs>
          <w:tab w:leader="none" w:pos="2088" w:val="left"/>
        </w:tabs>
        <w:numPr>
          <w:ilvl w:val="2"/>
          <w:numId w:val="1186"/>
        </w:numPr>
        <w:rPr>
          <w:rFonts w:ascii="Calibri" w:cs="Calibri" w:eastAsia="Calibri" w:hAnsi="Calibri"/>
          <w:sz w:val="22"/>
          <w:szCs w:val="22"/>
          <w:color w:val="auto"/>
        </w:rPr>
      </w:pPr>
      <w:r>
        <w:rPr>
          <w:rFonts w:ascii="Times New Roman" w:cs="Times New Roman" w:eastAsia="Times New Roman" w:hAnsi="Times New Roman"/>
          <w:sz w:val="24"/>
          <w:szCs w:val="24"/>
          <w:color w:val="auto"/>
        </w:rPr>
        <w:t>Any revision in the price band shall be widely disseminated by informing the stock exchanges, by issuing public notice and also indicating the change on the relevant website and the terminals of the syndicate member(s).</w:t>
      </w:r>
    </w:p>
    <w:p>
      <w:pPr>
        <w:spacing w:after="0" w:line="22" w:lineRule="exact"/>
        <w:rPr>
          <w:rFonts w:ascii="Calibri" w:cs="Calibri" w:eastAsia="Calibri" w:hAnsi="Calibri"/>
          <w:sz w:val="22"/>
          <w:szCs w:val="22"/>
          <w:color w:val="auto"/>
        </w:rPr>
      </w:pPr>
    </w:p>
    <w:p>
      <w:pPr>
        <w:ind w:left="1728" w:hanging="576"/>
        <w:spacing w:after="0" w:line="344" w:lineRule="auto"/>
        <w:tabs>
          <w:tab w:leader="none" w:pos="2088" w:val="left"/>
        </w:tabs>
        <w:numPr>
          <w:ilvl w:val="2"/>
          <w:numId w:val="1186"/>
        </w:numPr>
        <w:rPr>
          <w:rFonts w:ascii="Calibri" w:cs="Calibri" w:eastAsia="Calibri" w:hAnsi="Calibri"/>
          <w:sz w:val="22"/>
          <w:szCs w:val="22"/>
          <w:color w:val="auto"/>
        </w:rPr>
      </w:pPr>
      <w:r>
        <w:rPr>
          <w:rFonts w:ascii="Times New Roman" w:cs="Times New Roman" w:eastAsia="Times New Roman" w:hAnsi="Times New Roman"/>
          <w:sz w:val="24"/>
          <w:szCs w:val="24"/>
          <w:color w:val="auto"/>
        </w:rPr>
        <w:t>In case the price band is revised, the bidding period will be extended as per the provisions of these regulations.</w:t>
      </w:r>
    </w:p>
    <w:p>
      <w:pPr>
        <w:spacing w:after="0" w:line="26" w:lineRule="exact"/>
        <w:rPr>
          <w:rFonts w:ascii="Calibri" w:cs="Calibri" w:eastAsia="Calibri" w:hAnsi="Calibri"/>
          <w:sz w:val="22"/>
          <w:szCs w:val="22"/>
          <w:color w:val="auto"/>
        </w:rPr>
      </w:pPr>
    </w:p>
    <w:p>
      <w:pPr>
        <w:jc w:val="both"/>
        <w:ind w:left="1728" w:hanging="576"/>
        <w:spacing w:after="0" w:line="353" w:lineRule="auto"/>
        <w:tabs>
          <w:tab w:leader="none" w:pos="2088" w:val="left"/>
        </w:tabs>
        <w:numPr>
          <w:ilvl w:val="2"/>
          <w:numId w:val="1186"/>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manner in which the shortfall, if any, in the project financing will be met, arising on account of lowering of the price band shall be disclosed in the red herring prospectus or the public notice and that the allotment shall not be made unless the financing is tied up.</w:t>
      </w:r>
    </w:p>
    <w:p>
      <w:pPr>
        <w:spacing w:after="0" w:line="200" w:lineRule="exact"/>
        <w:rPr>
          <w:rFonts w:ascii="Calibri" w:cs="Calibri" w:eastAsia="Calibri" w:hAnsi="Calibri"/>
          <w:sz w:val="22"/>
          <w:szCs w:val="22"/>
          <w:color w:val="auto"/>
        </w:rPr>
      </w:pPr>
    </w:p>
    <w:p>
      <w:pPr>
        <w:spacing w:after="0" w:line="237" w:lineRule="exact"/>
        <w:rPr>
          <w:rFonts w:ascii="Calibri" w:cs="Calibri" w:eastAsia="Calibri" w:hAnsi="Calibri"/>
          <w:sz w:val="22"/>
          <w:szCs w:val="22"/>
          <w:color w:val="auto"/>
        </w:rPr>
      </w:pPr>
    </w:p>
    <w:p>
      <w:pPr>
        <w:ind w:left="568" w:hanging="568"/>
        <w:spacing w:after="0" w:line="348" w:lineRule="auto"/>
        <w:tabs>
          <w:tab w:leader="none" w:pos="568" w:val="left"/>
        </w:tabs>
        <w:numPr>
          <w:ilvl w:val="0"/>
          <w:numId w:val="118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manner and contents of the bid-cum-application form and revision form (accompanied with abridged prospectus) shall be as specified by the Board.</w:t>
      </w:r>
    </w:p>
    <w:p>
      <w:pPr>
        <w:spacing w:after="0" w:line="200" w:lineRule="exact"/>
        <w:rPr>
          <w:rFonts w:ascii="Times New Roman" w:cs="Times New Roman" w:eastAsia="Times New Roman" w:hAnsi="Times New Roman"/>
          <w:sz w:val="24"/>
          <w:szCs w:val="24"/>
          <w:color w:val="auto"/>
        </w:rPr>
      </w:pPr>
    </w:p>
    <w:p>
      <w:pPr>
        <w:spacing w:after="0" w:line="233" w:lineRule="exact"/>
        <w:rPr>
          <w:rFonts w:ascii="Times New Roman" w:cs="Times New Roman" w:eastAsia="Times New Roman" w:hAnsi="Times New Roman"/>
          <w:sz w:val="24"/>
          <w:szCs w:val="24"/>
          <w:color w:val="auto"/>
        </w:rPr>
      </w:pPr>
    </w:p>
    <w:p>
      <w:pPr>
        <w:ind w:left="928" w:hanging="928"/>
        <w:spacing w:after="0"/>
        <w:tabs>
          <w:tab w:leader="none" w:pos="928" w:val="left"/>
        </w:tabs>
        <w:numPr>
          <w:ilvl w:val="0"/>
          <w:numId w:val="118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Extension of issue period</w:t>
      </w:r>
    </w:p>
    <w:p>
      <w:pPr>
        <w:spacing w:after="0" w:line="200" w:lineRule="exact"/>
        <w:rPr>
          <w:rFonts w:ascii="Times New Roman" w:cs="Times New Roman" w:eastAsia="Times New Roman" w:hAnsi="Times New Roman"/>
          <w:sz w:val="24"/>
          <w:szCs w:val="24"/>
          <w:color w:val="auto"/>
        </w:rPr>
      </w:pPr>
    </w:p>
    <w:p>
      <w:pPr>
        <w:spacing w:after="0" w:line="359" w:lineRule="exact"/>
        <w:rPr>
          <w:rFonts w:ascii="Times New Roman" w:cs="Times New Roman" w:eastAsia="Times New Roman" w:hAnsi="Times New Roman"/>
          <w:sz w:val="24"/>
          <w:szCs w:val="24"/>
          <w:color w:val="auto"/>
        </w:rPr>
      </w:pPr>
    </w:p>
    <w:p>
      <w:pPr>
        <w:jc w:val="both"/>
        <w:ind w:left="2008" w:hanging="352"/>
        <w:spacing w:after="0" w:line="356" w:lineRule="auto"/>
        <w:tabs>
          <w:tab w:leader="none" w:pos="2008" w:val="left"/>
        </w:tabs>
        <w:numPr>
          <w:ilvl w:val="3"/>
          <w:numId w:val="118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a revision in the price band, the issuer shall extend the bidding (issue) period disclosed in the red herring prospectus, for a minimum period of three working days, subject to the total bidding (issue) period not exceeding ten working days.</w:t>
      </w:r>
    </w:p>
    <w:p>
      <w:pPr>
        <w:spacing w:after="0" w:line="200" w:lineRule="exact"/>
        <w:rPr>
          <w:rFonts w:ascii="Times New Roman" w:cs="Times New Roman" w:eastAsia="Times New Roman" w:hAnsi="Times New Roman"/>
          <w:sz w:val="24"/>
          <w:szCs w:val="24"/>
          <w:color w:val="auto"/>
        </w:rPr>
      </w:pPr>
    </w:p>
    <w:p>
      <w:pPr>
        <w:spacing w:after="0" w:line="233" w:lineRule="exact"/>
        <w:rPr>
          <w:rFonts w:ascii="Times New Roman" w:cs="Times New Roman" w:eastAsia="Times New Roman" w:hAnsi="Times New Roman"/>
          <w:sz w:val="24"/>
          <w:szCs w:val="24"/>
          <w:color w:val="auto"/>
        </w:rPr>
      </w:pPr>
    </w:p>
    <w:p>
      <w:pPr>
        <w:jc w:val="both"/>
        <w:ind w:left="2008" w:hanging="352"/>
        <w:spacing w:after="0" w:line="356" w:lineRule="auto"/>
        <w:tabs>
          <w:tab w:leader="none" w:pos="2008" w:val="left"/>
        </w:tabs>
        <w:numPr>
          <w:ilvl w:val="3"/>
          <w:numId w:val="118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force majeure, banking strike or similar circumstances, the issuer may, for reasons to be recorded in writing, extend the bidding/issue period for a minimum period of three working days, subject to the total bidding/issue period not exceeding ten working days.</w:t>
      </w: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39" w:lineRule="exact"/>
        <w:rPr>
          <w:rFonts w:ascii="Times New Roman" w:cs="Times New Roman" w:eastAsia="Times New Roman" w:hAnsi="Times New Roman"/>
          <w:sz w:val="24"/>
          <w:szCs w:val="24"/>
          <w:color w:val="auto"/>
        </w:rPr>
      </w:pPr>
    </w:p>
    <w:p>
      <w:pPr>
        <w:ind w:left="928" w:hanging="928"/>
        <w:spacing w:after="0"/>
        <w:tabs>
          <w:tab w:leader="none" w:pos="928" w:val="left"/>
        </w:tabs>
        <w:numPr>
          <w:ilvl w:val="0"/>
          <w:numId w:val="118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Anchor Investors</w:t>
      </w:r>
    </w:p>
    <w:p>
      <w:pPr>
        <w:spacing w:after="0" w:line="144" w:lineRule="exact"/>
        <w:rPr>
          <w:rFonts w:ascii="Times New Roman" w:cs="Times New Roman" w:eastAsia="Times New Roman" w:hAnsi="Times New Roman"/>
          <w:sz w:val="24"/>
          <w:szCs w:val="24"/>
          <w:color w:val="auto"/>
        </w:rPr>
      </w:pPr>
    </w:p>
    <w:p>
      <w:pPr>
        <w:jc w:val="both"/>
        <w:ind w:left="1088" w:hanging="512"/>
        <w:spacing w:after="0" w:line="353" w:lineRule="auto"/>
        <w:tabs>
          <w:tab w:leader="none" w:pos="1088" w:val="left"/>
        </w:tabs>
        <w:numPr>
          <w:ilvl w:val="1"/>
          <w:numId w:val="1187"/>
        </w:numPr>
        <w:rPr>
          <w:rFonts w:ascii="Calibri" w:cs="Calibri" w:eastAsia="Calibri" w:hAnsi="Calibri"/>
          <w:sz w:val="22"/>
          <w:szCs w:val="22"/>
          <w:color w:val="auto"/>
        </w:rPr>
      </w:pPr>
      <w:r>
        <w:rPr>
          <w:rFonts w:ascii="Times New Roman" w:cs="Times New Roman" w:eastAsia="Times New Roman" w:hAnsi="Times New Roman"/>
          <w:sz w:val="24"/>
          <w:szCs w:val="24"/>
          <w:color w:val="auto"/>
        </w:rPr>
        <w:t xml:space="preserve">An anchor investor shall make an application of a value of at least ten crore rupees in a public issue on the main board made through the book building process or an application for a value of at least two crore rupees in case of a public issue on the SME exchange made in accordance with </w:t>
      </w:r>
      <w:r>
        <w:rPr>
          <w:rFonts w:ascii="Times New Roman" w:cs="Times New Roman" w:eastAsia="Times New Roman" w:hAnsi="Times New Roman"/>
          <w:sz w:val="24"/>
          <w:szCs w:val="24"/>
          <w:b w:val="1"/>
          <w:bCs w:val="1"/>
          <w:color w:val="auto"/>
        </w:rPr>
        <w:t>Chapter IX</w:t>
      </w:r>
      <w:r>
        <w:rPr>
          <w:rFonts w:ascii="Times New Roman" w:cs="Times New Roman" w:eastAsia="Times New Roman" w:hAnsi="Times New Roman"/>
          <w:sz w:val="24"/>
          <w:szCs w:val="24"/>
          <w:color w:val="auto"/>
        </w:rPr>
        <w:t xml:space="preserve"> of these regulations.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392</w:t>
      </w:r>
    </w:p>
    <w:p>
      <w:pPr>
        <w:sectPr>
          <w:pgSz w:w="11900" w:h="16836" w:orient="portrait"/>
          <w:cols w:equalWidth="0" w:num="1">
            <w:col w:w="9468"/>
          </w:cols>
          <w:pgMar w:left="1152" w:top="1156" w:right="1284" w:bottom="103" w:gutter="0" w:footer="0" w:header="0"/>
        </w:sectPr>
      </w:pPr>
    </w:p>
    <w:bookmarkStart w:id="392" w:name="page393"/>
    <w:bookmarkEnd w:id="392"/>
    <w:p>
      <w:pPr>
        <w:jc w:val="both"/>
        <w:ind w:left="800" w:hanging="512"/>
        <w:spacing w:after="0" w:line="350" w:lineRule="auto"/>
        <w:tabs>
          <w:tab w:leader="none" w:pos="800" w:val="left"/>
        </w:tabs>
        <w:numPr>
          <w:ilvl w:val="0"/>
          <w:numId w:val="1188"/>
        </w:numPr>
        <w:rPr>
          <w:rFonts w:ascii="Calibri" w:cs="Calibri" w:eastAsia="Calibri" w:hAnsi="Calibri"/>
          <w:sz w:val="22"/>
          <w:szCs w:val="22"/>
          <w:color w:val="auto"/>
        </w:rPr>
      </w:pPr>
      <w:r>
        <w:rPr>
          <w:rFonts w:ascii="Times New Roman" w:cs="Times New Roman" w:eastAsia="Times New Roman" w:hAnsi="Times New Roman"/>
          <w:sz w:val="24"/>
          <w:szCs w:val="24"/>
          <w:color w:val="auto"/>
        </w:rPr>
        <w:t>Up to sixty per cent. of the portion available for allocation to qualified institutional buyers shall be available for allocation/allotment (“anchor investor portion”) to the anchor investor(s).</w:t>
      </w:r>
    </w:p>
    <w:p>
      <w:pPr>
        <w:spacing w:after="0" w:line="23" w:lineRule="exact"/>
        <w:rPr>
          <w:rFonts w:ascii="Calibri" w:cs="Calibri" w:eastAsia="Calibri" w:hAnsi="Calibri"/>
          <w:sz w:val="22"/>
          <w:szCs w:val="22"/>
          <w:color w:val="auto"/>
        </w:rPr>
      </w:pPr>
    </w:p>
    <w:p>
      <w:pPr>
        <w:ind w:left="800" w:hanging="512"/>
        <w:spacing w:after="0" w:line="344" w:lineRule="auto"/>
        <w:tabs>
          <w:tab w:leader="none" w:pos="800" w:val="left"/>
        </w:tabs>
        <w:numPr>
          <w:ilvl w:val="0"/>
          <w:numId w:val="1188"/>
        </w:numPr>
        <w:rPr>
          <w:rFonts w:ascii="Calibri" w:cs="Calibri" w:eastAsia="Calibri" w:hAnsi="Calibri"/>
          <w:sz w:val="22"/>
          <w:szCs w:val="22"/>
          <w:color w:val="auto"/>
        </w:rPr>
      </w:pPr>
      <w:r>
        <w:rPr>
          <w:rFonts w:ascii="Times New Roman" w:cs="Times New Roman" w:eastAsia="Times New Roman" w:hAnsi="Times New Roman"/>
          <w:sz w:val="24"/>
          <w:szCs w:val="24"/>
          <w:color w:val="auto"/>
        </w:rPr>
        <w:t>Allocation to the anchor investors shall be on a discretionary basis, subject to the following:</w:t>
      </w:r>
    </w:p>
    <w:p>
      <w:pPr>
        <w:spacing w:after="0" w:line="14" w:lineRule="exact"/>
        <w:rPr>
          <w:rFonts w:ascii="Calibri" w:cs="Calibri" w:eastAsia="Calibri" w:hAnsi="Calibri"/>
          <w:sz w:val="22"/>
          <w:szCs w:val="22"/>
          <w:color w:val="auto"/>
        </w:rPr>
      </w:pPr>
    </w:p>
    <w:p>
      <w:pPr>
        <w:ind w:left="1100" w:hanging="308"/>
        <w:spacing w:after="0"/>
        <w:tabs>
          <w:tab w:leader="none" w:pos="1100" w:val="left"/>
        </w:tabs>
        <w:numPr>
          <w:ilvl w:val="1"/>
          <w:numId w:val="118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public issue on the main board, through the book building process:</w:t>
      </w:r>
    </w:p>
    <w:p>
      <w:pPr>
        <w:spacing w:after="0" w:line="151" w:lineRule="exact"/>
        <w:rPr>
          <w:rFonts w:ascii="Times New Roman" w:cs="Times New Roman" w:eastAsia="Times New Roman" w:hAnsi="Times New Roman"/>
          <w:sz w:val="24"/>
          <w:szCs w:val="24"/>
          <w:color w:val="auto"/>
        </w:rPr>
      </w:pPr>
    </w:p>
    <w:p>
      <w:pPr>
        <w:ind w:left="1700" w:hanging="548"/>
        <w:spacing w:after="0" w:line="348" w:lineRule="auto"/>
        <w:tabs>
          <w:tab w:leader="none" w:pos="1700" w:val="left"/>
        </w:tabs>
        <w:numPr>
          <w:ilvl w:val="2"/>
          <w:numId w:val="118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maximum of 2 such investors shall be permitted for allocation up to ten crore rupees</w:t>
      </w:r>
    </w:p>
    <w:p>
      <w:pPr>
        <w:spacing w:after="0" w:line="28" w:lineRule="exact"/>
        <w:rPr>
          <w:rFonts w:ascii="Times New Roman" w:cs="Times New Roman" w:eastAsia="Times New Roman" w:hAnsi="Times New Roman"/>
          <w:sz w:val="24"/>
          <w:szCs w:val="24"/>
          <w:color w:val="auto"/>
        </w:rPr>
      </w:pPr>
    </w:p>
    <w:p>
      <w:pPr>
        <w:jc w:val="both"/>
        <w:ind w:left="1700" w:hanging="548"/>
        <w:spacing w:after="0" w:line="348" w:lineRule="auto"/>
        <w:tabs>
          <w:tab w:leader="none" w:pos="1700" w:val="left"/>
        </w:tabs>
        <w:numPr>
          <w:ilvl w:val="2"/>
          <w:numId w:val="118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minimum of 2 and maximum of 15 such investors shall be permitted for allocation above ten crore rupees and up to two fifty crore rupees, subject to</w:t>
      </w:r>
    </w:p>
    <w:p>
      <w:pPr>
        <w:spacing w:after="0" w:line="15" w:lineRule="exact"/>
        <w:rPr>
          <w:sz w:val="20"/>
          <w:szCs w:val="20"/>
          <w:color w:val="auto"/>
        </w:rPr>
      </w:pPr>
    </w:p>
    <w:p>
      <w:pPr>
        <w:ind w:left="1700"/>
        <w:spacing w:after="0"/>
        <w:rPr>
          <w:sz w:val="20"/>
          <w:szCs w:val="20"/>
          <w:color w:val="auto"/>
        </w:rPr>
      </w:pPr>
      <w:r>
        <w:rPr>
          <w:rFonts w:ascii="Times New Roman" w:cs="Times New Roman" w:eastAsia="Times New Roman" w:hAnsi="Times New Roman"/>
          <w:sz w:val="24"/>
          <w:szCs w:val="24"/>
          <w:color w:val="auto"/>
        </w:rPr>
        <w:t>minimum allotment of five crore rupees per such investor;</w:t>
      </w:r>
    </w:p>
    <w:p>
      <w:pPr>
        <w:spacing w:after="0" w:line="149" w:lineRule="exact"/>
        <w:rPr>
          <w:sz w:val="20"/>
          <w:szCs w:val="20"/>
          <w:color w:val="auto"/>
        </w:rPr>
      </w:pPr>
    </w:p>
    <w:p>
      <w:pPr>
        <w:jc w:val="both"/>
        <w:ind w:left="1700" w:hanging="548"/>
        <w:spacing w:after="0" w:line="355" w:lineRule="auto"/>
        <w:tabs>
          <w:tab w:leader="none" w:pos="1700" w:val="left"/>
        </w:tabs>
        <w:numPr>
          <w:ilvl w:val="2"/>
          <w:numId w:val="1189"/>
        </w:numPr>
        <w:rPr>
          <w:rFonts w:ascii="Calibri" w:cs="Calibri" w:eastAsia="Calibri" w:hAnsi="Calibri"/>
          <w:sz w:val="22"/>
          <w:szCs w:val="22"/>
          <w:color w:val="auto"/>
        </w:rPr>
      </w:pPr>
      <w:r>
        <w:rPr>
          <w:rFonts w:ascii="Times New Roman" w:cs="Times New Roman" w:eastAsia="Times New Roman" w:hAnsi="Times New Roman"/>
          <w:sz w:val="24"/>
          <w:szCs w:val="24"/>
          <w:color w:val="auto"/>
        </w:rPr>
        <w:t>in case of allocation above two fifty crore rupees; a minimum of 5 such investors and a maximum of 15 such investors for allocation up to two fifty crore rupees and an additional 10 such investors for every additional two fifty crore rupees or part thereof, shall be permitted, subject to a minimum allotment of five crore rupees per such investor.</w:t>
      </w:r>
    </w:p>
    <w:p>
      <w:pPr>
        <w:spacing w:after="0" w:line="7" w:lineRule="exact"/>
        <w:rPr>
          <w:rFonts w:ascii="Calibri" w:cs="Calibri" w:eastAsia="Calibri" w:hAnsi="Calibri"/>
          <w:sz w:val="22"/>
          <w:szCs w:val="22"/>
          <w:color w:val="auto"/>
        </w:rPr>
      </w:pPr>
    </w:p>
    <w:p>
      <w:pPr>
        <w:ind w:left="1180" w:hanging="388"/>
        <w:spacing w:after="0"/>
        <w:tabs>
          <w:tab w:leader="none" w:pos="1180" w:val="left"/>
        </w:tabs>
        <w:numPr>
          <w:ilvl w:val="1"/>
          <w:numId w:val="119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public issue on the SME exchange, through the book building process:</w:t>
      </w:r>
    </w:p>
    <w:p>
      <w:pPr>
        <w:spacing w:after="0" w:line="149" w:lineRule="exact"/>
        <w:rPr>
          <w:rFonts w:ascii="Times New Roman" w:cs="Times New Roman" w:eastAsia="Times New Roman" w:hAnsi="Times New Roman"/>
          <w:sz w:val="24"/>
          <w:szCs w:val="24"/>
          <w:color w:val="auto"/>
        </w:rPr>
      </w:pPr>
    </w:p>
    <w:p>
      <w:pPr>
        <w:ind w:left="1700" w:hanging="548"/>
        <w:spacing w:after="0" w:line="350" w:lineRule="auto"/>
        <w:tabs>
          <w:tab w:leader="none" w:pos="1700" w:val="left"/>
        </w:tabs>
        <w:numPr>
          <w:ilvl w:val="2"/>
          <w:numId w:val="119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maximum of 2 such investors shall be permitted for allocation up to two crore rupees</w:t>
      </w:r>
    </w:p>
    <w:p>
      <w:pPr>
        <w:spacing w:after="0" w:line="23" w:lineRule="exact"/>
        <w:rPr>
          <w:rFonts w:ascii="Times New Roman" w:cs="Times New Roman" w:eastAsia="Times New Roman" w:hAnsi="Times New Roman"/>
          <w:sz w:val="24"/>
          <w:szCs w:val="24"/>
          <w:color w:val="auto"/>
        </w:rPr>
      </w:pPr>
    </w:p>
    <w:p>
      <w:pPr>
        <w:jc w:val="both"/>
        <w:ind w:left="1700" w:hanging="548"/>
        <w:spacing w:after="0" w:line="354" w:lineRule="auto"/>
        <w:tabs>
          <w:tab w:leader="none" w:pos="1700" w:val="left"/>
        </w:tabs>
        <w:numPr>
          <w:ilvl w:val="2"/>
          <w:numId w:val="119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minimum of 2 and maximum of 15 such investors shall be permitted for allocation above two crore rupees and up to twenty five crore rupees, subject to minimum allotment of one crore rupees per such investor;</w:t>
      </w:r>
    </w:p>
    <w:p>
      <w:pPr>
        <w:spacing w:after="0" w:line="22" w:lineRule="exact"/>
        <w:rPr>
          <w:rFonts w:ascii="Times New Roman" w:cs="Times New Roman" w:eastAsia="Times New Roman" w:hAnsi="Times New Roman"/>
          <w:sz w:val="24"/>
          <w:szCs w:val="24"/>
          <w:color w:val="auto"/>
        </w:rPr>
      </w:pPr>
    </w:p>
    <w:p>
      <w:pPr>
        <w:jc w:val="both"/>
        <w:ind w:left="1700" w:hanging="548"/>
        <w:spacing w:after="0" w:line="357" w:lineRule="auto"/>
        <w:tabs>
          <w:tab w:leader="none" w:pos="1700" w:val="left"/>
        </w:tabs>
        <w:numPr>
          <w:ilvl w:val="2"/>
          <w:numId w:val="119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allocation above twenty five crore rupees; a minimum of 5 such investors and a maximum of 15 such investors for allocation up to twenty five crore rupees and an additional 10 such investors for every additional twenty five crore rupees or part thereof, shall be permitted, subject to a minimum allotment of one crore rupees per such investor.</w:t>
      </w:r>
    </w:p>
    <w:p>
      <w:pPr>
        <w:ind w:left="800" w:hanging="512"/>
        <w:spacing w:after="0"/>
        <w:tabs>
          <w:tab w:leader="none" w:pos="800" w:val="left"/>
        </w:tabs>
        <w:numPr>
          <w:ilvl w:val="0"/>
          <w:numId w:val="1191"/>
        </w:numPr>
        <w:rPr>
          <w:rFonts w:ascii="Calibri" w:cs="Calibri" w:eastAsia="Calibri" w:hAnsi="Calibri"/>
          <w:sz w:val="22"/>
          <w:szCs w:val="22"/>
          <w:color w:val="auto"/>
        </w:rPr>
      </w:pPr>
      <w:r>
        <w:rPr>
          <w:rFonts w:ascii="Times New Roman" w:cs="Times New Roman" w:eastAsia="Times New Roman" w:hAnsi="Times New Roman"/>
          <w:sz w:val="24"/>
          <w:szCs w:val="24"/>
          <w:color w:val="auto"/>
        </w:rPr>
        <w:t>One-third of the anchor investor portion shall be reserved for domestic mutual funds.</w:t>
      </w:r>
    </w:p>
    <w:p>
      <w:pPr>
        <w:spacing w:after="0" w:line="132" w:lineRule="exact"/>
        <w:rPr>
          <w:rFonts w:ascii="Calibri" w:cs="Calibri" w:eastAsia="Calibri" w:hAnsi="Calibri"/>
          <w:sz w:val="22"/>
          <w:szCs w:val="22"/>
          <w:color w:val="auto"/>
        </w:rPr>
      </w:pPr>
    </w:p>
    <w:p>
      <w:pPr>
        <w:ind w:left="800" w:hanging="512"/>
        <w:spacing w:after="0"/>
        <w:tabs>
          <w:tab w:leader="none" w:pos="800" w:val="left"/>
        </w:tabs>
        <w:numPr>
          <w:ilvl w:val="0"/>
          <w:numId w:val="1191"/>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bidding for anchor investors shall open one day before the issue opening date.</w:t>
      </w:r>
    </w:p>
    <w:p>
      <w:pPr>
        <w:spacing w:after="0" w:line="149" w:lineRule="exact"/>
        <w:rPr>
          <w:rFonts w:ascii="Calibri" w:cs="Calibri" w:eastAsia="Calibri" w:hAnsi="Calibri"/>
          <w:sz w:val="22"/>
          <w:szCs w:val="22"/>
          <w:color w:val="auto"/>
        </w:rPr>
      </w:pPr>
    </w:p>
    <w:p>
      <w:pPr>
        <w:jc w:val="both"/>
        <w:ind w:left="800" w:hanging="512"/>
        <w:spacing w:after="0" w:line="350" w:lineRule="auto"/>
        <w:tabs>
          <w:tab w:leader="none" w:pos="980" w:val="left"/>
        </w:tabs>
        <w:numPr>
          <w:ilvl w:val="0"/>
          <w:numId w:val="1191"/>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anchor investors shall pay on application the same margin which is payable by other categories of investors and the balance, if any, shall be paid within two days of the date of closure of the issue.</w:t>
      </w:r>
    </w:p>
    <w:p>
      <w:pPr>
        <w:spacing w:after="0" w:line="25" w:lineRule="exact"/>
        <w:rPr>
          <w:rFonts w:ascii="Calibri" w:cs="Calibri" w:eastAsia="Calibri" w:hAnsi="Calibri"/>
          <w:sz w:val="22"/>
          <w:szCs w:val="22"/>
          <w:color w:val="auto"/>
        </w:rPr>
      </w:pPr>
    </w:p>
    <w:p>
      <w:pPr>
        <w:ind w:left="800" w:hanging="512"/>
        <w:spacing w:after="0" w:line="342" w:lineRule="auto"/>
        <w:tabs>
          <w:tab w:leader="none" w:pos="800" w:val="left"/>
        </w:tabs>
        <w:numPr>
          <w:ilvl w:val="0"/>
          <w:numId w:val="1191"/>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allocation to anchor investors shall be completed on the day of the bidding by the anchor investors.</w:t>
      </w: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4"/>
          <w:szCs w:val="24"/>
          <w:color w:val="auto"/>
        </w:rPr>
        <w:t>393</w:t>
      </w:r>
    </w:p>
    <w:p>
      <w:pPr>
        <w:sectPr>
          <w:pgSz w:w="11900" w:h="16836" w:orient="portrait"/>
          <w:cols w:equalWidth="0" w:num="1">
            <w:col w:w="9180"/>
          </w:cols>
          <w:pgMar w:left="1440" w:top="1156" w:right="1284" w:bottom="103" w:gutter="0" w:footer="0" w:header="0"/>
        </w:sectPr>
      </w:pPr>
    </w:p>
    <w:bookmarkStart w:id="393" w:name="page394"/>
    <w:bookmarkEnd w:id="393"/>
    <w:p>
      <w:pPr>
        <w:jc w:val="both"/>
        <w:ind w:left="1088" w:hanging="512"/>
        <w:spacing w:after="0" w:line="355" w:lineRule="auto"/>
        <w:tabs>
          <w:tab w:leader="none" w:pos="1088" w:val="left"/>
        </w:tabs>
        <w:numPr>
          <w:ilvl w:val="0"/>
          <w:numId w:val="1192"/>
        </w:numPr>
        <w:rPr>
          <w:rFonts w:ascii="Calibri" w:cs="Calibri" w:eastAsia="Calibri" w:hAnsi="Calibri"/>
          <w:sz w:val="22"/>
          <w:szCs w:val="22"/>
          <w:color w:val="auto"/>
        </w:rPr>
      </w:pPr>
      <w:r>
        <w:rPr>
          <w:rFonts w:ascii="Times New Roman" w:cs="Times New Roman" w:eastAsia="Times New Roman" w:hAnsi="Times New Roman"/>
          <w:sz w:val="24"/>
          <w:szCs w:val="24"/>
          <w:color w:val="auto"/>
        </w:rPr>
        <w:t>If the price fixed as a result of book building is higher than the price at which the allocation is made to the anchor investors, the anchor investors shall pay the additional amount. However, if the price fixed as a result of book building is lower than the price at which the allocation is made to the anchor investors, the excess amount shall not be refunded to the anchor investors and the anchor investor shall be allotted the securities at the same price at which the allocation was made to it.</w:t>
      </w:r>
    </w:p>
    <w:p>
      <w:pPr>
        <w:spacing w:after="0" w:line="24" w:lineRule="exact"/>
        <w:rPr>
          <w:rFonts w:ascii="Calibri" w:cs="Calibri" w:eastAsia="Calibri" w:hAnsi="Calibri"/>
          <w:sz w:val="22"/>
          <w:szCs w:val="22"/>
          <w:color w:val="auto"/>
        </w:rPr>
      </w:pPr>
    </w:p>
    <w:p>
      <w:pPr>
        <w:jc w:val="both"/>
        <w:ind w:left="1088" w:hanging="512"/>
        <w:spacing w:after="0" w:line="353" w:lineRule="auto"/>
        <w:tabs>
          <w:tab w:leader="none" w:pos="1148" w:val="left"/>
        </w:tabs>
        <w:numPr>
          <w:ilvl w:val="0"/>
          <w:numId w:val="1192"/>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number of shares allocated to the anchor investors and the price at which the allocation is made, shall be made available to the stock exchange(s) by the lead manager(s) for dissemination on the website of the stock exchange(s) before opening of the issue.</w:t>
      </w:r>
    </w:p>
    <w:p>
      <w:pPr>
        <w:spacing w:after="0" w:line="22" w:lineRule="exact"/>
        <w:rPr>
          <w:rFonts w:ascii="Calibri" w:cs="Calibri" w:eastAsia="Calibri" w:hAnsi="Calibri"/>
          <w:sz w:val="22"/>
          <w:szCs w:val="22"/>
          <w:color w:val="auto"/>
        </w:rPr>
      </w:pPr>
    </w:p>
    <w:p>
      <w:pPr>
        <w:ind w:left="1088" w:hanging="512"/>
        <w:spacing w:after="0" w:line="342" w:lineRule="auto"/>
        <w:tabs>
          <w:tab w:leader="none" w:pos="1148" w:val="left"/>
        </w:tabs>
        <w:numPr>
          <w:ilvl w:val="0"/>
          <w:numId w:val="1192"/>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There shall be a lock-in of 30 days on the shares allotted to the anchor investors from the date of allotment.</w:t>
      </w:r>
    </w:p>
    <w:p>
      <w:pPr>
        <w:spacing w:after="0" w:line="31" w:lineRule="exact"/>
        <w:rPr>
          <w:rFonts w:ascii="Calibri" w:cs="Calibri" w:eastAsia="Calibri" w:hAnsi="Calibri"/>
          <w:sz w:val="22"/>
          <w:szCs w:val="22"/>
          <w:color w:val="auto"/>
        </w:rPr>
      </w:pPr>
    </w:p>
    <w:p>
      <w:pPr>
        <w:jc w:val="both"/>
        <w:ind w:left="1088" w:hanging="512"/>
        <w:spacing w:after="0" w:line="354" w:lineRule="auto"/>
        <w:tabs>
          <w:tab w:leader="none" w:pos="1088" w:val="left"/>
        </w:tabs>
        <w:numPr>
          <w:ilvl w:val="0"/>
          <w:numId w:val="1192"/>
        </w:numPr>
        <w:rPr>
          <w:rFonts w:ascii="Calibri" w:cs="Calibri" w:eastAsia="Calibri" w:hAnsi="Calibri"/>
          <w:sz w:val="22"/>
          <w:szCs w:val="22"/>
          <w:color w:val="auto"/>
        </w:rPr>
      </w:pPr>
      <w:r>
        <w:rPr>
          <w:rFonts w:ascii="Times New Roman" w:cs="Times New Roman" w:eastAsia="Times New Roman" w:hAnsi="Times New Roman"/>
          <w:sz w:val="24"/>
          <w:szCs w:val="24"/>
          <w:color w:val="auto"/>
        </w:rPr>
        <w:t>Neither the (i) lead manager(s) or any associate of the lead managers (other than mutual funds sponsored by entities which are associate of the lead managers or insurance companies promoted by entities which are associate of the lead managers or Alternate Investment Funds (AIFs) sponsored by the entities which are associate of the lead manager or [a foreign portfolio investor other than individuals, corporate bodies</w:t>
      </w:r>
    </w:p>
    <w:p>
      <w:pPr>
        <w:spacing w:after="0" w:line="3" w:lineRule="exact"/>
        <w:rPr>
          <w:rFonts w:ascii="Calibri" w:cs="Calibri" w:eastAsia="Calibri" w:hAnsi="Calibri"/>
          <w:sz w:val="22"/>
          <w:szCs w:val="22"/>
          <w:color w:val="auto"/>
        </w:rPr>
      </w:pPr>
    </w:p>
    <w:p>
      <w:pPr>
        <w:jc w:val="both"/>
        <w:ind w:left="1088"/>
        <w:spacing w:after="0" w:line="311" w:lineRule="auto"/>
        <w:rPr>
          <w:rFonts w:ascii="Calibri" w:cs="Calibri" w:eastAsia="Calibri" w:hAnsi="Calibri"/>
          <w:sz w:val="22"/>
          <w:szCs w:val="22"/>
          <w:color w:val="auto"/>
        </w:rPr>
      </w:pPr>
      <w:r>
        <w:rPr>
          <w:rFonts w:ascii="Times New Roman" w:cs="Times New Roman" w:eastAsia="Times New Roman" w:hAnsi="Times New Roman"/>
          <w:sz w:val="24"/>
          <w:szCs w:val="24"/>
          <w:color w:val="auto"/>
        </w:rPr>
        <w:t>and family offices]</w:t>
      </w:r>
      <w:r>
        <w:rPr>
          <w:rFonts w:ascii="Times New Roman" w:cs="Times New Roman" w:eastAsia="Times New Roman" w:hAnsi="Times New Roman"/>
          <w:sz w:val="32"/>
          <w:szCs w:val="32"/>
          <w:color w:val="auto"/>
          <w:vertAlign w:val="superscript"/>
        </w:rPr>
        <w:t>121</w:t>
      </w:r>
      <w:r>
        <w:rPr>
          <w:rFonts w:ascii="Times New Roman" w:cs="Times New Roman" w:eastAsia="Times New Roman" w:hAnsi="Times New Roman"/>
          <w:sz w:val="24"/>
          <w:szCs w:val="24"/>
          <w:color w:val="auto"/>
        </w:rPr>
        <w:t>sponsored by the entities which are associate of the lead manager) nor (ii) any person related to the promoter/promoter group/ shall apply under the Anchor Investors category.</w:t>
      </w:r>
    </w:p>
    <w:p>
      <w:pPr>
        <w:spacing w:after="0" w:line="200" w:lineRule="exact"/>
        <w:rPr>
          <w:rFonts w:ascii="Calibri" w:cs="Calibri" w:eastAsia="Calibri" w:hAnsi="Calibri"/>
          <w:sz w:val="22"/>
          <w:szCs w:val="22"/>
          <w:color w:val="auto"/>
        </w:rPr>
      </w:pPr>
    </w:p>
    <w:p>
      <w:pPr>
        <w:spacing w:after="0" w:line="283" w:lineRule="exact"/>
        <w:rPr>
          <w:rFonts w:ascii="Calibri" w:cs="Calibri" w:eastAsia="Calibri" w:hAnsi="Calibri"/>
          <w:sz w:val="22"/>
          <w:szCs w:val="22"/>
          <w:color w:val="auto"/>
        </w:rPr>
      </w:pPr>
    </w:p>
    <w:p>
      <w:pPr>
        <w:ind w:left="1088" w:right="100"/>
        <w:spacing w:after="0" w:line="354" w:lineRule="auto"/>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 xml:space="preserve">Explanation: </w:t>
      </w:r>
      <w:r>
        <w:rPr>
          <w:rFonts w:ascii="Times New Roman" w:cs="Times New Roman" w:eastAsia="Times New Roman" w:hAnsi="Times New Roman"/>
          <w:sz w:val="24"/>
          <w:szCs w:val="24"/>
          <w:color w:val="auto"/>
        </w:rPr>
        <w:t>For the purpose of clause (k) above, a qualified institutional buyer who</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has any of the following rights shall be deemed to be a person related to the promoters or promoter group of the issuer: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5840730</wp:posOffset>
                </wp:positionH>
                <wp:positionV relativeFrom="paragraph">
                  <wp:posOffset>-2458720</wp:posOffset>
                </wp:positionV>
                <wp:extent cx="44450" cy="0"/>
                <wp:wrapNone/>
                <wp:docPr id="213" name="Shape 2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4450" cy="4763"/>
                        </a:xfrm>
                        <a:prstGeom prst="line">
                          <a:avLst/>
                        </a:prstGeom>
                        <a:solidFill>
                          <a:srgbClr val="FFFFFF"/>
                        </a:solidFill>
                        <a:ln w="7620">
                          <a:solidFill>
                            <a:srgbClr val="000000"/>
                          </a:solidFill>
                          <a:miter lim="800000"/>
                          <a:headEnd/>
                          <a:tailEnd/>
                        </a:ln>
                      </wps:spPr>
                      <wps:bodyPr/>
                    </wps:wsp>
                  </a:graphicData>
                </a:graphic>
              </wp:anchor>
            </w:drawing>
          </mc:Choice>
          <mc:Fallback>
            <w:pict>
              <v:line id="Shape 213" o:spid="_x0000_s12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9.9pt,-193.5999pt" to="463.4pt,-193.5999pt" o:allowincell="f" strokecolor="#000000" strokeweight="0.6pt"/>
            </w:pict>
          </mc:Fallback>
        </mc:AlternateContent>
      </w:r>
    </w:p>
    <w:p>
      <w:pPr>
        <w:spacing w:after="0" w:line="3" w:lineRule="exact"/>
        <w:rPr>
          <w:sz w:val="20"/>
          <w:szCs w:val="20"/>
          <w:color w:val="auto"/>
        </w:rPr>
      </w:pPr>
    </w:p>
    <w:p>
      <w:pPr>
        <w:ind w:left="1088" w:right="680"/>
        <w:spacing w:after="0" w:line="392" w:lineRule="auto"/>
        <w:rPr>
          <w:sz w:val="20"/>
          <w:szCs w:val="20"/>
          <w:color w:val="auto"/>
        </w:rPr>
      </w:pPr>
      <w:r>
        <w:rPr>
          <w:rFonts w:ascii="Times New Roman" w:cs="Times New Roman" w:eastAsia="Times New Roman" w:hAnsi="Times New Roman"/>
          <w:sz w:val="24"/>
          <w:szCs w:val="24"/>
          <w:color w:val="auto"/>
        </w:rPr>
        <w:t>(I) rights under a shareholders’ agreement or voting agreement entered into with promoters or promoter group of the issuer; (II) veto rights; or</w:t>
      </w:r>
    </w:p>
    <w:p>
      <w:pPr>
        <w:spacing w:after="0" w:line="327" w:lineRule="exact"/>
        <w:rPr>
          <w:sz w:val="20"/>
          <w:szCs w:val="20"/>
          <w:color w:val="auto"/>
        </w:rPr>
      </w:pPr>
    </w:p>
    <w:p>
      <w:pPr>
        <w:ind w:left="1088"/>
        <w:spacing w:after="0"/>
        <w:rPr>
          <w:sz w:val="20"/>
          <w:szCs w:val="20"/>
          <w:color w:val="auto"/>
        </w:rPr>
      </w:pPr>
      <w:r>
        <w:rPr>
          <w:rFonts w:ascii="Times New Roman" w:cs="Times New Roman" w:eastAsia="Times New Roman" w:hAnsi="Times New Roman"/>
          <w:sz w:val="24"/>
          <w:szCs w:val="24"/>
          <w:color w:val="auto"/>
        </w:rPr>
        <w:t>(III) right to appoint any nominee director on the board of the issuer.</w:t>
      </w:r>
    </w:p>
    <w:p>
      <w:pPr>
        <w:spacing w:after="0" w:line="200" w:lineRule="exact"/>
        <w:rPr>
          <w:sz w:val="20"/>
          <w:szCs w:val="20"/>
          <w:color w:val="auto"/>
        </w:rPr>
      </w:pPr>
    </w:p>
    <w:p>
      <w:pPr>
        <w:spacing w:after="0" w:line="364" w:lineRule="exact"/>
        <w:rPr>
          <w:sz w:val="20"/>
          <w:szCs w:val="20"/>
          <w:color w:val="auto"/>
        </w:rPr>
      </w:pPr>
    </w:p>
    <w:p>
      <w:pPr>
        <w:jc w:val="both"/>
        <w:ind w:left="1088"/>
        <w:spacing w:after="0" w:line="356" w:lineRule="auto"/>
        <w:rPr>
          <w:sz w:val="20"/>
          <w:szCs w:val="20"/>
          <w:color w:val="auto"/>
        </w:rPr>
      </w:pPr>
      <w:r>
        <w:rPr>
          <w:rFonts w:ascii="Times New Roman" w:cs="Times New Roman" w:eastAsia="Times New Roman" w:hAnsi="Times New Roman"/>
          <w:sz w:val="24"/>
          <w:szCs w:val="24"/>
          <w:color w:val="auto"/>
        </w:rPr>
        <w:t>Further, for the purposes of this regulation, an anchor investor shall be deemed to be an “associate of the lead manager” if: (i) either of them controls, directly or indirectly through its subsidiary or holding company, not less than fifteen per cent. of the voting rights in the other; or (ii) either of them, directly or indirectly, by itself or in</w:t>
      </w:r>
    </w:p>
    <w:p>
      <w:pPr>
        <w:spacing w:after="0" w:line="344" w:lineRule="exact"/>
        <w:rPr>
          <w:sz w:val="20"/>
          <w:szCs w:val="20"/>
          <w:color w:val="auto"/>
        </w:rPr>
      </w:pPr>
    </w:p>
    <w:p>
      <w:pPr>
        <w:ind w:left="8" w:hanging="8"/>
        <w:spacing w:after="0" w:line="203" w:lineRule="auto"/>
        <w:tabs>
          <w:tab w:leader="none" w:pos="267" w:val="left"/>
        </w:tabs>
        <w:numPr>
          <w:ilvl w:val="0"/>
          <w:numId w:val="1193"/>
        </w:numPr>
        <w:rPr>
          <w:rFonts w:ascii="Times New Roman" w:cs="Times New Roman" w:eastAsia="Times New Roman" w:hAnsi="Times New Roman"/>
          <w:sz w:val="26"/>
          <w:szCs w:val="26"/>
          <w:color w:val="auto"/>
          <w:vertAlign w:val="superscript"/>
        </w:rPr>
      </w:pPr>
      <w:r>
        <w:rPr>
          <w:rFonts w:ascii="Times New Roman" w:cs="Times New Roman" w:eastAsia="Times New Roman" w:hAnsi="Times New Roman"/>
          <w:sz w:val="20"/>
          <w:szCs w:val="20"/>
          <w:color w:val="auto"/>
        </w:rPr>
        <w:t>Substituted by the SEBI (Issue of Capital and Disclosure Requirements) (Fourth Amendment) Regulations, 2019 w.e.f.23.09.2019. Prior to its substitution, it read as “FPIs other than Category III”.</w:t>
      </w:r>
    </w:p>
    <w:p>
      <w:pPr>
        <w:spacing w:after="0" w:line="30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394</w:t>
      </w:r>
    </w:p>
    <w:p>
      <w:pPr>
        <w:sectPr>
          <w:pgSz w:w="11900" w:h="16836" w:orient="portrait"/>
          <w:cols w:equalWidth="0" w:num="1">
            <w:col w:w="9468"/>
          </w:cols>
          <w:pgMar w:left="1152" w:top="1156" w:right="1284" w:bottom="103" w:gutter="0" w:footer="0" w:header="0"/>
        </w:sectPr>
      </w:pPr>
    </w:p>
    <w:bookmarkStart w:id="394" w:name="page395"/>
    <w:bookmarkEnd w:id="394"/>
    <w:p>
      <w:pPr>
        <w:jc w:val="both"/>
        <w:ind w:left="1088"/>
        <w:spacing w:after="0" w:line="354" w:lineRule="auto"/>
        <w:rPr>
          <w:sz w:val="20"/>
          <w:szCs w:val="20"/>
          <w:color w:val="auto"/>
        </w:rPr>
      </w:pPr>
      <w:r>
        <w:rPr>
          <w:rFonts w:ascii="Times New Roman" w:cs="Times New Roman" w:eastAsia="Times New Roman" w:hAnsi="Times New Roman"/>
          <w:sz w:val="24"/>
          <w:szCs w:val="24"/>
          <w:color w:val="auto"/>
        </w:rPr>
        <w:t>combination with other persons, exercises control over the other; or (iii) there is a common director, excluding nominee director, amongst the anchor investor and the lead manager.</w:t>
      </w:r>
    </w:p>
    <w:p>
      <w:pPr>
        <w:spacing w:after="0" w:line="200" w:lineRule="exact"/>
        <w:rPr>
          <w:sz w:val="20"/>
          <w:szCs w:val="20"/>
          <w:color w:val="auto"/>
        </w:rPr>
      </w:pPr>
    </w:p>
    <w:p>
      <w:pPr>
        <w:spacing w:after="0" w:line="235" w:lineRule="exact"/>
        <w:rPr>
          <w:sz w:val="20"/>
          <w:szCs w:val="20"/>
          <w:color w:val="auto"/>
        </w:rPr>
      </w:pPr>
    </w:p>
    <w:p>
      <w:pPr>
        <w:jc w:val="both"/>
        <w:ind w:left="1088" w:hanging="512"/>
        <w:spacing w:after="0" w:line="350" w:lineRule="auto"/>
        <w:tabs>
          <w:tab w:leader="none" w:pos="1148" w:val="left"/>
        </w:tabs>
        <w:numPr>
          <w:ilvl w:val="1"/>
          <w:numId w:val="1194"/>
        </w:numPr>
        <w:rPr>
          <w:rFonts w:ascii="Calibri" w:cs="Calibri" w:eastAsia="Calibri" w:hAnsi="Calibri"/>
          <w:sz w:val="22"/>
          <w:szCs w:val="22"/>
          <w:color w:val="auto"/>
        </w:rPr>
      </w:pPr>
      <w:r>
        <w:rPr>
          <w:rFonts w:ascii="Times New Roman" w:cs="Times New Roman" w:eastAsia="Times New Roman" w:hAnsi="Times New Roman"/>
          <w:sz w:val="24"/>
          <w:szCs w:val="24"/>
          <w:color w:val="auto"/>
        </w:rPr>
        <w:t>Applications made by a qualified institutional buyer under the anchor investor category and under the non anchor Investor category shall not be considered as multiple applications.</w:t>
      </w:r>
    </w:p>
    <w:p>
      <w:pPr>
        <w:spacing w:after="0" w:line="200" w:lineRule="exact"/>
        <w:rPr>
          <w:rFonts w:ascii="Calibri" w:cs="Calibri" w:eastAsia="Calibri" w:hAnsi="Calibri"/>
          <w:sz w:val="22"/>
          <w:szCs w:val="22"/>
          <w:color w:val="auto"/>
        </w:rPr>
      </w:pPr>
    </w:p>
    <w:p>
      <w:pPr>
        <w:spacing w:after="0" w:line="231" w:lineRule="exact"/>
        <w:rPr>
          <w:rFonts w:ascii="Calibri" w:cs="Calibri" w:eastAsia="Calibri" w:hAnsi="Calibri"/>
          <w:sz w:val="22"/>
          <w:szCs w:val="22"/>
          <w:color w:val="auto"/>
        </w:rPr>
      </w:pPr>
    </w:p>
    <w:p>
      <w:pPr>
        <w:ind w:left="568" w:hanging="568"/>
        <w:spacing w:after="0"/>
        <w:tabs>
          <w:tab w:leader="none" w:pos="568" w:val="left"/>
        </w:tabs>
        <w:numPr>
          <w:ilvl w:val="0"/>
          <w:numId w:val="119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Margin money</w:t>
      </w:r>
    </w:p>
    <w:p>
      <w:pPr>
        <w:spacing w:after="0" w:line="132" w:lineRule="exact"/>
        <w:rPr>
          <w:sz w:val="20"/>
          <w:szCs w:val="20"/>
          <w:color w:val="auto"/>
        </w:rPr>
      </w:pPr>
    </w:p>
    <w:p>
      <w:pPr>
        <w:ind w:left="1148" w:hanging="572"/>
        <w:spacing w:after="0"/>
        <w:tabs>
          <w:tab w:leader="none" w:pos="1148" w:val="left"/>
        </w:tabs>
        <w:numPr>
          <w:ilvl w:val="1"/>
          <w:numId w:val="119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entire application money shall be payable as margin money by all the applicants.</w:t>
      </w:r>
    </w:p>
    <w:p>
      <w:pPr>
        <w:spacing w:after="0" w:line="151" w:lineRule="exact"/>
        <w:rPr>
          <w:rFonts w:ascii="Times New Roman" w:cs="Times New Roman" w:eastAsia="Times New Roman" w:hAnsi="Times New Roman"/>
          <w:sz w:val="24"/>
          <w:szCs w:val="24"/>
          <w:color w:val="auto"/>
        </w:rPr>
      </w:pPr>
    </w:p>
    <w:p>
      <w:pPr>
        <w:ind w:left="1148" w:hanging="572"/>
        <w:spacing w:after="0" w:line="348" w:lineRule="auto"/>
        <w:tabs>
          <w:tab w:leader="none" w:pos="1148" w:val="left"/>
        </w:tabs>
        <w:numPr>
          <w:ilvl w:val="1"/>
          <w:numId w:val="119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Payment accompanied with any revision of bid, shall be adjusted against the payment made at the time of the original bid or the previously revised bid.</w:t>
      </w:r>
    </w:p>
    <w:p>
      <w:pPr>
        <w:spacing w:after="0" w:line="200" w:lineRule="exact"/>
        <w:rPr>
          <w:rFonts w:ascii="Times New Roman" w:cs="Times New Roman" w:eastAsia="Times New Roman" w:hAnsi="Times New Roman"/>
          <w:sz w:val="24"/>
          <w:szCs w:val="24"/>
          <w:color w:val="auto"/>
        </w:rPr>
      </w:pPr>
    </w:p>
    <w:p>
      <w:pPr>
        <w:spacing w:after="0" w:line="233"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19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Bidding process</w:t>
      </w:r>
    </w:p>
    <w:p>
      <w:pPr>
        <w:spacing w:after="0" w:line="146" w:lineRule="exact"/>
        <w:rPr>
          <w:rFonts w:ascii="Times New Roman" w:cs="Times New Roman" w:eastAsia="Times New Roman" w:hAnsi="Times New Roman"/>
          <w:sz w:val="24"/>
          <w:szCs w:val="24"/>
          <w:color w:val="auto"/>
        </w:rPr>
      </w:pPr>
    </w:p>
    <w:p>
      <w:pPr>
        <w:ind w:left="1148" w:hanging="572"/>
        <w:spacing w:after="0" w:line="348" w:lineRule="auto"/>
        <w:tabs>
          <w:tab w:leader="none" w:pos="1148" w:val="left"/>
        </w:tabs>
        <w:numPr>
          <w:ilvl w:val="1"/>
          <w:numId w:val="119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bidding process shall only be through an electronically linked transparent bidding facility provided by the stock exchange (s).</w:t>
      </w:r>
    </w:p>
    <w:p>
      <w:pPr>
        <w:spacing w:after="0" w:line="28" w:lineRule="exact"/>
        <w:rPr>
          <w:rFonts w:ascii="Times New Roman" w:cs="Times New Roman" w:eastAsia="Times New Roman" w:hAnsi="Times New Roman"/>
          <w:sz w:val="24"/>
          <w:szCs w:val="24"/>
          <w:color w:val="auto"/>
        </w:rPr>
      </w:pPr>
    </w:p>
    <w:p>
      <w:pPr>
        <w:ind w:left="1148" w:hanging="572"/>
        <w:spacing w:after="0" w:line="348" w:lineRule="auto"/>
        <w:tabs>
          <w:tab w:leader="none" w:pos="1148" w:val="left"/>
        </w:tabs>
        <w:numPr>
          <w:ilvl w:val="1"/>
          <w:numId w:val="119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 shall ensure the availability of adequate infrastructure with the syndicate member(s) for data entry of the bids in a timely manner.</w:t>
      </w:r>
    </w:p>
    <w:p>
      <w:pPr>
        <w:spacing w:after="0" w:line="27" w:lineRule="exact"/>
        <w:rPr>
          <w:rFonts w:ascii="Times New Roman" w:cs="Times New Roman" w:eastAsia="Times New Roman" w:hAnsi="Times New Roman"/>
          <w:sz w:val="24"/>
          <w:szCs w:val="24"/>
          <w:color w:val="auto"/>
        </w:rPr>
      </w:pPr>
    </w:p>
    <w:p>
      <w:pPr>
        <w:ind w:left="1148" w:hanging="572"/>
        <w:spacing w:after="0" w:line="348" w:lineRule="auto"/>
        <w:tabs>
          <w:tab w:leader="none" w:pos="1148" w:val="left"/>
        </w:tabs>
        <w:numPr>
          <w:ilvl w:val="1"/>
          <w:numId w:val="119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At each of the bidding centres, at least one electronically linked computer terminal shall be available for the purpose of bidding.</w:t>
      </w:r>
    </w:p>
    <w:p>
      <w:pPr>
        <w:spacing w:after="0" w:line="27" w:lineRule="exact"/>
        <w:rPr>
          <w:rFonts w:ascii="Times New Roman" w:cs="Times New Roman" w:eastAsia="Times New Roman" w:hAnsi="Times New Roman"/>
          <w:sz w:val="24"/>
          <w:szCs w:val="24"/>
          <w:color w:val="auto"/>
        </w:rPr>
      </w:pPr>
    </w:p>
    <w:p>
      <w:pPr>
        <w:jc w:val="both"/>
        <w:ind w:left="1148" w:hanging="572"/>
        <w:spacing w:after="0" w:line="356" w:lineRule="auto"/>
        <w:tabs>
          <w:tab w:leader="none" w:pos="1148" w:val="left"/>
        </w:tabs>
        <w:numPr>
          <w:ilvl w:val="1"/>
          <w:numId w:val="119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During the period the issue is open to the public for bidding, the applicants may approach the stock brokers of the stock exchange/s through which the securities are offered under on-line system, self-certified syndicate bank(s), registrar and share transfer agents or depository participants, as the case may be, to place their bids.</w:t>
      </w:r>
    </w:p>
    <w:p>
      <w:pPr>
        <w:spacing w:after="0" w:line="19" w:lineRule="exact"/>
        <w:rPr>
          <w:rFonts w:ascii="Times New Roman" w:cs="Times New Roman" w:eastAsia="Times New Roman" w:hAnsi="Times New Roman"/>
          <w:sz w:val="24"/>
          <w:szCs w:val="24"/>
          <w:color w:val="auto"/>
        </w:rPr>
      </w:pPr>
    </w:p>
    <w:p>
      <w:pPr>
        <w:ind w:left="1148" w:hanging="572"/>
        <w:spacing w:after="0" w:line="348" w:lineRule="auto"/>
        <w:tabs>
          <w:tab w:leader="none" w:pos="1148" w:val="left"/>
        </w:tabs>
        <w:numPr>
          <w:ilvl w:val="1"/>
          <w:numId w:val="119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Every stock broker, self-certified syndicate bank, registrar and share transfer agent and depository participant shall accept applications supported by blocked amount.</w:t>
      </w:r>
    </w:p>
    <w:p>
      <w:pPr>
        <w:spacing w:after="0" w:line="27" w:lineRule="exact"/>
        <w:rPr>
          <w:rFonts w:ascii="Times New Roman" w:cs="Times New Roman" w:eastAsia="Times New Roman" w:hAnsi="Times New Roman"/>
          <w:sz w:val="24"/>
          <w:szCs w:val="24"/>
          <w:color w:val="auto"/>
        </w:rPr>
      </w:pPr>
    </w:p>
    <w:p>
      <w:pPr>
        <w:ind w:left="1148" w:hanging="572"/>
        <w:spacing w:after="0" w:line="348" w:lineRule="auto"/>
        <w:tabs>
          <w:tab w:leader="none" w:pos="1148" w:val="left"/>
        </w:tabs>
        <w:numPr>
          <w:ilvl w:val="1"/>
          <w:numId w:val="119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qualified institutional buyers shall place their bids only through the stock broker(s) who shall have the right to vet the bids;</w:t>
      </w:r>
    </w:p>
    <w:p>
      <w:pPr>
        <w:spacing w:after="0" w:line="27" w:lineRule="exact"/>
        <w:rPr>
          <w:rFonts w:ascii="Times New Roman" w:cs="Times New Roman" w:eastAsia="Times New Roman" w:hAnsi="Times New Roman"/>
          <w:sz w:val="24"/>
          <w:szCs w:val="24"/>
          <w:color w:val="auto"/>
        </w:rPr>
      </w:pPr>
    </w:p>
    <w:p>
      <w:pPr>
        <w:jc w:val="both"/>
        <w:ind w:left="1148" w:hanging="572"/>
        <w:spacing w:after="0" w:line="356" w:lineRule="auto"/>
        <w:tabs>
          <w:tab w:leader="none" w:pos="1148" w:val="left"/>
        </w:tabs>
        <w:numPr>
          <w:ilvl w:val="1"/>
          <w:numId w:val="119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At the end of each day of the bidding period, the demand, shall be shown graphically on the bidding terminals of the syndicate member(s) and websites of the stock exchanges for information of the public (details in relation to allocation made to anchor investors shall also be disclosed).</w:t>
      </w:r>
    </w:p>
    <w:p>
      <w:pPr>
        <w:spacing w:after="0" w:line="18" w:lineRule="exact"/>
        <w:rPr>
          <w:rFonts w:ascii="Times New Roman" w:cs="Times New Roman" w:eastAsia="Times New Roman" w:hAnsi="Times New Roman"/>
          <w:sz w:val="24"/>
          <w:szCs w:val="24"/>
          <w:color w:val="auto"/>
        </w:rPr>
      </w:pPr>
    </w:p>
    <w:p>
      <w:pPr>
        <w:ind w:left="1148" w:hanging="572"/>
        <w:spacing w:after="0" w:line="348" w:lineRule="auto"/>
        <w:tabs>
          <w:tab w:leader="none" w:pos="1148" w:val="left"/>
        </w:tabs>
        <w:numPr>
          <w:ilvl w:val="1"/>
          <w:numId w:val="119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retail individual investors may either withdraw or revise their bids until the closure of the issue.</w:t>
      </w: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395</w:t>
      </w:r>
    </w:p>
    <w:p>
      <w:pPr>
        <w:sectPr>
          <w:pgSz w:w="11900" w:h="16836" w:orient="portrait"/>
          <w:cols w:equalWidth="0" w:num="1">
            <w:col w:w="9468"/>
          </w:cols>
          <w:pgMar w:left="1152" w:top="1156" w:right="1284" w:bottom="103" w:gutter="0" w:footer="0" w:header="0"/>
        </w:sectPr>
      </w:pPr>
    </w:p>
    <w:bookmarkStart w:id="395" w:name="page396"/>
    <w:bookmarkEnd w:id="395"/>
    <w:p>
      <w:pPr>
        <w:ind w:left="1148" w:hanging="572"/>
        <w:spacing w:after="0" w:line="348" w:lineRule="auto"/>
        <w:tabs>
          <w:tab w:leader="none" w:pos="1148" w:val="left"/>
        </w:tabs>
        <w:numPr>
          <w:ilvl w:val="0"/>
          <w:numId w:val="119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qualified institutional buyers and the non-institutional investors shall not be permitted to withdraw or lower the size of their bids at any stage of the issue.</w:t>
      </w:r>
    </w:p>
    <w:p>
      <w:pPr>
        <w:spacing w:after="0" w:line="28" w:lineRule="exact"/>
        <w:rPr>
          <w:sz w:val="20"/>
          <w:szCs w:val="20"/>
          <w:color w:val="auto"/>
        </w:rPr>
      </w:pPr>
    </w:p>
    <w:p>
      <w:pPr>
        <w:ind w:left="1148" w:hanging="572"/>
        <w:spacing w:after="0" w:line="348" w:lineRule="auto"/>
        <w:tabs>
          <w:tab w:leader="none" w:pos="1208" w:val="left"/>
        </w:tabs>
        <w:numPr>
          <w:ilvl w:val="1"/>
          <w:numId w:val="119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may decide to close the bidding by the qualified institutional buyers one day prior to the closure of the issue, subject to the following conditions:</w:t>
      </w:r>
    </w:p>
    <w:p>
      <w:pPr>
        <w:spacing w:after="0" w:line="15" w:lineRule="exact"/>
        <w:rPr>
          <w:rFonts w:ascii="Times New Roman" w:cs="Times New Roman" w:eastAsia="Times New Roman" w:hAnsi="Times New Roman"/>
          <w:sz w:val="24"/>
          <w:szCs w:val="24"/>
          <w:color w:val="auto"/>
        </w:rPr>
      </w:pPr>
    </w:p>
    <w:p>
      <w:pPr>
        <w:ind w:left="1508" w:hanging="356"/>
        <w:spacing w:after="0"/>
        <w:tabs>
          <w:tab w:leader="none" w:pos="1508" w:val="left"/>
        </w:tabs>
        <w:numPr>
          <w:ilvl w:val="3"/>
          <w:numId w:val="119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bidding period shall be minimum of three days for all categories of applicants;</w:t>
      </w:r>
    </w:p>
    <w:p>
      <w:pPr>
        <w:spacing w:after="0" w:line="149" w:lineRule="exact"/>
        <w:rPr>
          <w:rFonts w:ascii="Times New Roman" w:cs="Times New Roman" w:eastAsia="Times New Roman" w:hAnsi="Times New Roman"/>
          <w:sz w:val="24"/>
          <w:szCs w:val="24"/>
          <w:color w:val="auto"/>
        </w:rPr>
      </w:pPr>
    </w:p>
    <w:p>
      <w:pPr>
        <w:jc w:val="both"/>
        <w:ind w:left="1508" w:hanging="356"/>
        <w:spacing w:after="0" w:line="354" w:lineRule="auto"/>
        <w:tabs>
          <w:tab w:leader="none" w:pos="1508" w:val="left"/>
        </w:tabs>
        <w:numPr>
          <w:ilvl w:val="3"/>
          <w:numId w:val="119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necessary disclosures are made in the red herring prospectus regarding the issuer’s intent to close the bidding by the qualified institutional buyers one day prior to the closure of the issue.</w:t>
      </w:r>
    </w:p>
    <w:p>
      <w:pPr>
        <w:spacing w:after="0" w:line="22" w:lineRule="exact"/>
        <w:rPr>
          <w:rFonts w:ascii="Times New Roman" w:cs="Times New Roman" w:eastAsia="Times New Roman" w:hAnsi="Times New Roman"/>
          <w:sz w:val="24"/>
          <w:szCs w:val="24"/>
          <w:color w:val="auto"/>
        </w:rPr>
      </w:pPr>
    </w:p>
    <w:p>
      <w:pPr>
        <w:ind w:left="1148" w:hanging="572"/>
        <w:spacing w:after="0" w:line="348" w:lineRule="auto"/>
        <w:tabs>
          <w:tab w:leader="none" w:pos="1208" w:val="left"/>
        </w:tabs>
        <w:numPr>
          <w:ilvl w:val="1"/>
          <w:numId w:val="119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names of the qualified institutional buyers making the bids shall not be made public.</w:t>
      </w:r>
    </w:p>
    <w:p>
      <w:pPr>
        <w:spacing w:after="0" w:line="27" w:lineRule="exact"/>
        <w:rPr>
          <w:rFonts w:ascii="Times New Roman" w:cs="Times New Roman" w:eastAsia="Times New Roman" w:hAnsi="Times New Roman"/>
          <w:sz w:val="24"/>
          <w:szCs w:val="24"/>
          <w:color w:val="auto"/>
        </w:rPr>
      </w:pPr>
    </w:p>
    <w:p>
      <w:pPr>
        <w:ind w:left="1148" w:hanging="572"/>
        <w:spacing w:after="0" w:line="348" w:lineRule="auto"/>
        <w:tabs>
          <w:tab w:leader="none" w:pos="1148" w:val="left"/>
        </w:tabs>
        <w:numPr>
          <w:ilvl w:val="1"/>
          <w:numId w:val="119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retail individual investors may bid at the "cut off" price instead of a specific bid price.</w:t>
      </w:r>
    </w:p>
    <w:p>
      <w:pPr>
        <w:spacing w:after="0" w:line="27" w:lineRule="exact"/>
        <w:rPr>
          <w:rFonts w:ascii="Times New Roman" w:cs="Times New Roman" w:eastAsia="Times New Roman" w:hAnsi="Times New Roman"/>
          <w:sz w:val="24"/>
          <w:szCs w:val="24"/>
          <w:color w:val="auto"/>
        </w:rPr>
      </w:pPr>
    </w:p>
    <w:p>
      <w:pPr>
        <w:jc w:val="both"/>
        <w:ind w:left="1148" w:hanging="572"/>
        <w:spacing w:after="0" w:line="356" w:lineRule="auto"/>
        <w:tabs>
          <w:tab w:leader="none" w:pos="1148" w:val="left"/>
        </w:tabs>
        <w:numPr>
          <w:ilvl w:val="1"/>
          <w:numId w:val="119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The stock exchanges shall continue to display on their website, the book building data in a uniform format, </w:t>
      </w:r>
      <w:r>
        <w:rPr>
          <w:rFonts w:ascii="Times New Roman" w:cs="Times New Roman" w:eastAsia="Times New Roman" w:hAnsi="Times New Roman"/>
          <w:sz w:val="24"/>
          <w:szCs w:val="24"/>
          <w:i w:val="1"/>
          <w:iCs w:val="1"/>
          <w:color w:val="auto"/>
        </w:rPr>
        <w:t>inter alia</w:t>
      </w:r>
      <w:r>
        <w:rPr>
          <w:rFonts w:ascii="Times New Roman" w:cs="Times New Roman" w:eastAsia="Times New Roman" w:hAnsi="Times New Roman"/>
          <w:sz w:val="24"/>
          <w:szCs w:val="24"/>
          <w:color w:val="auto"/>
        </w:rPr>
        <w:t>, giving category-wise details of the bids received, for a period of at least three days after the closure of the issue. Such display shall be as per the format specified in Part B of this Schedule.</w:t>
      </w:r>
    </w:p>
    <w:p>
      <w:pPr>
        <w:spacing w:after="0" w:line="200" w:lineRule="exact"/>
        <w:rPr>
          <w:rFonts w:ascii="Times New Roman" w:cs="Times New Roman" w:eastAsia="Times New Roman" w:hAnsi="Times New Roman"/>
          <w:sz w:val="24"/>
          <w:szCs w:val="24"/>
          <w:color w:val="auto"/>
        </w:rPr>
      </w:pPr>
    </w:p>
    <w:p>
      <w:pPr>
        <w:spacing w:after="0" w:line="224"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20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Determination of price</w:t>
      </w:r>
    </w:p>
    <w:p>
      <w:pPr>
        <w:spacing w:after="0" w:line="146" w:lineRule="exact"/>
        <w:rPr>
          <w:rFonts w:ascii="Times New Roman" w:cs="Times New Roman" w:eastAsia="Times New Roman" w:hAnsi="Times New Roman"/>
          <w:sz w:val="24"/>
          <w:szCs w:val="24"/>
          <w:color w:val="auto"/>
        </w:rPr>
      </w:pPr>
    </w:p>
    <w:p>
      <w:pPr>
        <w:jc w:val="both"/>
        <w:ind w:left="1148" w:hanging="428"/>
        <w:spacing w:after="0" w:line="354" w:lineRule="auto"/>
        <w:tabs>
          <w:tab w:leader="none" w:pos="1148" w:val="left"/>
        </w:tabs>
        <w:numPr>
          <w:ilvl w:val="2"/>
          <w:numId w:val="120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in consultation with the lead manager(s), determine the final issue price based on the bids received, and on determination of the same, the number of specified securities to be offered or issue size shall be determined.</w:t>
      </w:r>
    </w:p>
    <w:p>
      <w:pPr>
        <w:spacing w:after="0" w:line="19" w:lineRule="exact"/>
        <w:rPr>
          <w:rFonts w:ascii="Times New Roman" w:cs="Times New Roman" w:eastAsia="Times New Roman" w:hAnsi="Times New Roman"/>
          <w:sz w:val="24"/>
          <w:szCs w:val="24"/>
          <w:color w:val="auto"/>
        </w:rPr>
      </w:pPr>
    </w:p>
    <w:p>
      <w:pPr>
        <w:ind w:left="1148" w:hanging="428"/>
        <w:spacing w:after="0" w:line="350" w:lineRule="auto"/>
        <w:tabs>
          <w:tab w:leader="none" w:pos="1148" w:val="left"/>
        </w:tabs>
        <w:numPr>
          <w:ilvl w:val="2"/>
          <w:numId w:val="120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Once the final issue price is determined, all bidders whose bids have been at and above the final price shall be considered for allotment of specified securities.</w:t>
      </w:r>
    </w:p>
    <w:p>
      <w:pPr>
        <w:spacing w:after="0" w:line="200" w:lineRule="exact"/>
        <w:rPr>
          <w:rFonts w:ascii="Times New Roman" w:cs="Times New Roman" w:eastAsia="Times New Roman" w:hAnsi="Times New Roman"/>
          <w:sz w:val="24"/>
          <w:szCs w:val="24"/>
          <w:color w:val="auto"/>
        </w:rPr>
      </w:pPr>
    </w:p>
    <w:p>
      <w:pPr>
        <w:spacing w:after="0" w:line="231"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20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Filing of prospectus with the Registrar of Companies</w:t>
      </w:r>
    </w:p>
    <w:p>
      <w:pPr>
        <w:spacing w:after="0" w:line="144" w:lineRule="exact"/>
        <w:rPr>
          <w:rFonts w:ascii="Times New Roman" w:cs="Times New Roman" w:eastAsia="Times New Roman" w:hAnsi="Times New Roman"/>
          <w:sz w:val="24"/>
          <w:szCs w:val="24"/>
          <w:color w:val="auto"/>
        </w:rPr>
      </w:pPr>
    </w:p>
    <w:p>
      <w:pPr>
        <w:ind w:left="568"/>
        <w:spacing w:after="0" w:line="350"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copy of the prospectus, which shall include the price and the number of specified securities, shall be filed by the issuer with the Registrar of Companies.</w:t>
      </w:r>
    </w:p>
    <w:p>
      <w:pPr>
        <w:spacing w:after="0" w:line="200" w:lineRule="exact"/>
        <w:rPr>
          <w:rFonts w:ascii="Times New Roman" w:cs="Times New Roman" w:eastAsia="Times New Roman" w:hAnsi="Times New Roman"/>
          <w:sz w:val="24"/>
          <w:szCs w:val="24"/>
          <w:color w:val="auto"/>
        </w:rPr>
      </w:pPr>
    </w:p>
    <w:p>
      <w:pPr>
        <w:spacing w:after="0" w:line="230"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20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Manner of allotment/ allocation</w:t>
      </w:r>
    </w:p>
    <w:p>
      <w:pPr>
        <w:spacing w:after="0" w:line="132" w:lineRule="exact"/>
        <w:rPr>
          <w:rFonts w:ascii="Times New Roman" w:cs="Times New Roman" w:eastAsia="Times New Roman" w:hAnsi="Times New Roman"/>
          <w:sz w:val="24"/>
          <w:szCs w:val="24"/>
          <w:color w:val="auto"/>
        </w:rPr>
      </w:pPr>
    </w:p>
    <w:p>
      <w:pPr>
        <w:ind w:left="1148" w:hanging="428"/>
        <w:spacing w:after="0"/>
        <w:tabs>
          <w:tab w:leader="none" w:pos="1148" w:val="left"/>
        </w:tabs>
        <w:numPr>
          <w:ilvl w:val="2"/>
          <w:numId w:val="120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make allotments only if the minimum subscription has been received.</w:t>
      </w:r>
    </w:p>
    <w:p>
      <w:pPr>
        <w:spacing w:after="0" w:line="151" w:lineRule="exact"/>
        <w:rPr>
          <w:rFonts w:ascii="Times New Roman" w:cs="Times New Roman" w:eastAsia="Times New Roman" w:hAnsi="Times New Roman"/>
          <w:sz w:val="24"/>
          <w:szCs w:val="24"/>
          <w:color w:val="auto"/>
        </w:rPr>
      </w:pPr>
    </w:p>
    <w:p>
      <w:pPr>
        <w:jc w:val="both"/>
        <w:ind w:left="1148" w:hanging="428"/>
        <w:spacing w:after="0" w:line="357" w:lineRule="auto"/>
        <w:tabs>
          <w:tab w:leader="none" w:pos="1148" w:val="left"/>
        </w:tabs>
        <w:numPr>
          <w:ilvl w:val="2"/>
          <w:numId w:val="120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allotment/allocation to qualified institutional buyers and non-institutional investors, other than the anchor investors, shall be made on a proportionate basis as illustrated in this Schedule. The allotment to retail individual investors and allotment to employees shall be made in accordance with applicable provisions of these regulations.</w:t>
      </w:r>
    </w:p>
    <w:p>
      <w:pPr>
        <w:spacing w:after="0" w:line="261"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396</w:t>
      </w:r>
    </w:p>
    <w:p>
      <w:pPr>
        <w:sectPr>
          <w:pgSz w:w="11900" w:h="16836" w:orient="portrait"/>
          <w:cols w:equalWidth="0" w:num="1">
            <w:col w:w="9468"/>
          </w:cols>
          <w:pgMar w:left="1152" w:top="1156" w:right="1284" w:bottom="103" w:gutter="0" w:footer="0" w:header="0"/>
        </w:sectPr>
      </w:pPr>
    </w:p>
    <w:bookmarkStart w:id="396" w:name="page397"/>
    <w:bookmarkEnd w:id="396"/>
    <w:p>
      <w:pPr>
        <w:ind w:left="1148" w:hanging="428"/>
        <w:spacing w:after="0" w:line="357" w:lineRule="auto"/>
        <w:tabs>
          <w:tab w:leader="none" w:pos="1148" w:val="left"/>
        </w:tabs>
        <w:numPr>
          <w:ilvl w:val="2"/>
          <w:numId w:val="120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In case of under-subscription in any category, the undersubscribed portion in that category shall be allocated to such bidders as described in the red herring prospectus; </w:t>
      </w:r>
      <w:r>
        <w:rPr>
          <w:rFonts w:ascii="Times New Roman" w:cs="Times New Roman" w:eastAsia="Times New Roman" w:hAnsi="Times New Roman"/>
          <w:sz w:val="24"/>
          <w:szCs w:val="24"/>
          <w:b w:val="1"/>
          <w:bCs w:val="1"/>
          <w:color w:val="auto"/>
        </w:rPr>
        <w:t xml:space="preserve">Provided that </w:t>
      </w:r>
      <w:r>
        <w:rPr>
          <w:rFonts w:ascii="Times New Roman" w:cs="Times New Roman" w:eastAsia="Times New Roman" w:hAnsi="Times New Roman"/>
          <w:sz w:val="24"/>
          <w:szCs w:val="24"/>
          <w:color w:val="auto"/>
        </w:rPr>
        <w:t>the unsubscribed portion in the qualified institutional buyer category</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shall not be available for subscription to other categories in the case of issues made under sub-regulation (2) of regulation 6 of these regulations.</w:t>
      </w:r>
    </w:p>
    <w:p>
      <w:pPr>
        <w:spacing w:after="0" w:line="200" w:lineRule="exact"/>
        <w:rPr>
          <w:rFonts w:ascii="Times New Roman" w:cs="Times New Roman" w:eastAsia="Times New Roman" w:hAnsi="Times New Roman"/>
          <w:sz w:val="24"/>
          <w:szCs w:val="24"/>
          <w:color w:val="auto"/>
        </w:rPr>
      </w:pPr>
    </w:p>
    <w:p>
      <w:pPr>
        <w:spacing w:after="0" w:line="224" w:lineRule="exact"/>
        <w:rPr>
          <w:rFonts w:ascii="Times New Roman" w:cs="Times New Roman" w:eastAsia="Times New Roman" w:hAnsi="Times New Roman"/>
          <w:sz w:val="24"/>
          <w:szCs w:val="24"/>
          <w:color w:val="auto"/>
        </w:rPr>
      </w:pPr>
    </w:p>
    <w:p>
      <w:pPr>
        <w:ind w:left="628" w:hanging="628"/>
        <w:spacing w:after="0"/>
        <w:tabs>
          <w:tab w:leader="none" w:pos="628" w:val="left"/>
        </w:tabs>
        <w:numPr>
          <w:ilvl w:val="0"/>
          <w:numId w:val="120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Maintenance of records</w:t>
      </w:r>
    </w:p>
    <w:p>
      <w:pPr>
        <w:spacing w:after="0" w:line="144" w:lineRule="exact"/>
        <w:rPr>
          <w:rFonts w:ascii="Times New Roman" w:cs="Times New Roman" w:eastAsia="Times New Roman" w:hAnsi="Times New Roman"/>
          <w:sz w:val="24"/>
          <w:szCs w:val="24"/>
          <w:color w:val="auto"/>
        </w:rPr>
      </w:pPr>
    </w:p>
    <w:p>
      <w:pPr>
        <w:ind w:left="1148" w:hanging="516"/>
        <w:spacing w:after="0" w:line="350" w:lineRule="auto"/>
        <w:tabs>
          <w:tab w:leader="none" w:pos="1148" w:val="left"/>
        </w:tabs>
        <w:numPr>
          <w:ilvl w:val="1"/>
          <w:numId w:val="120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final book of the demand showing the result of the allocation process shall be maintained by the lead manager and the registrar to the issue.</w:t>
      </w:r>
    </w:p>
    <w:p>
      <w:pPr>
        <w:spacing w:after="0" w:line="23" w:lineRule="exact"/>
        <w:rPr>
          <w:rFonts w:ascii="Times New Roman" w:cs="Times New Roman" w:eastAsia="Times New Roman" w:hAnsi="Times New Roman"/>
          <w:sz w:val="24"/>
          <w:szCs w:val="24"/>
          <w:color w:val="auto"/>
        </w:rPr>
      </w:pPr>
    </w:p>
    <w:p>
      <w:pPr>
        <w:ind w:left="1148" w:hanging="516"/>
        <w:spacing w:after="0" w:line="350" w:lineRule="auto"/>
        <w:tabs>
          <w:tab w:leader="none" w:pos="1148" w:val="left"/>
        </w:tabs>
        <w:numPr>
          <w:ilvl w:val="1"/>
          <w:numId w:val="120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lead manager(s) and other intermediaries associated in the book building process shall maintain records of the book building prices.</w:t>
      </w:r>
    </w:p>
    <w:p>
      <w:pPr>
        <w:spacing w:after="0" w:line="23" w:lineRule="exact"/>
        <w:rPr>
          <w:rFonts w:ascii="Times New Roman" w:cs="Times New Roman" w:eastAsia="Times New Roman" w:hAnsi="Times New Roman"/>
          <w:sz w:val="24"/>
          <w:szCs w:val="24"/>
          <w:color w:val="auto"/>
        </w:rPr>
      </w:pPr>
    </w:p>
    <w:p>
      <w:pPr>
        <w:ind w:left="1148" w:hanging="516"/>
        <w:spacing w:after="0" w:line="350" w:lineRule="auto"/>
        <w:tabs>
          <w:tab w:leader="none" w:pos="1148" w:val="left"/>
        </w:tabs>
        <w:numPr>
          <w:ilvl w:val="1"/>
          <w:numId w:val="120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Board shall have the right to inspect the records, books and documents relating to the book building process and such person shall extend full co-operation.</w:t>
      </w:r>
    </w:p>
    <w:p>
      <w:pPr>
        <w:spacing w:after="0" w:line="200" w:lineRule="exact"/>
        <w:rPr>
          <w:rFonts w:ascii="Times New Roman" w:cs="Times New Roman" w:eastAsia="Times New Roman" w:hAnsi="Times New Roman"/>
          <w:sz w:val="24"/>
          <w:szCs w:val="24"/>
          <w:color w:val="auto"/>
        </w:rPr>
      </w:pPr>
    </w:p>
    <w:p>
      <w:pPr>
        <w:spacing w:after="0" w:line="230"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20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Applicability to Fast Track Issues</w:t>
      </w:r>
    </w:p>
    <w:p>
      <w:pPr>
        <w:spacing w:after="0" w:line="144" w:lineRule="exact"/>
        <w:rPr>
          <w:sz w:val="20"/>
          <w:szCs w:val="20"/>
          <w:color w:val="auto"/>
        </w:rPr>
      </w:pPr>
    </w:p>
    <w:p>
      <w:pPr>
        <w:jc w:val="both"/>
        <w:ind w:left="728"/>
        <w:spacing w:after="0" w:line="354" w:lineRule="auto"/>
        <w:rPr>
          <w:sz w:val="20"/>
          <w:szCs w:val="20"/>
          <w:color w:val="auto"/>
        </w:rPr>
      </w:pPr>
      <w:r>
        <w:rPr>
          <w:rFonts w:ascii="Times New Roman" w:cs="Times New Roman" w:eastAsia="Times New Roman" w:hAnsi="Times New Roman"/>
          <w:sz w:val="24"/>
          <w:szCs w:val="24"/>
          <w:color w:val="auto"/>
        </w:rPr>
        <w:t>Unless the context otherwise requires, in relation to the fast track issues, all references in this Schedule to ‘draft prospectus’ shall be deemed to have been made to the ‘red herring prospectus’.</w:t>
      </w:r>
    </w:p>
    <w:p>
      <w:pPr>
        <w:spacing w:after="0" w:line="200" w:lineRule="exact"/>
        <w:rPr>
          <w:sz w:val="20"/>
          <w:szCs w:val="20"/>
          <w:color w:val="auto"/>
        </w:rPr>
      </w:pPr>
    </w:p>
    <w:p>
      <w:pPr>
        <w:spacing w:after="0" w:line="228"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Part B - Format of bid data displayed on stock exchange</w:t>
      </w:r>
    </w:p>
    <w:p>
      <w:pPr>
        <w:spacing w:after="0" w:line="200" w:lineRule="exact"/>
        <w:rPr>
          <w:sz w:val="20"/>
          <w:szCs w:val="20"/>
          <w:color w:val="auto"/>
        </w:rPr>
      </w:pPr>
    </w:p>
    <w:p>
      <w:pPr>
        <w:spacing w:after="0" w:line="352" w:lineRule="exact"/>
        <w:rPr>
          <w:sz w:val="20"/>
          <w:szCs w:val="20"/>
          <w:color w:val="auto"/>
        </w:rPr>
      </w:pPr>
    </w:p>
    <w:p>
      <w:pPr>
        <w:ind w:left="2708"/>
        <w:spacing w:after="0"/>
        <w:rPr>
          <w:sz w:val="20"/>
          <w:szCs w:val="20"/>
          <w:color w:val="auto"/>
        </w:rPr>
      </w:pPr>
      <w:r>
        <w:rPr>
          <w:rFonts w:ascii="Times New Roman" w:cs="Times New Roman" w:eastAsia="Times New Roman" w:hAnsi="Times New Roman"/>
          <w:sz w:val="24"/>
          <w:szCs w:val="24"/>
          <w:b w:val="1"/>
          <w:bCs w:val="1"/>
          <w:color w:val="auto"/>
        </w:rPr>
        <w:t>&lt;NAME OF THE ISSUER&gt; - BID DETAILS</w:t>
      </w:r>
    </w:p>
    <w:p>
      <w:pPr>
        <w:spacing w:after="0" w:line="200" w:lineRule="exact"/>
        <w:rPr>
          <w:sz w:val="20"/>
          <w:szCs w:val="20"/>
          <w:color w:val="auto"/>
        </w:rPr>
      </w:pPr>
    </w:p>
    <w:p>
      <w:pPr>
        <w:spacing w:after="0" w:line="360" w:lineRule="exact"/>
        <w:rPr>
          <w:sz w:val="20"/>
          <w:szCs w:val="20"/>
          <w:color w:val="auto"/>
        </w:rPr>
      </w:pPr>
    </w:p>
    <w:p>
      <w:pPr>
        <w:ind w:left="8"/>
        <w:spacing w:after="0" w:line="350" w:lineRule="auto"/>
        <w:rPr>
          <w:sz w:val="20"/>
          <w:szCs w:val="20"/>
          <w:color w:val="auto"/>
        </w:rPr>
      </w:pPr>
      <w:r>
        <w:rPr>
          <w:rFonts w:ascii="Times New Roman" w:cs="Times New Roman" w:eastAsia="Times New Roman" w:hAnsi="Times New Roman"/>
          <w:sz w:val="24"/>
          <w:szCs w:val="24"/>
          <w:color w:val="auto"/>
        </w:rPr>
        <w:t>The total demand shall be aggregated by all the stock exchanges on an hourly basis and be displayed on their websites</w:t>
      </w:r>
    </w:p>
    <w:p>
      <w:pPr>
        <w:spacing w:after="0" w:line="200" w:lineRule="exact"/>
        <w:rPr>
          <w:sz w:val="20"/>
          <w:szCs w:val="20"/>
          <w:color w:val="auto"/>
        </w:rPr>
      </w:pPr>
    </w:p>
    <w:p>
      <w:pPr>
        <w:spacing w:after="0" w:line="231" w:lineRule="exact"/>
        <w:rPr>
          <w:sz w:val="20"/>
          <w:szCs w:val="20"/>
          <w:color w:val="auto"/>
        </w:rPr>
      </w:pPr>
    </w:p>
    <w:p>
      <w:pPr>
        <w:ind w:left="568" w:hanging="568"/>
        <w:spacing w:after="0"/>
        <w:tabs>
          <w:tab w:leader="none" w:pos="568" w:val="left"/>
        </w:tabs>
        <w:numPr>
          <w:ilvl w:val="0"/>
          <w:numId w:val="120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Details of Allocation to the Anchor Investors</w:t>
      </w:r>
    </w:p>
    <w:p>
      <w:pPr>
        <w:spacing w:after="0" w:line="120" w:lineRule="exact"/>
        <w:rPr>
          <w:sz w:val="20"/>
          <w:szCs w:val="20"/>
          <w:color w:val="auto"/>
        </w:rPr>
      </w:pPr>
    </w:p>
    <w:tbl>
      <w:tblPr>
        <w:tblLayout w:type="fixed"/>
        <w:tblInd w:w="658" w:type="dxa"/>
        <w:tblCellMar>
          <w:top w:w="0" w:type="dxa"/>
          <w:left w:w="0" w:type="dxa"/>
          <w:bottom w:w="0" w:type="dxa"/>
          <w:right w:w="0" w:type="dxa"/>
        </w:tblCellMar>
      </w:tblPr>
      <w:tr>
        <w:trPr>
          <w:trHeight w:val="283"/>
        </w:trPr>
        <w:tc>
          <w:tcPr>
            <w:tcW w:w="520" w:type="dxa"/>
            <w:vAlign w:val="bottom"/>
            <w:tcBorders>
              <w:top w:val="single" w:sz="8" w:color="auto"/>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S.</w:t>
            </w:r>
          </w:p>
        </w:tc>
        <w:tc>
          <w:tcPr>
            <w:tcW w:w="190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Name of the</w:t>
            </w:r>
          </w:p>
        </w:tc>
        <w:tc>
          <w:tcPr>
            <w:tcW w:w="180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No. of securities</w:t>
            </w:r>
          </w:p>
        </w:tc>
        <w:tc>
          <w:tcPr>
            <w:tcW w:w="1180" w:type="dxa"/>
            <w:vAlign w:val="bottom"/>
            <w:tcBorders>
              <w:top w:val="single" w:sz="8" w:color="auto"/>
            </w:tcBorders>
          </w:tcPr>
          <w:p>
            <w:pPr>
              <w:spacing w:after="0"/>
              <w:rPr>
                <w:sz w:val="24"/>
                <w:szCs w:val="24"/>
                <w:color w:val="auto"/>
              </w:rPr>
            </w:pPr>
          </w:p>
        </w:tc>
        <w:tc>
          <w:tcPr>
            <w:tcW w:w="3240" w:type="dxa"/>
            <w:vAlign w:val="bottom"/>
            <w:tcBorders>
              <w:top w:val="single" w:sz="8" w:color="auto"/>
              <w:right w:val="single" w:sz="8" w:color="auto"/>
            </w:tcBorders>
          </w:tcPr>
          <w:p>
            <w:pPr>
              <w:spacing w:after="0"/>
              <w:rPr>
                <w:sz w:val="20"/>
                <w:szCs w:val="20"/>
                <w:color w:val="auto"/>
              </w:rPr>
            </w:pPr>
            <w:r>
              <w:rPr>
                <w:rFonts w:ascii="Times New Roman" w:cs="Times New Roman" w:eastAsia="Times New Roman" w:hAnsi="Times New Roman"/>
                <w:sz w:val="24"/>
                <w:szCs w:val="24"/>
                <w:b w:val="1"/>
                <w:bCs w:val="1"/>
                <w:color w:val="auto"/>
              </w:rPr>
              <w:t>Details of Allocation</w:t>
            </w:r>
          </w:p>
        </w:tc>
      </w:tr>
      <w:tr>
        <w:trPr>
          <w:trHeight w:val="415"/>
        </w:trPr>
        <w:tc>
          <w:tcPr>
            <w:tcW w:w="5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No.</w:t>
            </w:r>
          </w:p>
        </w:tc>
        <w:tc>
          <w:tcPr>
            <w:tcW w:w="19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Anchor Investor</w:t>
            </w:r>
          </w:p>
        </w:tc>
        <w:tc>
          <w:tcPr>
            <w:tcW w:w="18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available under</w:t>
            </w:r>
          </w:p>
        </w:tc>
        <w:tc>
          <w:tcPr>
            <w:tcW w:w="1180" w:type="dxa"/>
            <w:vAlign w:val="bottom"/>
          </w:tcPr>
          <w:p>
            <w:pPr>
              <w:spacing w:after="0"/>
              <w:rPr>
                <w:sz w:val="24"/>
                <w:szCs w:val="24"/>
                <w:color w:val="auto"/>
              </w:rPr>
            </w:pPr>
          </w:p>
        </w:tc>
        <w:tc>
          <w:tcPr>
            <w:tcW w:w="3240" w:type="dxa"/>
            <w:vAlign w:val="bottom"/>
            <w:tcBorders>
              <w:right w:val="single" w:sz="8" w:color="auto"/>
            </w:tcBorders>
          </w:tcPr>
          <w:p>
            <w:pPr>
              <w:spacing w:after="0"/>
              <w:rPr>
                <w:sz w:val="24"/>
                <w:szCs w:val="24"/>
                <w:color w:val="auto"/>
              </w:rPr>
            </w:pPr>
          </w:p>
        </w:tc>
      </w:tr>
      <w:tr>
        <w:trPr>
          <w:trHeight w:val="413"/>
        </w:trPr>
        <w:tc>
          <w:tcPr>
            <w:tcW w:w="520" w:type="dxa"/>
            <w:vAlign w:val="bottom"/>
            <w:tcBorders>
              <w:left w:val="single" w:sz="8" w:color="auto"/>
              <w:right w:val="single" w:sz="8" w:color="auto"/>
            </w:tcBorders>
          </w:tcPr>
          <w:p>
            <w:pPr>
              <w:spacing w:after="0"/>
              <w:rPr>
                <w:sz w:val="24"/>
                <w:szCs w:val="24"/>
                <w:color w:val="auto"/>
              </w:rPr>
            </w:pPr>
          </w:p>
        </w:tc>
        <w:tc>
          <w:tcPr>
            <w:tcW w:w="1900" w:type="dxa"/>
            <w:vAlign w:val="bottom"/>
            <w:tcBorders>
              <w:right w:val="single" w:sz="8" w:color="auto"/>
            </w:tcBorders>
          </w:tcPr>
          <w:p>
            <w:pPr>
              <w:spacing w:after="0"/>
              <w:rPr>
                <w:sz w:val="24"/>
                <w:szCs w:val="24"/>
                <w:color w:val="auto"/>
              </w:rPr>
            </w:pPr>
          </w:p>
        </w:tc>
        <w:tc>
          <w:tcPr>
            <w:tcW w:w="18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8"/>
              </w:rPr>
              <w:t>the Anchor</w:t>
            </w:r>
          </w:p>
        </w:tc>
        <w:tc>
          <w:tcPr>
            <w:tcW w:w="1180" w:type="dxa"/>
            <w:vAlign w:val="bottom"/>
          </w:tcPr>
          <w:p>
            <w:pPr>
              <w:spacing w:after="0"/>
              <w:rPr>
                <w:sz w:val="24"/>
                <w:szCs w:val="24"/>
                <w:color w:val="auto"/>
              </w:rPr>
            </w:pPr>
          </w:p>
        </w:tc>
        <w:tc>
          <w:tcPr>
            <w:tcW w:w="3240" w:type="dxa"/>
            <w:vAlign w:val="bottom"/>
            <w:tcBorders>
              <w:right w:val="single" w:sz="8" w:color="auto"/>
            </w:tcBorders>
          </w:tcPr>
          <w:p>
            <w:pPr>
              <w:spacing w:after="0"/>
              <w:rPr>
                <w:sz w:val="24"/>
                <w:szCs w:val="24"/>
                <w:color w:val="auto"/>
              </w:rPr>
            </w:pPr>
          </w:p>
        </w:tc>
      </w:tr>
      <w:tr>
        <w:trPr>
          <w:trHeight w:val="415"/>
        </w:trPr>
        <w:tc>
          <w:tcPr>
            <w:tcW w:w="520" w:type="dxa"/>
            <w:vAlign w:val="bottom"/>
            <w:tcBorders>
              <w:left w:val="single" w:sz="8" w:color="auto"/>
              <w:right w:val="single" w:sz="8" w:color="auto"/>
            </w:tcBorders>
          </w:tcPr>
          <w:p>
            <w:pPr>
              <w:spacing w:after="0"/>
              <w:rPr>
                <w:sz w:val="24"/>
                <w:szCs w:val="24"/>
                <w:color w:val="auto"/>
              </w:rPr>
            </w:pPr>
          </w:p>
        </w:tc>
        <w:tc>
          <w:tcPr>
            <w:tcW w:w="1900" w:type="dxa"/>
            <w:vAlign w:val="bottom"/>
            <w:tcBorders>
              <w:right w:val="single" w:sz="8" w:color="auto"/>
            </w:tcBorders>
          </w:tcPr>
          <w:p>
            <w:pPr>
              <w:spacing w:after="0"/>
              <w:rPr>
                <w:sz w:val="24"/>
                <w:szCs w:val="24"/>
                <w:color w:val="auto"/>
              </w:rPr>
            </w:pPr>
          </w:p>
        </w:tc>
        <w:tc>
          <w:tcPr>
            <w:tcW w:w="18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Investor portion</w:t>
            </w:r>
          </w:p>
        </w:tc>
        <w:tc>
          <w:tcPr>
            <w:tcW w:w="1180" w:type="dxa"/>
            <w:vAlign w:val="bottom"/>
          </w:tcPr>
          <w:p>
            <w:pPr>
              <w:spacing w:after="0"/>
              <w:rPr>
                <w:sz w:val="24"/>
                <w:szCs w:val="24"/>
                <w:color w:val="auto"/>
              </w:rPr>
            </w:pPr>
          </w:p>
        </w:tc>
        <w:tc>
          <w:tcPr>
            <w:tcW w:w="3240" w:type="dxa"/>
            <w:vAlign w:val="bottom"/>
            <w:tcBorders>
              <w:right w:val="single" w:sz="8" w:color="auto"/>
            </w:tcBorders>
          </w:tcPr>
          <w:p>
            <w:pPr>
              <w:spacing w:after="0"/>
              <w:rPr>
                <w:sz w:val="24"/>
                <w:szCs w:val="24"/>
                <w:color w:val="auto"/>
              </w:rPr>
            </w:pPr>
          </w:p>
        </w:tc>
      </w:tr>
      <w:tr>
        <w:trPr>
          <w:trHeight w:val="140"/>
        </w:trPr>
        <w:tc>
          <w:tcPr>
            <w:tcW w:w="520" w:type="dxa"/>
            <w:vAlign w:val="bottom"/>
            <w:tcBorders>
              <w:left w:val="single" w:sz="8" w:color="auto"/>
              <w:bottom w:val="single" w:sz="8" w:color="auto"/>
              <w:right w:val="single" w:sz="8" w:color="auto"/>
            </w:tcBorders>
          </w:tcPr>
          <w:p>
            <w:pPr>
              <w:spacing w:after="0"/>
              <w:rPr>
                <w:sz w:val="12"/>
                <w:szCs w:val="12"/>
                <w:color w:val="auto"/>
              </w:rPr>
            </w:pPr>
          </w:p>
        </w:tc>
        <w:tc>
          <w:tcPr>
            <w:tcW w:w="1900" w:type="dxa"/>
            <w:vAlign w:val="bottom"/>
            <w:tcBorders>
              <w:bottom w:val="single" w:sz="8" w:color="auto"/>
              <w:right w:val="single" w:sz="8" w:color="auto"/>
            </w:tcBorders>
          </w:tcPr>
          <w:p>
            <w:pPr>
              <w:spacing w:after="0"/>
              <w:rPr>
                <w:sz w:val="12"/>
                <w:szCs w:val="12"/>
                <w:color w:val="auto"/>
              </w:rPr>
            </w:pPr>
          </w:p>
        </w:tc>
        <w:tc>
          <w:tcPr>
            <w:tcW w:w="1800" w:type="dxa"/>
            <w:vAlign w:val="bottom"/>
            <w:tcBorders>
              <w:bottom w:val="single" w:sz="8" w:color="auto"/>
              <w:right w:val="single" w:sz="8" w:color="auto"/>
            </w:tcBorders>
          </w:tcPr>
          <w:p>
            <w:pPr>
              <w:spacing w:after="0"/>
              <w:rPr>
                <w:sz w:val="12"/>
                <w:szCs w:val="12"/>
                <w:color w:val="auto"/>
              </w:rPr>
            </w:pPr>
          </w:p>
        </w:tc>
        <w:tc>
          <w:tcPr>
            <w:tcW w:w="1180" w:type="dxa"/>
            <w:vAlign w:val="bottom"/>
            <w:tcBorders>
              <w:bottom w:val="single" w:sz="8" w:color="auto"/>
            </w:tcBorders>
          </w:tcPr>
          <w:p>
            <w:pPr>
              <w:spacing w:after="0"/>
              <w:rPr>
                <w:sz w:val="12"/>
                <w:szCs w:val="12"/>
                <w:color w:val="auto"/>
              </w:rPr>
            </w:pPr>
          </w:p>
        </w:tc>
        <w:tc>
          <w:tcPr>
            <w:tcW w:w="3240" w:type="dxa"/>
            <w:vAlign w:val="bottom"/>
            <w:tcBorders>
              <w:bottom w:val="single" w:sz="8" w:color="auto"/>
              <w:right w:val="single" w:sz="8" w:color="auto"/>
            </w:tcBorders>
          </w:tcPr>
          <w:p>
            <w:pPr>
              <w:spacing w:after="0"/>
              <w:rPr>
                <w:sz w:val="12"/>
                <w:szCs w:val="12"/>
                <w:color w:val="auto"/>
              </w:rPr>
            </w:pPr>
          </w:p>
        </w:tc>
      </w:tr>
      <w:tr>
        <w:trPr>
          <w:trHeight w:val="263"/>
        </w:trPr>
        <w:tc>
          <w:tcPr>
            <w:tcW w:w="520" w:type="dxa"/>
            <w:vAlign w:val="bottom"/>
            <w:tcBorders>
              <w:left w:val="single" w:sz="8" w:color="auto"/>
              <w:right w:val="single" w:sz="8" w:color="auto"/>
            </w:tcBorders>
          </w:tcPr>
          <w:p>
            <w:pPr>
              <w:spacing w:after="0"/>
              <w:rPr>
                <w:sz w:val="22"/>
                <w:szCs w:val="22"/>
                <w:color w:val="auto"/>
              </w:rPr>
            </w:pPr>
          </w:p>
        </w:tc>
        <w:tc>
          <w:tcPr>
            <w:tcW w:w="1900" w:type="dxa"/>
            <w:vAlign w:val="bottom"/>
            <w:tcBorders>
              <w:right w:val="single" w:sz="8" w:color="auto"/>
            </w:tcBorders>
          </w:tcPr>
          <w:p>
            <w:pPr>
              <w:spacing w:after="0"/>
              <w:rPr>
                <w:sz w:val="22"/>
                <w:szCs w:val="22"/>
                <w:color w:val="auto"/>
              </w:rPr>
            </w:pPr>
          </w:p>
        </w:tc>
        <w:tc>
          <w:tcPr>
            <w:tcW w:w="1800" w:type="dxa"/>
            <w:vAlign w:val="bottom"/>
            <w:tcBorders>
              <w:right w:val="single" w:sz="8" w:color="auto"/>
            </w:tcBorders>
          </w:tcPr>
          <w:p>
            <w:pPr>
              <w:spacing w:after="0"/>
              <w:rPr>
                <w:sz w:val="22"/>
                <w:szCs w:val="22"/>
                <w:color w:val="auto"/>
              </w:rPr>
            </w:pPr>
          </w:p>
        </w:tc>
        <w:tc>
          <w:tcPr>
            <w:tcW w:w="1180" w:type="dxa"/>
            <w:vAlign w:val="bottom"/>
            <w:tcBorders>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b w:val="1"/>
                <w:bCs w:val="1"/>
                <w:color w:val="auto"/>
              </w:rPr>
              <w:t>No. of</w:t>
            </w:r>
          </w:p>
        </w:tc>
        <w:tc>
          <w:tcPr>
            <w:tcW w:w="3240" w:type="dxa"/>
            <w:vAlign w:val="bottom"/>
            <w:tcBorders>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b w:val="1"/>
                <w:bCs w:val="1"/>
                <w:color w:val="auto"/>
                <w:w w:val="99"/>
              </w:rPr>
              <w:t>No. of securities allocated as a</w:t>
            </w:r>
          </w:p>
        </w:tc>
      </w:tr>
      <w:tr>
        <w:trPr>
          <w:trHeight w:val="415"/>
        </w:trPr>
        <w:tc>
          <w:tcPr>
            <w:tcW w:w="520" w:type="dxa"/>
            <w:vAlign w:val="bottom"/>
            <w:tcBorders>
              <w:left w:val="single" w:sz="8" w:color="auto"/>
              <w:right w:val="single" w:sz="8" w:color="auto"/>
            </w:tcBorders>
          </w:tcPr>
          <w:p>
            <w:pPr>
              <w:spacing w:after="0"/>
              <w:rPr>
                <w:sz w:val="24"/>
                <w:szCs w:val="24"/>
                <w:color w:val="auto"/>
              </w:rPr>
            </w:pPr>
          </w:p>
        </w:tc>
        <w:tc>
          <w:tcPr>
            <w:tcW w:w="1900" w:type="dxa"/>
            <w:vAlign w:val="bottom"/>
            <w:tcBorders>
              <w:right w:val="single" w:sz="8" w:color="auto"/>
            </w:tcBorders>
          </w:tcPr>
          <w:p>
            <w:pPr>
              <w:spacing w:after="0"/>
              <w:rPr>
                <w:sz w:val="24"/>
                <w:szCs w:val="24"/>
                <w:color w:val="auto"/>
              </w:rPr>
            </w:pPr>
          </w:p>
        </w:tc>
        <w:tc>
          <w:tcPr>
            <w:tcW w:w="1800" w:type="dxa"/>
            <w:vAlign w:val="bottom"/>
            <w:tcBorders>
              <w:right w:val="single" w:sz="8" w:color="auto"/>
            </w:tcBorders>
          </w:tcPr>
          <w:p>
            <w:pPr>
              <w:spacing w:after="0"/>
              <w:rPr>
                <w:sz w:val="24"/>
                <w:szCs w:val="24"/>
                <w:color w:val="auto"/>
              </w:rPr>
            </w:pPr>
          </w:p>
        </w:tc>
        <w:tc>
          <w:tcPr>
            <w:tcW w:w="11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securities</w:t>
            </w:r>
          </w:p>
        </w:tc>
        <w:tc>
          <w:tcPr>
            <w:tcW w:w="32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percentage of securities under</w:t>
            </w:r>
          </w:p>
        </w:tc>
      </w:tr>
      <w:tr>
        <w:trPr>
          <w:trHeight w:val="413"/>
        </w:trPr>
        <w:tc>
          <w:tcPr>
            <w:tcW w:w="520" w:type="dxa"/>
            <w:vAlign w:val="bottom"/>
            <w:tcBorders>
              <w:left w:val="single" w:sz="8" w:color="auto"/>
              <w:right w:val="single" w:sz="8" w:color="auto"/>
            </w:tcBorders>
          </w:tcPr>
          <w:p>
            <w:pPr>
              <w:spacing w:after="0"/>
              <w:rPr>
                <w:sz w:val="24"/>
                <w:szCs w:val="24"/>
                <w:color w:val="auto"/>
              </w:rPr>
            </w:pPr>
          </w:p>
        </w:tc>
        <w:tc>
          <w:tcPr>
            <w:tcW w:w="1900" w:type="dxa"/>
            <w:vAlign w:val="bottom"/>
            <w:tcBorders>
              <w:right w:val="single" w:sz="8" w:color="auto"/>
            </w:tcBorders>
          </w:tcPr>
          <w:p>
            <w:pPr>
              <w:spacing w:after="0"/>
              <w:rPr>
                <w:sz w:val="24"/>
                <w:szCs w:val="24"/>
                <w:color w:val="auto"/>
              </w:rPr>
            </w:pPr>
          </w:p>
        </w:tc>
        <w:tc>
          <w:tcPr>
            <w:tcW w:w="1800" w:type="dxa"/>
            <w:vAlign w:val="bottom"/>
            <w:tcBorders>
              <w:right w:val="single" w:sz="8" w:color="auto"/>
            </w:tcBorders>
          </w:tcPr>
          <w:p>
            <w:pPr>
              <w:spacing w:after="0"/>
              <w:rPr>
                <w:sz w:val="24"/>
                <w:szCs w:val="24"/>
                <w:color w:val="auto"/>
              </w:rPr>
            </w:pPr>
          </w:p>
        </w:tc>
        <w:tc>
          <w:tcPr>
            <w:tcW w:w="1180" w:type="dxa"/>
            <w:vAlign w:val="bottom"/>
            <w:tcBorders>
              <w:right w:val="single" w:sz="8" w:color="auto"/>
            </w:tcBorders>
          </w:tcPr>
          <w:p>
            <w:pPr>
              <w:spacing w:after="0"/>
              <w:rPr>
                <w:sz w:val="24"/>
                <w:szCs w:val="24"/>
                <w:color w:val="auto"/>
              </w:rPr>
            </w:pPr>
          </w:p>
        </w:tc>
        <w:tc>
          <w:tcPr>
            <w:tcW w:w="32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the Anchor Investor portion</w:t>
            </w:r>
          </w:p>
        </w:tc>
      </w:tr>
      <w:tr>
        <w:trPr>
          <w:trHeight w:val="142"/>
        </w:trPr>
        <w:tc>
          <w:tcPr>
            <w:tcW w:w="520" w:type="dxa"/>
            <w:vAlign w:val="bottom"/>
            <w:tcBorders>
              <w:left w:val="single" w:sz="8" w:color="auto"/>
              <w:bottom w:val="single" w:sz="8" w:color="auto"/>
              <w:right w:val="single" w:sz="8" w:color="auto"/>
            </w:tcBorders>
          </w:tcPr>
          <w:p>
            <w:pPr>
              <w:spacing w:after="0"/>
              <w:rPr>
                <w:sz w:val="12"/>
                <w:szCs w:val="12"/>
                <w:color w:val="auto"/>
              </w:rPr>
            </w:pPr>
          </w:p>
        </w:tc>
        <w:tc>
          <w:tcPr>
            <w:tcW w:w="1900" w:type="dxa"/>
            <w:vAlign w:val="bottom"/>
            <w:tcBorders>
              <w:bottom w:val="single" w:sz="8" w:color="auto"/>
              <w:right w:val="single" w:sz="8" w:color="auto"/>
            </w:tcBorders>
          </w:tcPr>
          <w:p>
            <w:pPr>
              <w:spacing w:after="0"/>
              <w:rPr>
                <w:sz w:val="12"/>
                <w:szCs w:val="12"/>
                <w:color w:val="auto"/>
              </w:rPr>
            </w:pPr>
          </w:p>
        </w:tc>
        <w:tc>
          <w:tcPr>
            <w:tcW w:w="1800" w:type="dxa"/>
            <w:vAlign w:val="bottom"/>
            <w:tcBorders>
              <w:bottom w:val="single" w:sz="8" w:color="auto"/>
              <w:right w:val="single" w:sz="8" w:color="auto"/>
            </w:tcBorders>
          </w:tcPr>
          <w:p>
            <w:pPr>
              <w:spacing w:after="0"/>
              <w:rPr>
                <w:sz w:val="12"/>
                <w:szCs w:val="12"/>
                <w:color w:val="auto"/>
              </w:rPr>
            </w:pPr>
          </w:p>
        </w:tc>
        <w:tc>
          <w:tcPr>
            <w:tcW w:w="1180" w:type="dxa"/>
            <w:vAlign w:val="bottom"/>
            <w:tcBorders>
              <w:bottom w:val="single" w:sz="8" w:color="auto"/>
              <w:right w:val="single" w:sz="8" w:color="auto"/>
            </w:tcBorders>
          </w:tcPr>
          <w:p>
            <w:pPr>
              <w:spacing w:after="0"/>
              <w:rPr>
                <w:sz w:val="12"/>
                <w:szCs w:val="12"/>
                <w:color w:val="auto"/>
              </w:rPr>
            </w:pPr>
          </w:p>
        </w:tc>
        <w:tc>
          <w:tcPr>
            <w:tcW w:w="3240" w:type="dxa"/>
            <w:vAlign w:val="bottom"/>
            <w:tcBorders>
              <w:bottom w:val="single" w:sz="8" w:color="auto"/>
              <w:right w:val="single" w:sz="8" w:color="auto"/>
            </w:tcBorders>
          </w:tcPr>
          <w:p>
            <w:pPr>
              <w:spacing w:after="0"/>
              <w:rPr>
                <w:sz w:val="12"/>
                <w:szCs w:val="12"/>
                <w:color w:val="auto"/>
              </w:rPr>
            </w:pPr>
          </w:p>
        </w:tc>
      </w:tr>
      <w:tr>
        <w:trPr>
          <w:trHeight w:val="899"/>
        </w:trPr>
        <w:tc>
          <w:tcPr>
            <w:tcW w:w="520" w:type="dxa"/>
            <w:vAlign w:val="bottom"/>
          </w:tcPr>
          <w:p>
            <w:pPr>
              <w:spacing w:after="0"/>
              <w:rPr>
                <w:sz w:val="24"/>
                <w:szCs w:val="24"/>
                <w:color w:val="auto"/>
              </w:rPr>
            </w:pPr>
          </w:p>
        </w:tc>
        <w:tc>
          <w:tcPr>
            <w:tcW w:w="1900" w:type="dxa"/>
            <w:vAlign w:val="bottom"/>
          </w:tcPr>
          <w:p>
            <w:pPr>
              <w:spacing w:after="0"/>
              <w:rPr>
                <w:sz w:val="24"/>
                <w:szCs w:val="24"/>
                <w:color w:val="auto"/>
              </w:rPr>
            </w:pPr>
          </w:p>
        </w:tc>
        <w:tc>
          <w:tcPr>
            <w:tcW w:w="2980" w:type="dxa"/>
            <w:vAlign w:val="bottom"/>
            <w:gridSpan w:val="2"/>
          </w:tcPr>
          <w:p>
            <w:pPr>
              <w:jc w:val="right"/>
              <w:ind w:right="1020"/>
              <w:spacing w:after="0"/>
              <w:rPr>
                <w:sz w:val="20"/>
                <w:szCs w:val="20"/>
                <w:color w:val="auto"/>
              </w:rPr>
            </w:pPr>
            <w:r>
              <w:rPr>
                <w:rFonts w:ascii="Times New Roman" w:cs="Times New Roman" w:eastAsia="Times New Roman" w:hAnsi="Times New Roman"/>
                <w:sz w:val="24"/>
                <w:szCs w:val="24"/>
                <w:color w:val="auto"/>
              </w:rPr>
              <w:t>397</w:t>
            </w:r>
          </w:p>
        </w:tc>
        <w:tc>
          <w:tcPr>
            <w:tcW w:w="3240" w:type="dxa"/>
            <w:vAlign w:val="bottom"/>
          </w:tcPr>
          <w:p>
            <w:pPr>
              <w:spacing w:after="0"/>
              <w:rPr>
                <w:sz w:val="24"/>
                <w:szCs w:val="24"/>
                <w:color w:val="auto"/>
              </w:rPr>
            </w:pPr>
          </w:p>
        </w:tc>
      </w:tr>
    </w:tbl>
    <w:p>
      <w:pPr>
        <w:sectPr>
          <w:pgSz w:w="11900" w:h="16836" w:orient="portrait"/>
          <w:cols w:equalWidth="0" w:num="1">
            <w:col w:w="9468"/>
          </w:cols>
          <w:pgMar w:left="1152" w:top="1156" w:right="1284" w:bottom="103" w:gutter="0" w:footer="0" w:header="0"/>
        </w:sectPr>
      </w:pPr>
    </w:p>
    <w:bookmarkStart w:id="397" w:name="page398"/>
    <w:bookmarkEnd w:id="397"/>
    <w:p>
      <w:pPr>
        <w:spacing w:after="0" w:line="1" w:lineRule="exact"/>
        <w:rPr>
          <w:sz w:val="20"/>
          <w:szCs w:val="20"/>
          <w:color w:val="auto"/>
        </w:rPr>
      </w:pPr>
    </w:p>
    <w:tbl>
      <w:tblPr>
        <w:tblLayout w:type="fixed"/>
        <w:tblInd w:w="658" w:type="dxa"/>
        <w:tblCellMar>
          <w:top w:w="0" w:type="dxa"/>
          <w:left w:w="0" w:type="dxa"/>
          <w:bottom w:w="0" w:type="dxa"/>
          <w:right w:w="0" w:type="dxa"/>
        </w:tblCellMar>
      </w:tblPr>
      <w:tr>
        <w:trPr>
          <w:trHeight w:val="283"/>
        </w:trPr>
        <w:tc>
          <w:tcPr>
            <w:tcW w:w="520" w:type="dxa"/>
            <w:vAlign w:val="bottom"/>
            <w:tcBorders>
              <w:top w:val="single" w:sz="8" w:color="auto"/>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S.</w:t>
            </w:r>
          </w:p>
        </w:tc>
        <w:tc>
          <w:tcPr>
            <w:tcW w:w="190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Name of the</w:t>
            </w:r>
          </w:p>
        </w:tc>
        <w:tc>
          <w:tcPr>
            <w:tcW w:w="180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No. of securities</w:t>
            </w:r>
          </w:p>
        </w:tc>
        <w:tc>
          <w:tcPr>
            <w:tcW w:w="1180" w:type="dxa"/>
            <w:vAlign w:val="bottom"/>
            <w:tcBorders>
              <w:top w:val="single" w:sz="8" w:color="auto"/>
            </w:tcBorders>
          </w:tcPr>
          <w:p>
            <w:pPr>
              <w:spacing w:after="0"/>
              <w:rPr>
                <w:sz w:val="24"/>
                <w:szCs w:val="24"/>
                <w:color w:val="auto"/>
              </w:rPr>
            </w:pPr>
          </w:p>
        </w:tc>
        <w:tc>
          <w:tcPr>
            <w:tcW w:w="3240" w:type="dxa"/>
            <w:vAlign w:val="bottom"/>
            <w:tcBorders>
              <w:top w:val="single" w:sz="8" w:color="auto"/>
              <w:right w:val="single" w:sz="8" w:color="auto"/>
            </w:tcBorders>
          </w:tcPr>
          <w:p>
            <w:pPr>
              <w:spacing w:after="0"/>
              <w:rPr>
                <w:sz w:val="20"/>
                <w:szCs w:val="20"/>
                <w:color w:val="auto"/>
              </w:rPr>
            </w:pPr>
            <w:r>
              <w:rPr>
                <w:rFonts w:ascii="Times New Roman" w:cs="Times New Roman" w:eastAsia="Times New Roman" w:hAnsi="Times New Roman"/>
                <w:sz w:val="24"/>
                <w:szCs w:val="24"/>
                <w:b w:val="1"/>
                <w:bCs w:val="1"/>
                <w:color w:val="auto"/>
              </w:rPr>
              <w:t>Details of Allocation</w:t>
            </w:r>
          </w:p>
        </w:tc>
      </w:tr>
      <w:tr>
        <w:trPr>
          <w:trHeight w:val="416"/>
        </w:trPr>
        <w:tc>
          <w:tcPr>
            <w:tcW w:w="5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No.</w:t>
            </w:r>
          </w:p>
        </w:tc>
        <w:tc>
          <w:tcPr>
            <w:tcW w:w="19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Anchor Investor</w:t>
            </w:r>
          </w:p>
        </w:tc>
        <w:tc>
          <w:tcPr>
            <w:tcW w:w="18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available under</w:t>
            </w:r>
          </w:p>
        </w:tc>
        <w:tc>
          <w:tcPr>
            <w:tcW w:w="1180" w:type="dxa"/>
            <w:vAlign w:val="bottom"/>
          </w:tcPr>
          <w:p>
            <w:pPr>
              <w:spacing w:after="0"/>
              <w:rPr>
                <w:sz w:val="24"/>
                <w:szCs w:val="24"/>
                <w:color w:val="auto"/>
              </w:rPr>
            </w:pPr>
          </w:p>
        </w:tc>
        <w:tc>
          <w:tcPr>
            <w:tcW w:w="3240" w:type="dxa"/>
            <w:vAlign w:val="bottom"/>
            <w:tcBorders>
              <w:right w:val="single" w:sz="8" w:color="auto"/>
            </w:tcBorders>
          </w:tcPr>
          <w:p>
            <w:pPr>
              <w:spacing w:after="0"/>
              <w:rPr>
                <w:sz w:val="24"/>
                <w:szCs w:val="24"/>
                <w:color w:val="auto"/>
              </w:rPr>
            </w:pPr>
          </w:p>
        </w:tc>
      </w:tr>
      <w:tr>
        <w:trPr>
          <w:trHeight w:val="413"/>
        </w:trPr>
        <w:tc>
          <w:tcPr>
            <w:tcW w:w="520" w:type="dxa"/>
            <w:vAlign w:val="bottom"/>
            <w:tcBorders>
              <w:left w:val="single" w:sz="8" w:color="auto"/>
              <w:right w:val="single" w:sz="8" w:color="auto"/>
            </w:tcBorders>
          </w:tcPr>
          <w:p>
            <w:pPr>
              <w:spacing w:after="0"/>
              <w:rPr>
                <w:sz w:val="24"/>
                <w:szCs w:val="24"/>
                <w:color w:val="auto"/>
              </w:rPr>
            </w:pPr>
          </w:p>
        </w:tc>
        <w:tc>
          <w:tcPr>
            <w:tcW w:w="1900" w:type="dxa"/>
            <w:vAlign w:val="bottom"/>
            <w:tcBorders>
              <w:right w:val="single" w:sz="8" w:color="auto"/>
            </w:tcBorders>
          </w:tcPr>
          <w:p>
            <w:pPr>
              <w:spacing w:after="0"/>
              <w:rPr>
                <w:sz w:val="24"/>
                <w:szCs w:val="24"/>
                <w:color w:val="auto"/>
              </w:rPr>
            </w:pPr>
          </w:p>
        </w:tc>
        <w:tc>
          <w:tcPr>
            <w:tcW w:w="18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8"/>
              </w:rPr>
              <w:t>the Anchor</w:t>
            </w:r>
          </w:p>
        </w:tc>
        <w:tc>
          <w:tcPr>
            <w:tcW w:w="1180" w:type="dxa"/>
            <w:vAlign w:val="bottom"/>
          </w:tcPr>
          <w:p>
            <w:pPr>
              <w:spacing w:after="0"/>
              <w:rPr>
                <w:sz w:val="24"/>
                <w:szCs w:val="24"/>
                <w:color w:val="auto"/>
              </w:rPr>
            </w:pPr>
          </w:p>
        </w:tc>
        <w:tc>
          <w:tcPr>
            <w:tcW w:w="3240" w:type="dxa"/>
            <w:vAlign w:val="bottom"/>
            <w:tcBorders>
              <w:right w:val="single" w:sz="8" w:color="auto"/>
            </w:tcBorders>
          </w:tcPr>
          <w:p>
            <w:pPr>
              <w:spacing w:after="0"/>
              <w:rPr>
                <w:sz w:val="24"/>
                <w:szCs w:val="24"/>
                <w:color w:val="auto"/>
              </w:rPr>
            </w:pPr>
          </w:p>
        </w:tc>
      </w:tr>
      <w:tr>
        <w:trPr>
          <w:trHeight w:val="415"/>
        </w:trPr>
        <w:tc>
          <w:tcPr>
            <w:tcW w:w="520" w:type="dxa"/>
            <w:vAlign w:val="bottom"/>
            <w:tcBorders>
              <w:left w:val="single" w:sz="8" w:color="auto"/>
              <w:right w:val="single" w:sz="8" w:color="auto"/>
            </w:tcBorders>
          </w:tcPr>
          <w:p>
            <w:pPr>
              <w:spacing w:after="0"/>
              <w:rPr>
                <w:sz w:val="24"/>
                <w:szCs w:val="24"/>
                <w:color w:val="auto"/>
              </w:rPr>
            </w:pPr>
          </w:p>
        </w:tc>
        <w:tc>
          <w:tcPr>
            <w:tcW w:w="1900" w:type="dxa"/>
            <w:vAlign w:val="bottom"/>
            <w:tcBorders>
              <w:right w:val="single" w:sz="8" w:color="auto"/>
            </w:tcBorders>
          </w:tcPr>
          <w:p>
            <w:pPr>
              <w:spacing w:after="0"/>
              <w:rPr>
                <w:sz w:val="24"/>
                <w:szCs w:val="24"/>
                <w:color w:val="auto"/>
              </w:rPr>
            </w:pPr>
          </w:p>
        </w:tc>
        <w:tc>
          <w:tcPr>
            <w:tcW w:w="18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Investor portion</w:t>
            </w:r>
          </w:p>
        </w:tc>
        <w:tc>
          <w:tcPr>
            <w:tcW w:w="1180" w:type="dxa"/>
            <w:vAlign w:val="bottom"/>
          </w:tcPr>
          <w:p>
            <w:pPr>
              <w:spacing w:after="0"/>
              <w:rPr>
                <w:sz w:val="24"/>
                <w:szCs w:val="24"/>
                <w:color w:val="auto"/>
              </w:rPr>
            </w:pPr>
          </w:p>
        </w:tc>
        <w:tc>
          <w:tcPr>
            <w:tcW w:w="3240" w:type="dxa"/>
            <w:vAlign w:val="bottom"/>
            <w:tcBorders>
              <w:right w:val="single" w:sz="8" w:color="auto"/>
            </w:tcBorders>
          </w:tcPr>
          <w:p>
            <w:pPr>
              <w:spacing w:after="0"/>
              <w:rPr>
                <w:sz w:val="24"/>
                <w:szCs w:val="24"/>
                <w:color w:val="auto"/>
              </w:rPr>
            </w:pPr>
          </w:p>
        </w:tc>
      </w:tr>
      <w:tr>
        <w:trPr>
          <w:trHeight w:val="140"/>
        </w:trPr>
        <w:tc>
          <w:tcPr>
            <w:tcW w:w="520" w:type="dxa"/>
            <w:vAlign w:val="bottom"/>
            <w:tcBorders>
              <w:left w:val="single" w:sz="8" w:color="auto"/>
              <w:bottom w:val="single" w:sz="8" w:color="auto"/>
              <w:right w:val="single" w:sz="8" w:color="auto"/>
            </w:tcBorders>
          </w:tcPr>
          <w:p>
            <w:pPr>
              <w:spacing w:after="0"/>
              <w:rPr>
                <w:sz w:val="12"/>
                <w:szCs w:val="12"/>
                <w:color w:val="auto"/>
              </w:rPr>
            </w:pPr>
          </w:p>
        </w:tc>
        <w:tc>
          <w:tcPr>
            <w:tcW w:w="1900" w:type="dxa"/>
            <w:vAlign w:val="bottom"/>
            <w:tcBorders>
              <w:bottom w:val="single" w:sz="8" w:color="auto"/>
              <w:right w:val="single" w:sz="8" w:color="auto"/>
            </w:tcBorders>
          </w:tcPr>
          <w:p>
            <w:pPr>
              <w:spacing w:after="0"/>
              <w:rPr>
                <w:sz w:val="12"/>
                <w:szCs w:val="12"/>
                <w:color w:val="auto"/>
              </w:rPr>
            </w:pPr>
          </w:p>
        </w:tc>
        <w:tc>
          <w:tcPr>
            <w:tcW w:w="1800" w:type="dxa"/>
            <w:vAlign w:val="bottom"/>
            <w:tcBorders>
              <w:bottom w:val="single" w:sz="8" w:color="auto"/>
              <w:right w:val="single" w:sz="8" w:color="auto"/>
            </w:tcBorders>
          </w:tcPr>
          <w:p>
            <w:pPr>
              <w:spacing w:after="0"/>
              <w:rPr>
                <w:sz w:val="12"/>
                <w:szCs w:val="12"/>
                <w:color w:val="auto"/>
              </w:rPr>
            </w:pPr>
          </w:p>
        </w:tc>
        <w:tc>
          <w:tcPr>
            <w:tcW w:w="1180" w:type="dxa"/>
            <w:vAlign w:val="bottom"/>
            <w:tcBorders>
              <w:bottom w:val="single" w:sz="8" w:color="auto"/>
            </w:tcBorders>
          </w:tcPr>
          <w:p>
            <w:pPr>
              <w:spacing w:after="0"/>
              <w:rPr>
                <w:sz w:val="12"/>
                <w:szCs w:val="12"/>
                <w:color w:val="auto"/>
              </w:rPr>
            </w:pPr>
          </w:p>
        </w:tc>
        <w:tc>
          <w:tcPr>
            <w:tcW w:w="3240" w:type="dxa"/>
            <w:vAlign w:val="bottom"/>
            <w:tcBorders>
              <w:bottom w:val="single" w:sz="8" w:color="auto"/>
              <w:right w:val="single" w:sz="8" w:color="auto"/>
            </w:tcBorders>
          </w:tcPr>
          <w:p>
            <w:pPr>
              <w:spacing w:after="0"/>
              <w:rPr>
                <w:sz w:val="12"/>
                <w:szCs w:val="12"/>
                <w:color w:val="auto"/>
              </w:rPr>
            </w:pPr>
          </w:p>
        </w:tc>
      </w:tr>
      <w:tr>
        <w:trPr>
          <w:trHeight w:val="263"/>
        </w:trPr>
        <w:tc>
          <w:tcPr>
            <w:tcW w:w="520" w:type="dxa"/>
            <w:vAlign w:val="bottom"/>
            <w:tcBorders>
              <w:left w:val="single" w:sz="8" w:color="auto"/>
              <w:right w:val="single" w:sz="8" w:color="auto"/>
            </w:tcBorders>
          </w:tcPr>
          <w:p>
            <w:pPr>
              <w:spacing w:after="0"/>
              <w:rPr>
                <w:sz w:val="22"/>
                <w:szCs w:val="22"/>
                <w:color w:val="auto"/>
              </w:rPr>
            </w:pPr>
          </w:p>
        </w:tc>
        <w:tc>
          <w:tcPr>
            <w:tcW w:w="1900" w:type="dxa"/>
            <w:vAlign w:val="bottom"/>
            <w:tcBorders>
              <w:right w:val="single" w:sz="8" w:color="auto"/>
            </w:tcBorders>
          </w:tcPr>
          <w:p>
            <w:pPr>
              <w:spacing w:after="0"/>
              <w:rPr>
                <w:sz w:val="22"/>
                <w:szCs w:val="22"/>
                <w:color w:val="auto"/>
              </w:rPr>
            </w:pPr>
          </w:p>
        </w:tc>
        <w:tc>
          <w:tcPr>
            <w:tcW w:w="1800" w:type="dxa"/>
            <w:vAlign w:val="bottom"/>
            <w:tcBorders>
              <w:right w:val="single" w:sz="8" w:color="auto"/>
            </w:tcBorders>
          </w:tcPr>
          <w:p>
            <w:pPr>
              <w:spacing w:after="0"/>
              <w:rPr>
                <w:sz w:val="22"/>
                <w:szCs w:val="22"/>
                <w:color w:val="auto"/>
              </w:rPr>
            </w:pPr>
          </w:p>
        </w:tc>
        <w:tc>
          <w:tcPr>
            <w:tcW w:w="1180" w:type="dxa"/>
            <w:vAlign w:val="bottom"/>
            <w:tcBorders>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b w:val="1"/>
                <w:bCs w:val="1"/>
                <w:color w:val="auto"/>
              </w:rPr>
              <w:t>No. of</w:t>
            </w:r>
          </w:p>
        </w:tc>
        <w:tc>
          <w:tcPr>
            <w:tcW w:w="3240" w:type="dxa"/>
            <w:vAlign w:val="bottom"/>
            <w:tcBorders>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b w:val="1"/>
                <w:bCs w:val="1"/>
                <w:color w:val="auto"/>
                <w:w w:val="99"/>
              </w:rPr>
              <w:t>No. of securities allocated as a</w:t>
            </w:r>
          </w:p>
        </w:tc>
      </w:tr>
      <w:tr>
        <w:trPr>
          <w:trHeight w:val="415"/>
        </w:trPr>
        <w:tc>
          <w:tcPr>
            <w:tcW w:w="520" w:type="dxa"/>
            <w:vAlign w:val="bottom"/>
            <w:tcBorders>
              <w:left w:val="single" w:sz="8" w:color="auto"/>
              <w:right w:val="single" w:sz="8" w:color="auto"/>
            </w:tcBorders>
          </w:tcPr>
          <w:p>
            <w:pPr>
              <w:spacing w:after="0"/>
              <w:rPr>
                <w:sz w:val="24"/>
                <w:szCs w:val="24"/>
                <w:color w:val="auto"/>
              </w:rPr>
            </w:pPr>
          </w:p>
        </w:tc>
        <w:tc>
          <w:tcPr>
            <w:tcW w:w="1900" w:type="dxa"/>
            <w:vAlign w:val="bottom"/>
            <w:tcBorders>
              <w:right w:val="single" w:sz="8" w:color="auto"/>
            </w:tcBorders>
          </w:tcPr>
          <w:p>
            <w:pPr>
              <w:spacing w:after="0"/>
              <w:rPr>
                <w:sz w:val="24"/>
                <w:szCs w:val="24"/>
                <w:color w:val="auto"/>
              </w:rPr>
            </w:pPr>
          </w:p>
        </w:tc>
        <w:tc>
          <w:tcPr>
            <w:tcW w:w="1800" w:type="dxa"/>
            <w:vAlign w:val="bottom"/>
            <w:tcBorders>
              <w:right w:val="single" w:sz="8" w:color="auto"/>
            </w:tcBorders>
          </w:tcPr>
          <w:p>
            <w:pPr>
              <w:spacing w:after="0"/>
              <w:rPr>
                <w:sz w:val="24"/>
                <w:szCs w:val="24"/>
                <w:color w:val="auto"/>
              </w:rPr>
            </w:pPr>
          </w:p>
        </w:tc>
        <w:tc>
          <w:tcPr>
            <w:tcW w:w="11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securities</w:t>
            </w:r>
          </w:p>
        </w:tc>
        <w:tc>
          <w:tcPr>
            <w:tcW w:w="32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percentage of securities under</w:t>
            </w:r>
          </w:p>
        </w:tc>
      </w:tr>
      <w:tr>
        <w:trPr>
          <w:trHeight w:val="413"/>
        </w:trPr>
        <w:tc>
          <w:tcPr>
            <w:tcW w:w="520" w:type="dxa"/>
            <w:vAlign w:val="bottom"/>
            <w:tcBorders>
              <w:left w:val="single" w:sz="8" w:color="auto"/>
              <w:right w:val="single" w:sz="8" w:color="auto"/>
            </w:tcBorders>
          </w:tcPr>
          <w:p>
            <w:pPr>
              <w:spacing w:after="0"/>
              <w:rPr>
                <w:sz w:val="24"/>
                <w:szCs w:val="24"/>
                <w:color w:val="auto"/>
              </w:rPr>
            </w:pPr>
          </w:p>
        </w:tc>
        <w:tc>
          <w:tcPr>
            <w:tcW w:w="1900" w:type="dxa"/>
            <w:vAlign w:val="bottom"/>
            <w:tcBorders>
              <w:right w:val="single" w:sz="8" w:color="auto"/>
            </w:tcBorders>
          </w:tcPr>
          <w:p>
            <w:pPr>
              <w:spacing w:after="0"/>
              <w:rPr>
                <w:sz w:val="24"/>
                <w:szCs w:val="24"/>
                <w:color w:val="auto"/>
              </w:rPr>
            </w:pPr>
          </w:p>
        </w:tc>
        <w:tc>
          <w:tcPr>
            <w:tcW w:w="1800" w:type="dxa"/>
            <w:vAlign w:val="bottom"/>
            <w:tcBorders>
              <w:right w:val="single" w:sz="8" w:color="auto"/>
            </w:tcBorders>
          </w:tcPr>
          <w:p>
            <w:pPr>
              <w:spacing w:after="0"/>
              <w:rPr>
                <w:sz w:val="24"/>
                <w:szCs w:val="24"/>
                <w:color w:val="auto"/>
              </w:rPr>
            </w:pPr>
          </w:p>
        </w:tc>
        <w:tc>
          <w:tcPr>
            <w:tcW w:w="1180" w:type="dxa"/>
            <w:vAlign w:val="bottom"/>
            <w:tcBorders>
              <w:right w:val="single" w:sz="8" w:color="auto"/>
            </w:tcBorders>
          </w:tcPr>
          <w:p>
            <w:pPr>
              <w:spacing w:after="0"/>
              <w:rPr>
                <w:sz w:val="24"/>
                <w:szCs w:val="24"/>
                <w:color w:val="auto"/>
              </w:rPr>
            </w:pPr>
          </w:p>
        </w:tc>
        <w:tc>
          <w:tcPr>
            <w:tcW w:w="32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the Anchor Investor portion</w:t>
            </w:r>
          </w:p>
        </w:tc>
      </w:tr>
      <w:tr>
        <w:trPr>
          <w:trHeight w:val="142"/>
        </w:trPr>
        <w:tc>
          <w:tcPr>
            <w:tcW w:w="520" w:type="dxa"/>
            <w:vAlign w:val="bottom"/>
            <w:tcBorders>
              <w:left w:val="single" w:sz="8" w:color="auto"/>
              <w:bottom w:val="single" w:sz="8" w:color="auto"/>
              <w:right w:val="single" w:sz="8" w:color="auto"/>
            </w:tcBorders>
          </w:tcPr>
          <w:p>
            <w:pPr>
              <w:spacing w:after="0"/>
              <w:rPr>
                <w:sz w:val="12"/>
                <w:szCs w:val="12"/>
                <w:color w:val="auto"/>
              </w:rPr>
            </w:pPr>
          </w:p>
        </w:tc>
        <w:tc>
          <w:tcPr>
            <w:tcW w:w="1900" w:type="dxa"/>
            <w:vAlign w:val="bottom"/>
            <w:tcBorders>
              <w:bottom w:val="single" w:sz="8" w:color="auto"/>
              <w:right w:val="single" w:sz="8" w:color="auto"/>
            </w:tcBorders>
          </w:tcPr>
          <w:p>
            <w:pPr>
              <w:spacing w:after="0"/>
              <w:rPr>
                <w:sz w:val="12"/>
                <w:szCs w:val="12"/>
                <w:color w:val="auto"/>
              </w:rPr>
            </w:pPr>
          </w:p>
        </w:tc>
        <w:tc>
          <w:tcPr>
            <w:tcW w:w="1800" w:type="dxa"/>
            <w:vAlign w:val="bottom"/>
            <w:tcBorders>
              <w:bottom w:val="single" w:sz="8" w:color="auto"/>
              <w:right w:val="single" w:sz="8" w:color="auto"/>
            </w:tcBorders>
          </w:tcPr>
          <w:p>
            <w:pPr>
              <w:spacing w:after="0"/>
              <w:rPr>
                <w:sz w:val="12"/>
                <w:szCs w:val="12"/>
                <w:color w:val="auto"/>
              </w:rPr>
            </w:pPr>
          </w:p>
        </w:tc>
        <w:tc>
          <w:tcPr>
            <w:tcW w:w="1180" w:type="dxa"/>
            <w:vAlign w:val="bottom"/>
            <w:tcBorders>
              <w:bottom w:val="single" w:sz="8" w:color="auto"/>
              <w:right w:val="single" w:sz="8" w:color="auto"/>
            </w:tcBorders>
          </w:tcPr>
          <w:p>
            <w:pPr>
              <w:spacing w:after="0"/>
              <w:rPr>
                <w:sz w:val="12"/>
                <w:szCs w:val="12"/>
                <w:color w:val="auto"/>
              </w:rPr>
            </w:pPr>
          </w:p>
        </w:tc>
        <w:tc>
          <w:tcPr>
            <w:tcW w:w="3240" w:type="dxa"/>
            <w:vAlign w:val="bottom"/>
            <w:tcBorders>
              <w:bottom w:val="single" w:sz="8" w:color="auto"/>
              <w:right w:val="single" w:sz="8" w:color="auto"/>
            </w:tcBorders>
          </w:tcPr>
          <w:p>
            <w:pPr>
              <w:spacing w:after="0"/>
              <w:rPr>
                <w:sz w:val="12"/>
                <w:szCs w:val="12"/>
                <w:color w:val="auto"/>
              </w:rPr>
            </w:pPr>
          </w:p>
        </w:tc>
      </w:tr>
      <w:tr>
        <w:trPr>
          <w:trHeight w:val="258"/>
        </w:trPr>
        <w:tc>
          <w:tcPr>
            <w:tcW w:w="520" w:type="dxa"/>
            <w:vAlign w:val="bottom"/>
            <w:tcBorders>
              <w:left w:val="single" w:sz="8" w:color="auto"/>
              <w:right w:val="single" w:sz="8" w:color="auto"/>
            </w:tcBorders>
          </w:tcPr>
          <w:p>
            <w:pPr>
              <w:spacing w:after="0"/>
              <w:rPr>
                <w:sz w:val="22"/>
                <w:szCs w:val="22"/>
                <w:color w:val="auto"/>
              </w:rPr>
            </w:pPr>
          </w:p>
        </w:tc>
        <w:tc>
          <w:tcPr>
            <w:tcW w:w="1900" w:type="dxa"/>
            <w:vAlign w:val="bottom"/>
            <w:tcBorders>
              <w:right w:val="single" w:sz="8" w:color="auto"/>
            </w:tcBorders>
          </w:tcPr>
          <w:p>
            <w:pPr>
              <w:ind w:left="40"/>
              <w:spacing w:after="0" w:line="258" w:lineRule="exact"/>
              <w:rPr>
                <w:sz w:val="20"/>
                <w:szCs w:val="20"/>
                <w:color w:val="auto"/>
              </w:rPr>
            </w:pPr>
            <w:r>
              <w:rPr>
                <w:rFonts w:ascii="Times New Roman" w:cs="Times New Roman" w:eastAsia="Times New Roman" w:hAnsi="Times New Roman"/>
                <w:sz w:val="24"/>
                <w:szCs w:val="24"/>
                <w:color w:val="auto"/>
              </w:rPr>
              <w:t>AI 1</w:t>
            </w:r>
          </w:p>
        </w:tc>
        <w:tc>
          <w:tcPr>
            <w:tcW w:w="1800" w:type="dxa"/>
            <w:vAlign w:val="bottom"/>
            <w:tcBorders>
              <w:right w:val="single" w:sz="8" w:color="auto"/>
            </w:tcBorders>
          </w:tcPr>
          <w:p>
            <w:pPr>
              <w:spacing w:after="0"/>
              <w:rPr>
                <w:sz w:val="22"/>
                <w:szCs w:val="22"/>
                <w:color w:val="auto"/>
              </w:rPr>
            </w:pPr>
          </w:p>
        </w:tc>
        <w:tc>
          <w:tcPr>
            <w:tcW w:w="1180" w:type="dxa"/>
            <w:vAlign w:val="bottom"/>
            <w:tcBorders>
              <w:right w:val="single" w:sz="8" w:color="auto"/>
            </w:tcBorders>
          </w:tcPr>
          <w:p>
            <w:pPr>
              <w:spacing w:after="0"/>
              <w:rPr>
                <w:sz w:val="22"/>
                <w:szCs w:val="22"/>
                <w:color w:val="auto"/>
              </w:rPr>
            </w:pPr>
          </w:p>
        </w:tc>
        <w:tc>
          <w:tcPr>
            <w:tcW w:w="3240" w:type="dxa"/>
            <w:vAlign w:val="bottom"/>
            <w:tcBorders>
              <w:right w:val="single" w:sz="8" w:color="auto"/>
            </w:tcBorders>
          </w:tcPr>
          <w:p>
            <w:pPr>
              <w:spacing w:after="0"/>
              <w:rPr>
                <w:sz w:val="22"/>
                <w:szCs w:val="22"/>
                <w:color w:val="auto"/>
              </w:rPr>
            </w:pPr>
          </w:p>
        </w:tc>
      </w:tr>
      <w:tr>
        <w:trPr>
          <w:trHeight w:val="413"/>
        </w:trPr>
        <w:tc>
          <w:tcPr>
            <w:tcW w:w="520" w:type="dxa"/>
            <w:vAlign w:val="bottom"/>
            <w:tcBorders>
              <w:left w:val="single" w:sz="8" w:color="auto"/>
              <w:right w:val="single" w:sz="8" w:color="auto"/>
            </w:tcBorders>
          </w:tcPr>
          <w:p>
            <w:pPr>
              <w:spacing w:after="0"/>
              <w:rPr>
                <w:sz w:val="24"/>
                <w:szCs w:val="24"/>
                <w:color w:val="auto"/>
              </w:rPr>
            </w:pPr>
          </w:p>
        </w:tc>
        <w:tc>
          <w:tcPr>
            <w:tcW w:w="19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4"/>
                <w:szCs w:val="24"/>
                <w:color w:val="auto"/>
              </w:rPr>
              <w:t>AI 2</w:t>
            </w:r>
          </w:p>
        </w:tc>
        <w:tc>
          <w:tcPr>
            <w:tcW w:w="1800" w:type="dxa"/>
            <w:vAlign w:val="bottom"/>
            <w:tcBorders>
              <w:right w:val="single" w:sz="8" w:color="auto"/>
            </w:tcBorders>
          </w:tcPr>
          <w:p>
            <w:pPr>
              <w:spacing w:after="0"/>
              <w:rPr>
                <w:sz w:val="24"/>
                <w:szCs w:val="24"/>
                <w:color w:val="auto"/>
              </w:rPr>
            </w:pPr>
          </w:p>
        </w:tc>
        <w:tc>
          <w:tcPr>
            <w:tcW w:w="1180" w:type="dxa"/>
            <w:vAlign w:val="bottom"/>
            <w:tcBorders>
              <w:right w:val="single" w:sz="8" w:color="auto"/>
            </w:tcBorders>
          </w:tcPr>
          <w:p>
            <w:pPr>
              <w:spacing w:after="0"/>
              <w:rPr>
                <w:sz w:val="24"/>
                <w:szCs w:val="24"/>
                <w:color w:val="auto"/>
              </w:rPr>
            </w:pPr>
          </w:p>
        </w:tc>
        <w:tc>
          <w:tcPr>
            <w:tcW w:w="3240" w:type="dxa"/>
            <w:vAlign w:val="bottom"/>
            <w:tcBorders>
              <w:right w:val="single" w:sz="8" w:color="auto"/>
            </w:tcBorders>
          </w:tcPr>
          <w:p>
            <w:pPr>
              <w:spacing w:after="0"/>
              <w:rPr>
                <w:sz w:val="24"/>
                <w:szCs w:val="24"/>
                <w:color w:val="auto"/>
              </w:rPr>
            </w:pPr>
          </w:p>
        </w:tc>
      </w:tr>
      <w:tr>
        <w:trPr>
          <w:trHeight w:val="147"/>
        </w:trPr>
        <w:tc>
          <w:tcPr>
            <w:tcW w:w="520" w:type="dxa"/>
            <w:vAlign w:val="bottom"/>
            <w:tcBorders>
              <w:left w:val="single" w:sz="8" w:color="auto"/>
              <w:bottom w:val="single" w:sz="8" w:color="auto"/>
              <w:right w:val="single" w:sz="8" w:color="auto"/>
            </w:tcBorders>
          </w:tcPr>
          <w:p>
            <w:pPr>
              <w:spacing w:after="0"/>
              <w:rPr>
                <w:sz w:val="12"/>
                <w:szCs w:val="12"/>
                <w:color w:val="auto"/>
              </w:rPr>
            </w:pPr>
          </w:p>
        </w:tc>
        <w:tc>
          <w:tcPr>
            <w:tcW w:w="1900" w:type="dxa"/>
            <w:vAlign w:val="bottom"/>
            <w:tcBorders>
              <w:bottom w:val="single" w:sz="8" w:color="auto"/>
              <w:right w:val="single" w:sz="8" w:color="auto"/>
            </w:tcBorders>
          </w:tcPr>
          <w:p>
            <w:pPr>
              <w:spacing w:after="0"/>
              <w:rPr>
                <w:sz w:val="12"/>
                <w:szCs w:val="12"/>
                <w:color w:val="auto"/>
              </w:rPr>
            </w:pPr>
          </w:p>
        </w:tc>
        <w:tc>
          <w:tcPr>
            <w:tcW w:w="1800" w:type="dxa"/>
            <w:vAlign w:val="bottom"/>
            <w:tcBorders>
              <w:bottom w:val="single" w:sz="8" w:color="auto"/>
              <w:right w:val="single" w:sz="8" w:color="auto"/>
            </w:tcBorders>
          </w:tcPr>
          <w:p>
            <w:pPr>
              <w:spacing w:after="0"/>
              <w:rPr>
                <w:sz w:val="12"/>
                <w:szCs w:val="12"/>
                <w:color w:val="auto"/>
              </w:rPr>
            </w:pPr>
          </w:p>
        </w:tc>
        <w:tc>
          <w:tcPr>
            <w:tcW w:w="1180" w:type="dxa"/>
            <w:vAlign w:val="bottom"/>
            <w:tcBorders>
              <w:bottom w:val="single" w:sz="8" w:color="auto"/>
              <w:right w:val="single" w:sz="8" w:color="auto"/>
            </w:tcBorders>
          </w:tcPr>
          <w:p>
            <w:pPr>
              <w:spacing w:after="0"/>
              <w:rPr>
                <w:sz w:val="12"/>
                <w:szCs w:val="12"/>
                <w:color w:val="auto"/>
              </w:rPr>
            </w:pPr>
          </w:p>
        </w:tc>
        <w:tc>
          <w:tcPr>
            <w:tcW w:w="3240" w:type="dxa"/>
            <w:vAlign w:val="bottom"/>
            <w:tcBorders>
              <w:bottom w:val="single" w:sz="8" w:color="auto"/>
              <w:right w:val="single" w:sz="8" w:color="auto"/>
            </w:tcBorders>
          </w:tcPr>
          <w:p>
            <w:pPr>
              <w:spacing w:after="0"/>
              <w:rPr>
                <w:sz w:val="12"/>
                <w:szCs w:val="12"/>
                <w:color w:val="auto"/>
              </w:rPr>
            </w:pPr>
          </w:p>
        </w:tc>
      </w:tr>
      <w:tr>
        <w:trPr>
          <w:trHeight w:val="263"/>
        </w:trPr>
        <w:tc>
          <w:tcPr>
            <w:tcW w:w="520" w:type="dxa"/>
            <w:vAlign w:val="bottom"/>
            <w:tcBorders>
              <w:left w:val="single" w:sz="8" w:color="auto"/>
              <w:right w:val="single" w:sz="8" w:color="auto"/>
            </w:tcBorders>
          </w:tcPr>
          <w:p>
            <w:pPr>
              <w:spacing w:after="0"/>
              <w:rPr>
                <w:sz w:val="22"/>
                <w:szCs w:val="22"/>
                <w:color w:val="auto"/>
              </w:rPr>
            </w:pPr>
          </w:p>
        </w:tc>
        <w:tc>
          <w:tcPr>
            <w:tcW w:w="1900" w:type="dxa"/>
            <w:vAlign w:val="bottom"/>
            <w:tcBorders>
              <w:right w:val="single" w:sz="8" w:color="auto"/>
            </w:tcBorders>
          </w:tcPr>
          <w:p>
            <w:pPr>
              <w:ind w:left="40"/>
              <w:spacing w:after="0" w:line="263" w:lineRule="exact"/>
              <w:rPr>
                <w:sz w:val="20"/>
                <w:szCs w:val="20"/>
                <w:color w:val="auto"/>
              </w:rPr>
            </w:pPr>
            <w:r>
              <w:rPr>
                <w:rFonts w:ascii="Times New Roman" w:cs="Times New Roman" w:eastAsia="Times New Roman" w:hAnsi="Times New Roman"/>
                <w:sz w:val="24"/>
                <w:szCs w:val="24"/>
                <w:b w:val="1"/>
                <w:bCs w:val="1"/>
                <w:color w:val="auto"/>
              </w:rPr>
              <w:t>Total (a) + (b)</w:t>
            </w:r>
          </w:p>
        </w:tc>
        <w:tc>
          <w:tcPr>
            <w:tcW w:w="1800" w:type="dxa"/>
            <w:vAlign w:val="bottom"/>
            <w:tcBorders>
              <w:right w:val="single" w:sz="8" w:color="auto"/>
            </w:tcBorders>
          </w:tcPr>
          <w:p>
            <w:pPr>
              <w:spacing w:after="0"/>
              <w:rPr>
                <w:sz w:val="22"/>
                <w:szCs w:val="22"/>
                <w:color w:val="auto"/>
              </w:rPr>
            </w:pPr>
          </w:p>
        </w:tc>
        <w:tc>
          <w:tcPr>
            <w:tcW w:w="1180" w:type="dxa"/>
            <w:vAlign w:val="bottom"/>
            <w:tcBorders>
              <w:right w:val="single" w:sz="8" w:color="auto"/>
            </w:tcBorders>
          </w:tcPr>
          <w:p>
            <w:pPr>
              <w:spacing w:after="0"/>
              <w:rPr>
                <w:sz w:val="22"/>
                <w:szCs w:val="22"/>
                <w:color w:val="auto"/>
              </w:rPr>
            </w:pPr>
          </w:p>
        </w:tc>
        <w:tc>
          <w:tcPr>
            <w:tcW w:w="3240" w:type="dxa"/>
            <w:vAlign w:val="bottom"/>
            <w:tcBorders>
              <w:right w:val="single" w:sz="8" w:color="auto"/>
            </w:tcBorders>
          </w:tcPr>
          <w:p>
            <w:pPr>
              <w:spacing w:after="0"/>
              <w:rPr>
                <w:sz w:val="22"/>
                <w:szCs w:val="22"/>
                <w:color w:val="auto"/>
              </w:rPr>
            </w:pPr>
          </w:p>
        </w:tc>
      </w:tr>
      <w:tr>
        <w:trPr>
          <w:trHeight w:val="142"/>
        </w:trPr>
        <w:tc>
          <w:tcPr>
            <w:tcW w:w="520" w:type="dxa"/>
            <w:vAlign w:val="bottom"/>
            <w:tcBorders>
              <w:left w:val="single" w:sz="8" w:color="auto"/>
              <w:bottom w:val="single" w:sz="8" w:color="auto"/>
              <w:right w:val="single" w:sz="8" w:color="auto"/>
            </w:tcBorders>
          </w:tcPr>
          <w:p>
            <w:pPr>
              <w:spacing w:after="0"/>
              <w:rPr>
                <w:sz w:val="12"/>
                <w:szCs w:val="12"/>
                <w:color w:val="auto"/>
              </w:rPr>
            </w:pPr>
          </w:p>
        </w:tc>
        <w:tc>
          <w:tcPr>
            <w:tcW w:w="1900" w:type="dxa"/>
            <w:vAlign w:val="bottom"/>
            <w:tcBorders>
              <w:bottom w:val="single" w:sz="8" w:color="auto"/>
              <w:right w:val="single" w:sz="8" w:color="auto"/>
            </w:tcBorders>
          </w:tcPr>
          <w:p>
            <w:pPr>
              <w:spacing w:after="0"/>
              <w:rPr>
                <w:sz w:val="12"/>
                <w:szCs w:val="12"/>
                <w:color w:val="auto"/>
              </w:rPr>
            </w:pPr>
          </w:p>
        </w:tc>
        <w:tc>
          <w:tcPr>
            <w:tcW w:w="1800" w:type="dxa"/>
            <w:vAlign w:val="bottom"/>
            <w:tcBorders>
              <w:bottom w:val="single" w:sz="8" w:color="auto"/>
              <w:right w:val="single" w:sz="8" w:color="auto"/>
            </w:tcBorders>
          </w:tcPr>
          <w:p>
            <w:pPr>
              <w:spacing w:after="0"/>
              <w:rPr>
                <w:sz w:val="12"/>
                <w:szCs w:val="12"/>
                <w:color w:val="auto"/>
              </w:rPr>
            </w:pPr>
          </w:p>
        </w:tc>
        <w:tc>
          <w:tcPr>
            <w:tcW w:w="1180" w:type="dxa"/>
            <w:vAlign w:val="bottom"/>
            <w:tcBorders>
              <w:bottom w:val="single" w:sz="8" w:color="auto"/>
              <w:right w:val="single" w:sz="8" w:color="auto"/>
            </w:tcBorders>
          </w:tcPr>
          <w:p>
            <w:pPr>
              <w:spacing w:after="0"/>
              <w:rPr>
                <w:sz w:val="12"/>
                <w:szCs w:val="12"/>
                <w:color w:val="auto"/>
              </w:rPr>
            </w:pPr>
          </w:p>
        </w:tc>
        <w:tc>
          <w:tcPr>
            <w:tcW w:w="3240" w:type="dxa"/>
            <w:vAlign w:val="bottom"/>
            <w:tcBorders>
              <w:bottom w:val="single" w:sz="8" w:color="auto"/>
              <w:right w:val="single" w:sz="8" w:color="auto"/>
            </w:tcBorders>
          </w:tcPr>
          <w:p>
            <w:pPr>
              <w:spacing w:after="0"/>
              <w:rPr>
                <w:sz w:val="12"/>
                <w:szCs w:val="12"/>
                <w:color w:val="auto"/>
              </w:rPr>
            </w:pPr>
          </w:p>
        </w:tc>
      </w:tr>
    </w:tbl>
    <w:p>
      <w:pPr>
        <w:spacing w:after="0" w:line="200" w:lineRule="exact"/>
        <w:rPr>
          <w:sz w:val="20"/>
          <w:szCs w:val="20"/>
          <w:color w:val="auto"/>
        </w:rPr>
      </w:pPr>
    </w:p>
    <w:p>
      <w:pPr>
        <w:spacing w:after="0" w:line="210" w:lineRule="exact"/>
        <w:rPr>
          <w:sz w:val="20"/>
          <w:szCs w:val="20"/>
          <w:color w:val="auto"/>
        </w:rPr>
      </w:pPr>
    </w:p>
    <w:p>
      <w:pPr>
        <w:ind w:left="568" w:hanging="568"/>
        <w:spacing w:after="0"/>
        <w:tabs>
          <w:tab w:leader="none" w:pos="568" w:val="left"/>
        </w:tabs>
        <w:numPr>
          <w:ilvl w:val="0"/>
          <w:numId w:val="120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Details of Allocation to Investors other than Anchor Investors</w:t>
      </w:r>
    </w:p>
    <w:p>
      <w:pPr>
        <w:spacing w:after="0" w:line="122" w:lineRule="exact"/>
        <w:rPr>
          <w:sz w:val="20"/>
          <w:szCs w:val="20"/>
          <w:color w:val="auto"/>
        </w:rPr>
      </w:pPr>
    </w:p>
    <w:tbl>
      <w:tblPr>
        <w:tblLayout w:type="fixed"/>
        <w:tblInd w:w="658" w:type="dxa"/>
        <w:tblCellMar>
          <w:top w:w="0" w:type="dxa"/>
          <w:left w:w="0" w:type="dxa"/>
          <w:bottom w:w="0" w:type="dxa"/>
          <w:right w:w="0" w:type="dxa"/>
        </w:tblCellMar>
      </w:tblPr>
      <w:tr>
        <w:trPr>
          <w:trHeight w:val="283"/>
        </w:trPr>
        <w:tc>
          <w:tcPr>
            <w:tcW w:w="620" w:type="dxa"/>
            <w:vAlign w:val="bottom"/>
            <w:tcBorders>
              <w:top w:val="single" w:sz="8" w:color="auto"/>
              <w:left w:val="single" w:sz="8" w:color="auto"/>
              <w:right w:val="single" w:sz="8" w:color="auto"/>
            </w:tcBorders>
          </w:tcPr>
          <w:p>
            <w:pPr>
              <w:jc w:val="right"/>
              <w:ind w:right="100"/>
              <w:spacing w:after="0"/>
              <w:rPr>
                <w:sz w:val="20"/>
                <w:szCs w:val="20"/>
                <w:color w:val="auto"/>
              </w:rPr>
            </w:pPr>
            <w:r>
              <w:rPr>
                <w:rFonts w:ascii="Times New Roman" w:cs="Times New Roman" w:eastAsia="Times New Roman" w:hAnsi="Times New Roman"/>
                <w:sz w:val="24"/>
                <w:szCs w:val="24"/>
                <w:b w:val="1"/>
                <w:bCs w:val="1"/>
                <w:color w:val="auto"/>
              </w:rPr>
              <w:t>S.</w:t>
            </w:r>
          </w:p>
        </w:tc>
        <w:tc>
          <w:tcPr>
            <w:tcW w:w="3600" w:type="dxa"/>
            <w:vAlign w:val="bottom"/>
            <w:tcBorders>
              <w:top w:val="single" w:sz="8" w:color="auto"/>
              <w:right w:val="single" w:sz="8" w:color="auto"/>
            </w:tcBorders>
          </w:tcPr>
          <w:p>
            <w:pPr>
              <w:ind w:left="720"/>
              <w:spacing w:after="0"/>
              <w:rPr>
                <w:sz w:val="20"/>
                <w:szCs w:val="20"/>
                <w:color w:val="auto"/>
              </w:rPr>
            </w:pPr>
            <w:r>
              <w:rPr>
                <w:rFonts w:ascii="Times New Roman" w:cs="Times New Roman" w:eastAsia="Times New Roman" w:hAnsi="Times New Roman"/>
                <w:sz w:val="24"/>
                <w:szCs w:val="24"/>
                <w:b w:val="1"/>
                <w:bCs w:val="1"/>
                <w:color w:val="auto"/>
              </w:rPr>
              <w:t>Category of Investor</w:t>
            </w:r>
          </w:p>
        </w:tc>
        <w:tc>
          <w:tcPr>
            <w:tcW w:w="136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No. of</w:t>
            </w:r>
          </w:p>
        </w:tc>
        <w:tc>
          <w:tcPr>
            <w:tcW w:w="152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7"/>
              </w:rPr>
              <w:t>No. of</w:t>
            </w:r>
          </w:p>
        </w:tc>
        <w:tc>
          <w:tcPr>
            <w:tcW w:w="154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8"/>
              </w:rPr>
              <w:t>No. of times</w:t>
            </w:r>
          </w:p>
        </w:tc>
      </w:tr>
      <w:tr>
        <w:trPr>
          <w:trHeight w:val="413"/>
        </w:trPr>
        <w:tc>
          <w:tcPr>
            <w:tcW w:w="620" w:type="dxa"/>
            <w:vAlign w:val="bottom"/>
            <w:tcBorders>
              <w:left w:val="single" w:sz="8" w:color="auto"/>
              <w:right w:val="single" w:sz="8" w:color="auto"/>
            </w:tcBorders>
          </w:tcPr>
          <w:p>
            <w:pPr>
              <w:jc w:val="right"/>
              <w:ind w:right="20"/>
              <w:spacing w:after="0"/>
              <w:rPr>
                <w:sz w:val="20"/>
                <w:szCs w:val="20"/>
                <w:color w:val="auto"/>
              </w:rPr>
            </w:pPr>
            <w:r>
              <w:rPr>
                <w:rFonts w:ascii="Times New Roman" w:cs="Times New Roman" w:eastAsia="Times New Roman" w:hAnsi="Times New Roman"/>
                <w:sz w:val="24"/>
                <w:szCs w:val="24"/>
                <w:b w:val="1"/>
                <w:bCs w:val="1"/>
                <w:color w:val="auto"/>
              </w:rPr>
              <w:t>No.</w:t>
            </w:r>
          </w:p>
        </w:tc>
        <w:tc>
          <w:tcPr>
            <w:tcW w:w="3600" w:type="dxa"/>
            <w:vAlign w:val="bottom"/>
            <w:tcBorders>
              <w:right w:val="single" w:sz="8" w:color="auto"/>
            </w:tcBorders>
          </w:tcPr>
          <w:p>
            <w:pPr>
              <w:spacing w:after="0"/>
              <w:rPr>
                <w:sz w:val="24"/>
                <w:szCs w:val="24"/>
                <w:color w:val="auto"/>
              </w:rPr>
            </w:pPr>
          </w:p>
        </w:tc>
        <w:tc>
          <w:tcPr>
            <w:tcW w:w="13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securities</w:t>
            </w:r>
          </w:p>
        </w:tc>
        <w:tc>
          <w:tcPr>
            <w:tcW w:w="15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securities bid</w:t>
            </w:r>
          </w:p>
        </w:tc>
        <w:tc>
          <w:tcPr>
            <w:tcW w:w="15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of the total</w:t>
            </w:r>
          </w:p>
        </w:tc>
      </w:tr>
      <w:tr>
        <w:trPr>
          <w:trHeight w:val="415"/>
        </w:trPr>
        <w:tc>
          <w:tcPr>
            <w:tcW w:w="620" w:type="dxa"/>
            <w:vAlign w:val="bottom"/>
            <w:tcBorders>
              <w:left w:val="single" w:sz="8" w:color="auto"/>
              <w:right w:val="single" w:sz="8" w:color="auto"/>
            </w:tcBorders>
          </w:tcPr>
          <w:p>
            <w:pPr>
              <w:spacing w:after="0"/>
              <w:rPr>
                <w:sz w:val="24"/>
                <w:szCs w:val="24"/>
                <w:color w:val="auto"/>
              </w:rPr>
            </w:pPr>
          </w:p>
        </w:tc>
        <w:tc>
          <w:tcPr>
            <w:tcW w:w="3600" w:type="dxa"/>
            <w:vAlign w:val="bottom"/>
            <w:tcBorders>
              <w:right w:val="single" w:sz="8" w:color="auto"/>
            </w:tcBorders>
          </w:tcPr>
          <w:p>
            <w:pPr>
              <w:spacing w:after="0"/>
              <w:rPr>
                <w:sz w:val="24"/>
                <w:szCs w:val="24"/>
                <w:color w:val="auto"/>
              </w:rPr>
            </w:pPr>
          </w:p>
        </w:tc>
        <w:tc>
          <w:tcPr>
            <w:tcW w:w="13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offered/</w:t>
            </w:r>
          </w:p>
        </w:tc>
        <w:tc>
          <w:tcPr>
            <w:tcW w:w="15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8"/>
              </w:rPr>
              <w:t>for/allocated</w:t>
            </w:r>
          </w:p>
        </w:tc>
        <w:tc>
          <w:tcPr>
            <w:tcW w:w="15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meant for the</w:t>
            </w:r>
          </w:p>
        </w:tc>
      </w:tr>
      <w:tr>
        <w:trPr>
          <w:trHeight w:val="413"/>
        </w:trPr>
        <w:tc>
          <w:tcPr>
            <w:tcW w:w="620" w:type="dxa"/>
            <w:vAlign w:val="bottom"/>
            <w:tcBorders>
              <w:left w:val="single" w:sz="8" w:color="auto"/>
              <w:right w:val="single" w:sz="8" w:color="auto"/>
            </w:tcBorders>
          </w:tcPr>
          <w:p>
            <w:pPr>
              <w:spacing w:after="0"/>
              <w:rPr>
                <w:sz w:val="24"/>
                <w:szCs w:val="24"/>
                <w:color w:val="auto"/>
              </w:rPr>
            </w:pPr>
          </w:p>
        </w:tc>
        <w:tc>
          <w:tcPr>
            <w:tcW w:w="3600" w:type="dxa"/>
            <w:vAlign w:val="bottom"/>
            <w:tcBorders>
              <w:right w:val="single" w:sz="8" w:color="auto"/>
            </w:tcBorders>
          </w:tcPr>
          <w:p>
            <w:pPr>
              <w:spacing w:after="0"/>
              <w:rPr>
                <w:sz w:val="24"/>
                <w:szCs w:val="24"/>
                <w:color w:val="auto"/>
              </w:rPr>
            </w:pPr>
          </w:p>
        </w:tc>
        <w:tc>
          <w:tcPr>
            <w:tcW w:w="13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reserved</w:t>
            </w:r>
          </w:p>
        </w:tc>
        <w:tc>
          <w:tcPr>
            <w:tcW w:w="1520" w:type="dxa"/>
            <w:vAlign w:val="bottom"/>
            <w:tcBorders>
              <w:right w:val="single" w:sz="8" w:color="auto"/>
            </w:tcBorders>
          </w:tcPr>
          <w:p>
            <w:pPr>
              <w:spacing w:after="0"/>
              <w:rPr>
                <w:sz w:val="24"/>
                <w:szCs w:val="24"/>
                <w:color w:val="auto"/>
              </w:rPr>
            </w:pPr>
          </w:p>
        </w:tc>
        <w:tc>
          <w:tcPr>
            <w:tcW w:w="15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category</w:t>
            </w:r>
          </w:p>
        </w:tc>
      </w:tr>
      <w:tr>
        <w:trPr>
          <w:trHeight w:val="142"/>
        </w:trPr>
        <w:tc>
          <w:tcPr>
            <w:tcW w:w="620" w:type="dxa"/>
            <w:vAlign w:val="bottom"/>
            <w:tcBorders>
              <w:left w:val="single" w:sz="8" w:color="auto"/>
              <w:bottom w:val="single" w:sz="8" w:color="auto"/>
              <w:right w:val="single" w:sz="8" w:color="auto"/>
            </w:tcBorders>
          </w:tcPr>
          <w:p>
            <w:pPr>
              <w:spacing w:after="0"/>
              <w:rPr>
                <w:sz w:val="12"/>
                <w:szCs w:val="12"/>
                <w:color w:val="auto"/>
              </w:rPr>
            </w:pPr>
          </w:p>
        </w:tc>
        <w:tc>
          <w:tcPr>
            <w:tcW w:w="3600" w:type="dxa"/>
            <w:vAlign w:val="bottom"/>
            <w:tcBorders>
              <w:bottom w:val="single" w:sz="8" w:color="auto"/>
              <w:right w:val="single" w:sz="8" w:color="auto"/>
            </w:tcBorders>
          </w:tcPr>
          <w:p>
            <w:pPr>
              <w:spacing w:after="0"/>
              <w:rPr>
                <w:sz w:val="12"/>
                <w:szCs w:val="12"/>
                <w:color w:val="auto"/>
              </w:rPr>
            </w:pPr>
          </w:p>
        </w:tc>
        <w:tc>
          <w:tcPr>
            <w:tcW w:w="1360" w:type="dxa"/>
            <w:vAlign w:val="bottom"/>
            <w:tcBorders>
              <w:bottom w:val="single" w:sz="8" w:color="auto"/>
              <w:right w:val="single" w:sz="8" w:color="auto"/>
            </w:tcBorders>
          </w:tcPr>
          <w:p>
            <w:pPr>
              <w:spacing w:after="0"/>
              <w:rPr>
                <w:sz w:val="12"/>
                <w:szCs w:val="12"/>
                <w:color w:val="auto"/>
              </w:rPr>
            </w:pPr>
          </w:p>
        </w:tc>
        <w:tc>
          <w:tcPr>
            <w:tcW w:w="1520" w:type="dxa"/>
            <w:vAlign w:val="bottom"/>
            <w:tcBorders>
              <w:bottom w:val="single" w:sz="8" w:color="auto"/>
              <w:right w:val="single" w:sz="8" w:color="auto"/>
            </w:tcBorders>
          </w:tcPr>
          <w:p>
            <w:pPr>
              <w:spacing w:after="0"/>
              <w:rPr>
                <w:sz w:val="12"/>
                <w:szCs w:val="12"/>
                <w:color w:val="auto"/>
              </w:rPr>
            </w:pPr>
          </w:p>
        </w:tc>
        <w:tc>
          <w:tcPr>
            <w:tcW w:w="1540" w:type="dxa"/>
            <w:vAlign w:val="bottom"/>
            <w:tcBorders>
              <w:bottom w:val="single" w:sz="8" w:color="auto"/>
              <w:right w:val="single" w:sz="8" w:color="auto"/>
            </w:tcBorders>
          </w:tcPr>
          <w:p>
            <w:pPr>
              <w:spacing w:after="0"/>
              <w:rPr>
                <w:sz w:val="12"/>
                <w:szCs w:val="12"/>
                <w:color w:val="auto"/>
              </w:rPr>
            </w:pPr>
          </w:p>
        </w:tc>
      </w:tr>
      <w:tr>
        <w:trPr>
          <w:trHeight w:val="258"/>
        </w:trPr>
        <w:tc>
          <w:tcPr>
            <w:tcW w:w="620" w:type="dxa"/>
            <w:vAlign w:val="bottom"/>
            <w:tcBorders>
              <w:left w:val="single" w:sz="8" w:color="auto"/>
              <w:right w:val="single" w:sz="8" w:color="auto"/>
            </w:tcBorders>
          </w:tcPr>
          <w:p>
            <w:pPr>
              <w:jc w:val="right"/>
              <w:ind w:right="260"/>
              <w:spacing w:after="0" w:line="258" w:lineRule="exact"/>
              <w:rPr>
                <w:sz w:val="20"/>
                <w:szCs w:val="20"/>
                <w:color w:val="auto"/>
              </w:rPr>
            </w:pPr>
            <w:r>
              <w:rPr>
                <w:rFonts w:ascii="Times New Roman" w:cs="Times New Roman" w:eastAsia="Times New Roman" w:hAnsi="Times New Roman"/>
                <w:sz w:val="24"/>
                <w:szCs w:val="24"/>
                <w:color w:val="auto"/>
              </w:rPr>
              <w:t>1.</w:t>
            </w:r>
          </w:p>
        </w:tc>
        <w:tc>
          <w:tcPr>
            <w:tcW w:w="3600" w:type="dxa"/>
            <w:vAlign w:val="bottom"/>
            <w:tcBorders>
              <w:right w:val="single" w:sz="8" w:color="auto"/>
            </w:tcBorders>
          </w:tcPr>
          <w:p>
            <w:pPr>
              <w:ind w:left="40"/>
              <w:spacing w:after="0" w:line="258" w:lineRule="exact"/>
              <w:rPr>
                <w:sz w:val="20"/>
                <w:szCs w:val="20"/>
                <w:color w:val="auto"/>
              </w:rPr>
            </w:pPr>
            <w:r>
              <w:rPr>
                <w:rFonts w:ascii="Times New Roman" w:cs="Times New Roman" w:eastAsia="Times New Roman" w:hAnsi="Times New Roman"/>
                <w:sz w:val="24"/>
                <w:szCs w:val="24"/>
                <w:color w:val="auto"/>
              </w:rPr>
              <w:t>QIBs</w:t>
            </w:r>
          </w:p>
        </w:tc>
        <w:tc>
          <w:tcPr>
            <w:tcW w:w="1360" w:type="dxa"/>
            <w:vAlign w:val="bottom"/>
            <w:tcBorders>
              <w:right w:val="single" w:sz="8" w:color="auto"/>
            </w:tcBorders>
          </w:tcPr>
          <w:p>
            <w:pPr>
              <w:spacing w:after="0"/>
              <w:rPr>
                <w:sz w:val="22"/>
                <w:szCs w:val="22"/>
                <w:color w:val="auto"/>
              </w:rPr>
            </w:pPr>
          </w:p>
        </w:tc>
        <w:tc>
          <w:tcPr>
            <w:tcW w:w="1520" w:type="dxa"/>
            <w:vAlign w:val="bottom"/>
            <w:tcBorders>
              <w:right w:val="single" w:sz="8" w:color="auto"/>
            </w:tcBorders>
          </w:tcPr>
          <w:p>
            <w:pPr>
              <w:spacing w:after="0"/>
              <w:rPr>
                <w:sz w:val="22"/>
                <w:szCs w:val="22"/>
                <w:color w:val="auto"/>
              </w:rPr>
            </w:pPr>
          </w:p>
        </w:tc>
        <w:tc>
          <w:tcPr>
            <w:tcW w:w="1540" w:type="dxa"/>
            <w:vAlign w:val="bottom"/>
            <w:tcBorders>
              <w:right w:val="single" w:sz="8" w:color="auto"/>
            </w:tcBorders>
          </w:tcPr>
          <w:p>
            <w:pPr>
              <w:spacing w:after="0"/>
              <w:rPr>
                <w:sz w:val="22"/>
                <w:szCs w:val="22"/>
                <w:color w:val="auto"/>
              </w:rPr>
            </w:pPr>
          </w:p>
        </w:tc>
      </w:tr>
      <w:tr>
        <w:trPr>
          <w:trHeight w:val="144"/>
        </w:trPr>
        <w:tc>
          <w:tcPr>
            <w:tcW w:w="620" w:type="dxa"/>
            <w:vAlign w:val="bottom"/>
            <w:tcBorders>
              <w:left w:val="single" w:sz="8" w:color="auto"/>
              <w:bottom w:val="single" w:sz="8" w:color="auto"/>
              <w:right w:val="single" w:sz="8" w:color="auto"/>
            </w:tcBorders>
          </w:tcPr>
          <w:p>
            <w:pPr>
              <w:spacing w:after="0"/>
              <w:rPr>
                <w:sz w:val="12"/>
                <w:szCs w:val="12"/>
                <w:color w:val="auto"/>
              </w:rPr>
            </w:pPr>
          </w:p>
        </w:tc>
        <w:tc>
          <w:tcPr>
            <w:tcW w:w="3600" w:type="dxa"/>
            <w:vAlign w:val="bottom"/>
            <w:tcBorders>
              <w:bottom w:val="single" w:sz="8" w:color="auto"/>
              <w:right w:val="single" w:sz="8" w:color="auto"/>
            </w:tcBorders>
          </w:tcPr>
          <w:p>
            <w:pPr>
              <w:spacing w:after="0"/>
              <w:rPr>
                <w:sz w:val="12"/>
                <w:szCs w:val="12"/>
                <w:color w:val="auto"/>
              </w:rPr>
            </w:pPr>
          </w:p>
        </w:tc>
        <w:tc>
          <w:tcPr>
            <w:tcW w:w="1360" w:type="dxa"/>
            <w:vAlign w:val="bottom"/>
            <w:tcBorders>
              <w:bottom w:val="single" w:sz="8" w:color="auto"/>
              <w:right w:val="single" w:sz="8" w:color="auto"/>
            </w:tcBorders>
          </w:tcPr>
          <w:p>
            <w:pPr>
              <w:spacing w:after="0"/>
              <w:rPr>
                <w:sz w:val="12"/>
                <w:szCs w:val="12"/>
                <w:color w:val="auto"/>
              </w:rPr>
            </w:pPr>
          </w:p>
        </w:tc>
        <w:tc>
          <w:tcPr>
            <w:tcW w:w="1520" w:type="dxa"/>
            <w:vAlign w:val="bottom"/>
            <w:tcBorders>
              <w:bottom w:val="single" w:sz="8" w:color="auto"/>
              <w:right w:val="single" w:sz="8" w:color="auto"/>
            </w:tcBorders>
          </w:tcPr>
          <w:p>
            <w:pPr>
              <w:spacing w:after="0"/>
              <w:rPr>
                <w:sz w:val="12"/>
                <w:szCs w:val="12"/>
                <w:color w:val="auto"/>
              </w:rPr>
            </w:pPr>
          </w:p>
        </w:tc>
        <w:tc>
          <w:tcPr>
            <w:tcW w:w="1540" w:type="dxa"/>
            <w:vAlign w:val="bottom"/>
            <w:tcBorders>
              <w:bottom w:val="single" w:sz="8" w:color="auto"/>
              <w:right w:val="single" w:sz="8" w:color="auto"/>
            </w:tcBorders>
          </w:tcPr>
          <w:p>
            <w:pPr>
              <w:spacing w:after="0"/>
              <w:rPr>
                <w:sz w:val="12"/>
                <w:szCs w:val="12"/>
                <w:color w:val="auto"/>
              </w:rPr>
            </w:pPr>
          </w:p>
        </w:tc>
      </w:tr>
      <w:tr>
        <w:trPr>
          <w:trHeight w:val="260"/>
        </w:trPr>
        <w:tc>
          <w:tcPr>
            <w:tcW w:w="620" w:type="dxa"/>
            <w:vAlign w:val="bottom"/>
            <w:tcBorders>
              <w:left w:val="single" w:sz="8" w:color="auto"/>
              <w:right w:val="single" w:sz="8" w:color="auto"/>
            </w:tcBorders>
          </w:tcPr>
          <w:p>
            <w:pPr>
              <w:jc w:val="right"/>
              <w:spacing w:after="0" w:line="260" w:lineRule="exact"/>
              <w:rPr>
                <w:sz w:val="20"/>
                <w:szCs w:val="20"/>
                <w:color w:val="auto"/>
              </w:rPr>
            </w:pPr>
            <w:r>
              <w:rPr>
                <w:rFonts w:ascii="Times New Roman" w:cs="Times New Roman" w:eastAsia="Times New Roman" w:hAnsi="Times New Roman"/>
                <w:sz w:val="24"/>
                <w:szCs w:val="24"/>
                <w:color w:val="auto"/>
              </w:rPr>
              <w:t>(a)</w:t>
            </w:r>
          </w:p>
        </w:tc>
        <w:tc>
          <w:tcPr>
            <w:tcW w:w="3600" w:type="dxa"/>
            <w:vAlign w:val="bottom"/>
            <w:tcBorders>
              <w:right w:val="single" w:sz="8" w:color="auto"/>
            </w:tcBorders>
          </w:tcPr>
          <w:p>
            <w:pPr>
              <w:ind w:left="40"/>
              <w:spacing w:after="0" w:line="260" w:lineRule="exact"/>
              <w:rPr>
                <w:sz w:val="20"/>
                <w:szCs w:val="20"/>
                <w:color w:val="auto"/>
              </w:rPr>
            </w:pPr>
            <w:r>
              <w:rPr>
                <w:rFonts w:ascii="Times New Roman" w:cs="Times New Roman" w:eastAsia="Times New Roman" w:hAnsi="Times New Roman"/>
                <w:sz w:val="24"/>
                <w:szCs w:val="24"/>
                <w:color w:val="auto"/>
              </w:rPr>
              <w:t>Foreign Portfolio Investors</w:t>
            </w:r>
          </w:p>
        </w:tc>
        <w:tc>
          <w:tcPr>
            <w:tcW w:w="1360" w:type="dxa"/>
            <w:vAlign w:val="bottom"/>
            <w:tcBorders>
              <w:right w:val="single" w:sz="8" w:color="auto"/>
            </w:tcBorders>
          </w:tcPr>
          <w:p>
            <w:pPr>
              <w:spacing w:after="0"/>
              <w:rPr>
                <w:sz w:val="22"/>
                <w:szCs w:val="22"/>
                <w:color w:val="auto"/>
              </w:rPr>
            </w:pPr>
          </w:p>
        </w:tc>
        <w:tc>
          <w:tcPr>
            <w:tcW w:w="1520" w:type="dxa"/>
            <w:vAlign w:val="bottom"/>
            <w:tcBorders>
              <w:right w:val="single" w:sz="8" w:color="auto"/>
            </w:tcBorders>
          </w:tcPr>
          <w:p>
            <w:pPr>
              <w:spacing w:after="0"/>
              <w:rPr>
                <w:sz w:val="22"/>
                <w:szCs w:val="22"/>
                <w:color w:val="auto"/>
              </w:rPr>
            </w:pPr>
          </w:p>
        </w:tc>
        <w:tc>
          <w:tcPr>
            <w:tcW w:w="1540" w:type="dxa"/>
            <w:vAlign w:val="bottom"/>
            <w:tcBorders>
              <w:right w:val="single" w:sz="8" w:color="auto"/>
            </w:tcBorders>
          </w:tcPr>
          <w:p>
            <w:pPr>
              <w:spacing w:after="0"/>
              <w:rPr>
                <w:sz w:val="22"/>
                <w:szCs w:val="22"/>
                <w:color w:val="auto"/>
              </w:rPr>
            </w:pPr>
          </w:p>
        </w:tc>
      </w:tr>
      <w:tr>
        <w:trPr>
          <w:trHeight w:val="144"/>
        </w:trPr>
        <w:tc>
          <w:tcPr>
            <w:tcW w:w="620" w:type="dxa"/>
            <w:vAlign w:val="bottom"/>
            <w:tcBorders>
              <w:left w:val="single" w:sz="8" w:color="auto"/>
              <w:bottom w:val="single" w:sz="8" w:color="auto"/>
              <w:right w:val="single" w:sz="8" w:color="auto"/>
            </w:tcBorders>
          </w:tcPr>
          <w:p>
            <w:pPr>
              <w:spacing w:after="0"/>
              <w:rPr>
                <w:sz w:val="12"/>
                <w:szCs w:val="12"/>
                <w:color w:val="auto"/>
              </w:rPr>
            </w:pPr>
          </w:p>
        </w:tc>
        <w:tc>
          <w:tcPr>
            <w:tcW w:w="3600" w:type="dxa"/>
            <w:vAlign w:val="bottom"/>
            <w:tcBorders>
              <w:bottom w:val="single" w:sz="8" w:color="auto"/>
              <w:right w:val="single" w:sz="8" w:color="auto"/>
            </w:tcBorders>
          </w:tcPr>
          <w:p>
            <w:pPr>
              <w:spacing w:after="0"/>
              <w:rPr>
                <w:sz w:val="12"/>
                <w:szCs w:val="12"/>
                <w:color w:val="auto"/>
              </w:rPr>
            </w:pPr>
          </w:p>
        </w:tc>
        <w:tc>
          <w:tcPr>
            <w:tcW w:w="1360" w:type="dxa"/>
            <w:vAlign w:val="bottom"/>
            <w:tcBorders>
              <w:bottom w:val="single" w:sz="8" w:color="auto"/>
              <w:right w:val="single" w:sz="8" w:color="auto"/>
            </w:tcBorders>
          </w:tcPr>
          <w:p>
            <w:pPr>
              <w:spacing w:after="0"/>
              <w:rPr>
                <w:sz w:val="12"/>
                <w:szCs w:val="12"/>
                <w:color w:val="auto"/>
              </w:rPr>
            </w:pPr>
          </w:p>
        </w:tc>
        <w:tc>
          <w:tcPr>
            <w:tcW w:w="1520" w:type="dxa"/>
            <w:vAlign w:val="bottom"/>
            <w:tcBorders>
              <w:bottom w:val="single" w:sz="8" w:color="auto"/>
              <w:right w:val="single" w:sz="8" w:color="auto"/>
            </w:tcBorders>
          </w:tcPr>
          <w:p>
            <w:pPr>
              <w:spacing w:after="0"/>
              <w:rPr>
                <w:sz w:val="12"/>
                <w:szCs w:val="12"/>
                <w:color w:val="auto"/>
              </w:rPr>
            </w:pPr>
          </w:p>
        </w:tc>
        <w:tc>
          <w:tcPr>
            <w:tcW w:w="1540" w:type="dxa"/>
            <w:vAlign w:val="bottom"/>
            <w:tcBorders>
              <w:bottom w:val="single" w:sz="8" w:color="auto"/>
              <w:right w:val="single" w:sz="8" w:color="auto"/>
            </w:tcBorders>
          </w:tcPr>
          <w:p>
            <w:pPr>
              <w:spacing w:after="0"/>
              <w:rPr>
                <w:sz w:val="12"/>
                <w:szCs w:val="12"/>
                <w:color w:val="auto"/>
              </w:rPr>
            </w:pPr>
          </w:p>
        </w:tc>
      </w:tr>
      <w:tr>
        <w:trPr>
          <w:trHeight w:val="258"/>
        </w:trPr>
        <w:tc>
          <w:tcPr>
            <w:tcW w:w="620" w:type="dxa"/>
            <w:vAlign w:val="bottom"/>
            <w:tcBorders>
              <w:left w:val="single" w:sz="8" w:color="auto"/>
              <w:right w:val="single" w:sz="8" w:color="auto"/>
            </w:tcBorders>
          </w:tcPr>
          <w:p>
            <w:pPr>
              <w:spacing w:after="0"/>
              <w:rPr>
                <w:sz w:val="22"/>
                <w:szCs w:val="22"/>
                <w:color w:val="auto"/>
              </w:rPr>
            </w:pPr>
          </w:p>
        </w:tc>
        <w:tc>
          <w:tcPr>
            <w:tcW w:w="3600" w:type="dxa"/>
            <w:vAlign w:val="bottom"/>
            <w:tcBorders>
              <w:right w:val="single" w:sz="8" w:color="auto"/>
            </w:tcBorders>
          </w:tcPr>
          <w:p>
            <w:pPr>
              <w:ind w:left="40"/>
              <w:spacing w:after="0" w:line="258" w:lineRule="exact"/>
              <w:rPr>
                <w:sz w:val="20"/>
                <w:szCs w:val="20"/>
                <w:color w:val="auto"/>
              </w:rPr>
            </w:pPr>
            <w:r>
              <w:rPr>
                <w:rFonts w:ascii="Times New Roman" w:cs="Times New Roman" w:eastAsia="Times New Roman" w:hAnsi="Times New Roman"/>
                <w:sz w:val="24"/>
                <w:szCs w:val="24"/>
                <w:color w:val="auto"/>
              </w:rPr>
              <w:t>Domestic Financial Institutions</w:t>
            </w:r>
          </w:p>
        </w:tc>
        <w:tc>
          <w:tcPr>
            <w:tcW w:w="1360" w:type="dxa"/>
            <w:vAlign w:val="bottom"/>
            <w:tcBorders>
              <w:right w:val="single" w:sz="8" w:color="auto"/>
            </w:tcBorders>
          </w:tcPr>
          <w:p>
            <w:pPr>
              <w:spacing w:after="0"/>
              <w:rPr>
                <w:sz w:val="22"/>
                <w:szCs w:val="22"/>
                <w:color w:val="auto"/>
              </w:rPr>
            </w:pPr>
          </w:p>
        </w:tc>
        <w:tc>
          <w:tcPr>
            <w:tcW w:w="1520" w:type="dxa"/>
            <w:vAlign w:val="bottom"/>
            <w:tcBorders>
              <w:right w:val="single" w:sz="8" w:color="auto"/>
            </w:tcBorders>
          </w:tcPr>
          <w:p>
            <w:pPr>
              <w:spacing w:after="0"/>
              <w:rPr>
                <w:sz w:val="22"/>
                <w:szCs w:val="22"/>
                <w:color w:val="auto"/>
              </w:rPr>
            </w:pPr>
          </w:p>
        </w:tc>
        <w:tc>
          <w:tcPr>
            <w:tcW w:w="1540" w:type="dxa"/>
            <w:vAlign w:val="bottom"/>
            <w:tcBorders>
              <w:right w:val="single" w:sz="8" w:color="auto"/>
            </w:tcBorders>
          </w:tcPr>
          <w:p>
            <w:pPr>
              <w:spacing w:after="0"/>
              <w:rPr>
                <w:sz w:val="22"/>
                <w:szCs w:val="22"/>
                <w:color w:val="auto"/>
              </w:rPr>
            </w:pPr>
          </w:p>
        </w:tc>
      </w:tr>
      <w:tr>
        <w:trPr>
          <w:trHeight w:val="415"/>
        </w:trPr>
        <w:tc>
          <w:tcPr>
            <w:tcW w:w="620" w:type="dxa"/>
            <w:vAlign w:val="bottom"/>
            <w:tcBorders>
              <w:left w:val="single" w:sz="8" w:color="auto"/>
              <w:right w:val="single" w:sz="8" w:color="auto"/>
            </w:tcBorders>
          </w:tcPr>
          <w:p>
            <w:pPr>
              <w:spacing w:after="0"/>
              <w:rPr>
                <w:sz w:val="24"/>
                <w:szCs w:val="24"/>
                <w:color w:val="auto"/>
              </w:rPr>
            </w:pPr>
          </w:p>
        </w:tc>
        <w:tc>
          <w:tcPr>
            <w:tcW w:w="36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4"/>
                <w:szCs w:val="24"/>
                <w:color w:val="auto"/>
              </w:rPr>
              <w:t>(Banks/FIs/Insurance Companies,</w:t>
            </w:r>
          </w:p>
        </w:tc>
        <w:tc>
          <w:tcPr>
            <w:tcW w:w="1360" w:type="dxa"/>
            <w:vAlign w:val="bottom"/>
            <w:tcBorders>
              <w:right w:val="single" w:sz="8" w:color="auto"/>
            </w:tcBorders>
          </w:tcPr>
          <w:p>
            <w:pPr>
              <w:spacing w:after="0"/>
              <w:rPr>
                <w:sz w:val="24"/>
                <w:szCs w:val="24"/>
                <w:color w:val="auto"/>
              </w:rPr>
            </w:pPr>
          </w:p>
        </w:tc>
        <w:tc>
          <w:tcPr>
            <w:tcW w:w="1520" w:type="dxa"/>
            <w:vAlign w:val="bottom"/>
            <w:tcBorders>
              <w:right w:val="single" w:sz="8" w:color="auto"/>
            </w:tcBorders>
          </w:tcPr>
          <w:p>
            <w:pPr>
              <w:spacing w:after="0"/>
              <w:rPr>
                <w:sz w:val="24"/>
                <w:szCs w:val="24"/>
                <w:color w:val="auto"/>
              </w:rPr>
            </w:pPr>
          </w:p>
        </w:tc>
        <w:tc>
          <w:tcPr>
            <w:tcW w:w="1540" w:type="dxa"/>
            <w:vAlign w:val="bottom"/>
            <w:tcBorders>
              <w:right w:val="single" w:sz="8" w:color="auto"/>
            </w:tcBorders>
          </w:tcPr>
          <w:p>
            <w:pPr>
              <w:spacing w:after="0"/>
              <w:rPr>
                <w:sz w:val="24"/>
                <w:szCs w:val="24"/>
                <w:color w:val="auto"/>
              </w:rPr>
            </w:pPr>
          </w:p>
        </w:tc>
      </w:tr>
      <w:tr>
        <w:trPr>
          <w:trHeight w:val="413"/>
        </w:trPr>
        <w:tc>
          <w:tcPr>
            <w:tcW w:w="620" w:type="dxa"/>
            <w:vAlign w:val="bottom"/>
            <w:tcBorders>
              <w:left w:val="single" w:sz="8" w:color="auto"/>
              <w:right w:val="single" w:sz="8" w:color="auto"/>
            </w:tcBorders>
          </w:tcPr>
          <w:p>
            <w:pPr>
              <w:spacing w:after="0"/>
              <w:rPr>
                <w:sz w:val="24"/>
                <w:szCs w:val="24"/>
                <w:color w:val="auto"/>
              </w:rPr>
            </w:pPr>
          </w:p>
        </w:tc>
        <w:tc>
          <w:tcPr>
            <w:tcW w:w="36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4"/>
                <w:szCs w:val="24"/>
                <w:color w:val="auto"/>
              </w:rPr>
              <w:t>etc.)</w:t>
            </w:r>
          </w:p>
        </w:tc>
        <w:tc>
          <w:tcPr>
            <w:tcW w:w="1360" w:type="dxa"/>
            <w:vAlign w:val="bottom"/>
            <w:tcBorders>
              <w:right w:val="single" w:sz="8" w:color="auto"/>
            </w:tcBorders>
          </w:tcPr>
          <w:p>
            <w:pPr>
              <w:spacing w:after="0"/>
              <w:rPr>
                <w:sz w:val="24"/>
                <w:szCs w:val="24"/>
                <w:color w:val="auto"/>
              </w:rPr>
            </w:pPr>
          </w:p>
        </w:tc>
        <w:tc>
          <w:tcPr>
            <w:tcW w:w="1520" w:type="dxa"/>
            <w:vAlign w:val="bottom"/>
            <w:tcBorders>
              <w:right w:val="single" w:sz="8" w:color="auto"/>
            </w:tcBorders>
          </w:tcPr>
          <w:p>
            <w:pPr>
              <w:spacing w:after="0"/>
              <w:rPr>
                <w:sz w:val="24"/>
                <w:szCs w:val="24"/>
                <w:color w:val="auto"/>
              </w:rPr>
            </w:pPr>
          </w:p>
        </w:tc>
        <w:tc>
          <w:tcPr>
            <w:tcW w:w="1540" w:type="dxa"/>
            <w:vAlign w:val="bottom"/>
            <w:tcBorders>
              <w:right w:val="single" w:sz="8" w:color="auto"/>
            </w:tcBorders>
          </w:tcPr>
          <w:p>
            <w:pPr>
              <w:spacing w:after="0"/>
              <w:rPr>
                <w:sz w:val="24"/>
                <w:szCs w:val="24"/>
                <w:color w:val="auto"/>
              </w:rPr>
            </w:pPr>
          </w:p>
        </w:tc>
      </w:tr>
      <w:tr>
        <w:trPr>
          <w:trHeight w:val="147"/>
        </w:trPr>
        <w:tc>
          <w:tcPr>
            <w:tcW w:w="620" w:type="dxa"/>
            <w:vAlign w:val="bottom"/>
            <w:tcBorders>
              <w:left w:val="single" w:sz="8" w:color="auto"/>
              <w:bottom w:val="single" w:sz="8" w:color="auto"/>
              <w:right w:val="single" w:sz="8" w:color="auto"/>
            </w:tcBorders>
          </w:tcPr>
          <w:p>
            <w:pPr>
              <w:spacing w:after="0"/>
              <w:rPr>
                <w:sz w:val="12"/>
                <w:szCs w:val="12"/>
                <w:color w:val="auto"/>
              </w:rPr>
            </w:pPr>
          </w:p>
        </w:tc>
        <w:tc>
          <w:tcPr>
            <w:tcW w:w="3600" w:type="dxa"/>
            <w:vAlign w:val="bottom"/>
            <w:tcBorders>
              <w:bottom w:val="single" w:sz="8" w:color="auto"/>
              <w:right w:val="single" w:sz="8" w:color="auto"/>
            </w:tcBorders>
          </w:tcPr>
          <w:p>
            <w:pPr>
              <w:spacing w:after="0"/>
              <w:rPr>
                <w:sz w:val="12"/>
                <w:szCs w:val="12"/>
                <w:color w:val="auto"/>
              </w:rPr>
            </w:pPr>
          </w:p>
        </w:tc>
        <w:tc>
          <w:tcPr>
            <w:tcW w:w="1360" w:type="dxa"/>
            <w:vAlign w:val="bottom"/>
            <w:tcBorders>
              <w:bottom w:val="single" w:sz="8" w:color="auto"/>
              <w:right w:val="single" w:sz="8" w:color="auto"/>
            </w:tcBorders>
          </w:tcPr>
          <w:p>
            <w:pPr>
              <w:spacing w:after="0"/>
              <w:rPr>
                <w:sz w:val="12"/>
                <w:szCs w:val="12"/>
                <w:color w:val="auto"/>
              </w:rPr>
            </w:pPr>
          </w:p>
        </w:tc>
        <w:tc>
          <w:tcPr>
            <w:tcW w:w="1520" w:type="dxa"/>
            <w:vAlign w:val="bottom"/>
            <w:tcBorders>
              <w:bottom w:val="single" w:sz="8" w:color="auto"/>
              <w:right w:val="single" w:sz="8" w:color="auto"/>
            </w:tcBorders>
          </w:tcPr>
          <w:p>
            <w:pPr>
              <w:spacing w:after="0"/>
              <w:rPr>
                <w:sz w:val="12"/>
                <w:szCs w:val="12"/>
                <w:color w:val="auto"/>
              </w:rPr>
            </w:pPr>
          </w:p>
        </w:tc>
        <w:tc>
          <w:tcPr>
            <w:tcW w:w="1540" w:type="dxa"/>
            <w:vAlign w:val="bottom"/>
            <w:tcBorders>
              <w:bottom w:val="single" w:sz="8" w:color="auto"/>
              <w:right w:val="single" w:sz="8" w:color="auto"/>
            </w:tcBorders>
          </w:tcPr>
          <w:p>
            <w:pPr>
              <w:spacing w:after="0"/>
              <w:rPr>
                <w:sz w:val="12"/>
                <w:szCs w:val="12"/>
                <w:color w:val="auto"/>
              </w:rPr>
            </w:pPr>
          </w:p>
        </w:tc>
      </w:tr>
      <w:tr>
        <w:trPr>
          <w:trHeight w:val="258"/>
        </w:trPr>
        <w:tc>
          <w:tcPr>
            <w:tcW w:w="620" w:type="dxa"/>
            <w:vAlign w:val="bottom"/>
            <w:tcBorders>
              <w:left w:val="single" w:sz="8" w:color="auto"/>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(b)</w:t>
            </w:r>
          </w:p>
        </w:tc>
        <w:tc>
          <w:tcPr>
            <w:tcW w:w="3600" w:type="dxa"/>
            <w:vAlign w:val="bottom"/>
            <w:tcBorders>
              <w:right w:val="single" w:sz="8" w:color="auto"/>
            </w:tcBorders>
          </w:tcPr>
          <w:p>
            <w:pPr>
              <w:ind w:left="40"/>
              <w:spacing w:after="0" w:line="258" w:lineRule="exact"/>
              <w:rPr>
                <w:sz w:val="20"/>
                <w:szCs w:val="20"/>
                <w:color w:val="auto"/>
              </w:rPr>
            </w:pPr>
            <w:r>
              <w:rPr>
                <w:rFonts w:ascii="Times New Roman" w:cs="Times New Roman" w:eastAsia="Times New Roman" w:hAnsi="Times New Roman"/>
                <w:sz w:val="24"/>
                <w:szCs w:val="24"/>
                <w:color w:val="auto"/>
              </w:rPr>
              <w:t>Mutual Funds</w:t>
            </w:r>
          </w:p>
        </w:tc>
        <w:tc>
          <w:tcPr>
            <w:tcW w:w="1360" w:type="dxa"/>
            <w:vAlign w:val="bottom"/>
            <w:tcBorders>
              <w:right w:val="single" w:sz="8" w:color="auto"/>
            </w:tcBorders>
          </w:tcPr>
          <w:p>
            <w:pPr>
              <w:spacing w:after="0"/>
              <w:rPr>
                <w:sz w:val="22"/>
                <w:szCs w:val="22"/>
                <w:color w:val="auto"/>
              </w:rPr>
            </w:pPr>
          </w:p>
        </w:tc>
        <w:tc>
          <w:tcPr>
            <w:tcW w:w="1520" w:type="dxa"/>
            <w:vAlign w:val="bottom"/>
            <w:tcBorders>
              <w:right w:val="single" w:sz="8" w:color="auto"/>
            </w:tcBorders>
          </w:tcPr>
          <w:p>
            <w:pPr>
              <w:spacing w:after="0"/>
              <w:rPr>
                <w:sz w:val="22"/>
                <w:szCs w:val="22"/>
                <w:color w:val="auto"/>
              </w:rPr>
            </w:pPr>
          </w:p>
        </w:tc>
        <w:tc>
          <w:tcPr>
            <w:tcW w:w="1540" w:type="dxa"/>
            <w:vAlign w:val="bottom"/>
            <w:tcBorders>
              <w:right w:val="single" w:sz="8" w:color="auto"/>
            </w:tcBorders>
          </w:tcPr>
          <w:p>
            <w:pPr>
              <w:spacing w:after="0"/>
              <w:rPr>
                <w:sz w:val="22"/>
                <w:szCs w:val="22"/>
                <w:color w:val="auto"/>
              </w:rPr>
            </w:pPr>
          </w:p>
        </w:tc>
      </w:tr>
      <w:tr>
        <w:trPr>
          <w:trHeight w:val="144"/>
        </w:trPr>
        <w:tc>
          <w:tcPr>
            <w:tcW w:w="620" w:type="dxa"/>
            <w:vAlign w:val="bottom"/>
            <w:tcBorders>
              <w:left w:val="single" w:sz="8" w:color="auto"/>
              <w:bottom w:val="single" w:sz="8" w:color="auto"/>
              <w:right w:val="single" w:sz="8" w:color="auto"/>
            </w:tcBorders>
          </w:tcPr>
          <w:p>
            <w:pPr>
              <w:spacing w:after="0"/>
              <w:rPr>
                <w:sz w:val="12"/>
                <w:szCs w:val="12"/>
                <w:color w:val="auto"/>
              </w:rPr>
            </w:pPr>
          </w:p>
        </w:tc>
        <w:tc>
          <w:tcPr>
            <w:tcW w:w="3600" w:type="dxa"/>
            <w:vAlign w:val="bottom"/>
            <w:tcBorders>
              <w:bottom w:val="single" w:sz="8" w:color="auto"/>
              <w:right w:val="single" w:sz="8" w:color="auto"/>
            </w:tcBorders>
          </w:tcPr>
          <w:p>
            <w:pPr>
              <w:spacing w:after="0"/>
              <w:rPr>
                <w:sz w:val="12"/>
                <w:szCs w:val="12"/>
                <w:color w:val="auto"/>
              </w:rPr>
            </w:pPr>
          </w:p>
        </w:tc>
        <w:tc>
          <w:tcPr>
            <w:tcW w:w="1360" w:type="dxa"/>
            <w:vAlign w:val="bottom"/>
            <w:tcBorders>
              <w:bottom w:val="single" w:sz="8" w:color="auto"/>
              <w:right w:val="single" w:sz="8" w:color="auto"/>
            </w:tcBorders>
          </w:tcPr>
          <w:p>
            <w:pPr>
              <w:spacing w:after="0"/>
              <w:rPr>
                <w:sz w:val="12"/>
                <w:szCs w:val="12"/>
                <w:color w:val="auto"/>
              </w:rPr>
            </w:pPr>
          </w:p>
        </w:tc>
        <w:tc>
          <w:tcPr>
            <w:tcW w:w="1520" w:type="dxa"/>
            <w:vAlign w:val="bottom"/>
            <w:tcBorders>
              <w:bottom w:val="single" w:sz="8" w:color="auto"/>
              <w:right w:val="single" w:sz="8" w:color="auto"/>
            </w:tcBorders>
          </w:tcPr>
          <w:p>
            <w:pPr>
              <w:spacing w:after="0"/>
              <w:rPr>
                <w:sz w:val="12"/>
                <w:szCs w:val="12"/>
                <w:color w:val="auto"/>
              </w:rPr>
            </w:pPr>
          </w:p>
        </w:tc>
        <w:tc>
          <w:tcPr>
            <w:tcW w:w="1540" w:type="dxa"/>
            <w:vAlign w:val="bottom"/>
            <w:tcBorders>
              <w:bottom w:val="single" w:sz="8" w:color="auto"/>
              <w:right w:val="single" w:sz="8" w:color="auto"/>
            </w:tcBorders>
          </w:tcPr>
          <w:p>
            <w:pPr>
              <w:spacing w:after="0"/>
              <w:rPr>
                <w:sz w:val="12"/>
                <w:szCs w:val="12"/>
                <w:color w:val="auto"/>
              </w:rPr>
            </w:pPr>
          </w:p>
        </w:tc>
      </w:tr>
      <w:tr>
        <w:trPr>
          <w:trHeight w:val="260"/>
        </w:trPr>
        <w:tc>
          <w:tcPr>
            <w:tcW w:w="620" w:type="dxa"/>
            <w:vAlign w:val="bottom"/>
            <w:tcBorders>
              <w:left w:val="single" w:sz="8" w:color="auto"/>
              <w:right w:val="single" w:sz="8" w:color="auto"/>
            </w:tcBorders>
          </w:tcPr>
          <w:p>
            <w:pPr>
              <w:jc w:val="right"/>
              <w:spacing w:after="0" w:line="260" w:lineRule="exact"/>
              <w:rPr>
                <w:sz w:val="20"/>
                <w:szCs w:val="20"/>
                <w:color w:val="auto"/>
              </w:rPr>
            </w:pPr>
            <w:r>
              <w:rPr>
                <w:rFonts w:ascii="Times New Roman" w:cs="Times New Roman" w:eastAsia="Times New Roman" w:hAnsi="Times New Roman"/>
                <w:sz w:val="24"/>
                <w:szCs w:val="24"/>
                <w:color w:val="auto"/>
              </w:rPr>
              <w:t>(c)</w:t>
            </w:r>
          </w:p>
        </w:tc>
        <w:tc>
          <w:tcPr>
            <w:tcW w:w="3600" w:type="dxa"/>
            <w:vAlign w:val="bottom"/>
            <w:tcBorders>
              <w:right w:val="single" w:sz="8" w:color="auto"/>
            </w:tcBorders>
          </w:tcPr>
          <w:p>
            <w:pPr>
              <w:ind w:left="40"/>
              <w:spacing w:after="0" w:line="260" w:lineRule="exact"/>
              <w:rPr>
                <w:sz w:val="20"/>
                <w:szCs w:val="20"/>
                <w:color w:val="auto"/>
              </w:rPr>
            </w:pPr>
            <w:r>
              <w:rPr>
                <w:rFonts w:ascii="Times New Roman" w:cs="Times New Roman" w:eastAsia="Times New Roman" w:hAnsi="Times New Roman"/>
                <w:sz w:val="24"/>
                <w:szCs w:val="24"/>
                <w:color w:val="auto"/>
              </w:rPr>
              <w:t>Others</w:t>
            </w:r>
          </w:p>
        </w:tc>
        <w:tc>
          <w:tcPr>
            <w:tcW w:w="1360" w:type="dxa"/>
            <w:vAlign w:val="bottom"/>
            <w:tcBorders>
              <w:right w:val="single" w:sz="8" w:color="auto"/>
            </w:tcBorders>
          </w:tcPr>
          <w:p>
            <w:pPr>
              <w:spacing w:after="0"/>
              <w:rPr>
                <w:sz w:val="22"/>
                <w:szCs w:val="22"/>
                <w:color w:val="auto"/>
              </w:rPr>
            </w:pPr>
          </w:p>
        </w:tc>
        <w:tc>
          <w:tcPr>
            <w:tcW w:w="1520" w:type="dxa"/>
            <w:vAlign w:val="bottom"/>
            <w:tcBorders>
              <w:right w:val="single" w:sz="8" w:color="auto"/>
            </w:tcBorders>
          </w:tcPr>
          <w:p>
            <w:pPr>
              <w:spacing w:after="0"/>
              <w:rPr>
                <w:sz w:val="22"/>
                <w:szCs w:val="22"/>
                <w:color w:val="auto"/>
              </w:rPr>
            </w:pPr>
          </w:p>
        </w:tc>
        <w:tc>
          <w:tcPr>
            <w:tcW w:w="1540" w:type="dxa"/>
            <w:vAlign w:val="bottom"/>
            <w:tcBorders>
              <w:right w:val="single" w:sz="8" w:color="auto"/>
            </w:tcBorders>
          </w:tcPr>
          <w:p>
            <w:pPr>
              <w:spacing w:after="0"/>
              <w:rPr>
                <w:sz w:val="22"/>
                <w:szCs w:val="22"/>
                <w:color w:val="auto"/>
              </w:rPr>
            </w:pPr>
          </w:p>
        </w:tc>
      </w:tr>
      <w:tr>
        <w:trPr>
          <w:trHeight w:val="144"/>
        </w:trPr>
        <w:tc>
          <w:tcPr>
            <w:tcW w:w="620" w:type="dxa"/>
            <w:vAlign w:val="bottom"/>
            <w:tcBorders>
              <w:left w:val="single" w:sz="8" w:color="auto"/>
              <w:bottom w:val="single" w:sz="8" w:color="auto"/>
              <w:right w:val="single" w:sz="8" w:color="auto"/>
            </w:tcBorders>
          </w:tcPr>
          <w:p>
            <w:pPr>
              <w:spacing w:after="0"/>
              <w:rPr>
                <w:sz w:val="12"/>
                <w:szCs w:val="12"/>
                <w:color w:val="auto"/>
              </w:rPr>
            </w:pPr>
          </w:p>
        </w:tc>
        <w:tc>
          <w:tcPr>
            <w:tcW w:w="3600" w:type="dxa"/>
            <w:vAlign w:val="bottom"/>
            <w:tcBorders>
              <w:bottom w:val="single" w:sz="8" w:color="auto"/>
              <w:right w:val="single" w:sz="8" w:color="auto"/>
            </w:tcBorders>
          </w:tcPr>
          <w:p>
            <w:pPr>
              <w:spacing w:after="0"/>
              <w:rPr>
                <w:sz w:val="12"/>
                <w:szCs w:val="12"/>
                <w:color w:val="auto"/>
              </w:rPr>
            </w:pPr>
          </w:p>
        </w:tc>
        <w:tc>
          <w:tcPr>
            <w:tcW w:w="1360" w:type="dxa"/>
            <w:vAlign w:val="bottom"/>
            <w:tcBorders>
              <w:bottom w:val="single" w:sz="8" w:color="auto"/>
              <w:right w:val="single" w:sz="8" w:color="auto"/>
            </w:tcBorders>
          </w:tcPr>
          <w:p>
            <w:pPr>
              <w:spacing w:after="0"/>
              <w:rPr>
                <w:sz w:val="12"/>
                <w:szCs w:val="12"/>
                <w:color w:val="auto"/>
              </w:rPr>
            </w:pPr>
          </w:p>
        </w:tc>
        <w:tc>
          <w:tcPr>
            <w:tcW w:w="1520" w:type="dxa"/>
            <w:vAlign w:val="bottom"/>
            <w:tcBorders>
              <w:bottom w:val="single" w:sz="8" w:color="auto"/>
              <w:right w:val="single" w:sz="8" w:color="auto"/>
            </w:tcBorders>
          </w:tcPr>
          <w:p>
            <w:pPr>
              <w:spacing w:after="0"/>
              <w:rPr>
                <w:sz w:val="12"/>
                <w:szCs w:val="12"/>
                <w:color w:val="auto"/>
              </w:rPr>
            </w:pPr>
          </w:p>
        </w:tc>
        <w:tc>
          <w:tcPr>
            <w:tcW w:w="1540" w:type="dxa"/>
            <w:vAlign w:val="bottom"/>
            <w:tcBorders>
              <w:bottom w:val="single" w:sz="8" w:color="auto"/>
              <w:right w:val="single" w:sz="8" w:color="auto"/>
            </w:tcBorders>
          </w:tcPr>
          <w:p>
            <w:pPr>
              <w:spacing w:after="0"/>
              <w:rPr>
                <w:sz w:val="12"/>
                <w:szCs w:val="12"/>
                <w:color w:val="auto"/>
              </w:rPr>
            </w:pPr>
          </w:p>
        </w:tc>
      </w:tr>
      <w:tr>
        <w:trPr>
          <w:trHeight w:val="259"/>
        </w:trPr>
        <w:tc>
          <w:tcPr>
            <w:tcW w:w="620" w:type="dxa"/>
            <w:vAlign w:val="bottom"/>
            <w:tcBorders>
              <w:left w:val="single" w:sz="8" w:color="auto"/>
              <w:right w:val="single" w:sz="8" w:color="auto"/>
            </w:tcBorders>
          </w:tcPr>
          <w:p>
            <w:pPr>
              <w:jc w:val="right"/>
              <w:ind w:right="260"/>
              <w:spacing w:after="0" w:line="258" w:lineRule="exact"/>
              <w:rPr>
                <w:sz w:val="20"/>
                <w:szCs w:val="20"/>
                <w:color w:val="auto"/>
              </w:rPr>
            </w:pPr>
            <w:r>
              <w:rPr>
                <w:rFonts w:ascii="Times New Roman" w:cs="Times New Roman" w:eastAsia="Times New Roman" w:hAnsi="Times New Roman"/>
                <w:sz w:val="24"/>
                <w:szCs w:val="24"/>
                <w:color w:val="auto"/>
              </w:rPr>
              <w:t>2.</w:t>
            </w:r>
          </w:p>
        </w:tc>
        <w:tc>
          <w:tcPr>
            <w:tcW w:w="3600" w:type="dxa"/>
            <w:vAlign w:val="bottom"/>
            <w:tcBorders>
              <w:right w:val="single" w:sz="8" w:color="auto"/>
            </w:tcBorders>
          </w:tcPr>
          <w:p>
            <w:pPr>
              <w:ind w:left="40"/>
              <w:spacing w:after="0" w:line="258" w:lineRule="exact"/>
              <w:rPr>
                <w:sz w:val="20"/>
                <w:szCs w:val="20"/>
                <w:color w:val="auto"/>
              </w:rPr>
            </w:pPr>
            <w:r>
              <w:rPr>
                <w:rFonts w:ascii="Times New Roman" w:cs="Times New Roman" w:eastAsia="Times New Roman" w:hAnsi="Times New Roman"/>
                <w:sz w:val="24"/>
                <w:szCs w:val="24"/>
                <w:color w:val="auto"/>
              </w:rPr>
              <w:t>Non Institutional Investors</w:t>
            </w:r>
          </w:p>
        </w:tc>
        <w:tc>
          <w:tcPr>
            <w:tcW w:w="1360" w:type="dxa"/>
            <w:vAlign w:val="bottom"/>
            <w:tcBorders>
              <w:right w:val="single" w:sz="8" w:color="auto"/>
            </w:tcBorders>
          </w:tcPr>
          <w:p>
            <w:pPr>
              <w:spacing w:after="0"/>
              <w:rPr>
                <w:sz w:val="22"/>
                <w:szCs w:val="22"/>
                <w:color w:val="auto"/>
              </w:rPr>
            </w:pPr>
          </w:p>
        </w:tc>
        <w:tc>
          <w:tcPr>
            <w:tcW w:w="1520" w:type="dxa"/>
            <w:vAlign w:val="bottom"/>
            <w:tcBorders>
              <w:right w:val="single" w:sz="8" w:color="auto"/>
            </w:tcBorders>
          </w:tcPr>
          <w:p>
            <w:pPr>
              <w:spacing w:after="0"/>
              <w:rPr>
                <w:sz w:val="22"/>
                <w:szCs w:val="22"/>
                <w:color w:val="auto"/>
              </w:rPr>
            </w:pPr>
          </w:p>
        </w:tc>
        <w:tc>
          <w:tcPr>
            <w:tcW w:w="1540" w:type="dxa"/>
            <w:vAlign w:val="bottom"/>
            <w:tcBorders>
              <w:right w:val="single" w:sz="8" w:color="auto"/>
            </w:tcBorders>
          </w:tcPr>
          <w:p>
            <w:pPr>
              <w:spacing w:after="0"/>
              <w:rPr>
                <w:sz w:val="22"/>
                <w:szCs w:val="22"/>
                <w:color w:val="auto"/>
              </w:rPr>
            </w:pPr>
          </w:p>
        </w:tc>
      </w:tr>
      <w:tr>
        <w:trPr>
          <w:trHeight w:val="147"/>
        </w:trPr>
        <w:tc>
          <w:tcPr>
            <w:tcW w:w="620" w:type="dxa"/>
            <w:vAlign w:val="bottom"/>
            <w:tcBorders>
              <w:left w:val="single" w:sz="8" w:color="auto"/>
              <w:bottom w:val="single" w:sz="8" w:color="auto"/>
              <w:right w:val="single" w:sz="8" w:color="auto"/>
            </w:tcBorders>
          </w:tcPr>
          <w:p>
            <w:pPr>
              <w:spacing w:after="0"/>
              <w:rPr>
                <w:sz w:val="12"/>
                <w:szCs w:val="12"/>
                <w:color w:val="auto"/>
              </w:rPr>
            </w:pPr>
          </w:p>
        </w:tc>
        <w:tc>
          <w:tcPr>
            <w:tcW w:w="3600" w:type="dxa"/>
            <w:vAlign w:val="bottom"/>
            <w:tcBorders>
              <w:bottom w:val="single" w:sz="8" w:color="auto"/>
              <w:right w:val="single" w:sz="8" w:color="auto"/>
            </w:tcBorders>
          </w:tcPr>
          <w:p>
            <w:pPr>
              <w:spacing w:after="0"/>
              <w:rPr>
                <w:sz w:val="12"/>
                <w:szCs w:val="12"/>
                <w:color w:val="auto"/>
              </w:rPr>
            </w:pPr>
          </w:p>
        </w:tc>
        <w:tc>
          <w:tcPr>
            <w:tcW w:w="1360" w:type="dxa"/>
            <w:vAlign w:val="bottom"/>
            <w:tcBorders>
              <w:bottom w:val="single" w:sz="8" w:color="auto"/>
              <w:right w:val="single" w:sz="8" w:color="auto"/>
            </w:tcBorders>
          </w:tcPr>
          <w:p>
            <w:pPr>
              <w:spacing w:after="0"/>
              <w:rPr>
                <w:sz w:val="12"/>
                <w:szCs w:val="12"/>
                <w:color w:val="auto"/>
              </w:rPr>
            </w:pPr>
          </w:p>
        </w:tc>
        <w:tc>
          <w:tcPr>
            <w:tcW w:w="1520" w:type="dxa"/>
            <w:vAlign w:val="bottom"/>
            <w:tcBorders>
              <w:bottom w:val="single" w:sz="8" w:color="auto"/>
              <w:right w:val="single" w:sz="8" w:color="auto"/>
            </w:tcBorders>
          </w:tcPr>
          <w:p>
            <w:pPr>
              <w:spacing w:after="0"/>
              <w:rPr>
                <w:sz w:val="12"/>
                <w:szCs w:val="12"/>
                <w:color w:val="auto"/>
              </w:rPr>
            </w:pPr>
          </w:p>
        </w:tc>
        <w:tc>
          <w:tcPr>
            <w:tcW w:w="1540" w:type="dxa"/>
            <w:vAlign w:val="bottom"/>
            <w:tcBorders>
              <w:bottom w:val="single" w:sz="8" w:color="auto"/>
              <w:right w:val="single" w:sz="8" w:color="auto"/>
            </w:tcBorders>
          </w:tcPr>
          <w:p>
            <w:pPr>
              <w:spacing w:after="0"/>
              <w:rPr>
                <w:sz w:val="12"/>
                <w:szCs w:val="12"/>
                <w:color w:val="auto"/>
              </w:rPr>
            </w:pPr>
          </w:p>
        </w:tc>
      </w:tr>
      <w:tr>
        <w:trPr>
          <w:trHeight w:val="258"/>
        </w:trPr>
        <w:tc>
          <w:tcPr>
            <w:tcW w:w="620" w:type="dxa"/>
            <w:vAlign w:val="bottom"/>
            <w:tcBorders>
              <w:left w:val="single" w:sz="8" w:color="auto"/>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(a)</w:t>
            </w:r>
          </w:p>
        </w:tc>
        <w:tc>
          <w:tcPr>
            <w:tcW w:w="3600" w:type="dxa"/>
            <w:vAlign w:val="bottom"/>
            <w:tcBorders>
              <w:right w:val="single" w:sz="8" w:color="auto"/>
            </w:tcBorders>
          </w:tcPr>
          <w:p>
            <w:pPr>
              <w:ind w:left="40"/>
              <w:spacing w:after="0" w:line="258" w:lineRule="exact"/>
              <w:rPr>
                <w:sz w:val="20"/>
                <w:szCs w:val="20"/>
                <w:color w:val="auto"/>
              </w:rPr>
            </w:pPr>
            <w:r>
              <w:rPr>
                <w:rFonts w:ascii="Times New Roman" w:cs="Times New Roman" w:eastAsia="Times New Roman" w:hAnsi="Times New Roman"/>
                <w:sz w:val="24"/>
                <w:szCs w:val="24"/>
                <w:color w:val="auto"/>
              </w:rPr>
              <w:t>Corporates</w:t>
            </w:r>
          </w:p>
        </w:tc>
        <w:tc>
          <w:tcPr>
            <w:tcW w:w="1360" w:type="dxa"/>
            <w:vAlign w:val="bottom"/>
            <w:tcBorders>
              <w:right w:val="single" w:sz="8" w:color="auto"/>
            </w:tcBorders>
          </w:tcPr>
          <w:p>
            <w:pPr>
              <w:spacing w:after="0"/>
              <w:rPr>
                <w:sz w:val="22"/>
                <w:szCs w:val="22"/>
                <w:color w:val="auto"/>
              </w:rPr>
            </w:pPr>
          </w:p>
        </w:tc>
        <w:tc>
          <w:tcPr>
            <w:tcW w:w="1520" w:type="dxa"/>
            <w:vAlign w:val="bottom"/>
            <w:tcBorders>
              <w:right w:val="single" w:sz="8" w:color="auto"/>
            </w:tcBorders>
          </w:tcPr>
          <w:p>
            <w:pPr>
              <w:spacing w:after="0"/>
              <w:rPr>
                <w:sz w:val="22"/>
                <w:szCs w:val="22"/>
                <w:color w:val="auto"/>
              </w:rPr>
            </w:pPr>
          </w:p>
        </w:tc>
        <w:tc>
          <w:tcPr>
            <w:tcW w:w="1540" w:type="dxa"/>
            <w:vAlign w:val="bottom"/>
            <w:tcBorders>
              <w:right w:val="single" w:sz="8" w:color="auto"/>
            </w:tcBorders>
          </w:tcPr>
          <w:p>
            <w:pPr>
              <w:spacing w:after="0"/>
              <w:rPr>
                <w:sz w:val="22"/>
                <w:szCs w:val="22"/>
                <w:color w:val="auto"/>
              </w:rPr>
            </w:pPr>
          </w:p>
        </w:tc>
      </w:tr>
      <w:tr>
        <w:trPr>
          <w:trHeight w:val="144"/>
        </w:trPr>
        <w:tc>
          <w:tcPr>
            <w:tcW w:w="620" w:type="dxa"/>
            <w:vAlign w:val="bottom"/>
            <w:tcBorders>
              <w:left w:val="single" w:sz="8" w:color="auto"/>
              <w:bottom w:val="single" w:sz="8" w:color="auto"/>
              <w:right w:val="single" w:sz="8" w:color="auto"/>
            </w:tcBorders>
          </w:tcPr>
          <w:p>
            <w:pPr>
              <w:spacing w:after="0"/>
              <w:rPr>
                <w:sz w:val="12"/>
                <w:szCs w:val="12"/>
                <w:color w:val="auto"/>
              </w:rPr>
            </w:pPr>
          </w:p>
        </w:tc>
        <w:tc>
          <w:tcPr>
            <w:tcW w:w="3600" w:type="dxa"/>
            <w:vAlign w:val="bottom"/>
            <w:tcBorders>
              <w:bottom w:val="single" w:sz="8" w:color="auto"/>
              <w:right w:val="single" w:sz="8" w:color="auto"/>
            </w:tcBorders>
          </w:tcPr>
          <w:p>
            <w:pPr>
              <w:spacing w:after="0"/>
              <w:rPr>
                <w:sz w:val="12"/>
                <w:szCs w:val="12"/>
                <w:color w:val="auto"/>
              </w:rPr>
            </w:pPr>
          </w:p>
        </w:tc>
        <w:tc>
          <w:tcPr>
            <w:tcW w:w="1360" w:type="dxa"/>
            <w:vAlign w:val="bottom"/>
            <w:tcBorders>
              <w:bottom w:val="single" w:sz="8" w:color="auto"/>
              <w:right w:val="single" w:sz="8" w:color="auto"/>
            </w:tcBorders>
          </w:tcPr>
          <w:p>
            <w:pPr>
              <w:spacing w:after="0"/>
              <w:rPr>
                <w:sz w:val="12"/>
                <w:szCs w:val="12"/>
                <w:color w:val="auto"/>
              </w:rPr>
            </w:pPr>
          </w:p>
        </w:tc>
        <w:tc>
          <w:tcPr>
            <w:tcW w:w="1520" w:type="dxa"/>
            <w:vAlign w:val="bottom"/>
            <w:tcBorders>
              <w:bottom w:val="single" w:sz="8" w:color="auto"/>
              <w:right w:val="single" w:sz="8" w:color="auto"/>
            </w:tcBorders>
          </w:tcPr>
          <w:p>
            <w:pPr>
              <w:spacing w:after="0"/>
              <w:rPr>
                <w:sz w:val="12"/>
                <w:szCs w:val="12"/>
                <w:color w:val="auto"/>
              </w:rPr>
            </w:pPr>
          </w:p>
        </w:tc>
        <w:tc>
          <w:tcPr>
            <w:tcW w:w="1540" w:type="dxa"/>
            <w:vAlign w:val="bottom"/>
            <w:tcBorders>
              <w:bottom w:val="single" w:sz="8" w:color="auto"/>
              <w:right w:val="single" w:sz="8" w:color="auto"/>
            </w:tcBorders>
          </w:tcPr>
          <w:p>
            <w:pPr>
              <w:spacing w:after="0"/>
              <w:rPr>
                <w:sz w:val="12"/>
                <w:szCs w:val="12"/>
                <w:color w:val="auto"/>
              </w:rPr>
            </w:pPr>
          </w:p>
        </w:tc>
      </w:tr>
      <w:tr>
        <w:trPr>
          <w:trHeight w:val="258"/>
        </w:trPr>
        <w:tc>
          <w:tcPr>
            <w:tcW w:w="620" w:type="dxa"/>
            <w:vAlign w:val="bottom"/>
            <w:tcBorders>
              <w:left w:val="single" w:sz="8" w:color="auto"/>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(b)</w:t>
            </w:r>
          </w:p>
        </w:tc>
        <w:tc>
          <w:tcPr>
            <w:tcW w:w="3600" w:type="dxa"/>
            <w:vAlign w:val="bottom"/>
            <w:tcBorders>
              <w:right w:val="single" w:sz="8" w:color="auto"/>
            </w:tcBorders>
          </w:tcPr>
          <w:p>
            <w:pPr>
              <w:ind w:left="40"/>
              <w:spacing w:after="0" w:line="258" w:lineRule="exact"/>
              <w:rPr>
                <w:sz w:val="20"/>
                <w:szCs w:val="20"/>
                <w:color w:val="auto"/>
              </w:rPr>
            </w:pPr>
            <w:r>
              <w:rPr>
                <w:rFonts w:ascii="Times New Roman" w:cs="Times New Roman" w:eastAsia="Times New Roman" w:hAnsi="Times New Roman"/>
                <w:sz w:val="24"/>
                <w:szCs w:val="24"/>
                <w:color w:val="auto"/>
              </w:rPr>
              <w:t>Individuals (other than RIIs)</w:t>
            </w:r>
          </w:p>
        </w:tc>
        <w:tc>
          <w:tcPr>
            <w:tcW w:w="1360" w:type="dxa"/>
            <w:vAlign w:val="bottom"/>
            <w:tcBorders>
              <w:right w:val="single" w:sz="8" w:color="auto"/>
            </w:tcBorders>
          </w:tcPr>
          <w:p>
            <w:pPr>
              <w:spacing w:after="0"/>
              <w:rPr>
                <w:sz w:val="22"/>
                <w:szCs w:val="22"/>
                <w:color w:val="auto"/>
              </w:rPr>
            </w:pPr>
          </w:p>
        </w:tc>
        <w:tc>
          <w:tcPr>
            <w:tcW w:w="1520" w:type="dxa"/>
            <w:vAlign w:val="bottom"/>
            <w:tcBorders>
              <w:right w:val="single" w:sz="8" w:color="auto"/>
            </w:tcBorders>
          </w:tcPr>
          <w:p>
            <w:pPr>
              <w:spacing w:after="0"/>
              <w:rPr>
                <w:sz w:val="22"/>
                <w:szCs w:val="22"/>
                <w:color w:val="auto"/>
              </w:rPr>
            </w:pPr>
          </w:p>
        </w:tc>
        <w:tc>
          <w:tcPr>
            <w:tcW w:w="1540" w:type="dxa"/>
            <w:vAlign w:val="bottom"/>
            <w:tcBorders>
              <w:right w:val="single" w:sz="8" w:color="auto"/>
            </w:tcBorders>
          </w:tcPr>
          <w:p>
            <w:pPr>
              <w:spacing w:after="0"/>
              <w:rPr>
                <w:sz w:val="22"/>
                <w:szCs w:val="22"/>
                <w:color w:val="auto"/>
              </w:rPr>
            </w:pPr>
          </w:p>
        </w:tc>
      </w:tr>
      <w:tr>
        <w:trPr>
          <w:trHeight w:val="147"/>
        </w:trPr>
        <w:tc>
          <w:tcPr>
            <w:tcW w:w="620" w:type="dxa"/>
            <w:vAlign w:val="bottom"/>
            <w:tcBorders>
              <w:left w:val="single" w:sz="8" w:color="auto"/>
              <w:bottom w:val="single" w:sz="8" w:color="auto"/>
              <w:right w:val="single" w:sz="8" w:color="auto"/>
            </w:tcBorders>
          </w:tcPr>
          <w:p>
            <w:pPr>
              <w:spacing w:after="0"/>
              <w:rPr>
                <w:sz w:val="12"/>
                <w:szCs w:val="12"/>
                <w:color w:val="auto"/>
              </w:rPr>
            </w:pPr>
          </w:p>
        </w:tc>
        <w:tc>
          <w:tcPr>
            <w:tcW w:w="3600" w:type="dxa"/>
            <w:vAlign w:val="bottom"/>
            <w:tcBorders>
              <w:bottom w:val="single" w:sz="8" w:color="auto"/>
              <w:right w:val="single" w:sz="8" w:color="auto"/>
            </w:tcBorders>
          </w:tcPr>
          <w:p>
            <w:pPr>
              <w:spacing w:after="0"/>
              <w:rPr>
                <w:sz w:val="12"/>
                <w:szCs w:val="12"/>
                <w:color w:val="auto"/>
              </w:rPr>
            </w:pPr>
          </w:p>
        </w:tc>
        <w:tc>
          <w:tcPr>
            <w:tcW w:w="1360" w:type="dxa"/>
            <w:vAlign w:val="bottom"/>
            <w:tcBorders>
              <w:bottom w:val="single" w:sz="8" w:color="auto"/>
              <w:right w:val="single" w:sz="8" w:color="auto"/>
            </w:tcBorders>
          </w:tcPr>
          <w:p>
            <w:pPr>
              <w:spacing w:after="0"/>
              <w:rPr>
                <w:sz w:val="12"/>
                <w:szCs w:val="12"/>
                <w:color w:val="auto"/>
              </w:rPr>
            </w:pPr>
          </w:p>
        </w:tc>
        <w:tc>
          <w:tcPr>
            <w:tcW w:w="1520" w:type="dxa"/>
            <w:vAlign w:val="bottom"/>
            <w:tcBorders>
              <w:bottom w:val="single" w:sz="8" w:color="auto"/>
              <w:right w:val="single" w:sz="8" w:color="auto"/>
            </w:tcBorders>
          </w:tcPr>
          <w:p>
            <w:pPr>
              <w:spacing w:after="0"/>
              <w:rPr>
                <w:sz w:val="12"/>
                <w:szCs w:val="12"/>
                <w:color w:val="auto"/>
              </w:rPr>
            </w:pPr>
          </w:p>
        </w:tc>
        <w:tc>
          <w:tcPr>
            <w:tcW w:w="1540" w:type="dxa"/>
            <w:vAlign w:val="bottom"/>
            <w:tcBorders>
              <w:bottom w:val="single" w:sz="8" w:color="auto"/>
              <w:right w:val="single" w:sz="8" w:color="auto"/>
            </w:tcBorders>
          </w:tcPr>
          <w:p>
            <w:pPr>
              <w:spacing w:after="0"/>
              <w:rPr>
                <w:sz w:val="12"/>
                <w:szCs w:val="12"/>
                <w:color w:val="auto"/>
              </w:rPr>
            </w:pPr>
          </w:p>
        </w:tc>
      </w:tr>
      <w:tr>
        <w:trPr>
          <w:trHeight w:val="258"/>
        </w:trPr>
        <w:tc>
          <w:tcPr>
            <w:tcW w:w="620" w:type="dxa"/>
            <w:vAlign w:val="bottom"/>
            <w:tcBorders>
              <w:left w:val="single" w:sz="8" w:color="auto"/>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(c)</w:t>
            </w:r>
          </w:p>
        </w:tc>
        <w:tc>
          <w:tcPr>
            <w:tcW w:w="3600" w:type="dxa"/>
            <w:vAlign w:val="bottom"/>
            <w:tcBorders>
              <w:right w:val="single" w:sz="8" w:color="auto"/>
            </w:tcBorders>
          </w:tcPr>
          <w:p>
            <w:pPr>
              <w:ind w:left="40"/>
              <w:spacing w:after="0" w:line="258" w:lineRule="exact"/>
              <w:rPr>
                <w:sz w:val="20"/>
                <w:szCs w:val="20"/>
                <w:color w:val="auto"/>
              </w:rPr>
            </w:pPr>
            <w:r>
              <w:rPr>
                <w:rFonts w:ascii="Times New Roman" w:cs="Times New Roman" w:eastAsia="Times New Roman" w:hAnsi="Times New Roman"/>
                <w:sz w:val="24"/>
                <w:szCs w:val="24"/>
                <w:color w:val="auto"/>
              </w:rPr>
              <w:t>Others</w:t>
            </w:r>
          </w:p>
        </w:tc>
        <w:tc>
          <w:tcPr>
            <w:tcW w:w="1360" w:type="dxa"/>
            <w:vAlign w:val="bottom"/>
            <w:tcBorders>
              <w:right w:val="single" w:sz="8" w:color="auto"/>
            </w:tcBorders>
          </w:tcPr>
          <w:p>
            <w:pPr>
              <w:spacing w:after="0"/>
              <w:rPr>
                <w:sz w:val="22"/>
                <w:szCs w:val="22"/>
                <w:color w:val="auto"/>
              </w:rPr>
            </w:pPr>
          </w:p>
        </w:tc>
        <w:tc>
          <w:tcPr>
            <w:tcW w:w="1520" w:type="dxa"/>
            <w:vAlign w:val="bottom"/>
            <w:tcBorders>
              <w:right w:val="single" w:sz="8" w:color="auto"/>
            </w:tcBorders>
          </w:tcPr>
          <w:p>
            <w:pPr>
              <w:spacing w:after="0"/>
              <w:rPr>
                <w:sz w:val="22"/>
                <w:szCs w:val="22"/>
                <w:color w:val="auto"/>
              </w:rPr>
            </w:pPr>
          </w:p>
        </w:tc>
        <w:tc>
          <w:tcPr>
            <w:tcW w:w="1540" w:type="dxa"/>
            <w:vAlign w:val="bottom"/>
            <w:tcBorders>
              <w:right w:val="single" w:sz="8" w:color="auto"/>
            </w:tcBorders>
          </w:tcPr>
          <w:p>
            <w:pPr>
              <w:spacing w:after="0"/>
              <w:rPr>
                <w:sz w:val="22"/>
                <w:szCs w:val="22"/>
                <w:color w:val="auto"/>
              </w:rPr>
            </w:pPr>
          </w:p>
        </w:tc>
      </w:tr>
      <w:tr>
        <w:trPr>
          <w:trHeight w:val="147"/>
        </w:trPr>
        <w:tc>
          <w:tcPr>
            <w:tcW w:w="620" w:type="dxa"/>
            <w:vAlign w:val="bottom"/>
            <w:tcBorders>
              <w:left w:val="single" w:sz="8" w:color="auto"/>
              <w:bottom w:val="single" w:sz="8" w:color="auto"/>
              <w:right w:val="single" w:sz="8" w:color="auto"/>
            </w:tcBorders>
          </w:tcPr>
          <w:p>
            <w:pPr>
              <w:spacing w:after="0"/>
              <w:rPr>
                <w:sz w:val="12"/>
                <w:szCs w:val="12"/>
                <w:color w:val="auto"/>
              </w:rPr>
            </w:pPr>
          </w:p>
        </w:tc>
        <w:tc>
          <w:tcPr>
            <w:tcW w:w="3600" w:type="dxa"/>
            <w:vAlign w:val="bottom"/>
            <w:tcBorders>
              <w:bottom w:val="single" w:sz="8" w:color="auto"/>
              <w:right w:val="single" w:sz="8" w:color="auto"/>
            </w:tcBorders>
          </w:tcPr>
          <w:p>
            <w:pPr>
              <w:spacing w:after="0"/>
              <w:rPr>
                <w:sz w:val="12"/>
                <w:szCs w:val="12"/>
                <w:color w:val="auto"/>
              </w:rPr>
            </w:pPr>
          </w:p>
        </w:tc>
        <w:tc>
          <w:tcPr>
            <w:tcW w:w="1360" w:type="dxa"/>
            <w:vAlign w:val="bottom"/>
            <w:tcBorders>
              <w:bottom w:val="single" w:sz="8" w:color="auto"/>
              <w:right w:val="single" w:sz="8" w:color="auto"/>
            </w:tcBorders>
          </w:tcPr>
          <w:p>
            <w:pPr>
              <w:spacing w:after="0"/>
              <w:rPr>
                <w:sz w:val="12"/>
                <w:szCs w:val="12"/>
                <w:color w:val="auto"/>
              </w:rPr>
            </w:pPr>
          </w:p>
        </w:tc>
        <w:tc>
          <w:tcPr>
            <w:tcW w:w="1520" w:type="dxa"/>
            <w:vAlign w:val="bottom"/>
            <w:tcBorders>
              <w:bottom w:val="single" w:sz="8" w:color="auto"/>
              <w:right w:val="single" w:sz="8" w:color="auto"/>
            </w:tcBorders>
          </w:tcPr>
          <w:p>
            <w:pPr>
              <w:spacing w:after="0"/>
              <w:rPr>
                <w:sz w:val="12"/>
                <w:szCs w:val="12"/>
                <w:color w:val="auto"/>
              </w:rPr>
            </w:pPr>
          </w:p>
        </w:tc>
        <w:tc>
          <w:tcPr>
            <w:tcW w:w="1540" w:type="dxa"/>
            <w:vAlign w:val="bottom"/>
            <w:tcBorders>
              <w:bottom w:val="single" w:sz="8" w:color="auto"/>
              <w:right w:val="single" w:sz="8" w:color="auto"/>
            </w:tcBorders>
          </w:tcPr>
          <w:p>
            <w:pPr>
              <w:spacing w:after="0"/>
              <w:rPr>
                <w:sz w:val="12"/>
                <w:szCs w:val="12"/>
                <w:color w:val="auto"/>
              </w:rPr>
            </w:pPr>
          </w:p>
        </w:tc>
      </w:tr>
      <w:tr>
        <w:trPr>
          <w:trHeight w:val="258"/>
        </w:trPr>
        <w:tc>
          <w:tcPr>
            <w:tcW w:w="620" w:type="dxa"/>
            <w:vAlign w:val="bottom"/>
            <w:tcBorders>
              <w:left w:val="single" w:sz="8" w:color="auto"/>
              <w:right w:val="single" w:sz="8" w:color="auto"/>
            </w:tcBorders>
          </w:tcPr>
          <w:p>
            <w:pPr>
              <w:jc w:val="right"/>
              <w:ind w:right="260"/>
              <w:spacing w:after="0" w:line="258" w:lineRule="exact"/>
              <w:rPr>
                <w:sz w:val="20"/>
                <w:szCs w:val="20"/>
                <w:color w:val="auto"/>
              </w:rPr>
            </w:pPr>
            <w:r>
              <w:rPr>
                <w:rFonts w:ascii="Times New Roman" w:cs="Times New Roman" w:eastAsia="Times New Roman" w:hAnsi="Times New Roman"/>
                <w:sz w:val="24"/>
                <w:szCs w:val="24"/>
                <w:color w:val="auto"/>
              </w:rPr>
              <w:t>3.</w:t>
            </w:r>
          </w:p>
        </w:tc>
        <w:tc>
          <w:tcPr>
            <w:tcW w:w="3600" w:type="dxa"/>
            <w:vAlign w:val="bottom"/>
            <w:tcBorders>
              <w:right w:val="single" w:sz="8" w:color="auto"/>
            </w:tcBorders>
          </w:tcPr>
          <w:p>
            <w:pPr>
              <w:ind w:left="40"/>
              <w:spacing w:after="0" w:line="258" w:lineRule="exact"/>
              <w:rPr>
                <w:sz w:val="20"/>
                <w:szCs w:val="20"/>
                <w:color w:val="auto"/>
              </w:rPr>
            </w:pPr>
            <w:r>
              <w:rPr>
                <w:rFonts w:ascii="Times New Roman" w:cs="Times New Roman" w:eastAsia="Times New Roman" w:hAnsi="Times New Roman"/>
                <w:sz w:val="24"/>
                <w:szCs w:val="24"/>
                <w:color w:val="auto"/>
              </w:rPr>
              <w:t>Retail Individual Investors (RIIs)</w:t>
            </w:r>
          </w:p>
        </w:tc>
        <w:tc>
          <w:tcPr>
            <w:tcW w:w="1360" w:type="dxa"/>
            <w:vAlign w:val="bottom"/>
            <w:tcBorders>
              <w:right w:val="single" w:sz="8" w:color="auto"/>
            </w:tcBorders>
          </w:tcPr>
          <w:p>
            <w:pPr>
              <w:spacing w:after="0"/>
              <w:rPr>
                <w:sz w:val="22"/>
                <w:szCs w:val="22"/>
                <w:color w:val="auto"/>
              </w:rPr>
            </w:pPr>
          </w:p>
        </w:tc>
        <w:tc>
          <w:tcPr>
            <w:tcW w:w="1520" w:type="dxa"/>
            <w:vAlign w:val="bottom"/>
            <w:tcBorders>
              <w:right w:val="single" w:sz="8" w:color="auto"/>
            </w:tcBorders>
          </w:tcPr>
          <w:p>
            <w:pPr>
              <w:spacing w:after="0"/>
              <w:rPr>
                <w:sz w:val="22"/>
                <w:szCs w:val="22"/>
                <w:color w:val="auto"/>
              </w:rPr>
            </w:pPr>
          </w:p>
        </w:tc>
        <w:tc>
          <w:tcPr>
            <w:tcW w:w="1540" w:type="dxa"/>
            <w:vAlign w:val="bottom"/>
            <w:tcBorders>
              <w:right w:val="single" w:sz="8" w:color="auto"/>
            </w:tcBorders>
          </w:tcPr>
          <w:p>
            <w:pPr>
              <w:spacing w:after="0"/>
              <w:rPr>
                <w:sz w:val="22"/>
                <w:szCs w:val="22"/>
                <w:color w:val="auto"/>
              </w:rPr>
            </w:pPr>
          </w:p>
        </w:tc>
      </w:tr>
      <w:tr>
        <w:trPr>
          <w:trHeight w:val="144"/>
        </w:trPr>
        <w:tc>
          <w:tcPr>
            <w:tcW w:w="620" w:type="dxa"/>
            <w:vAlign w:val="bottom"/>
            <w:tcBorders>
              <w:left w:val="single" w:sz="8" w:color="auto"/>
              <w:bottom w:val="single" w:sz="8" w:color="auto"/>
              <w:right w:val="single" w:sz="8" w:color="auto"/>
            </w:tcBorders>
          </w:tcPr>
          <w:p>
            <w:pPr>
              <w:spacing w:after="0"/>
              <w:rPr>
                <w:sz w:val="12"/>
                <w:szCs w:val="12"/>
                <w:color w:val="auto"/>
              </w:rPr>
            </w:pPr>
          </w:p>
        </w:tc>
        <w:tc>
          <w:tcPr>
            <w:tcW w:w="3600" w:type="dxa"/>
            <w:vAlign w:val="bottom"/>
            <w:tcBorders>
              <w:bottom w:val="single" w:sz="8" w:color="auto"/>
              <w:right w:val="single" w:sz="8" w:color="auto"/>
            </w:tcBorders>
          </w:tcPr>
          <w:p>
            <w:pPr>
              <w:spacing w:after="0"/>
              <w:rPr>
                <w:sz w:val="12"/>
                <w:szCs w:val="12"/>
                <w:color w:val="auto"/>
              </w:rPr>
            </w:pPr>
          </w:p>
        </w:tc>
        <w:tc>
          <w:tcPr>
            <w:tcW w:w="1360" w:type="dxa"/>
            <w:vAlign w:val="bottom"/>
            <w:tcBorders>
              <w:bottom w:val="single" w:sz="8" w:color="auto"/>
              <w:right w:val="single" w:sz="8" w:color="auto"/>
            </w:tcBorders>
          </w:tcPr>
          <w:p>
            <w:pPr>
              <w:spacing w:after="0"/>
              <w:rPr>
                <w:sz w:val="12"/>
                <w:szCs w:val="12"/>
                <w:color w:val="auto"/>
              </w:rPr>
            </w:pPr>
          </w:p>
        </w:tc>
        <w:tc>
          <w:tcPr>
            <w:tcW w:w="1520" w:type="dxa"/>
            <w:vAlign w:val="bottom"/>
            <w:tcBorders>
              <w:bottom w:val="single" w:sz="8" w:color="auto"/>
              <w:right w:val="single" w:sz="8" w:color="auto"/>
            </w:tcBorders>
          </w:tcPr>
          <w:p>
            <w:pPr>
              <w:spacing w:after="0"/>
              <w:rPr>
                <w:sz w:val="12"/>
                <w:szCs w:val="12"/>
                <w:color w:val="auto"/>
              </w:rPr>
            </w:pPr>
          </w:p>
        </w:tc>
        <w:tc>
          <w:tcPr>
            <w:tcW w:w="1540" w:type="dxa"/>
            <w:vAlign w:val="bottom"/>
            <w:tcBorders>
              <w:bottom w:val="single" w:sz="8" w:color="auto"/>
              <w:right w:val="single" w:sz="8" w:color="auto"/>
            </w:tcBorders>
          </w:tcPr>
          <w:p>
            <w:pPr>
              <w:spacing w:after="0"/>
              <w:rPr>
                <w:sz w:val="12"/>
                <w:szCs w:val="12"/>
                <w:color w:val="auto"/>
              </w:rPr>
            </w:pPr>
          </w:p>
        </w:tc>
      </w:tr>
      <w:tr>
        <w:trPr>
          <w:trHeight w:val="258"/>
        </w:trPr>
        <w:tc>
          <w:tcPr>
            <w:tcW w:w="620" w:type="dxa"/>
            <w:vAlign w:val="bottom"/>
            <w:tcBorders>
              <w:left w:val="single" w:sz="8" w:color="auto"/>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(a)</w:t>
            </w:r>
          </w:p>
        </w:tc>
        <w:tc>
          <w:tcPr>
            <w:tcW w:w="3600" w:type="dxa"/>
            <w:vAlign w:val="bottom"/>
            <w:tcBorders>
              <w:right w:val="single" w:sz="8" w:color="auto"/>
            </w:tcBorders>
          </w:tcPr>
          <w:p>
            <w:pPr>
              <w:ind w:left="80"/>
              <w:spacing w:after="0" w:line="258" w:lineRule="exact"/>
              <w:rPr>
                <w:sz w:val="20"/>
                <w:szCs w:val="20"/>
                <w:color w:val="auto"/>
              </w:rPr>
            </w:pPr>
            <w:r>
              <w:rPr>
                <w:rFonts w:ascii="Times New Roman" w:cs="Times New Roman" w:eastAsia="Times New Roman" w:hAnsi="Times New Roman"/>
                <w:sz w:val="24"/>
                <w:szCs w:val="24"/>
                <w:color w:val="auto"/>
              </w:rPr>
              <w:t>Cut off</w:t>
            </w:r>
          </w:p>
        </w:tc>
        <w:tc>
          <w:tcPr>
            <w:tcW w:w="1360" w:type="dxa"/>
            <w:vAlign w:val="bottom"/>
            <w:tcBorders>
              <w:right w:val="single" w:sz="8" w:color="auto"/>
            </w:tcBorders>
          </w:tcPr>
          <w:p>
            <w:pPr>
              <w:spacing w:after="0"/>
              <w:rPr>
                <w:sz w:val="22"/>
                <w:szCs w:val="22"/>
                <w:color w:val="auto"/>
              </w:rPr>
            </w:pPr>
          </w:p>
        </w:tc>
        <w:tc>
          <w:tcPr>
            <w:tcW w:w="1520" w:type="dxa"/>
            <w:vAlign w:val="bottom"/>
            <w:tcBorders>
              <w:right w:val="single" w:sz="8" w:color="auto"/>
            </w:tcBorders>
          </w:tcPr>
          <w:p>
            <w:pPr>
              <w:spacing w:after="0"/>
              <w:rPr>
                <w:sz w:val="22"/>
                <w:szCs w:val="22"/>
                <w:color w:val="auto"/>
              </w:rPr>
            </w:pPr>
          </w:p>
        </w:tc>
        <w:tc>
          <w:tcPr>
            <w:tcW w:w="1540" w:type="dxa"/>
            <w:vAlign w:val="bottom"/>
            <w:tcBorders>
              <w:right w:val="single" w:sz="8" w:color="auto"/>
            </w:tcBorders>
          </w:tcPr>
          <w:p>
            <w:pPr>
              <w:spacing w:after="0"/>
              <w:rPr>
                <w:sz w:val="22"/>
                <w:szCs w:val="22"/>
                <w:color w:val="auto"/>
              </w:rPr>
            </w:pPr>
          </w:p>
        </w:tc>
      </w:tr>
      <w:tr>
        <w:trPr>
          <w:trHeight w:val="147"/>
        </w:trPr>
        <w:tc>
          <w:tcPr>
            <w:tcW w:w="620" w:type="dxa"/>
            <w:vAlign w:val="bottom"/>
            <w:tcBorders>
              <w:left w:val="single" w:sz="8" w:color="auto"/>
              <w:bottom w:val="single" w:sz="8" w:color="auto"/>
              <w:right w:val="single" w:sz="8" w:color="auto"/>
            </w:tcBorders>
          </w:tcPr>
          <w:p>
            <w:pPr>
              <w:spacing w:after="0"/>
              <w:rPr>
                <w:sz w:val="12"/>
                <w:szCs w:val="12"/>
                <w:color w:val="auto"/>
              </w:rPr>
            </w:pPr>
          </w:p>
        </w:tc>
        <w:tc>
          <w:tcPr>
            <w:tcW w:w="3600" w:type="dxa"/>
            <w:vAlign w:val="bottom"/>
            <w:tcBorders>
              <w:bottom w:val="single" w:sz="8" w:color="auto"/>
              <w:right w:val="single" w:sz="8" w:color="auto"/>
            </w:tcBorders>
          </w:tcPr>
          <w:p>
            <w:pPr>
              <w:spacing w:after="0"/>
              <w:rPr>
                <w:sz w:val="12"/>
                <w:szCs w:val="12"/>
                <w:color w:val="auto"/>
              </w:rPr>
            </w:pPr>
          </w:p>
        </w:tc>
        <w:tc>
          <w:tcPr>
            <w:tcW w:w="1360" w:type="dxa"/>
            <w:vAlign w:val="bottom"/>
            <w:tcBorders>
              <w:bottom w:val="single" w:sz="8" w:color="auto"/>
              <w:right w:val="single" w:sz="8" w:color="auto"/>
            </w:tcBorders>
          </w:tcPr>
          <w:p>
            <w:pPr>
              <w:spacing w:after="0"/>
              <w:rPr>
                <w:sz w:val="12"/>
                <w:szCs w:val="12"/>
                <w:color w:val="auto"/>
              </w:rPr>
            </w:pPr>
          </w:p>
        </w:tc>
        <w:tc>
          <w:tcPr>
            <w:tcW w:w="1520" w:type="dxa"/>
            <w:vAlign w:val="bottom"/>
            <w:tcBorders>
              <w:bottom w:val="single" w:sz="8" w:color="auto"/>
              <w:right w:val="single" w:sz="8" w:color="auto"/>
            </w:tcBorders>
          </w:tcPr>
          <w:p>
            <w:pPr>
              <w:spacing w:after="0"/>
              <w:rPr>
                <w:sz w:val="12"/>
                <w:szCs w:val="12"/>
                <w:color w:val="auto"/>
              </w:rPr>
            </w:pPr>
          </w:p>
        </w:tc>
        <w:tc>
          <w:tcPr>
            <w:tcW w:w="1540" w:type="dxa"/>
            <w:vAlign w:val="bottom"/>
            <w:tcBorders>
              <w:bottom w:val="single" w:sz="8" w:color="auto"/>
              <w:right w:val="single" w:sz="8" w:color="auto"/>
            </w:tcBorders>
          </w:tcPr>
          <w:p>
            <w:pPr>
              <w:spacing w:after="0"/>
              <w:rPr>
                <w:sz w:val="12"/>
                <w:szCs w:val="12"/>
                <w:color w:val="auto"/>
              </w:rPr>
            </w:pPr>
          </w:p>
        </w:tc>
      </w:tr>
      <w:tr>
        <w:trPr>
          <w:trHeight w:val="258"/>
        </w:trPr>
        <w:tc>
          <w:tcPr>
            <w:tcW w:w="620" w:type="dxa"/>
            <w:vAlign w:val="bottom"/>
            <w:tcBorders>
              <w:left w:val="single" w:sz="8" w:color="auto"/>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(b)</w:t>
            </w:r>
          </w:p>
        </w:tc>
        <w:tc>
          <w:tcPr>
            <w:tcW w:w="3600" w:type="dxa"/>
            <w:vAlign w:val="bottom"/>
            <w:tcBorders>
              <w:right w:val="single" w:sz="8" w:color="auto"/>
            </w:tcBorders>
          </w:tcPr>
          <w:p>
            <w:pPr>
              <w:ind w:left="80"/>
              <w:spacing w:after="0" w:line="258" w:lineRule="exact"/>
              <w:rPr>
                <w:sz w:val="20"/>
                <w:szCs w:val="20"/>
                <w:color w:val="auto"/>
              </w:rPr>
            </w:pPr>
            <w:r>
              <w:rPr>
                <w:rFonts w:ascii="Times New Roman" w:cs="Times New Roman" w:eastAsia="Times New Roman" w:hAnsi="Times New Roman"/>
                <w:sz w:val="24"/>
                <w:szCs w:val="24"/>
                <w:color w:val="auto"/>
              </w:rPr>
              <w:t>Price bids</w:t>
            </w:r>
          </w:p>
        </w:tc>
        <w:tc>
          <w:tcPr>
            <w:tcW w:w="1360" w:type="dxa"/>
            <w:vAlign w:val="bottom"/>
            <w:tcBorders>
              <w:right w:val="single" w:sz="8" w:color="auto"/>
            </w:tcBorders>
          </w:tcPr>
          <w:p>
            <w:pPr>
              <w:spacing w:after="0"/>
              <w:rPr>
                <w:sz w:val="22"/>
                <w:szCs w:val="22"/>
                <w:color w:val="auto"/>
              </w:rPr>
            </w:pPr>
          </w:p>
        </w:tc>
        <w:tc>
          <w:tcPr>
            <w:tcW w:w="1520" w:type="dxa"/>
            <w:vAlign w:val="bottom"/>
            <w:tcBorders>
              <w:right w:val="single" w:sz="8" w:color="auto"/>
            </w:tcBorders>
          </w:tcPr>
          <w:p>
            <w:pPr>
              <w:spacing w:after="0"/>
              <w:rPr>
                <w:sz w:val="22"/>
                <w:szCs w:val="22"/>
                <w:color w:val="auto"/>
              </w:rPr>
            </w:pPr>
          </w:p>
        </w:tc>
        <w:tc>
          <w:tcPr>
            <w:tcW w:w="1540" w:type="dxa"/>
            <w:vAlign w:val="bottom"/>
            <w:tcBorders>
              <w:right w:val="single" w:sz="8" w:color="auto"/>
            </w:tcBorders>
          </w:tcPr>
          <w:p>
            <w:pPr>
              <w:spacing w:after="0"/>
              <w:rPr>
                <w:sz w:val="22"/>
                <w:szCs w:val="22"/>
                <w:color w:val="auto"/>
              </w:rPr>
            </w:pPr>
          </w:p>
        </w:tc>
      </w:tr>
      <w:tr>
        <w:trPr>
          <w:trHeight w:val="147"/>
        </w:trPr>
        <w:tc>
          <w:tcPr>
            <w:tcW w:w="620" w:type="dxa"/>
            <w:vAlign w:val="bottom"/>
            <w:tcBorders>
              <w:left w:val="single" w:sz="8" w:color="auto"/>
              <w:bottom w:val="single" w:sz="8" w:color="auto"/>
              <w:right w:val="single" w:sz="8" w:color="auto"/>
            </w:tcBorders>
          </w:tcPr>
          <w:p>
            <w:pPr>
              <w:spacing w:after="0"/>
              <w:rPr>
                <w:sz w:val="12"/>
                <w:szCs w:val="12"/>
                <w:color w:val="auto"/>
              </w:rPr>
            </w:pPr>
          </w:p>
        </w:tc>
        <w:tc>
          <w:tcPr>
            <w:tcW w:w="3600" w:type="dxa"/>
            <w:vAlign w:val="bottom"/>
            <w:tcBorders>
              <w:bottom w:val="single" w:sz="8" w:color="auto"/>
              <w:right w:val="single" w:sz="8" w:color="auto"/>
            </w:tcBorders>
          </w:tcPr>
          <w:p>
            <w:pPr>
              <w:spacing w:after="0"/>
              <w:rPr>
                <w:sz w:val="12"/>
                <w:szCs w:val="12"/>
                <w:color w:val="auto"/>
              </w:rPr>
            </w:pPr>
          </w:p>
        </w:tc>
        <w:tc>
          <w:tcPr>
            <w:tcW w:w="1360" w:type="dxa"/>
            <w:vAlign w:val="bottom"/>
            <w:tcBorders>
              <w:bottom w:val="single" w:sz="8" w:color="auto"/>
              <w:right w:val="single" w:sz="8" w:color="auto"/>
            </w:tcBorders>
          </w:tcPr>
          <w:p>
            <w:pPr>
              <w:spacing w:after="0"/>
              <w:rPr>
                <w:sz w:val="12"/>
                <w:szCs w:val="12"/>
                <w:color w:val="auto"/>
              </w:rPr>
            </w:pPr>
          </w:p>
        </w:tc>
        <w:tc>
          <w:tcPr>
            <w:tcW w:w="1520" w:type="dxa"/>
            <w:vAlign w:val="bottom"/>
            <w:tcBorders>
              <w:bottom w:val="single" w:sz="8" w:color="auto"/>
              <w:right w:val="single" w:sz="8" w:color="auto"/>
            </w:tcBorders>
          </w:tcPr>
          <w:p>
            <w:pPr>
              <w:spacing w:after="0"/>
              <w:rPr>
                <w:sz w:val="12"/>
                <w:szCs w:val="12"/>
                <w:color w:val="auto"/>
              </w:rPr>
            </w:pPr>
          </w:p>
        </w:tc>
        <w:tc>
          <w:tcPr>
            <w:tcW w:w="1540" w:type="dxa"/>
            <w:vAlign w:val="bottom"/>
            <w:tcBorders>
              <w:bottom w:val="single" w:sz="8" w:color="auto"/>
              <w:right w:val="single" w:sz="8" w:color="auto"/>
            </w:tcBorders>
          </w:tcPr>
          <w:p>
            <w:pPr>
              <w:spacing w:after="0"/>
              <w:rPr>
                <w:sz w:val="12"/>
                <w:szCs w:val="12"/>
                <w:color w:val="auto"/>
              </w:rPr>
            </w:pPr>
          </w:p>
        </w:tc>
      </w:tr>
      <w:tr>
        <w:trPr>
          <w:trHeight w:val="258"/>
        </w:trPr>
        <w:tc>
          <w:tcPr>
            <w:tcW w:w="620" w:type="dxa"/>
            <w:vAlign w:val="bottom"/>
            <w:tcBorders>
              <w:left w:val="single" w:sz="8" w:color="auto"/>
              <w:right w:val="single" w:sz="8" w:color="auto"/>
            </w:tcBorders>
          </w:tcPr>
          <w:p>
            <w:pPr>
              <w:jc w:val="right"/>
              <w:ind w:right="220"/>
              <w:spacing w:after="0" w:line="258" w:lineRule="exact"/>
              <w:rPr>
                <w:sz w:val="20"/>
                <w:szCs w:val="20"/>
                <w:color w:val="auto"/>
              </w:rPr>
            </w:pPr>
            <w:r>
              <w:rPr>
                <w:rFonts w:ascii="Times New Roman" w:cs="Times New Roman" w:eastAsia="Times New Roman" w:hAnsi="Times New Roman"/>
                <w:sz w:val="24"/>
                <w:szCs w:val="24"/>
                <w:color w:val="auto"/>
              </w:rPr>
              <w:t>4.</w:t>
            </w:r>
          </w:p>
        </w:tc>
        <w:tc>
          <w:tcPr>
            <w:tcW w:w="3600" w:type="dxa"/>
            <w:vAlign w:val="bottom"/>
            <w:tcBorders>
              <w:right w:val="single" w:sz="8" w:color="auto"/>
            </w:tcBorders>
          </w:tcPr>
          <w:p>
            <w:pPr>
              <w:ind w:left="80"/>
              <w:spacing w:after="0" w:line="258" w:lineRule="exact"/>
              <w:rPr>
                <w:sz w:val="20"/>
                <w:szCs w:val="20"/>
                <w:color w:val="auto"/>
              </w:rPr>
            </w:pPr>
            <w:r>
              <w:rPr>
                <w:rFonts w:ascii="Times New Roman" w:cs="Times New Roman" w:eastAsia="Times New Roman" w:hAnsi="Times New Roman"/>
                <w:sz w:val="24"/>
                <w:szCs w:val="24"/>
                <w:color w:val="auto"/>
              </w:rPr>
              <w:t>Reservation categories, if any</w:t>
            </w:r>
          </w:p>
        </w:tc>
        <w:tc>
          <w:tcPr>
            <w:tcW w:w="1360" w:type="dxa"/>
            <w:vAlign w:val="bottom"/>
            <w:tcBorders>
              <w:right w:val="single" w:sz="8" w:color="auto"/>
            </w:tcBorders>
          </w:tcPr>
          <w:p>
            <w:pPr>
              <w:spacing w:after="0"/>
              <w:rPr>
                <w:sz w:val="22"/>
                <w:szCs w:val="22"/>
                <w:color w:val="auto"/>
              </w:rPr>
            </w:pPr>
          </w:p>
        </w:tc>
        <w:tc>
          <w:tcPr>
            <w:tcW w:w="1520" w:type="dxa"/>
            <w:vAlign w:val="bottom"/>
            <w:tcBorders>
              <w:right w:val="single" w:sz="8" w:color="auto"/>
            </w:tcBorders>
          </w:tcPr>
          <w:p>
            <w:pPr>
              <w:spacing w:after="0"/>
              <w:rPr>
                <w:sz w:val="22"/>
                <w:szCs w:val="22"/>
                <w:color w:val="auto"/>
              </w:rPr>
            </w:pPr>
          </w:p>
        </w:tc>
        <w:tc>
          <w:tcPr>
            <w:tcW w:w="1540" w:type="dxa"/>
            <w:vAlign w:val="bottom"/>
            <w:tcBorders>
              <w:right w:val="single" w:sz="8" w:color="auto"/>
            </w:tcBorders>
          </w:tcPr>
          <w:p>
            <w:pPr>
              <w:spacing w:after="0"/>
              <w:rPr>
                <w:sz w:val="22"/>
                <w:szCs w:val="22"/>
                <w:color w:val="auto"/>
              </w:rPr>
            </w:pPr>
          </w:p>
        </w:tc>
      </w:tr>
      <w:tr>
        <w:trPr>
          <w:trHeight w:val="145"/>
        </w:trPr>
        <w:tc>
          <w:tcPr>
            <w:tcW w:w="620" w:type="dxa"/>
            <w:vAlign w:val="bottom"/>
            <w:tcBorders>
              <w:left w:val="single" w:sz="8" w:color="auto"/>
              <w:bottom w:val="single" w:sz="8" w:color="auto"/>
              <w:right w:val="single" w:sz="8" w:color="auto"/>
            </w:tcBorders>
          </w:tcPr>
          <w:p>
            <w:pPr>
              <w:spacing w:after="0"/>
              <w:rPr>
                <w:sz w:val="12"/>
                <w:szCs w:val="12"/>
                <w:color w:val="auto"/>
              </w:rPr>
            </w:pPr>
          </w:p>
        </w:tc>
        <w:tc>
          <w:tcPr>
            <w:tcW w:w="3600" w:type="dxa"/>
            <w:vAlign w:val="bottom"/>
            <w:tcBorders>
              <w:bottom w:val="single" w:sz="8" w:color="auto"/>
              <w:right w:val="single" w:sz="8" w:color="auto"/>
            </w:tcBorders>
          </w:tcPr>
          <w:p>
            <w:pPr>
              <w:spacing w:after="0"/>
              <w:rPr>
                <w:sz w:val="12"/>
                <w:szCs w:val="12"/>
                <w:color w:val="auto"/>
              </w:rPr>
            </w:pPr>
          </w:p>
        </w:tc>
        <w:tc>
          <w:tcPr>
            <w:tcW w:w="1360" w:type="dxa"/>
            <w:vAlign w:val="bottom"/>
            <w:tcBorders>
              <w:bottom w:val="single" w:sz="8" w:color="auto"/>
              <w:right w:val="single" w:sz="8" w:color="auto"/>
            </w:tcBorders>
          </w:tcPr>
          <w:p>
            <w:pPr>
              <w:spacing w:after="0"/>
              <w:rPr>
                <w:sz w:val="12"/>
                <w:szCs w:val="12"/>
                <w:color w:val="auto"/>
              </w:rPr>
            </w:pPr>
          </w:p>
        </w:tc>
        <w:tc>
          <w:tcPr>
            <w:tcW w:w="1520" w:type="dxa"/>
            <w:vAlign w:val="bottom"/>
            <w:tcBorders>
              <w:bottom w:val="single" w:sz="8" w:color="auto"/>
              <w:right w:val="single" w:sz="8" w:color="auto"/>
            </w:tcBorders>
          </w:tcPr>
          <w:p>
            <w:pPr>
              <w:spacing w:after="0"/>
              <w:rPr>
                <w:sz w:val="12"/>
                <w:szCs w:val="12"/>
                <w:color w:val="auto"/>
              </w:rPr>
            </w:pPr>
          </w:p>
        </w:tc>
        <w:tc>
          <w:tcPr>
            <w:tcW w:w="1540" w:type="dxa"/>
            <w:vAlign w:val="bottom"/>
            <w:tcBorders>
              <w:bottom w:val="single" w:sz="8" w:color="auto"/>
              <w:right w:val="single" w:sz="8" w:color="auto"/>
            </w:tcBorders>
          </w:tcPr>
          <w:p>
            <w:pPr>
              <w:spacing w:after="0"/>
              <w:rPr>
                <w:sz w:val="12"/>
                <w:szCs w:val="12"/>
                <w:color w:val="auto"/>
              </w:rPr>
            </w:pPr>
          </w:p>
        </w:tc>
      </w:tr>
      <w:tr>
        <w:trPr>
          <w:trHeight w:val="258"/>
        </w:trPr>
        <w:tc>
          <w:tcPr>
            <w:tcW w:w="620" w:type="dxa"/>
            <w:vAlign w:val="bottom"/>
            <w:tcBorders>
              <w:left w:val="single" w:sz="8" w:color="auto"/>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(a)</w:t>
            </w:r>
          </w:p>
        </w:tc>
        <w:tc>
          <w:tcPr>
            <w:tcW w:w="3600" w:type="dxa"/>
            <w:vAlign w:val="bottom"/>
            <w:tcBorders>
              <w:right w:val="single" w:sz="8" w:color="auto"/>
            </w:tcBorders>
          </w:tcPr>
          <w:p>
            <w:pPr>
              <w:ind w:left="80"/>
              <w:spacing w:after="0" w:line="258" w:lineRule="exact"/>
              <w:rPr>
                <w:sz w:val="20"/>
                <w:szCs w:val="20"/>
                <w:color w:val="auto"/>
              </w:rPr>
            </w:pPr>
            <w:r>
              <w:rPr>
                <w:rFonts w:ascii="Times New Roman" w:cs="Times New Roman" w:eastAsia="Times New Roman" w:hAnsi="Times New Roman"/>
                <w:sz w:val="24"/>
                <w:szCs w:val="24"/>
                <w:color w:val="auto"/>
              </w:rPr>
              <w:t>Cut off</w:t>
            </w:r>
          </w:p>
        </w:tc>
        <w:tc>
          <w:tcPr>
            <w:tcW w:w="1360" w:type="dxa"/>
            <w:vAlign w:val="bottom"/>
            <w:tcBorders>
              <w:right w:val="single" w:sz="8" w:color="auto"/>
            </w:tcBorders>
          </w:tcPr>
          <w:p>
            <w:pPr>
              <w:spacing w:after="0"/>
              <w:rPr>
                <w:sz w:val="22"/>
                <w:szCs w:val="22"/>
                <w:color w:val="auto"/>
              </w:rPr>
            </w:pPr>
          </w:p>
        </w:tc>
        <w:tc>
          <w:tcPr>
            <w:tcW w:w="1520" w:type="dxa"/>
            <w:vAlign w:val="bottom"/>
            <w:tcBorders>
              <w:right w:val="single" w:sz="8" w:color="auto"/>
            </w:tcBorders>
          </w:tcPr>
          <w:p>
            <w:pPr>
              <w:spacing w:after="0"/>
              <w:rPr>
                <w:sz w:val="22"/>
                <w:szCs w:val="22"/>
                <w:color w:val="auto"/>
              </w:rPr>
            </w:pPr>
          </w:p>
        </w:tc>
        <w:tc>
          <w:tcPr>
            <w:tcW w:w="1540" w:type="dxa"/>
            <w:vAlign w:val="bottom"/>
            <w:tcBorders>
              <w:right w:val="single" w:sz="8" w:color="auto"/>
            </w:tcBorders>
          </w:tcPr>
          <w:p>
            <w:pPr>
              <w:spacing w:after="0"/>
              <w:rPr>
                <w:sz w:val="22"/>
                <w:szCs w:val="22"/>
                <w:color w:val="auto"/>
              </w:rPr>
            </w:pPr>
          </w:p>
        </w:tc>
      </w:tr>
      <w:tr>
        <w:trPr>
          <w:trHeight w:val="147"/>
        </w:trPr>
        <w:tc>
          <w:tcPr>
            <w:tcW w:w="620" w:type="dxa"/>
            <w:vAlign w:val="bottom"/>
            <w:tcBorders>
              <w:left w:val="single" w:sz="8" w:color="auto"/>
              <w:bottom w:val="single" w:sz="8" w:color="auto"/>
              <w:right w:val="single" w:sz="8" w:color="auto"/>
            </w:tcBorders>
          </w:tcPr>
          <w:p>
            <w:pPr>
              <w:spacing w:after="0"/>
              <w:rPr>
                <w:sz w:val="12"/>
                <w:szCs w:val="12"/>
                <w:color w:val="auto"/>
              </w:rPr>
            </w:pPr>
          </w:p>
        </w:tc>
        <w:tc>
          <w:tcPr>
            <w:tcW w:w="3600" w:type="dxa"/>
            <w:vAlign w:val="bottom"/>
            <w:tcBorders>
              <w:bottom w:val="single" w:sz="8" w:color="auto"/>
              <w:right w:val="single" w:sz="8" w:color="auto"/>
            </w:tcBorders>
          </w:tcPr>
          <w:p>
            <w:pPr>
              <w:spacing w:after="0"/>
              <w:rPr>
                <w:sz w:val="12"/>
                <w:szCs w:val="12"/>
                <w:color w:val="auto"/>
              </w:rPr>
            </w:pPr>
          </w:p>
        </w:tc>
        <w:tc>
          <w:tcPr>
            <w:tcW w:w="1360" w:type="dxa"/>
            <w:vAlign w:val="bottom"/>
            <w:tcBorders>
              <w:bottom w:val="single" w:sz="8" w:color="auto"/>
              <w:right w:val="single" w:sz="8" w:color="auto"/>
            </w:tcBorders>
          </w:tcPr>
          <w:p>
            <w:pPr>
              <w:spacing w:after="0"/>
              <w:rPr>
                <w:sz w:val="12"/>
                <w:szCs w:val="12"/>
                <w:color w:val="auto"/>
              </w:rPr>
            </w:pPr>
          </w:p>
        </w:tc>
        <w:tc>
          <w:tcPr>
            <w:tcW w:w="1520" w:type="dxa"/>
            <w:vAlign w:val="bottom"/>
            <w:tcBorders>
              <w:bottom w:val="single" w:sz="8" w:color="auto"/>
              <w:right w:val="single" w:sz="8" w:color="auto"/>
            </w:tcBorders>
          </w:tcPr>
          <w:p>
            <w:pPr>
              <w:spacing w:after="0"/>
              <w:rPr>
                <w:sz w:val="12"/>
                <w:szCs w:val="12"/>
                <w:color w:val="auto"/>
              </w:rPr>
            </w:pPr>
          </w:p>
        </w:tc>
        <w:tc>
          <w:tcPr>
            <w:tcW w:w="1540" w:type="dxa"/>
            <w:vAlign w:val="bottom"/>
            <w:tcBorders>
              <w:bottom w:val="single" w:sz="8" w:color="auto"/>
              <w:right w:val="single" w:sz="8" w:color="auto"/>
            </w:tcBorders>
          </w:tcPr>
          <w:p>
            <w:pPr>
              <w:spacing w:after="0"/>
              <w:rPr>
                <w:sz w:val="12"/>
                <w:szCs w:val="12"/>
                <w:color w:val="auto"/>
              </w:rPr>
            </w:pPr>
          </w:p>
        </w:tc>
      </w:tr>
      <w:tr>
        <w:trPr>
          <w:trHeight w:val="258"/>
        </w:trPr>
        <w:tc>
          <w:tcPr>
            <w:tcW w:w="620" w:type="dxa"/>
            <w:vAlign w:val="bottom"/>
            <w:tcBorders>
              <w:left w:val="single" w:sz="8" w:color="auto"/>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(b)</w:t>
            </w:r>
          </w:p>
        </w:tc>
        <w:tc>
          <w:tcPr>
            <w:tcW w:w="3600" w:type="dxa"/>
            <w:vAlign w:val="bottom"/>
            <w:tcBorders>
              <w:right w:val="single" w:sz="8" w:color="auto"/>
            </w:tcBorders>
          </w:tcPr>
          <w:p>
            <w:pPr>
              <w:ind w:left="100"/>
              <w:spacing w:after="0" w:line="258" w:lineRule="exact"/>
              <w:rPr>
                <w:sz w:val="20"/>
                <w:szCs w:val="20"/>
                <w:color w:val="auto"/>
              </w:rPr>
            </w:pPr>
            <w:r>
              <w:rPr>
                <w:rFonts w:ascii="Times New Roman" w:cs="Times New Roman" w:eastAsia="Times New Roman" w:hAnsi="Times New Roman"/>
                <w:sz w:val="24"/>
                <w:szCs w:val="24"/>
                <w:color w:val="auto"/>
              </w:rPr>
              <w:t>Price bids</w:t>
            </w:r>
          </w:p>
        </w:tc>
        <w:tc>
          <w:tcPr>
            <w:tcW w:w="1360" w:type="dxa"/>
            <w:vAlign w:val="bottom"/>
            <w:tcBorders>
              <w:right w:val="single" w:sz="8" w:color="auto"/>
            </w:tcBorders>
          </w:tcPr>
          <w:p>
            <w:pPr>
              <w:spacing w:after="0"/>
              <w:rPr>
                <w:sz w:val="22"/>
                <w:szCs w:val="22"/>
                <w:color w:val="auto"/>
              </w:rPr>
            </w:pPr>
          </w:p>
        </w:tc>
        <w:tc>
          <w:tcPr>
            <w:tcW w:w="1520" w:type="dxa"/>
            <w:vAlign w:val="bottom"/>
            <w:tcBorders>
              <w:right w:val="single" w:sz="8" w:color="auto"/>
            </w:tcBorders>
          </w:tcPr>
          <w:p>
            <w:pPr>
              <w:spacing w:after="0"/>
              <w:rPr>
                <w:sz w:val="22"/>
                <w:szCs w:val="22"/>
                <w:color w:val="auto"/>
              </w:rPr>
            </w:pPr>
          </w:p>
        </w:tc>
        <w:tc>
          <w:tcPr>
            <w:tcW w:w="1540" w:type="dxa"/>
            <w:vAlign w:val="bottom"/>
            <w:tcBorders>
              <w:right w:val="single" w:sz="8" w:color="auto"/>
            </w:tcBorders>
          </w:tcPr>
          <w:p>
            <w:pPr>
              <w:spacing w:after="0"/>
              <w:rPr>
                <w:sz w:val="22"/>
                <w:szCs w:val="22"/>
                <w:color w:val="auto"/>
              </w:rPr>
            </w:pPr>
          </w:p>
        </w:tc>
      </w:tr>
      <w:tr>
        <w:trPr>
          <w:trHeight w:val="147"/>
        </w:trPr>
        <w:tc>
          <w:tcPr>
            <w:tcW w:w="620" w:type="dxa"/>
            <w:vAlign w:val="bottom"/>
            <w:tcBorders>
              <w:left w:val="single" w:sz="8" w:color="auto"/>
              <w:bottom w:val="single" w:sz="8" w:color="auto"/>
              <w:right w:val="single" w:sz="8" w:color="auto"/>
            </w:tcBorders>
          </w:tcPr>
          <w:p>
            <w:pPr>
              <w:spacing w:after="0"/>
              <w:rPr>
                <w:sz w:val="12"/>
                <w:szCs w:val="12"/>
                <w:color w:val="auto"/>
              </w:rPr>
            </w:pPr>
          </w:p>
        </w:tc>
        <w:tc>
          <w:tcPr>
            <w:tcW w:w="3600" w:type="dxa"/>
            <w:vAlign w:val="bottom"/>
            <w:tcBorders>
              <w:bottom w:val="single" w:sz="8" w:color="auto"/>
              <w:right w:val="single" w:sz="8" w:color="auto"/>
            </w:tcBorders>
          </w:tcPr>
          <w:p>
            <w:pPr>
              <w:spacing w:after="0"/>
              <w:rPr>
                <w:sz w:val="12"/>
                <w:szCs w:val="12"/>
                <w:color w:val="auto"/>
              </w:rPr>
            </w:pPr>
          </w:p>
        </w:tc>
        <w:tc>
          <w:tcPr>
            <w:tcW w:w="1360" w:type="dxa"/>
            <w:vAlign w:val="bottom"/>
            <w:tcBorders>
              <w:bottom w:val="single" w:sz="8" w:color="auto"/>
              <w:right w:val="single" w:sz="8" w:color="auto"/>
            </w:tcBorders>
          </w:tcPr>
          <w:p>
            <w:pPr>
              <w:spacing w:after="0"/>
              <w:rPr>
                <w:sz w:val="12"/>
                <w:szCs w:val="12"/>
                <w:color w:val="auto"/>
              </w:rPr>
            </w:pPr>
          </w:p>
        </w:tc>
        <w:tc>
          <w:tcPr>
            <w:tcW w:w="1520" w:type="dxa"/>
            <w:vAlign w:val="bottom"/>
            <w:tcBorders>
              <w:bottom w:val="single" w:sz="8" w:color="auto"/>
              <w:right w:val="single" w:sz="8" w:color="auto"/>
            </w:tcBorders>
          </w:tcPr>
          <w:p>
            <w:pPr>
              <w:spacing w:after="0"/>
              <w:rPr>
                <w:sz w:val="12"/>
                <w:szCs w:val="12"/>
                <w:color w:val="auto"/>
              </w:rPr>
            </w:pPr>
          </w:p>
        </w:tc>
        <w:tc>
          <w:tcPr>
            <w:tcW w:w="1540" w:type="dxa"/>
            <w:vAlign w:val="bottom"/>
            <w:tcBorders>
              <w:bottom w:val="single" w:sz="8" w:color="auto"/>
              <w:right w:val="single" w:sz="8" w:color="auto"/>
            </w:tcBorders>
          </w:tcPr>
          <w:p>
            <w:pPr>
              <w:spacing w:after="0"/>
              <w:rPr>
                <w:sz w:val="12"/>
                <w:szCs w:val="12"/>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jc w:val="center"/>
        <w:ind w:right="-163"/>
        <w:spacing w:after="0"/>
        <w:rPr>
          <w:sz w:val="20"/>
          <w:szCs w:val="20"/>
          <w:color w:val="auto"/>
        </w:rPr>
      </w:pPr>
      <w:r>
        <w:rPr>
          <w:rFonts w:ascii="Times New Roman" w:cs="Times New Roman" w:eastAsia="Times New Roman" w:hAnsi="Times New Roman"/>
          <w:sz w:val="24"/>
          <w:szCs w:val="24"/>
          <w:color w:val="auto"/>
        </w:rPr>
        <w:t>398</w:t>
      </w:r>
    </w:p>
    <w:p>
      <w:pPr>
        <w:sectPr>
          <w:pgSz w:w="11900" w:h="16836" w:orient="portrait"/>
          <w:cols w:equalWidth="0" w:num="1">
            <w:col w:w="9312"/>
          </w:cols>
          <w:pgMar w:left="1152" w:top="1132" w:right="1440" w:bottom="103" w:gutter="0" w:footer="0" w:header="0"/>
        </w:sectPr>
      </w:pPr>
    </w:p>
    <w:bookmarkStart w:id="398" w:name="page399"/>
    <w:bookmarkEnd w:id="398"/>
    <w:p>
      <w:pPr>
        <w:ind w:left="80"/>
        <w:spacing w:after="0"/>
        <w:rPr>
          <w:sz w:val="20"/>
          <w:szCs w:val="20"/>
          <w:color w:val="auto"/>
        </w:rPr>
      </w:pPr>
      <w:r>
        <w:rPr>
          <w:rFonts w:ascii="Times New Roman" w:cs="Times New Roman" w:eastAsia="Times New Roman" w:hAnsi="Times New Roman"/>
          <w:sz w:val="24"/>
          <w:szCs w:val="24"/>
          <w:b w:val="1"/>
          <w:bCs w:val="1"/>
          <w:color w:val="auto"/>
        </w:rPr>
        <w:t>Notes:</w:t>
      </w:r>
    </w:p>
    <w:p>
      <w:pPr>
        <w:spacing w:after="0" w:line="132" w:lineRule="exact"/>
        <w:rPr>
          <w:sz w:val="20"/>
          <w:szCs w:val="20"/>
          <w:color w:val="auto"/>
        </w:rPr>
      </w:pPr>
    </w:p>
    <w:p>
      <w:pPr>
        <w:ind w:left="640" w:hanging="568"/>
        <w:spacing w:after="0"/>
        <w:tabs>
          <w:tab w:leader="none" w:pos="640" w:val="left"/>
        </w:tabs>
        <w:numPr>
          <w:ilvl w:val="0"/>
          <w:numId w:val="120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graph should have the title “Graphical display of bids received”.</w:t>
      </w:r>
    </w:p>
    <w:p>
      <w:pPr>
        <w:spacing w:after="0" w:line="151" w:lineRule="exact"/>
        <w:rPr>
          <w:rFonts w:ascii="Times New Roman" w:cs="Times New Roman" w:eastAsia="Times New Roman" w:hAnsi="Times New Roman"/>
          <w:sz w:val="24"/>
          <w:szCs w:val="24"/>
          <w:color w:val="auto"/>
        </w:rPr>
      </w:pPr>
    </w:p>
    <w:p>
      <w:pPr>
        <w:ind w:left="640" w:right="160" w:hanging="568"/>
        <w:spacing w:after="0" w:line="348" w:lineRule="auto"/>
        <w:tabs>
          <w:tab w:leader="none" w:pos="640" w:val="left"/>
        </w:tabs>
        <w:numPr>
          <w:ilvl w:val="0"/>
          <w:numId w:val="120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statement to the effect that the position indicated above is only the bids position and does not necessarily convey the subscription to the issue.</w:t>
      </w:r>
    </w:p>
    <w:p>
      <w:pPr>
        <w:spacing w:after="0" w:line="15" w:lineRule="exact"/>
        <w:rPr>
          <w:rFonts w:ascii="Times New Roman" w:cs="Times New Roman" w:eastAsia="Times New Roman" w:hAnsi="Times New Roman"/>
          <w:sz w:val="24"/>
          <w:szCs w:val="24"/>
          <w:color w:val="auto"/>
        </w:rPr>
      </w:pPr>
    </w:p>
    <w:p>
      <w:pPr>
        <w:ind w:left="640" w:hanging="568"/>
        <w:spacing w:after="0"/>
        <w:tabs>
          <w:tab w:leader="none" w:pos="640" w:val="left"/>
        </w:tabs>
        <w:numPr>
          <w:ilvl w:val="0"/>
          <w:numId w:val="120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statement as to how the multiple bids are accounted for in the data and graph.</w:t>
      </w:r>
    </w:p>
    <w:p>
      <w:pPr>
        <w:spacing w:after="0" w:line="136" w:lineRule="exact"/>
        <w:rPr>
          <w:rFonts w:ascii="Times New Roman" w:cs="Times New Roman" w:eastAsia="Times New Roman" w:hAnsi="Times New Roman"/>
          <w:sz w:val="24"/>
          <w:szCs w:val="24"/>
          <w:color w:val="auto"/>
        </w:rPr>
      </w:pPr>
    </w:p>
    <w:p>
      <w:pPr>
        <w:ind w:left="640" w:hanging="568"/>
        <w:spacing w:after="0"/>
        <w:tabs>
          <w:tab w:leader="none" w:pos="640" w:val="left"/>
        </w:tabs>
        <w:numPr>
          <w:ilvl w:val="0"/>
          <w:numId w:val="120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time of each updation.</w:t>
      </w:r>
    </w:p>
    <w:p>
      <w:pPr>
        <w:spacing w:after="0" w:line="139" w:lineRule="exact"/>
        <w:rPr>
          <w:rFonts w:ascii="Times New Roman" w:cs="Times New Roman" w:eastAsia="Times New Roman" w:hAnsi="Times New Roman"/>
          <w:sz w:val="24"/>
          <w:szCs w:val="24"/>
          <w:color w:val="auto"/>
        </w:rPr>
      </w:pPr>
    </w:p>
    <w:p>
      <w:pPr>
        <w:ind w:left="640" w:hanging="568"/>
        <w:spacing w:after="0"/>
        <w:tabs>
          <w:tab w:leader="none" w:pos="640" w:val="left"/>
        </w:tabs>
        <w:numPr>
          <w:ilvl w:val="0"/>
          <w:numId w:val="120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Additional comments, if any.</w:t>
      </w:r>
    </w:p>
    <w:p>
      <w:pPr>
        <w:spacing w:after="0" w:line="154" w:lineRule="exact"/>
        <w:rPr>
          <w:sz w:val="20"/>
          <w:szCs w:val="20"/>
          <w:color w:val="auto"/>
        </w:rPr>
      </w:pPr>
    </w:p>
    <w:p>
      <w:pPr>
        <w:jc w:val="center"/>
        <w:ind w:right="80"/>
        <w:spacing w:after="0" w:line="350" w:lineRule="auto"/>
        <w:rPr>
          <w:sz w:val="20"/>
          <w:szCs w:val="20"/>
          <w:color w:val="auto"/>
        </w:rPr>
      </w:pPr>
      <w:r>
        <w:rPr>
          <w:rFonts w:ascii="Times New Roman" w:cs="Times New Roman" w:eastAsia="Times New Roman" w:hAnsi="Times New Roman"/>
          <w:sz w:val="24"/>
          <w:szCs w:val="24"/>
          <w:b w:val="1"/>
          <w:bCs w:val="1"/>
          <w:color w:val="auto"/>
        </w:rPr>
        <w:t>Part C - Illustration regarding allotment to qualified institutional buyers other than anchor investors</w:t>
      </w:r>
    </w:p>
    <w:p>
      <w:pPr>
        <w:spacing w:after="0" w:line="200" w:lineRule="exact"/>
        <w:rPr>
          <w:sz w:val="20"/>
          <w:szCs w:val="20"/>
          <w:color w:val="auto"/>
        </w:rPr>
      </w:pPr>
    </w:p>
    <w:p>
      <w:pPr>
        <w:spacing w:after="0" w:line="227" w:lineRule="exact"/>
        <w:rPr>
          <w:sz w:val="20"/>
          <w:szCs w:val="20"/>
          <w:color w:val="auto"/>
        </w:rPr>
      </w:pPr>
    </w:p>
    <w:p>
      <w:pPr>
        <w:ind w:left="640" w:hanging="568"/>
        <w:spacing w:after="0"/>
        <w:tabs>
          <w:tab w:leader="none" w:pos="640" w:val="left"/>
        </w:tabs>
        <w:numPr>
          <w:ilvl w:val="0"/>
          <w:numId w:val="120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Issue Details</w:t>
      </w:r>
    </w:p>
    <w:p>
      <w:pPr>
        <w:spacing w:after="0" w:line="200" w:lineRule="exact"/>
        <w:rPr>
          <w:sz w:val="20"/>
          <w:szCs w:val="20"/>
          <w:color w:val="auto"/>
        </w:rPr>
      </w:pPr>
    </w:p>
    <w:p>
      <w:pPr>
        <w:spacing w:after="0" w:line="335" w:lineRule="exact"/>
        <w:rPr>
          <w:sz w:val="20"/>
          <w:szCs w:val="20"/>
          <w:color w:val="auto"/>
        </w:rPr>
      </w:pPr>
    </w:p>
    <w:tbl>
      <w:tblPr>
        <w:tblLayout w:type="fixed"/>
        <w:tblInd w:w="10" w:type="dxa"/>
        <w:tblCellMar>
          <w:top w:w="0" w:type="dxa"/>
          <w:left w:w="0" w:type="dxa"/>
          <w:bottom w:w="0" w:type="dxa"/>
          <w:right w:w="0" w:type="dxa"/>
        </w:tblCellMar>
      </w:tblPr>
      <w:tr>
        <w:trPr>
          <w:trHeight w:val="292"/>
        </w:trPr>
        <w:tc>
          <w:tcPr>
            <w:tcW w:w="580" w:type="dxa"/>
            <w:vAlign w:val="bottom"/>
            <w:tcBorders>
              <w:top w:val="single" w:sz="8" w:color="auto"/>
              <w:lef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Sr.</w:t>
            </w:r>
          </w:p>
        </w:tc>
        <w:tc>
          <w:tcPr>
            <w:tcW w:w="320" w:type="dxa"/>
            <w:vAlign w:val="bottom"/>
            <w:tcBorders>
              <w:top w:val="single" w:sz="8" w:color="auto"/>
              <w:right w:val="single" w:sz="8" w:color="auto"/>
            </w:tcBorders>
          </w:tcPr>
          <w:p>
            <w:pPr>
              <w:spacing w:after="0"/>
              <w:rPr>
                <w:sz w:val="24"/>
                <w:szCs w:val="24"/>
                <w:color w:val="auto"/>
              </w:rPr>
            </w:pPr>
          </w:p>
        </w:tc>
        <w:tc>
          <w:tcPr>
            <w:tcW w:w="6380" w:type="dxa"/>
            <w:vAlign w:val="bottom"/>
            <w:tcBorders>
              <w:top w:val="single" w:sz="8" w:color="auto"/>
              <w:right w:val="single" w:sz="8" w:color="auto"/>
            </w:tcBorders>
          </w:tcPr>
          <w:p>
            <w:pPr>
              <w:ind w:left="620"/>
              <w:spacing w:after="0"/>
              <w:rPr>
                <w:sz w:val="20"/>
                <w:szCs w:val="20"/>
                <w:color w:val="auto"/>
              </w:rPr>
            </w:pPr>
            <w:r>
              <w:rPr>
                <w:rFonts w:ascii="Times New Roman" w:cs="Times New Roman" w:eastAsia="Times New Roman" w:hAnsi="Times New Roman"/>
                <w:sz w:val="24"/>
                <w:szCs w:val="24"/>
                <w:b w:val="1"/>
                <w:bCs w:val="1"/>
                <w:color w:val="auto"/>
              </w:rPr>
              <w:t>Particulars</w:t>
            </w:r>
          </w:p>
        </w:tc>
        <w:tc>
          <w:tcPr>
            <w:tcW w:w="2420" w:type="dxa"/>
            <w:vAlign w:val="bottom"/>
            <w:tcBorders>
              <w:top w:val="single" w:sz="8" w:color="auto"/>
              <w:right w:val="single" w:sz="8" w:color="auto"/>
            </w:tcBorders>
            <w:gridSpan w:val="3"/>
          </w:tcPr>
          <w:p>
            <w:pPr>
              <w:ind w:left="620"/>
              <w:spacing w:after="0"/>
              <w:rPr>
                <w:sz w:val="20"/>
                <w:szCs w:val="20"/>
                <w:color w:val="auto"/>
              </w:rPr>
            </w:pPr>
            <w:r>
              <w:rPr>
                <w:rFonts w:ascii="Times New Roman" w:cs="Times New Roman" w:eastAsia="Times New Roman" w:hAnsi="Times New Roman"/>
                <w:sz w:val="24"/>
                <w:szCs w:val="24"/>
                <w:b w:val="1"/>
                <w:bCs w:val="1"/>
                <w:color w:val="auto"/>
              </w:rPr>
              <w:t>Issue details</w:t>
            </w:r>
          </w:p>
        </w:tc>
      </w:tr>
      <w:tr>
        <w:trPr>
          <w:trHeight w:val="415"/>
        </w:trPr>
        <w:tc>
          <w:tcPr>
            <w:tcW w:w="580" w:type="dxa"/>
            <w:vAlign w:val="bottom"/>
            <w:tcBorders>
              <w:lef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No.</w:t>
            </w:r>
          </w:p>
        </w:tc>
        <w:tc>
          <w:tcPr>
            <w:tcW w:w="320" w:type="dxa"/>
            <w:vAlign w:val="bottom"/>
            <w:tcBorders>
              <w:right w:val="single" w:sz="8" w:color="auto"/>
            </w:tcBorders>
          </w:tcPr>
          <w:p>
            <w:pPr>
              <w:spacing w:after="0"/>
              <w:rPr>
                <w:sz w:val="24"/>
                <w:szCs w:val="24"/>
                <w:color w:val="auto"/>
              </w:rPr>
            </w:pPr>
          </w:p>
        </w:tc>
        <w:tc>
          <w:tcPr>
            <w:tcW w:w="6380" w:type="dxa"/>
            <w:vAlign w:val="bottom"/>
            <w:tcBorders>
              <w:right w:val="single" w:sz="8" w:color="auto"/>
            </w:tcBorders>
          </w:tcPr>
          <w:p>
            <w:pPr>
              <w:spacing w:after="0"/>
              <w:rPr>
                <w:sz w:val="24"/>
                <w:szCs w:val="24"/>
                <w:color w:val="auto"/>
              </w:rPr>
            </w:pPr>
          </w:p>
        </w:tc>
        <w:tc>
          <w:tcPr>
            <w:tcW w:w="80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860" w:type="dxa"/>
            <w:vAlign w:val="bottom"/>
            <w:tcBorders>
              <w:right w:val="single" w:sz="8" w:color="auto"/>
            </w:tcBorders>
          </w:tcPr>
          <w:p>
            <w:pPr>
              <w:spacing w:after="0"/>
              <w:rPr>
                <w:sz w:val="24"/>
                <w:szCs w:val="24"/>
                <w:color w:val="auto"/>
              </w:rPr>
            </w:pPr>
          </w:p>
        </w:tc>
      </w:tr>
      <w:tr>
        <w:trPr>
          <w:trHeight w:val="140"/>
        </w:trPr>
        <w:tc>
          <w:tcPr>
            <w:tcW w:w="580" w:type="dxa"/>
            <w:vAlign w:val="bottom"/>
            <w:tcBorders>
              <w:left w:val="single" w:sz="8" w:color="auto"/>
              <w:bottom w:val="single" w:sz="8" w:color="auto"/>
            </w:tcBorders>
          </w:tcPr>
          <w:p>
            <w:pPr>
              <w:spacing w:after="0"/>
              <w:rPr>
                <w:sz w:val="12"/>
                <w:szCs w:val="12"/>
                <w:color w:val="auto"/>
              </w:rPr>
            </w:pPr>
          </w:p>
        </w:tc>
        <w:tc>
          <w:tcPr>
            <w:tcW w:w="320" w:type="dxa"/>
            <w:vAlign w:val="bottom"/>
            <w:tcBorders>
              <w:bottom w:val="single" w:sz="8" w:color="auto"/>
              <w:right w:val="single" w:sz="8" w:color="auto"/>
            </w:tcBorders>
          </w:tcPr>
          <w:p>
            <w:pPr>
              <w:spacing w:after="0"/>
              <w:rPr>
                <w:sz w:val="12"/>
                <w:szCs w:val="12"/>
                <w:color w:val="auto"/>
              </w:rPr>
            </w:pPr>
          </w:p>
        </w:tc>
        <w:tc>
          <w:tcPr>
            <w:tcW w:w="6380" w:type="dxa"/>
            <w:vAlign w:val="bottom"/>
            <w:tcBorders>
              <w:bottom w:val="single" w:sz="8" w:color="auto"/>
              <w:right w:val="single" w:sz="8" w:color="auto"/>
            </w:tcBorders>
          </w:tcPr>
          <w:p>
            <w:pPr>
              <w:spacing w:after="0"/>
              <w:rPr>
                <w:sz w:val="12"/>
                <w:szCs w:val="12"/>
                <w:color w:val="auto"/>
              </w:rPr>
            </w:pPr>
          </w:p>
        </w:tc>
        <w:tc>
          <w:tcPr>
            <w:tcW w:w="800" w:type="dxa"/>
            <w:vAlign w:val="bottom"/>
            <w:tcBorders>
              <w:bottom w:val="single" w:sz="8" w:color="auto"/>
            </w:tcBorders>
          </w:tcPr>
          <w:p>
            <w:pPr>
              <w:spacing w:after="0"/>
              <w:rPr>
                <w:sz w:val="12"/>
                <w:szCs w:val="12"/>
                <w:color w:val="auto"/>
              </w:rPr>
            </w:pPr>
          </w:p>
        </w:tc>
        <w:tc>
          <w:tcPr>
            <w:tcW w:w="760" w:type="dxa"/>
            <w:vAlign w:val="bottom"/>
            <w:tcBorders>
              <w:bottom w:val="single" w:sz="8" w:color="auto"/>
            </w:tcBorders>
          </w:tcPr>
          <w:p>
            <w:pPr>
              <w:spacing w:after="0"/>
              <w:rPr>
                <w:sz w:val="12"/>
                <w:szCs w:val="12"/>
                <w:color w:val="auto"/>
              </w:rPr>
            </w:pPr>
          </w:p>
        </w:tc>
        <w:tc>
          <w:tcPr>
            <w:tcW w:w="860" w:type="dxa"/>
            <w:vAlign w:val="bottom"/>
            <w:tcBorders>
              <w:bottom w:val="single" w:sz="8" w:color="auto"/>
              <w:right w:val="single" w:sz="8" w:color="auto"/>
            </w:tcBorders>
          </w:tcPr>
          <w:p>
            <w:pPr>
              <w:spacing w:after="0"/>
              <w:rPr>
                <w:sz w:val="12"/>
                <w:szCs w:val="12"/>
                <w:color w:val="auto"/>
              </w:rPr>
            </w:pPr>
          </w:p>
        </w:tc>
      </w:tr>
      <w:tr>
        <w:trPr>
          <w:trHeight w:val="258"/>
        </w:trPr>
        <w:tc>
          <w:tcPr>
            <w:tcW w:w="580" w:type="dxa"/>
            <w:vAlign w:val="bottom"/>
            <w:tcBorders>
              <w:left w:val="single" w:sz="8" w:color="auto"/>
            </w:tcBorders>
          </w:tcPr>
          <w:p>
            <w:pPr>
              <w:jc w:val="center"/>
              <w:spacing w:after="0" w:line="258" w:lineRule="exact"/>
              <w:rPr>
                <w:sz w:val="20"/>
                <w:szCs w:val="20"/>
                <w:color w:val="auto"/>
              </w:rPr>
            </w:pPr>
            <w:r>
              <w:rPr>
                <w:rFonts w:ascii="Times New Roman" w:cs="Times New Roman" w:eastAsia="Times New Roman" w:hAnsi="Times New Roman"/>
                <w:sz w:val="24"/>
                <w:szCs w:val="24"/>
                <w:color w:val="auto"/>
                <w:w w:val="99"/>
              </w:rPr>
              <w:t>1</w:t>
            </w:r>
          </w:p>
        </w:tc>
        <w:tc>
          <w:tcPr>
            <w:tcW w:w="320" w:type="dxa"/>
            <w:vAlign w:val="bottom"/>
            <w:tcBorders>
              <w:right w:val="single" w:sz="8" w:color="auto"/>
            </w:tcBorders>
          </w:tcPr>
          <w:p>
            <w:pPr>
              <w:spacing w:after="0"/>
              <w:rPr>
                <w:sz w:val="22"/>
                <w:szCs w:val="22"/>
                <w:color w:val="auto"/>
              </w:rPr>
            </w:pPr>
          </w:p>
        </w:tc>
        <w:tc>
          <w:tcPr>
            <w:tcW w:w="6380" w:type="dxa"/>
            <w:vAlign w:val="bottom"/>
            <w:tcBorders>
              <w:right w:val="single" w:sz="8" w:color="auto"/>
            </w:tcBorders>
          </w:tcPr>
          <w:p>
            <w:pPr>
              <w:ind w:left="80"/>
              <w:spacing w:after="0" w:line="258" w:lineRule="exact"/>
              <w:rPr>
                <w:sz w:val="20"/>
                <w:szCs w:val="20"/>
                <w:color w:val="auto"/>
              </w:rPr>
            </w:pPr>
            <w:r>
              <w:rPr>
                <w:rFonts w:ascii="Times New Roman" w:cs="Times New Roman" w:eastAsia="Times New Roman" w:hAnsi="Times New Roman"/>
                <w:sz w:val="24"/>
                <w:szCs w:val="24"/>
                <w:color w:val="auto"/>
              </w:rPr>
              <w:t>Issue size</w:t>
            </w:r>
          </w:p>
        </w:tc>
        <w:tc>
          <w:tcPr>
            <w:tcW w:w="800" w:type="dxa"/>
            <w:vAlign w:val="bottom"/>
          </w:tcPr>
          <w:p>
            <w:pPr>
              <w:ind w:left="120"/>
              <w:spacing w:after="0" w:line="258" w:lineRule="exact"/>
              <w:rPr>
                <w:sz w:val="20"/>
                <w:szCs w:val="20"/>
                <w:color w:val="auto"/>
              </w:rPr>
            </w:pPr>
            <w:r>
              <w:rPr>
                <w:rFonts w:ascii="Times New Roman" w:cs="Times New Roman" w:eastAsia="Times New Roman" w:hAnsi="Times New Roman"/>
                <w:sz w:val="24"/>
                <w:szCs w:val="24"/>
                <w:color w:val="auto"/>
              </w:rPr>
              <w:t>200</w:t>
            </w:r>
          </w:p>
        </w:tc>
        <w:tc>
          <w:tcPr>
            <w:tcW w:w="760" w:type="dxa"/>
            <w:vAlign w:val="bottom"/>
          </w:tcPr>
          <w:p>
            <w:pPr>
              <w:ind w:left="60"/>
              <w:spacing w:after="0" w:line="258" w:lineRule="exact"/>
              <w:rPr>
                <w:sz w:val="20"/>
                <w:szCs w:val="20"/>
                <w:color w:val="auto"/>
              </w:rPr>
            </w:pPr>
            <w:r>
              <w:rPr>
                <w:rFonts w:ascii="Times New Roman" w:cs="Times New Roman" w:eastAsia="Times New Roman" w:hAnsi="Times New Roman"/>
                <w:sz w:val="24"/>
                <w:szCs w:val="24"/>
                <w:color w:val="auto"/>
              </w:rPr>
              <w:t>crore</w:t>
            </w:r>
          </w:p>
        </w:tc>
        <w:tc>
          <w:tcPr>
            <w:tcW w:w="860" w:type="dxa"/>
            <w:vAlign w:val="bottom"/>
            <w:tcBorders>
              <w:right w:val="single" w:sz="8" w:color="auto"/>
            </w:tcBorders>
          </w:tcPr>
          <w:p>
            <w:pPr>
              <w:ind w:left="180"/>
              <w:spacing w:after="0" w:line="258" w:lineRule="exact"/>
              <w:rPr>
                <w:sz w:val="20"/>
                <w:szCs w:val="20"/>
                <w:color w:val="auto"/>
              </w:rPr>
            </w:pPr>
            <w:r>
              <w:rPr>
                <w:rFonts w:ascii="Times New Roman" w:cs="Times New Roman" w:eastAsia="Times New Roman" w:hAnsi="Times New Roman"/>
                <w:sz w:val="24"/>
                <w:szCs w:val="24"/>
                <w:color w:val="auto"/>
              </w:rPr>
              <w:t>equity</w:t>
            </w:r>
          </w:p>
        </w:tc>
      </w:tr>
      <w:tr>
        <w:trPr>
          <w:trHeight w:val="415"/>
        </w:trPr>
        <w:tc>
          <w:tcPr>
            <w:tcW w:w="580" w:type="dxa"/>
            <w:vAlign w:val="bottom"/>
            <w:tcBorders>
              <w:left w:val="single" w:sz="8" w:color="auto"/>
            </w:tcBorders>
          </w:tcPr>
          <w:p>
            <w:pPr>
              <w:spacing w:after="0"/>
              <w:rPr>
                <w:sz w:val="24"/>
                <w:szCs w:val="24"/>
                <w:color w:val="auto"/>
              </w:rPr>
            </w:pPr>
          </w:p>
        </w:tc>
        <w:tc>
          <w:tcPr>
            <w:tcW w:w="320" w:type="dxa"/>
            <w:vAlign w:val="bottom"/>
            <w:tcBorders>
              <w:right w:val="single" w:sz="8" w:color="auto"/>
            </w:tcBorders>
          </w:tcPr>
          <w:p>
            <w:pPr>
              <w:spacing w:after="0"/>
              <w:rPr>
                <w:sz w:val="24"/>
                <w:szCs w:val="24"/>
                <w:color w:val="auto"/>
              </w:rPr>
            </w:pPr>
          </w:p>
        </w:tc>
        <w:tc>
          <w:tcPr>
            <w:tcW w:w="6380" w:type="dxa"/>
            <w:vAlign w:val="bottom"/>
            <w:tcBorders>
              <w:right w:val="single" w:sz="8" w:color="auto"/>
            </w:tcBorders>
          </w:tcPr>
          <w:p>
            <w:pPr>
              <w:spacing w:after="0"/>
              <w:rPr>
                <w:sz w:val="24"/>
                <w:szCs w:val="24"/>
                <w:color w:val="auto"/>
              </w:rPr>
            </w:pPr>
          </w:p>
        </w:tc>
        <w:tc>
          <w:tcPr>
            <w:tcW w:w="800" w:type="dxa"/>
            <w:vAlign w:val="bottom"/>
          </w:tcPr>
          <w:p>
            <w:pPr>
              <w:ind w:left="120"/>
              <w:spacing w:after="0"/>
              <w:rPr>
                <w:sz w:val="20"/>
                <w:szCs w:val="20"/>
                <w:color w:val="auto"/>
              </w:rPr>
            </w:pPr>
            <w:r>
              <w:rPr>
                <w:rFonts w:ascii="Times New Roman" w:cs="Times New Roman" w:eastAsia="Times New Roman" w:hAnsi="Times New Roman"/>
                <w:sz w:val="24"/>
                <w:szCs w:val="24"/>
                <w:color w:val="auto"/>
              </w:rPr>
              <w:t>shares</w:t>
            </w:r>
          </w:p>
        </w:tc>
        <w:tc>
          <w:tcPr>
            <w:tcW w:w="760" w:type="dxa"/>
            <w:vAlign w:val="bottom"/>
          </w:tcPr>
          <w:p>
            <w:pPr>
              <w:spacing w:after="0"/>
              <w:rPr>
                <w:sz w:val="24"/>
                <w:szCs w:val="24"/>
                <w:color w:val="auto"/>
              </w:rPr>
            </w:pPr>
          </w:p>
        </w:tc>
        <w:tc>
          <w:tcPr>
            <w:tcW w:w="860" w:type="dxa"/>
            <w:vAlign w:val="bottom"/>
            <w:tcBorders>
              <w:right w:val="single" w:sz="8" w:color="auto"/>
            </w:tcBorders>
          </w:tcPr>
          <w:p>
            <w:pPr>
              <w:spacing w:after="0"/>
              <w:rPr>
                <w:sz w:val="24"/>
                <w:szCs w:val="24"/>
                <w:color w:val="auto"/>
              </w:rPr>
            </w:pPr>
          </w:p>
        </w:tc>
      </w:tr>
      <w:tr>
        <w:trPr>
          <w:trHeight w:val="145"/>
        </w:trPr>
        <w:tc>
          <w:tcPr>
            <w:tcW w:w="580" w:type="dxa"/>
            <w:vAlign w:val="bottom"/>
            <w:tcBorders>
              <w:left w:val="single" w:sz="8" w:color="auto"/>
              <w:bottom w:val="single" w:sz="8" w:color="auto"/>
            </w:tcBorders>
          </w:tcPr>
          <w:p>
            <w:pPr>
              <w:spacing w:after="0"/>
              <w:rPr>
                <w:sz w:val="12"/>
                <w:szCs w:val="12"/>
                <w:color w:val="auto"/>
              </w:rPr>
            </w:pPr>
          </w:p>
        </w:tc>
        <w:tc>
          <w:tcPr>
            <w:tcW w:w="320" w:type="dxa"/>
            <w:vAlign w:val="bottom"/>
            <w:tcBorders>
              <w:bottom w:val="single" w:sz="8" w:color="auto"/>
              <w:right w:val="single" w:sz="8" w:color="auto"/>
            </w:tcBorders>
          </w:tcPr>
          <w:p>
            <w:pPr>
              <w:spacing w:after="0"/>
              <w:rPr>
                <w:sz w:val="12"/>
                <w:szCs w:val="12"/>
                <w:color w:val="auto"/>
              </w:rPr>
            </w:pPr>
          </w:p>
        </w:tc>
        <w:tc>
          <w:tcPr>
            <w:tcW w:w="6380" w:type="dxa"/>
            <w:vAlign w:val="bottom"/>
            <w:tcBorders>
              <w:bottom w:val="single" w:sz="8" w:color="auto"/>
              <w:right w:val="single" w:sz="8" w:color="auto"/>
            </w:tcBorders>
          </w:tcPr>
          <w:p>
            <w:pPr>
              <w:spacing w:after="0"/>
              <w:rPr>
                <w:sz w:val="12"/>
                <w:szCs w:val="12"/>
                <w:color w:val="auto"/>
              </w:rPr>
            </w:pPr>
          </w:p>
        </w:tc>
        <w:tc>
          <w:tcPr>
            <w:tcW w:w="800" w:type="dxa"/>
            <w:vAlign w:val="bottom"/>
            <w:tcBorders>
              <w:bottom w:val="single" w:sz="8" w:color="auto"/>
            </w:tcBorders>
          </w:tcPr>
          <w:p>
            <w:pPr>
              <w:spacing w:after="0"/>
              <w:rPr>
                <w:sz w:val="12"/>
                <w:szCs w:val="12"/>
                <w:color w:val="auto"/>
              </w:rPr>
            </w:pPr>
          </w:p>
        </w:tc>
        <w:tc>
          <w:tcPr>
            <w:tcW w:w="760" w:type="dxa"/>
            <w:vAlign w:val="bottom"/>
            <w:tcBorders>
              <w:bottom w:val="single" w:sz="8" w:color="auto"/>
            </w:tcBorders>
          </w:tcPr>
          <w:p>
            <w:pPr>
              <w:spacing w:after="0"/>
              <w:rPr>
                <w:sz w:val="12"/>
                <w:szCs w:val="12"/>
                <w:color w:val="auto"/>
              </w:rPr>
            </w:pPr>
          </w:p>
        </w:tc>
        <w:tc>
          <w:tcPr>
            <w:tcW w:w="860" w:type="dxa"/>
            <w:vAlign w:val="bottom"/>
            <w:tcBorders>
              <w:bottom w:val="single" w:sz="8" w:color="auto"/>
              <w:right w:val="single" w:sz="8" w:color="auto"/>
            </w:tcBorders>
          </w:tcPr>
          <w:p>
            <w:pPr>
              <w:spacing w:after="0"/>
              <w:rPr>
                <w:sz w:val="12"/>
                <w:szCs w:val="12"/>
                <w:color w:val="auto"/>
              </w:rPr>
            </w:pPr>
          </w:p>
        </w:tc>
      </w:tr>
      <w:tr>
        <w:trPr>
          <w:trHeight w:val="258"/>
        </w:trPr>
        <w:tc>
          <w:tcPr>
            <w:tcW w:w="580" w:type="dxa"/>
            <w:vAlign w:val="bottom"/>
            <w:tcBorders>
              <w:left w:val="single" w:sz="8" w:color="auto"/>
            </w:tcBorders>
          </w:tcPr>
          <w:p>
            <w:pPr>
              <w:jc w:val="center"/>
              <w:spacing w:after="0" w:line="258" w:lineRule="exact"/>
              <w:rPr>
                <w:sz w:val="20"/>
                <w:szCs w:val="20"/>
                <w:color w:val="auto"/>
              </w:rPr>
            </w:pPr>
            <w:r>
              <w:rPr>
                <w:rFonts w:ascii="Times New Roman" w:cs="Times New Roman" w:eastAsia="Times New Roman" w:hAnsi="Times New Roman"/>
                <w:sz w:val="24"/>
                <w:szCs w:val="24"/>
                <w:color w:val="auto"/>
                <w:w w:val="99"/>
              </w:rPr>
              <w:t>2</w:t>
            </w:r>
          </w:p>
        </w:tc>
        <w:tc>
          <w:tcPr>
            <w:tcW w:w="320" w:type="dxa"/>
            <w:vAlign w:val="bottom"/>
            <w:tcBorders>
              <w:right w:val="single" w:sz="8" w:color="auto"/>
            </w:tcBorders>
          </w:tcPr>
          <w:p>
            <w:pPr>
              <w:spacing w:after="0"/>
              <w:rPr>
                <w:sz w:val="22"/>
                <w:szCs w:val="22"/>
                <w:color w:val="auto"/>
              </w:rPr>
            </w:pPr>
          </w:p>
        </w:tc>
        <w:tc>
          <w:tcPr>
            <w:tcW w:w="6380" w:type="dxa"/>
            <w:vAlign w:val="bottom"/>
            <w:tcBorders>
              <w:right w:val="single" w:sz="8" w:color="auto"/>
            </w:tcBorders>
          </w:tcPr>
          <w:p>
            <w:pPr>
              <w:ind w:left="80"/>
              <w:spacing w:after="0" w:line="258" w:lineRule="exact"/>
              <w:rPr>
                <w:sz w:val="20"/>
                <w:szCs w:val="20"/>
                <w:color w:val="auto"/>
              </w:rPr>
            </w:pPr>
            <w:r>
              <w:rPr>
                <w:rFonts w:ascii="Times New Roman" w:cs="Times New Roman" w:eastAsia="Times New Roman" w:hAnsi="Times New Roman"/>
                <w:sz w:val="24"/>
                <w:szCs w:val="24"/>
                <w:color w:val="auto"/>
              </w:rPr>
              <w:t>Portion available to QIBs*</w:t>
            </w:r>
          </w:p>
        </w:tc>
        <w:tc>
          <w:tcPr>
            <w:tcW w:w="800" w:type="dxa"/>
            <w:vAlign w:val="bottom"/>
          </w:tcPr>
          <w:p>
            <w:pPr>
              <w:ind w:left="120"/>
              <w:spacing w:after="0" w:line="258" w:lineRule="exact"/>
              <w:rPr>
                <w:sz w:val="20"/>
                <w:szCs w:val="20"/>
                <w:color w:val="auto"/>
              </w:rPr>
            </w:pPr>
            <w:r>
              <w:rPr>
                <w:rFonts w:ascii="Times New Roman" w:cs="Times New Roman" w:eastAsia="Times New Roman" w:hAnsi="Times New Roman"/>
                <w:sz w:val="24"/>
                <w:szCs w:val="24"/>
                <w:color w:val="auto"/>
              </w:rPr>
              <w:t>100</w:t>
            </w:r>
          </w:p>
        </w:tc>
        <w:tc>
          <w:tcPr>
            <w:tcW w:w="760" w:type="dxa"/>
            <w:vAlign w:val="bottom"/>
          </w:tcPr>
          <w:p>
            <w:pPr>
              <w:ind w:left="60"/>
              <w:spacing w:after="0" w:line="258" w:lineRule="exact"/>
              <w:rPr>
                <w:sz w:val="20"/>
                <w:szCs w:val="20"/>
                <w:color w:val="auto"/>
              </w:rPr>
            </w:pPr>
            <w:r>
              <w:rPr>
                <w:rFonts w:ascii="Times New Roman" w:cs="Times New Roman" w:eastAsia="Times New Roman" w:hAnsi="Times New Roman"/>
                <w:sz w:val="24"/>
                <w:szCs w:val="24"/>
                <w:color w:val="auto"/>
              </w:rPr>
              <w:t>crore</w:t>
            </w:r>
          </w:p>
        </w:tc>
        <w:tc>
          <w:tcPr>
            <w:tcW w:w="860" w:type="dxa"/>
            <w:vAlign w:val="bottom"/>
            <w:tcBorders>
              <w:right w:val="single" w:sz="8" w:color="auto"/>
            </w:tcBorders>
          </w:tcPr>
          <w:p>
            <w:pPr>
              <w:ind w:left="180"/>
              <w:spacing w:after="0" w:line="258" w:lineRule="exact"/>
              <w:rPr>
                <w:sz w:val="20"/>
                <w:szCs w:val="20"/>
                <w:color w:val="auto"/>
              </w:rPr>
            </w:pPr>
            <w:r>
              <w:rPr>
                <w:rFonts w:ascii="Times New Roman" w:cs="Times New Roman" w:eastAsia="Times New Roman" w:hAnsi="Times New Roman"/>
                <w:sz w:val="24"/>
                <w:szCs w:val="24"/>
                <w:color w:val="auto"/>
              </w:rPr>
              <w:t>equity</w:t>
            </w:r>
          </w:p>
        </w:tc>
      </w:tr>
      <w:tr>
        <w:trPr>
          <w:trHeight w:val="415"/>
        </w:trPr>
        <w:tc>
          <w:tcPr>
            <w:tcW w:w="580" w:type="dxa"/>
            <w:vAlign w:val="bottom"/>
            <w:tcBorders>
              <w:left w:val="single" w:sz="8" w:color="auto"/>
            </w:tcBorders>
          </w:tcPr>
          <w:p>
            <w:pPr>
              <w:spacing w:after="0"/>
              <w:rPr>
                <w:sz w:val="24"/>
                <w:szCs w:val="24"/>
                <w:color w:val="auto"/>
              </w:rPr>
            </w:pPr>
          </w:p>
        </w:tc>
        <w:tc>
          <w:tcPr>
            <w:tcW w:w="320" w:type="dxa"/>
            <w:vAlign w:val="bottom"/>
            <w:tcBorders>
              <w:right w:val="single" w:sz="8" w:color="auto"/>
            </w:tcBorders>
          </w:tcPr>
          <w:p>
            <w:pPr>
              <w:spacing w:after="0"/>
              <w:rPr>
                <w:sz w:val="24"/>
                <w:szCs w:val="24"/>
                <w:color w:val="auto"/>
              </w:rPr>
            </w:pPr>
          </w:p>
        </w:tc>
        <w:tc>
          <w:tcPr>
            <w:tcW w:w="6380" w:type="dxa"/>
            <w:vAlign w:val="bottom"/>
            <w:tcBorders>
              <w:right w:val="single" w:sz="8" w:color="auto"/>
            </w:tcBorders>
          </w:tcPr>
          <w:p>
            <w:pPr>
              <w:spacing w:after="0"/>
              <w:rPr>
                <w:sz w:val="24"/>
                <w:szCs w:val="24"/>
                <w:color w:val="auto"/>
              </w:rPr>
            </w:pPr>
          </w:p>
        </w:tc>
        <w:tc>
          <w:tcPr>
            <w:tcW w:w="800" w:type="dxa"/>
            <w:vAlign w:val="bottom"/>
          </w:tcPr>
          <w:p>
            <w:pPr>
              <w:ind w:left="120"/>
              <w:spacing w:after="0"/>
              <w:rPr>
                <w:sz w:val="20"/>
                <w:szCs w:val="20"/>
                <w:color w:val="auto"/>
              </w:rPr>
            </w:pPr>
            <w:r>
              <w:rPr>
                <w:rFonts w:ascii="Times New Roman" w:cs="Times New Roman" w:eastAsia="Times New Roman" w:hAnsi="Times New Roman"/>
                <w:sz w:val="24"/>
                <w:szCs w:val="24"/>
                <w:color w:val="auto"/>
              </w:rPr>
              <w:t>shares</w:t>
            </w:r>
          </w:p>
        </w:tc>
        <w:tc>
          <w:tcPr>
            <w:tcW w:w="760" w:type="dxa"/>
            <w:vAlign w:val="bottom"/>
          </w:tcPr>
          <w:p>
            <w:pPr>
              <w:spacing w:after="0"/>
              <w:rPr>
                <w:sz w:val="24"/>
                <w:szCs w:val="24"/>
                <w:color w:val="auto"/>
              </w:rPr>
            </w:pPr>
          </w:p>
        </w:tc>
        <w:tc>
          <w:tcPr>
            <w:tcW w:w="860" w:type="dxa"/>
            <w:vAlign w:val="bottom"/>
            <w:tcBorders>
              <w:right w:val="single" w:sz="8" w:color="auto"/>
            </w:tcBorders>
          </w:tcPr>
          <w:p>
            <w:pPr>
              <w:spacing w:after="0"/>
              <w:rPr>
                <w:sz w:val="24"/>
                <w:szCs w:val="24"/>
                <w:color w:val="auto"/>
              </w:rPr>
            </w:pPr>
          </w:p>
        </w:tc>
      </w:tr>
      <w:tr>
        <w:trPr>
          <w:trHeight w:val="144"/>
        </w:trPr>
        <w:tc>
          <w:tcPr>
            <w:tcW w:w="580" w:type="dxa"/>
            <w:vAlign w:val="bottom"/>
            <w:tcBorders>
              <w:left w:val="single" w:sz="8" w:color="auto"/>
              <w:bottom w:val="single" w:sz="8" w:color="auto"/>
            </w:tcBorders>
          </w:tcPr>
          <w:p>
            <w:pPr>
              <w:spacing w:after="0"/>
              <w:rPr>
                <w:sz w:val="12"/>
                <w:szCs w:val="12"/>
                <w:color w:val="auto"/>
              </w:rPr>
            </w:pPr>
          </w:p>
        </w:tc>
        <w:tc>
          <w:tcPr>
            <w:tcW w:w="320" w:type="dxa"/>
            <w:vAlign w:val="bottom"/>
            <w:tcBorders>
              <w:bottom w:val="single" w:sz="8" w:color="auto"/>
              <w:right w:val="single" w:sz="8" w:color="auto"/>
            </w:tcBorders>
          </w:tcPr>
          <w:p>
            <w:pPr>
              <w:spacing w:after="0"/>
              <w:rPr>
                <w:sz w:val="12"/>
                <w:szCs w:val="12"/>
                <w:color w:val="auto"/>
              </w:rPr>
            </w:pPr>
          </w:p>
        </w:tc>
        <w:tc>
          <w:tcPr>
            <w:tcW w:w="6380" w:type="dxa"/>
            <w:vAlign w:val="bottom"/>
            <w:tcBorders>
              <w:bottom w:val="single" w:sz="8" w:color="auto"/>
              <w:right w:val="single" w:sz="8" w:color="auto"/>
            </w:tcBorders>
          </w:tcPr>
          <w:p>
            <w:pPr>
              <w:spacing w:after="0"/>
              <w:rPr>
                <w:sz w:val="12"/>
                <w:szCs w:val="12"/>
                <w:color w:val="auto"/>
              </w:rPr>
            </w:pPr>
          </w:p>
        </w:tc>
        <w:tc>
          <w:tcPr>
            <w:tcW w:w="2420" w:type="dxa"/>
            <w:vAlign w:val="bottom"/>
            <w:tcBorders>
              <w:bottom w:val="single" w:sz="8" w:color="auto"/>
              <w:right w:val="single" w:sz="8" w:color="auto"/>
            </w:tcBorders>
            <w:gridSpan w:val="3"/>
          </w:tcPr>
          <w:p>
            <w:pPr>
              <w:spacing w:after="0"/>
              <w:rPr>
                <w:sz w:val="12"/>
                <w:szCs w:val="12"/>
                <w:color w:val="auto"/>
              </w:rPr>
            </w:pPr>
          </w:p>
        </w:tc>
      </w:tr>
      <w:tr>
        <w:trPr>
          <w:trHeight w:val="260"/>
        </w:trPr>
        <w:tc>
          <w:tcPr>
            <w:tcW w:w="580" w:type="dxa"/>
            <w:vAlign w:val="bottom"/>
            <w:tcBorders>
              <w:lef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3</w:t>
            </w:r>
          </w:p>
        </w:tc>
        <w:tc>
          <w:tcPr>
            <w:tcW w:w="320" w:type="dxa"/>
            <w:vAlign w:val="bottom"/>
            <w:tcBorders>
              <w:right w:val="single" w:sz="8" w:color="auto"/>
            </w:tcBorders>
          </w:tcPr>
          <w:p>
            <w:pPr>
              <w:spacing w:after="0"/>
              <w:rPr>
                <w:sz w:val="22"/>
                <w:szCs w:val="22"/>
                <w:color w:val="auto"/>
              </w:rPr>
            </w:pPr>
          </w:p>
        </w:tc>
        <w:tc>
          <w:tcPr>
            <w:tcW w:w="6380" w:type="dxa"/>
            <w:vAlign w:val="bottom"/>
            <w:tcBorders>
              <w:right w:val="single" w:sz="8" w:color="auto"/>
            </w:tcBorders>
          </w:tcPr>
          <w:p>
            <w:pPr>
              <w:ind w:left="80"/>
              <w:spacing w:after="0" w:line="260" w:lineRule="exact"/>
              <w:rPr>
                <w:sz w:val="20"/>
                <w:szCs w:val="20"/>
                <w:color w:val="auto"/>
              </w:rPr>
            </w:pPr>
            <w:r>
              <w:rPr>
                <w:rFonts w:ascii="Times New Roman" w:cs="Times New Roman" w:eastAsia="Times New Roman" w:hAnsi="Times New Roman"/>
                <w:sz w:val="24"/>
                <w:szCs w:val="24"/>
                <w:color w:val="auto"/>
              </w:rPr>
              <w:t>Anchor Investor Portion</w:t>
            </w:r>
          </w:p>
        </w:tc>
        <w:tc>
          <w:tcPr>
            <w:tcW w:w="2420" w:type="dxa"/>
            <w:vAlign w:val="bottom"/>
            <w:tcBorders>
              <w:right w:val="single" w:sz="8" w:color="auto"/>
            </w:tcBorders>
            <w:gridSpan w:val="3"/>
          </w:tcPr>
          <w:p>
            <w:pPr>
              <w:ind w:left="120"/>
              <w:spacing w:after="0" w:line="260" w:lineRule="exact"/>
              <w:rPr>
                <w:sz w:val="20"/>
                <w:szCs w:val="20"/>
                <w:color w:val="auto"/>
              </w:rPr>
            </w:pPr>
            <w:r>
              <w:rPr>
                <w:rFonts w:ascii="Times New Roman" w:cs="Times New Roman" w:eastAsia="Times New Roman" w:hAnsi="Times New Roman"/>
                <w:sz w:val="24"/>
                <w:szCs w:val="24"/>
                <w:color w:val="auto"/>
              </w:rPr>
              <w:t>60 crore equity shares</w:t>
            </w:r>
          </w:p>
        </w:tc>
      </w:tr>
      <w:tr>
        <w:trPr>
          <w:trHeight w:val="144"/>
        </w:trPr>
        <w:tc>
          <w:tcPr>
            <w:tcW w:w="580" w:type="dxa"/>
            <w:vAlign w:val="bottom"/>
            <w:tcBorders>
              <w:left w:val="single" w:sz="8" w:color="auto"/>
              <w:bottom w:val="single" w:sz="8" w:color="auto"/>
            </w:tcBorders>
          </w:tcPr>
          <w:p>
            <w:pPr>
              <w:spacing w:after="0"/>
              <w:rPr>
                <w:sz w:val="12"/>
                <w:szCs w:val="12"/>
                <w:color w:val="auto"/>
              </w:rPr>
            </w:pPr>
          </w:p>
        </w:tc>
        <w:tc>
          <w:tcPr>
            <w:tcW w:w="320" w:type="dxa"/>
            <w:vAlign w:val="bottom"/>
            <w:tcBorders>
              <w:bottom w:val="single" w:sz="8" w:color="auto"/>
              <w:right w:val="single" w:sz="8" w:color="auto"/>
            </w:tcBorders>
          </w:tcPr>
          <w:p>
            <w:pPr>
              <w:spacing w:after="0"/>
              <w:rPr>
                <w:sz w:val="12"/>
                <w:szCs w:val="12"/>
                <w:color w:val="auto"/>
              </w:rPr>
            </w:pPr>
          </w:p>
        </w:tc>
        <w:tc>
          <w:tcPr>
            <w:tcW w:w="6380" w:type="dxa"/>
            <w:vAlign w:val="bottom"/>
            <w:tcBorders>
              <w:bottom w:val="single" w:sz="8" w:color="auto"/>
              <w:right w:val="single" w:sz="8" w:color="auto"/>
            </w:tcBorders>
          </w:tcPr>
          <w:p>
            <w:pPr>
              <w:spacing w:after="0"/>
              <w:rPr>
                <w:sz w:val="12"/>
                <w:szCs w:val="12"/>
                <w:color w:val="auto"/>
              </w:rPr>
            </w:pPr>
          </w:p>
        </w:tc>
        <w:tc>
          <w:tcPr>
            <w:tcW w:w="800" w:type="dxa"/>
            <w:vAlign w:val="bottom"/>
            <w:tcBorders>
              <w:bottom w:val="single" w:sz="8" w:color="auto"/>
            </w:tcBorders>
          </w:tcPr>
          <w:p>
            <w:pPr>
              <w:spacing w:after="0"/>
              <w:rPr>
                <w:sz w:val="12"/>
                <w:szCs w:val="12"/>
                <w:color w:val="auto"/>
              </w:rPr>
            </w:pPr>
          </w:p>
        </w:tc>
        <w:tc>
          <w:tcPr>
            <w:tcW w:w="760" w:type="dxa"/>
            <w:vAlign w:val="bottom"/>
            <w:tcBorders>
              <w:bottom w:val="single" w:sz="8" w:color="auto"/>
            </w:tcBorders>
          </w:tcPr>
          <w:p>
            <w:pPr>
              <w:spacing w:after="0"/>
              <w:rPr>
                <w:sz w:val="12"/>
                <w:szCs w:val="12"/>
                <w:color w:val="auto"/>
              </w:rPr>
            </w:pPr>
          </w:p>
        </w:tc>
        <w:tc>
          <w:tcPr>
            <w:tcW w:w="860" w:type="dxa"/>
            <w:vAlign w:val="bottom"/>
            <w:tcBorders>
              <w:bottom w:val="single" w:sz="8" w:color="auto"/>
              <w:right w:val="single" w:sz="8" w:color="auto"/>
            </w:tcBorders>
          </w:tcPr>
          <w:p>
            <w:pPr>
              <w:spacing w:after="0"/>
              <w:rPr>
                <w:sz w:val="12"/>
                <w:szCs w:val="12"/>
                <w:color w:val="auto"/>
              </w:rPr>
            </w:pPr>
          </w:p>
        </w:tc>
      </w:tr>
      <w:tr>
        <w:trPr>
          <w:trHeight w:val="258"/>
        </w:trPr>
        <w:tc>
          <w:tcPr>
            <w:tcW w:w="580" w:type="dxa"/>
            <w:vAlign w:val="bottom"/>
            <w:tcBorders>
              <w:left w:val="single" w:sz="8" w:color="auto"/>
            </w:tcBorders>
          </w:tcPr>
          <w:p>
            <w:pPr>
              <w:spacing w:after="0"/>
              <w:rPr>
                <w:sz w:val="22"/>
                <w:szCs w:val="22"/>
                <w:color w:val="auto"/>
              </w:rPr>
            </w:pPr>
          </w:p>
        </w:tc>
        <w:tc>
          <w:tcPr>
            <w:tcW w:w="320" w:type="dxa"/>
            <w:vAlign w:val="bottom"/>
            <w:tcBorders>
              <w:right w:val="single" w:sz="8" w:color="auto"/>
            </w:tcBorders>
          </w:tcPr>
          <w:p>
            <w:pPr>
              <w:spacing w:after="0"/>
              <w:rPr>
                <w:sz w:val="22"/>
                <w:szCs w:val="22"/>
                <w:color w:val="auto"/>
              </w:rPr>
            </w:pPr>
          </w:p>
        </w:tc>
        <w:tc>
          <w:tcPr>
            <w:tcW w:w="6380" w:type="dxa"/>
            <w:vAlign w:val="bottom"/>
            <w:tcBorders>
              <w:right w:val="single" w:sz="8" w:color="auto"/>
            </w:tcBorders>
          </w:tcPr>
          <w:p>
            <w:pPr>
              <w:ind w:left="80"/>
              <w:spacing w:after="0" w:line="258" w:lineRule="exact"/>
              <w:rPr>
                <w:sz w:val="20"/>
                <w:szCs w:val="20"/>
                <w:color w:val="auto"/>
              </w:rPr>
            </w:pPr>
            <w:r>
              <w:rPr>
                <w:rFonts w:ascii="Times New Roman" w:cs="Times New Roman" w:eastAsia="Times New Roman" w:hAnsi="Times New Roman"/>
                <w:sz w:val="24"/>
                <w:szCs w:val="24"/>
                <w:color w:val="auto"/>
              </w:rPr>
              <w:t>of which</w:t>
            </w:r>
          </w:p>
        </w:tc>
        <w:tc>
          <w:tcPr>
            <w:tcW w:w="800" w:type="dxa"/>
            <w:vAlign w:val="bottom"/>
          </w:tcPr>
          <w:p>
            <w:pPr>
              <w:spacing w:after="0"/>
              <w:rPr>
                <w:sz w:val="22"/>
                <w:szCs w:val="22"/>
                <w:color w:val="auto"/>
              </w:rPr>
            </w:pPr>
          </w:p>
        </w:tc>
        <w:tc>
          <w:tcPr>
            <w:tcW w:w="760" w:type="dxa"/>
            <w:vAlign w:val="bottom"/>
          </w:tcPr>
          <w:p>
            <w:pPr>
              <w:spacing w:after="0"/>
              <w:rPr>
                <w:sz w:val="22"/>
                <w:szCs w:val="22"/>
                <w:color w:val="auto"/>
              </w:rPr>
            </w:pPr>
          </w:p>
        </w:tc>
        <w:tc>
          <w:tcPr>
            <w:tcW w:w="860" w:type="dxa"/>
            <w:vAlign w:val="bottom"/>
            <w:tcBorders>
              <w:right w:val="single" w:sz="8" w:color="auto"/>
            </w:tcBorders>
          </w:tcPr>
          <w:p>
            <w:pPr>
              <w:spacing w:after="0"/>
              <w:rPr>
                <w:sz w:val="22"/>
                <w:szCs w:val="22"/>
                <w:color w:val="auto"/>
              </w:rPr>
            </w:pPr>
          </w:p>
        </w:tc>
      </w:tr>
      <w:tr>
        <w:trPr>
          <w:trHeight w:val="147"/>
        </w:trPr>
        <w:tc>
          <w:tcPr>
            <w:tcW w:w="580" w:type="dxa"/>
            <w:vAlign w:val="bottom"/>
            <w:tcBorders>
              <w:left w:val="single" w:sz="8" w:color="auto"/>
              <w:bottom w:val="single" w:sz="8" w:color="auto"/>
            </w:tcBorders>
          </w:tcPr>
          <w:p>
            <w:pPr>
              <w:spacing w:after="0"/>
              <w:rPr>
                <w:sz w:val="12"/>
                <w:szCs w:val="12"/>
                <w:color w:val="auto"/>
              </w:rPr>
            </w:pPr>
          </w:p>
        </w:tc>
        <w:tc>
          <w:tcPr>
            <w:tcW w:w="320" w:type="dxa"/>
            <w:vAlign w:val="bottom"/>
            <w:tcBorders>
              <w:bottom w:val="single" w:sz="8" w:color="auto"/>
              <w:right w:val="single" w:sz="8" w:color="auto"/>
            </w:tcBorders>
          </w:tcPr>
          <w:p>
            <w:pPr>
              <w:spacing w:after="0"/>
              <w:rPr>
                <w:sz w:val="12"/>
                <w:szCs w:val="12"/>
                <w:color w:val="auto"/>
              </w:rPr>
            </w:pPr>
          </w:p>
        </w:tc>
        <w:tc>
          <w:tcPr>
            <w:tcW w:w="6380" w:type="dxa"/>
            <w:vAlign w:val="bottom"/>
            <w:tcBorders>
              <w:bottom w:val="single" w:sz="8" w:color="auto"/>
              <w:right w:val="single" w:sz="8" w:color="auto"/>
            </w:tcBorders>
          </w:tcPr>
          <w:p>
            <w:pPr>
              <w:spacing w:after="0"/>
              <w:rPr>
                <w:sz w:val="12"/>
                <w:szCs w:val="12"/>
                <w:color w:val="auto"/>
              </w:rPr>
            </w:pPr>
          </w:p>
        </w:tc>
        <w:tc>
          <w:tcPr>
            <w:tcW w:w="2420" w:type="dxa"/>
            <w:vAlign w:val="bottom"/>
            <w:tcBorders>
              <w:bottom w:val="single" w:sz="8" w:color="auto"/>
              <w:right w:val="single" w:sz="8" w:color="auto"/>
            </w:tcBorders>
            <w:gridSpan w:val="3"/>
          </w:tcPr>
          <w:p>
            <w:pPr>
              <w:spacing w:after="0"/>
              <w:rPr>
                <w:sz w:val="12"/>
                <w:szCs w:val="12"/>
                <w:color w:val="auto"/>
              </w:rPr>
            </w:pPr>
          </w:p>
        </w:tc>
      </w:tr>
      <w:tr>
        <w:trPr>
          <w:trHeight w:val="358"/>
        </w:trPr>
        <w:tc>
          <w:tcPr>
            <w:tcW w:w="580" w:type="dxa"/>
            <w:vAlign w:val="bottom"/>
            <w:tcBorders>
              <w:left w:val="single" w:sz="8" w:color="auto"/>
            </w:tcBorders>
          </w:tcPr>
          <w:p>
            <w:pPr>
              <w:spacing w:after="0"/>
              <w:rPr>
                <w:sz w:val="24"/>
                <w:szCs w:val="24"/>
                <w:color w:val="auto"/>
              </w:rPr>
            </w:pPr>
          </w:p>
        </w:tc>
        <w:tc>
          <w:tcPr>
            <w:tcW w:w="320" w:type="dxa"/>
            <w:vAlign w:val="bottom"/>
            <w:tcBorders>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color w:val="auto"/>
              </w:rPr>
              <w:t>a.</w:t>
            </w:r>
          </w:p>
        </w:tc>
        <w:tc>
          <w:tcPr>
            <w:tcW w:w="6380" w:type="dxa"/>
            <w:vAlign w:val="bottom"/>
            <w:tcBorders>
              <w:right w:val="single" w:sz="8" w:color="auto"/>
            </w:tcBorders>
          </w:tcPr>
          <w:p>
            <w:pPr>
              <w:ind w:left="140"/>
              <w:spacing w:after="0" w:line="358" w:lineRule="exact"/>
              <w:rPr>
                <w:sz w:val="20"/>
                <w:szCs w:val="20"/>
                <w:color w:val="auto"/>
              </w:rPr>
            </w:pPr>
            <w:r>
              <w:rPr>
                <w:rFonts w:ascii="Times New Roman" w:cs="Times New Roman" w:eastAsia="Times New Roman" w:hAnsi="Times New Roman"/>
                <w:sz w:val="24"/>
                <w:szCs w:val="24"/>
                <w:color w:val="auto"/>
              </w:rPr>
              <w:t>Reservation for Mutual Funds (1/3</w:t>
            </w:r>
            <w:r>
              <w:rPr>
                <w:rFonts w:ascii="Times New Roman" w:cs="Times New Roman" w:eastAsia="Times New Roman" w:hAnsi="Times New Roman"/>
                <w:sz w:val="32"/>
                <w:szCs w:val="32"/>
                <w:color w:val="auto"/>
                <w:vertAlign w:val="superscript"/>
              </w:rPr>
              <w:t>rd</w:t>
            </w:r>
            <w:r>
              <w:rPr>
                <w:rFonts w:ascii="Times New Roman" w:cs="Times New Roman" w:eastAsia="Times New Roman" w:hAnsi="Times New Roman"/>
                <w:sz w:val="24"/>
                <w:szCs w:val="24"/>
                <w:color w:val="auto"/>
              </w:rPr>
              <w:t>)</w:t>
            </w:r>
          </w:p>
        </w:tc>
        <w:tc>
          <w:tcPr>
            <w:tcW w:w="2420" w:type="dxa"/>
            <w:vAlign w:val="bottom"/>
            <w:tcBorders>
              <w:right w:val="single" w:sz="8" w:color="auto"/>
            </w:tcBorders>
            <w:gridSpan w:val="3"/>
          </w:tcPr>
          <w:p>
            <w:pPr>
              <w:ind w:left="120"/>
              <w:spacing w:after="0" w:line="264" w:lineRule="exact"/>
              <w:rPr>
                <w:sz w:val="20"/>
                <w:szCs w:val="20"/>
                <w:color w:val="auto"/>
              </w:rPr>
            </w:pPr>
            <w:r>
              <w:rPr>
                <w:rFonts w:ascii="Times New Roman" w:cs="Times New Roman" w:eastAsia="Times New Roman" w:hAnsi="Times New Roman"/>
                <w:sz w:val="24"/>
                <w:szCs w:val="24"/>
                <w:color w:val="auto"/>
              </w:rPr>
              <w:t>20 crore equity shares</w:t>
            </w:r>
          </w:p>
        </w:tc>
      </w:tr>
      <w:tr>
        <w:trPr>
          <w:trHeight w:val="45"/>
        </w:trPr>
        <w:tc>
          <w:tcPr>
            <w:tcW w:w="580" w:type="dxa"/>
            <w:vAlign w:val="bottom"/>
            <w:tcBorders>
              <w:left w:val="single" w:sz="8" w:color="auto"/>
              <w:bottom w:val="single" w:sz="8" w:color="auto"/>
            </w:tcBorders>
          </w:tcPr>
          <w:p>
            <w:pPr>
              <w:spacing w:after="0"/>
              <w:rPr>
                <w:sz w:val="3"/>
                <w:szCs w:val="3"/>
                <w:color w:val="auto"/>
              </w:rPr>
            </w:pPr>
          </w:p>
        </w:tc>
        <w:tc>
          <w:tcPr>
            <w:tcW w:w="320" w:type="dxa"/>
            <w:vAlign w:val="bottom"/>
            <w:tcBorders>
              <w:bottom w:val="single" w:sz="8" w:color="auto"/>
              <w:right w:val="single" w:sz="8" w:color="auto"/>
            </w:tcBorders>
          </w:tcPr>
          <w:p>
            <w:pPr>
              <w:spacing w:after="0"/>
              <w:rPr>
                <w:sz w:val="3"/>
                <w:szCs w:val="3"/>
                <w:color w:val="auto"/>
              </w:rPr>
            </w:pPr>
          </w:p>
        </w:tc>
        <w:tc>
          <w:tcPr>
            <w:tcW w:w="6380" w:type="dxa"/>
            <w:vAlign w:val="bottom"/>
            <w:tcBorders>
              <w:bottom w:val="single" w:sz="8" w:color="auto"/>
              <w:right w:val="single" w:sz="8" w:color="auto"/>
            </w:tcBorders>
          </w:tcPr>
          <w:p>
            <w:pPr>
              <w:spacing w:after="0"/>
              <w:rPr>
                <w:sz w:val="3"/>
                <w:szCs w:val="3"/>
                <w:color w:val="auto"/>
              </w:rPr>
            </w:pPr>
          </w:p>
        </w:tc>
        <w:tc>
          <w:tcPr>
            <w:tcW w:w="2420" w:type="dxa"/>
            <w:vAlign w:val="bottom"/>
            <w:tcBorders>
              <w:bottom w:val="single" w:sz="8" w:color="auto"/>
              <w:right w:val="single" w:sz="8" w:color="auto"/>
            </w:tcBorders>
            <w:gridSpan w:val="3"/>
          </w:tcPr>
          <w:p>
            <w:pPr>
              <w:spacing w:after="0"/>
              <w:rPr>
                <w:sz w:val="3"/>
                <w:szCs w:val="3"/>
                <w:color w:val="auto"/>
              </w:rPr>
            </w:pPr>
          </w:p>
        </w:tc>
      </w:tr>
      <w:tr>
        <w:trPr>
          <w:trHeight w:val="260"/>
        </w:trPr>
        <w:tc>
          <w:tcPr>
            <w:tcW w:w="580" w:type="dxa"/>
            <w:vAlign w:val="bottom"/>
            <w:tcBorders>
              <w:left w:val="single" w:sz="8" w:color="auto"/>
            </w:tcBorders>
          </w:tcPr>
          <w:p>
            <w:pPr>
              <w:spacing w:after="0"/>
              <w:rPr>
                <w:sz w:val="22"/>
                <w:szCs w:val="22"/>
                <w:color w:val="auto"/>
              </w:rPr>
            </w:pPr>
          </w:p>
        </w:tc>
        <w:tc>
          <w:tcPr>
            <w:tcW w:w="320" w:type="dxa"/>
            <w:vAlign w:val="bottom"/>
            <w:tcBorders>
              <w:right w:val="single" w:sz="8" w:color="auto"/>
            </w:tcBorders>
          </w:tcPr>
          <w:p>
            <w:pPr>
              <w:jc w:val="right"/>
              <w:spacing w:after="0" w:line="260" w:lineRule="exact"/>
              <w:rPr>
                <w:sz w:val="20"/>
                <w:szCs w:val="20"/>
                <w:color w:val="auto"/>
              </w:rPr>
            </w:pPr>
            <w:r>
              <w:rPr>
                <w:rFonts w:ascii="Times New Roman" w:cs="Times New Roman" w:eastAsia="Times New Roman" w:hAnsi="Times New Roman"/>
                <w:sz w:val="24"/>
                <w:szCs w:val="24"/>
                <w:color w:val="auto"/>
              </w:rPr>
              <w:t>b.</w:t>
            </w:r>
          </w:p>
        </w:tc>
        <w:tc>
          <w:tcPr>
            <w:tcW w:w="6380" w:type="dxa"/>
            <w:vAlign w:val="bottom"/>
            <w:tcBorders>
              <w:right w:val="single" w:sz="8" w:color="auto"/>
            </w:tcBorders>
          </w:tcPr>
          <w:p>
            <w:pPr>
              <w:ind w:left="80"/>
              <w:spacing w:after="0" w:line="260" w:lineRule="exact"/>
              <w:rPr>
                <w:sz w:val="20"/>
                <w:szCs w:val="20"/>
                <w:color w:val="auto"/>
              </w:rPr>
            </w:pPr>
            <w:r>
              <w:rPr>
                <w:rFonts w:ascii="Times New Roman" w:cs="Times New Roman" w:eastAsia="Times New Roman" w:hAnsi="Times New Roman"/>
                <w:sz w:val="24"/>
                <w:szCs w:val="24"/>
                <w:color w:val="auto"/>
              </w:rPr>
              <w:t>Balance for all QIBs including Mutual Funds</w:t>
            </w:r>
          </w:p>
        </w:tc>
        <w:tc>
          <w:tcPr>
            <w:tcW w:w="2420" w:type="dxa"/>
            <w:vAlign w:val="bottom"/>
            <w:tcBorders>
              <w:right w:val="single" w:sz="8" w:color="auto"/>
            </w:tcBorders>
            <w:gridSpan w:val="3"/>
          </w:tcPr>
          <w:p>
            <w:pPr>
              <w:ind w:left="120"/>
              <w:spacing w:after="0" w:line="260" w:lineRule="exact"/>
              <w:rPr>
                <w:sz w:val="20"/>
                <w:szCs w:val="20"/>
                <w:color w:val="auto"/>
              </w:rPr>
            </w:pPr>
            <w:r>
              <w:rPr>
                <w:rFonts w:ascii="Times New Roman" w:cs="Times New Roman" w:eastAsia="Times New Roman" w:hAnsi="Times New Roman"/>
                <w:sz w:val="24"/>
                <w:szCs w:val="24"/>
                <w:color w:val="auto"/>
              </w:rPr>
              <w:t>40 crore equity shares</w:t>
            </w:r>
          </w:p>
        </w:tc>
      </w:tr>
      <w:tr>
        <w:trPr>
          <w:trHeight w:val="144"/>
        </w:trPr>
        <w:tc>
          <w:tcPr>
            <w:tcW w:w="580" w:type="dxa"/>
            <w:vAlign w:val="bottom"/>
            <w:tcBorders>
              <w:left w:val="single" w:sz="8" w:color="auto"/>
              <w:bottom w:val="single" w:sz="8" w:color="auto"/>
            </w:tcBorders>
          </w:tcPr>
          <w:p>
            <w:pPr>
              <w:spacing w:after="0"/>
              <w:rPr>
                <w:sz w:val="12"/>
                <w:szCs w:val="12"/>
                <w:color w:val="auto"/>
              </w:rPr>
            </w:pPr>
          </w:p>
        </w:tc>
        <w:tc>
          <w:tcPr>
            <w:tcW w:w="320" w:type="dxa"/>
            <w:vAlign w:val="bottom"/>
            <w:tcBorders>
              <w:bottom w:val="single" w:sz="8" w:color="auto"/>
              <w:right w:val="single" w:sz="8" w:color="auto"/>
            </w:tcBorders>
          </w:tcPr>
          <w:p>
            <w:pPr>
              <w:spacing w:after="0"/>
              <w:rPr>
                <w:sz w:val="12"/>
                <w:szCs w:val="12"/>
                <w:color w:val="auto"/>
              </w:rPr>
            </w:pPr>
          </w:p>
        </w:tc>
        <w:tc>
          <w:tcPr>
            <w:tcW w:w="6380" w:type="dxa"/>
            <w:vAlign w:val="bottom"/>
            <w:tcBorders>
              <w:bottom w:val="single" w:sz="8" w:color="auto"/>
              <w:right w:val="single" w:sz="8" w:color="auto"/>
            </w:tcBorders>
          </w:tcPr>
          <w:p>
            <w:pPr>
              <w:spacing w:after="0"/>
              <w:rPr>
                <w:sz w:val="12"/>
                <w:szCs w:val="12"/>
                <w:color w:val="auto"/>
              </w:rPr>
            </w:pPr>
          </w:p>
        </w:tc>
        <w:tc>
          <w:tcPr>
            <w:tcW w:w="2420" w:type="dxa"/>
            <w:vAlign w:val="bottom"/>
            <w:tcBorders>
              <w:bottom w:val="single" w:sz="8" w:color="auto"/>
              <w:right w:val="single" w:sz="8" w:color="auto"/>
            </w:tcBorders>
            <w:gridSpan w:val="3"/>
          </w:tcPr>
          <w:p>
            <w:pPr>
              <w:spacing w:after="0"/>
              <w:rPr>
                <w:sz w:val="12"/>
                <w:szCs w:val="12"/>
                <w:color w:val="auto"/>
              </w:rPr>
            </w:pPr>
          </w:p>
        </w:tc>
      </w:tr>
      <w:tr>
        <w:trPr>
          <w:trHeight w:val="258"/>
        </w:trPr>
        <w:tc>
          <w:tcPr>
            <w:tcW w:w="580" w:type="dxa"/>
            <w:vAlign w:val="bottom"/>
            <w:tcBorders>
              <w:left w:val="single" w:sz="8" w:color="auto"/>
            </w:tcBorders>
          </w:tcPr>
          <w:p>
            <w:pPr>
              <w:jc w:val="center"/>
              <w:spacing w:after="0" w:line="258" w:lineRule="exact"/>
              <w:rPr>
                <w:sz w:val="20"/>
                <w:szCs w:val="20"/>
                <w:color w:val="auto"/>
              </w:rPr>
            </w:pPr>
            <w:r>
              <w:rPr>
                <w:rFonts w:ascii="Times New Roman" w:cs="Times New Roman" w:eastAsia="Times New Roman" w:hAnsi="Times New Roman"/>
                <w:sz w:val="24"/>
                <w:szCs w:val="24"/>
                <w:color w:val="auto"/>
                <w:w w:val="99"/>
              </w:rPr>
              <w:t>4</w:t>
            </w:r>
          </w:p>
        </w:tc>
        <w:tc>
          <w:tcPr>
            <w:tcW w:w="320" w:type="dxa"/>
            <w:vAlign w:val="bottom"/>
            <w:tcBorders>
              <w:right w:val="single" w:sz="8" w:color="auto"/>
            </w:tcBorders>
          </w:tcPr>
          <w:p>
            <w:pPr>
              <w:spacing w:after="0"/>
              <w:rPr>
                <w:sz w:val="22"/>
                <w:szCs w:val="22"/>
                <w:color w:val="auto"/>
              </w:rPr>
            </w:pPr>
          </w:p>
        </w:tc>
        <w:tc>
          <w:tcPr>
            <w:tcW w:w="6380" w:type="dxa"/>
            <w:vAlign w:val="bottom"/>
            <w:tcBorders>
              <w:right w:val="single" w:sz="8" w:color="auto"/>
            </w:tcBorders>
          </w:tcPr>
          <w:p>
            <w:pPr>
              <w:ind w:left="80"/>
              <w:spacing w:after="0" w:line="258" w:lineRule="exact"/>
              <w:rPr>
                <w:sz w:val="20"/>
                <w:szCs w:val="20"/>
                <w:color w:val="auto"/>
              </w:rPr>
            </w:pPr>
            <w:r>
              <w:rPr>
                <w:rFonts w:ascii="Times New Roman" w:cs="Times New Roman" w:eastAsia="Times New Roman" w:hAnsi="Times New Roman"/>
                <w:sz w:val="24"/>
                <w:szCs w:val="24"/>
                <w:color w:val="auto"/>
              </w:rPr>
              <w:t>Portion available to QIBs* other than Anchor Investors [(2) –</w:t>
            </w:r>
          </w:p>
        </w:tc>
        <w:tc>
          <w:tcPr>
            <w:tcW w:w="2420" w:type="dxa"/>
            <w:vAlign w:val="bottom"/>
            <w:tcBorders>
              <w:right w:val="single" w:sz="8" w:color="auto"/>
            </w:tcBorders>
            <w:gridSpan w:val="3"/>
          </w:tcPr>
          <w:p>
            <w:pPr>
              <w:ind w:left="120"/>
              <w:spacing w:after="0" w:line="258" w:lineRule="exact"/>
              <w:rPr>
                <w:sz w:val="20"/>
                <w:szCs w:val="20"/>
                <w:color w:val="auto"/>
              </w:rPr>
            </w:pPr>
            <w:r>
              <w:rPr>
                <w:rFonts w:ascii="Times New Roman" w:cs="Times New Roman" w:eastAsia="Times New Roman" w:hAnsi="Times New Roman"/>
                <w:sz w:val="24"/>
                <w:szCs w:val="24"/>
                <w:color w:val="auto"/>
              </w:rPr>
              <w:t>40 crore equity shares</w:t>
            </w:r>
          </w:p>
        </w:tc>
      </w:tr>
      <w:tr>
        <w:trPr>
          <w:trHeight w:val="416"/>
        </w:trPr>
        <w:tc>
          <w:tcPr>
            <w:tcW w:w="580" w:type="dxa"/>
            <w:vAlign w:val="bottom"/>
            <w:tcBorders>
              <w:left w:val="single" w:sz="8" w:color="auto"/>
            </w:tcBorders>
          </w:tcPr>
          <w:p>
            <w:pPr>
              <w:spacing w:after="0"/>
              <w:rPr>
                <w:sz w:val="24"/>
                <w:szCs w:val="24"/>
                <w:color w:val="auto"/>
              </w:rPr>
            </w:pPr>
          </w:p>
        </w:tc>
        <w:tc>
          <w:tcPr>
            <w:tcW w:w="320" w:type="dxa"/>
            <w:vAlign w:val="bottom"/>
            <w:tcBorders>
              <w:right w:val="single" w:sz="8" w:color="auto"/>
            </w:tcBorders>
          </w:tcPr>
          <w:p>
            <w:pPr>
              <w:spacing w:after="0"/>
              <w:rPr>
                <w:sz w:val="24"/>
                <w:szCs w:val="24"/>
                <w:color w:val="auto"/>
              </w:rPr>
            </w:pPr>
          </w:p>
        </w:tc>
        <w:tc>
          <w:tcPr>
            <w:tcW w:w="638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(3)]</w:t>
            </w:r>
          </w:p>
        </w:tc>
        <w:tc>
          <w:tcPr>
            <w:tcW w:w="80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860" w:type="dxa"/>
            <w:vAlign w:val="bottom"/>
            <w:tcBorders>
              <w:right w:val="single" w:sz="8" w:color="auto"/>
            </w:tcBorders>
          </w:tcPr>
          <w:p>
            <w:pPr>
              <w:spacing w:after="0"/>
              <w:rPr>
                <w:sz w:val="24"/>
                <w:szCs w:val="24"/>
                <w:color w:val="auto"/>
              </w:rPr>
            </w:pPr>
          </w:p>
        </w:tc>
      </w:tr>
      <w:tr>
        <w:trPr>
          <w:trHeight w:val="144"/>
        </w:trPr>
        <w:tc>
          <w:tcPr>
            <w:tcW w:w="580" w:type="dxa"/>
            <w:vAlign w:val="bottom"/>
            <w:tcBorders>
              <w:left w:val="single" w:sz="8" w:color="auto"/>
              <w:bottom w:val="single" w:sz="8" w:color="auto"/>
            </w:tcBorders>
          </w:tcPr>
          <w:p>
            <w:pPr>
              <w:spacing w:after="0"/>
              <w:rPr>
                <w:sz w:val="12"/>
                <w:szCs w:val="12"/>
                <w:color w:val="auto"/>
              </w:rPr>
            </w:pPr>
          </w:p>
        </w:tc>
        <w:tc>
          <w:tcPr>
            <w:tcW w:w="320" w:type="dxa"/>
            <w:vAlign w:val="bottom"/>
            <w:tcBorders>
              <w:bottom w:val="single" w:sz="8" w:color="auto"/>
              <w:right w:val="single" w:sz="8" w:color="auto"/>
            </w:tcBorders>
          </w:tcPr>
          <w:p>
            <w:pPr>
              <w:spacing w:after="0"/>
              <w:rPr>
                <w:sz w:val="12"/>
                <w:szCs w:val="12"/>
                <w:color w:val="auto"/>
              </w:rPr>
            </w:pPr>
          </w:p>
        </w:tc>
        <w:tc>
          <w:tcPr>
            <w:tcW w:w="6380" w:type="dxa"/>
            <w:vAlign w:val="bottom"/>
            <w:tcBorders>
              <w:bottom w:val="single" w:sz="8" w:color="auto"/>
              <w:right w:val="single" w:sz="8" w:color="auto"/>
            </w:tcBorders>
          </w:tcPr>
          <w:p>
            <w:pPr>
              <w:spacing w:after="0"/>
              <w:rPr>
                <w:sz w:val="12"/>
                <w:szCs w:val="12"/>
                <w:color w:val="auto"/>
              </w:rPr>
            </w:pPr>
          </w:p>
        </w:tc>
        <w:tc>
          <w:tcPr>
            <w:tcW w:w="800" w:type="dxa"/>
            <w:vAlign w:val="bottom"/>
            <w:tcBorders>
              <w:bottom w:val="single" w:sz="8" w:color="auto"/>
            </w:tcBorders>
          </w:tcPr>
          <w:p>
            <w:pPr>
              <w:spacing w:after="0"/>
              <w:rPr>
                <w:sz w:val="12"/>
                <w:szCs w:val="12"/>
                <w:color w:val="auto"/>
              </w:rPr>
            </w:pPr>
          </w:p>
        </w:tc>
        <w:tc>
          <w:tcPr>
            <w:tcW w:w="760" w:type="dxa"/>
            <w:vAlign w:val="bottom"/>
            <w:tcBorders>
              <w:bottom w:val="single" w:sz="8" w:color="auto"/>
            </w:tcBorders>
          </w:tcPr>
          <w:p>
            <w:pPr>
              <w:spacing w:after="0"/>
              <w:rPr>
                <w:sz w:val="12"/>
                <w:szCs w:val="12"/>
                <w:color w:val="auto"/>
              </w:rPr>
            </w:pPr>
          </w:p>
        </w:tc>
        <w:tc>
          <w:tcPr>
            <w:tcW w:w="860" w:type="dxa"/>
            <w:vAlign w:val="bottom"/>
            <w:tcBorders>
              <w:bottom w:val="single" w:sz="8" w:color="auto"/>
              <w:right w:val="single" w:sz="8" w:color="auto"/>
            </w:tcBorders>
          </w:tcPr>
          <w:p>
            <w:pPr>
              <w:spacing w:after="0"/>
              <w:rPr>
                <w:sz w:val="12"/>
                <w:szCs w:val="12"/>
                <w:color w:val="auto"/>
              </w:rPr>
            </w:pPr>
          </w:p>
        </w:tc>
      </w:tr>
      <w:tr>
        <w:trPr>
          <w:trHeight w:val="258"/>
        </w:trPr>
        <w:tc>
          <w:tcPr>
            <w:tcW w:w="580" w:type="dxa"/>
            <w:vAlign w:val="bottom"/>
            <w:tcBorders>
              <w:left w:val="single" w:sz="8" w:color="auto"/>
            </w:tcBorders>
          </w:tcPr>
          <w:p>
            <w:pPr>
              <w:spacing w:after="0"/>
              <w:rPr>
                <w:sz w:val="22"/>
                <w:szCs w:val="22"/>
                <w:color w:val="auto"/>
              </w:rPr>
            </w:pPr>
          </w:p>
        </w:tc>
        <w:tc>
          <w:tcPr>
            <w:tcW w:w="320" w:type="dxa"/>
            <w:vAlign w:val="bottom"/>
            <w:tcBorders>
              <w:right w:val="single" w:sz="8" w:color="auto"/>
            </w:tcBorders>
          </w:tcPr>
          <w:p>
            <w:pPr>
              <w:spacing w:after="0"/>
              <w:rPr>
                <w:sz w:val="22"/>
                <w:szCs w:val="22"/>
                <w:color w:val="auto"/>
              </w:rPr>
            </w:pPr>
          </w:p>
        </w:tc>
        <w:tc>
          <w:tcPr>
            <w:tcW w:w="6380" w:type="dxa"/>
            <w:vAlign w:val="bottom"/>
            <w:tcBorders>
              <w:right w:val="single" w:sz="8" w:color="auto"/>
            </w:tcBorders>
          </w:tcPr>
          <w:p>
            <w:pPr>
              <w:ind w:left="80"/>
              <w:spacing w:after="0" w:line="258" w:lineRule="exact"/>
              <w:rPr>
                <w:sz w:val="20"/>
                <w:szCs w:val="20"/>
                <w:color w:val="auto"/>
              </w:rPr>
            </w:pPr>
            <w:r>
              <w:rPr>
                <w:rFonts w:ascii="Times New Roman" w:cs="Times New Roman" w:eastAsia="Times New Roman" w:hAnsi="Times New Roman"/>
                <w:sz w:val="24"/>
                <w:szCs w:val="24"/>
                <w:color w:val="auto"/>
              </w:rPr>
              <w:t>of which</w:t>
            </w:r>
          </w:p>
        </w:tc>
        <w:tc>
          <w:tcPr>
            <w:tcW w:w="800" w:type="dxa"/>
            <w:vAlign w:val="bottom"/>
          </w:tcPr>
          <w:p>
            <w:pPr>
              <w:spacing w:after="0"/>
              <w:rPr>
                <w:sz w:val="22"/>
                <w:szCs w:val="22"/>
                <w:color w:val="auto"/>
              </w:rPr>
            </w:pPr>
          </w:p>
        </w:tc>
        <w:tc>
          <w:tcPr>
            <w:tcW w:w="760" w:type="dxa"/>
            <w:vAlign w:val="bottom"/>
          </w:tcPr>
          <w:p>
            <w:pPr>
              <w:spacing w:after="0"/>
              <w:rPr>
                <w:sz w:val="22"/>
                <w:szCs w:val="22"/>
                <w:color w:val="auto"/>
              </w:rPr>
            </w:pPr>
          </w:p>
        </w:tc>
        <w:tc>
          <w:tcPr>
            <w:tcW w:w="860" w:type="dxa"/>
            <w:vAlign w:val="bottom"/>
            <w:tcBorders>
              <w:right w:val="single" w:sz="8" w:color="auto"/>
            </w:tcBorders>
          </w:tcPr>
          <w:p>
            <w:pPr>
              <w:spacing w:after="0"/>
              <w:rPr>
                <w:sz w:val="22"/>
                <w:szCs w:val="22"/>
                <w:color w:val="auto"/>
              </w:rPr>
            </w:pPr>
          </w:p>
        </w:tc>
      </w:tr>
      <w:tr>
        <w:trPr>
          <w:trHeight w:val="147"/>
        </w:trPr>
        <w:tc>
          <w:tcPr>
            <w:tcW w:w="580" w:type="dxa"/>
            <w:vAlign w:val="bottom"/>
            <w:tcBorders>
              <w:left w:val="single" w:sz="8" w:color="auto"/>
              <w:bottom w:val="single" w:sz="8" w:color="auto"/>
            </w:tcBorders>
          </w:tcPr>
          <w:p>
            <w:pPr>
              <w:spacing w:after="0"/>
              <w:rPr>
                <w:sz w:val="12"/>
                <w:szCs w:val="12"/>
                <w:color w:val="auto"/>
              </w:rPr>
            </w:pPr>
          </w:p>
        </w:tc>
        <w:tc>
          <w:tcPr>
            <w:tcW w:w="320" w:type="dxa"/>
            <w:vAlign w:val="bottom"/>
            <w:tcBorders>
              <w:bottom w:val="single" w:sz="8" w:color="auto"/>
              <w:right w:val="single" w:sz="8" w:color="auto"/>
            </w:tcBorders>
          </w:tcPr>
          <w:p>
            <w:pPr>
              <w:spacing w:after="0"/>
              <w:rPr>
                <w:sz w:val="12"/>
                <w:szCs w:val="12"/>
                <w:color w:val="auto"/>
              </w:rPr>
            </w:pPr>
          </w:p>
        </w:tc>
        <w:tc>
          <w:tcPr>
            <w:tcW w:w="6380" w:type="dxa"/>
            <w:vAlign w:val="bottom"/>
            <w:tcBorders>
              <w:bottom w:val="single" w:sz="8" w:color="auto"/>
              <w:right w:val="single" w:sz="8" w:color="auto"/>
            </w:tcBorders>
          </w:tcPr>
          <w:p>
            <w:pPr>
              <w:spacing w:after="0"/>
              <w:rPr>
                <w:sz w:val="12"/>
                <w:szCs w:val="12"/>
                <w:color w:val="auto"/>
              </w:rPr>
            </w:pPr>
          </w:p>
        </w:tc>
        <w:tc>
          <w:tcPr>
            <w:tcW w:w="2420" w:type="dxa"/>
            <w:vAlign w:val="bottom"/>
            <w:tcBorders>
              <w:bottom w:val="single" w:sz="8" w:color="auto"/>
              <w:right w:val="single" w:sz="8" w:color="auto"/>
            </w:tcBorders>
            <w:gridSpan w:val="3"/>
          </w:tcPr>
          <w:p>
            <w:pPr>
              <w:spacing w:after="0"/>
              <w:rPr>
                <w:sz w:val="12"/>
                <w:szCs w:val="12"/>
                <w:color w:val="auto"/>
              </w:rPr>
            </w:pPr>
          </w:p>
        </w:tc>
      </w:tr>
      <w:tr>
        <w:trPr>
          <w:trHeight w:val="258"/>
        </w:trPr>
        <w:tc>
          <w:tcPr>
            <w:tcW w:w="580" w:type="dxa"/>
            <w:vAlign w:val="bottom"/>
            <w:tcBorders>
              <w:left w:val="single" w:sz="8" w:color="auto"/>
            </w:tcBorders>
          </w:tcPr>
          <w:p>
            <w:pPr>
              <w:spacing w:after="0"/>
              <w:rPr>
                <w:sz w:val="22"/>
                <w:szCs w:val="22"/>
                <w:color w:val="auto"/>
              </w:rPr>
            </w:pPr>
          </w:p>
        </w:tc>
        <w:tc>
          <w:tcPr>
            <w:tcW w:w="32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a.</w:t>
            </w:r>
          </w:p>
        </w:tc>
        <w:tc>
          <w:tcPr>
            <w:tcW w:w="6380" w:type="dxa"/>
            <w:vAlign w:val="bottom"/>
            <w:tcBorders>
              <w:right w:val="single" w:sz="8" w:color="auto"/>
            </w:tcBorders>
          </w:tcPr>
          <w:p>
            <w:pPr>
              <w:ind w:left="140"/>
              <w:spacing w:after="0" w:line="258" w:lineRule="exact"/>
              <w:rPr>
                <w:sz w:val="20"/>
                <w:szCs w:val="20"/>
                <w:color w:val="auto"/>
              </w:rPr>
            </w:pPr>
            <w:r>
              <w:rPr>
                <w:rFonts w:ascii="Times New Roman" w:cs="Times New Roman" w:eastAsia="Times New Roman" w:hAnsi="Times New Roman"/>
                <w:sz w:val="24"/>
                <w:szCs w:val="24"/>
                <w:color w:val="auto"/>
              </w:rPr>
              <w:t>Reservation to Mutual Funds (5 per cent.)</w:t>
            </w:r>
          </w:p>
        </w:tc>
        <w:tc>
          <w:tcPr>
            <w:tcW w:w="2420" w:type="dxa"/>
            <w:vAlign w:val="bottom"/>
            <w:tcBorders>
              <w:right w:val="single" w:sz="8" w:color="auto"/>
            </w:tcBorders>
            <w:gridSpan w:val="3"/>
          </w:tcPr>
          <w:p>
            <w:pPr>
              <w:ind w:left="120"/>
              <w:spacing w:after="0" w:line="258" w:lineRule="exact"/>
              <w:rPr>
                <w:sz w:val="20"/>
                <w:szCs w:val="20"/>
                <w:color w:val="auto"/>
              </w:rPr>
            </w:pPr>
            <w:r>
              <w:rPr>
                <w:rFonts w:ascii="Times New Roman" w:cs="Times New Roman" w:eastAsia="Times New Roman" w:hAnsi="Times New Roman"/>
                <w:sz w:val="24"/>
                <w:szCs w:val="24"/>
                <w:color w:val="auto"/>
              </w:rPr>
              <w:t>2 crore equity shares</w:t>
            </w:r>
          </w:p>
        </w:tc>
      </w:tr>
      <w:tr>
        <w:trPr>
          <w:trHeight w:val="144"/>
        </w:trPr>
        <w:tc>
          <w:tcPr>
            <w:tcW w:w="580" w:type="dxa"/>
            <w:vAlign w:val="bottom"/>
            <w:tcBorders>
              <w:left w:val="single" w:sz="8" w:color="auto"/>
              <w:bottom w:val="single" w:sz="8" w:color="auto"/>
            </w:tcBorders>
          </w:tcPr>
          <w:p>
            <w:pPr>
              <w:spacing w:after="0"/>
              <w:rPr>
                <w:sz w:val="12"/>
                <w:szCs w:val="12"/>
                <w:color w:val="auto"/>
              </w:rPr>
            </w:pPr>
          </w:p>
        </w:tc>
        <w:tc>
          <w:tcPr>
            <w:tcW w:w="320" w:type="dxa"/>
            <w:vAlign w:val="bottom"/>
            <w:tcBorders>
              <w:bottom w:val="single" w:sz="8" w:color="auto"/>
              <w:right w:val="single" w:sz="8" w:color="auto"/>
            </w:tcBorders>
          </w:tcPr>
          <w:p>
            <w:pPr>
              <w:spacing w:after="0"/>
              <w:rPr>
                <w:sz w:val="12"/>
                <w:szCs w:val="12"/>
                <w:color w:val="auto"/>
              </w:rPr>
            </w:pPr>
          </w:p>
        </w:tc>
        <w:tc>
          <w:tcPr>
            <w:tcW w:w="6380" w:type="dxa"/>
            <w:vAlign w:val="bottom"/>
            <w:tcBorders>
              <w:bottom w:val="single" w:sz="8" w:color="auto"/>
              <w:right w:val="single" w:sz="8" w:color="auto"/>
            </w:tcBorders>
          </w:tcPr>
          <w:p>
            <w:pPr>
              <w:spacing w:after="0"/>
              <w:rPr>
                <w:sz w:val="12"/>
                <w:szCs w:val="12"/>
                <w:color w:val="auto"/>
              </w:rPr>
            </w:pPr>
          </w:p>
        </w:tc>
        <w:tc>
          <w:tcPr>
            <w:tcW w:w="2420" w:type="dxa"/>
            <w:vAlign w:val="bottom"/>
            <w:tcBorders>
              <w:bottom w:val="single" w:sz="8" w:color="auto"/>
              <w:right w:val="single" w:sz="8" w:color="auto"/>
            </w:tcBorders>
            <w:gridSpan w:val="3"/>
          </w:tcPr>
          <w:p>
            <w:pPr>
              <w:spacing w:after="0"/>
              <w:rPr>
                <w:sz w:val="12"/>
                <w:szCs w:val="12"/>
                <w:color w:val="auto"/>
              </w:rPr>
            </w:pPr>
          </w:p>
        </w:tc>
      </w:tr>
      <w:tr>
        <w:trPr>
          <w:trHeight w:val="260"/>
        </w:trPr>
        <w:tc>
          <w:tcPr>
            <w:tcW w:w="580" w:type="dxa"/>
            <w:vAlign w:val="bottom"/>
            <w:tcBorders>
              <w:left w:val="single" w:sz="8" w:color="auto"/>
            </w:tcBorders>
          </w:tcPr>
          <w:p>
            <w:pPr>
              <w:spacing w:after="0"/>
              <w:rPr>
                <w:sz w:val="22"/>
                <w:szCs w:val="22"/>
                <w:color w:val="auto"/>
              </w:rPr>
            </w:pPr>
          </w:p>
        </w:tc>
        <w:tc>
          <w:tcPr>
            <w:tcW w:w="320" w:type="dxa"/>
            <w:vAlign w:val="bottom"/>
            <w:tcBorders>
              <w:right w:val="single" w:sz="8" w:color="auto"/>
            </w:tcBorders>
          </w:tcPr>
          <w:p>
            <w:pPr>
              <w:jc w:val="right"/>
              <w:spacing w:after="0" w:line="260" w:lineRule="exact"/>
              <w:rPr>
                <w:sz w:val="20"/>
                <w:szCs w:val="20"/>
                <w:color w:val="auto"/>
              </w:rPr>
            </w:pPr>
            <w:r>
              <w:rPr>
                <w:rFonts w:ascii="Times New Roman" w:cs="Times New Roman" w:eastAsia="Times New Roman" w:hAnsi="Times New Roman"/>
                <w:sz w:val="24"/>
                <w:szCs w:val="24"/>
                <w:color w:val="auto"/>
              </w:rPr>
              <w:t>b.</w:t>
            </w:r>
          </w:p>
        </w:tc>
        <w:tc>
          <w:tcPr>
            <w:tcW w:w="6380" w:type="dxa"/>
            <w:vAlign w:val="bottom"/>
            <w:tcBorders>
              <w:right w:val="single" w:sz="8" w:color="auto"/>
            </w:tcBorders>
          </w:tcPr>
          <w:p>
            <w:pPr>
              <w:ind w:left="80"/>
              <w:spacing w:after="0" w:line="260" w:lineRule="exact"/>
              <w:rPr>
                <w:sz w:val="20"/>
                <w:szCs w:val="20"/>
                <w:color w:val="auto"/>
              </w:rPr>
            </w:pPr>
            <w:r>
              <w:rPr>
                <w:rFonts w:ascii="Times New Roman" w:cs="Times New Roman" w:eastAsia="Times New Roman" w:hAnsi="Times New Roman"/>
                <w:sz w:val="24"/>
                <w:szCs w:val="24"/>
                <w:color w:val="auto"/>
              </w:rPr>
              <w:t>Balance for all QIBs including Mutual Funds</w:t>
            </w:r>
          </w:p>
        </w:tc>
        <w:tc>
          <w:tcPr>
            <w:tcW w:w="2420" w:type="dxa"/>
            <w:vAlign w:val="bottom"/>
            <w:tcBorders>
              <w:right w:val="single" w:sz="8" w:color="auto"/>
            </w:tcBorders>
            <w:gridSpan w:val="3"/>
          </w:tcPr>
          <w:p>
            <w:pPr>
              <w:ind w:left="120"/>
              <w:spacing w:after="0" w:line="260" w:lineRule="exact"/>
              <w:rPr>
                <w:sz w:val="20"/>
                <w:szCs w:val="20"/>
                <w:color w:val="auto"/>
              </w:rPr>
            </w:pPr>
            <w:r>
              <w:rPr>
                <w:rFonts w:ascii="Times New Roman" w:cs="Times New Roman" w:eastAsia="Times New Roman" w:hAnsi="Times New Roman"/>
                <w:sz w:val="24"/>
                <w:szCs w:val="24"/>
                <w:color w:val="auto"/>
              </w:rPr>
              <w:t>38 crore equity shares</w:t>
            </w:r>
          </w:p>
        </w:tc>
      </w:tr>
      <w:tr>
        <w:trPr>
          <w:trHeight w:val="144"/>
        </w:trPr>
        <w:tc>
          <w:tcPr>
            <w:tcW w:w="580" w:type="dxa"/>
            <w:vAlign w:val="bottom"/>
            <w:tcBorders>
              <w:left w:val="single" w:sz="8" w:color="auto"/>
              <w:bottom w:val="single" w:sz="8" w:color="auto"/>
            </w:tcBorders>
          </w:tcPr>
          <w:p>
            <w:pPr>
              <w:spacing w:after="0"/>
              <w:rPr>
                <w:sz w:val="12"/>
                <w:szCs w:val="12"/>
                <w:color w:val="auto"/>
              </w:rPr>
            </w:pPr>
          </w:p>
        </w:tc>
        <w:tc>
          <w:tcPr>
            <w:tcW w:w="320" w:type="dxa"/>
            <w:vAlign w:val="bottom"/>
            <w:tcBorders>
              <w:bottom w:val="single" w:sz="8" w:color="auto"/>
              <w:right w:val="single" w:sz="8" w:color="auto"/>
            </w:tcBorders>
          </w:tcPr>
          <w:p>
            <w:pPr>
              <w:spacing w:after="0"/>
              <w:rPr>
                <w:sz w:val="12"/>
                <w:szCs w:val="12"/>
                <w:color w:val="auto"/>
              </w:rPr>
            </w:pPr>
          </w:p>
        </w:tc>
        <w:tc>
          <w:tcPr>
            <w:tcW w:w="6380" w:type="dxa"/>
            <w:vAlign w:val="bottom"/>
            <w:tcBorders>
              <w:bottom w:val="single" w:sz="8" w:color="auto"/>
              <w:right w:val="single" w:sz="8" w:color="auto"/>
            </w:tcBorders>
          </w:tcPr>
          <w:p>
            <w:pPr>
              <w:spacing w:after="0"/>
              <w:rPr>
                <w:sz w:val="12"/>
                <w:szCs w:val="12"/>
                <w:color w:val="auto"/>
              </w:rPr>
            </w:pPr>
          </w:p>
        </w:tc>
        <w:tc>
          <w:tcPr>
            <w:tcW w:w="800" w:type="dxa"/>
            <w:vAlign w:val="bottom"/>
            <w:tcBorders>
              <w:bottom w:val="single" w:sz="8" w:color="auto"/>
            </w:tcBorders>
          </w:tcPr>
          <w:p>
            <w:pPr>
              <w:spacing w:after="0"/>
              <w:rPr>
                <w:sz w:val="12"/>
                <w:szCs w:val="12"/>
                <w:color w:val="auto"/>
              </w:rPr>
            </w:pPr>
          </w:p>
        </w:tc>
        <w:tc>
          <w:tcPr>
            <w:tcW w:w="760" w:type="dxa"/>
            <w:vAlign w:val="bottom"/>
            <w:tcBorders>
              <w:bottom w:val="single" w:sz="8" w:color="auto"/>
            </w:tcBorders>
          </w:tcPr>
          <w:p>
            <w:pPr>
              <w:spacing w:after="0"/>
              <w:rPr>
                <w:sz w:val="12"/>
                <w:szCs w:val="12"/>
                <w:color w:val="auto"/>
              </w:rPr>
            </w:pPr>
          </w:p>
        </w:tc>
        <w:tc>
          <w:tcPr>
            <w:tcW w:w="860" w:type="dxa"/>
            <w:vAlign w:val="bottom"/>
            <w:tcBorders>
              <w:bottom w:val="single" w:sz="8" w:color="auto"/>
              <w:right w:val="single" w:sz="8" w:color="auto"/>
            </w:tcBorders>
          </w:tcPr>
          <w:p>
            <w:pPr>
              <w:spacing w:after="0"/>
              <w:rPr>
                <w:sz w:val="12"/>
                <w:szCs w:val="12"/>
                <w:color w:val="auto"/>
              </w:rPr>
            </w:pPr>
          </w:p>
        </w:tc>
      </w:tr>
      <w:tr>
        <w:trPr>
          <w:trHeight w:val="258"/>
        </w:trPr>
        <w:tc>
          <w:tcPr>
            <w:tcW w:w="580" w:type="dxa"/>
            <w:vAlign w:val="bottom"/>
            <w:tcBorders>
              <w:left w:val="single" w:sz="8" w:color="auto"/>
            </w:tcBorders>
          </w:tcPr>
          <w:p>
            <w:pPr>
              <w:jc w:val="center"/>
              <w:spacing w:after="0" w:line="258" w:lineRule="exact"/>
              <w:rPr>
                <w:sz w:val="20"/>
                <w:szCs w:val="20"/>
                <w:color w:val="auto"/>
              </w:rPr>
            </w:pPr>
            <w:r>
              <w:rPr>
                <w:rFonts w:ascii="Times New Roman" w:cs="Times New Roman" w:eastAsia="Times New Roman" w:hAnsi="Times New Roman"/>
                <w:sz w:val="24"/>
                <w:szCs w:val="24"/>
                <w:color w:val="auto"/>
                <w:w w:val="99"/>
              </w:rPr>
              <w:t>5</w:t>
            </w:r>
          </w:p>
        </w:tc>
        <w:tc>
          <w:tcPr>
            <w:tcW w:w="320" w:type="dxa"/>
            <w:vAlign w:val="bottom"/>
            <w:tcBorders>
              <w:right w:val="single" w:sz="8" w:color="auto"/>
            </w:tcBorders>
          </w:tcPr>
          <w:p>
            <w:pPr>
              <w:spacing w:after="0"/>
              <w:rPr>
                <w:sz w:val="22"/>
                <w:szCs w:val="22"/>
                <w:color w:val="auto"/>
              </w:rPr>
            </w:pPr>
          </w:p>
        </w:tc>
        <w:tc>
          <w:tcPr>
            <w:tcW w:w="6380" w:type="dxa"/>
            <w:vAlign w:val="bottom"/>
            <w:tcBorders>
              <w:right w:val="single" w:sz="8" w:color="auto"/>
            </w:tcBorders>
          </w:tcPr>
          <w:p>
            <w:pPr>
              <w:ind w:left="80"/>
              <w:spacing w:after="0" w:line="258" w:lineRule="exact"/>
              <w:rPr>
                <w:sz w:val="20"/>
                <w:szCs w:val="20"/>
                <w:color w:val="auto"/>
              </w:rPr>
            </w:pPr>
            <w:r>
              <w:rPr>
                <w:rFonts w:ascii="Times New Roman" w:cs="Times New Roman" w:eastAsia="Times New Roman" w:hAnsi="Times New Roman"/>
                <w:sz w:val="24"/>
                <w:szCs w:val="24"/>
                <w:color w:val="auto"/>
              </w:rPr>
              <w:t>No. of QIB applicants</w:t>
            </w:r>
          </w:p>
        </w:tc>
        <w:tc>
          <w:tcPr>
            <w:tcW w:w="800" w:type="dxa"/>
            <w:vAlign w:val="bottom"/>
          </w:tcPr>
          <w:p>
            <w:pPr>
              <w:ind w:left="120"/>
              <w:spacing w:after="0" w:line="258" w:lineRule="exact"/>
              <w:rPr>
                <w:sz w:val="20"/>
                <w:szCs w:val="20"/>
                <w:color w:val="auto"/>
              </w:rPr>
            </w:pPr>
            <w:r>
              <w:rPr>
                <w:rFonts w:ascii="Times New Roman" w:cs="Times New Roman" w:eastAsia="Times New Roman" w:hAnsi="Times New Roman"/>
                <w:sz w:val="24"/>
                <w:szCs w:val="24"/>
                <w:color w:val="auto"/>
              </w:rPr>
              <w:t>10</w:t>
            </w:r>
          </w:p>
        </w:tc>
        <w:tc>
          <w:tcPr>
            <w:tcW w:w="760" w:type="dxa"/>
            <w:vAlign w:val="bottom"/>
          </w:tcPr>
          <w:p>
            <w:pPr>
              <w:spacing w:after="0"/>
              <w:rPr>
                <w:sz w:val="22"/>
                <w:szCs w:val="22"/>
                <w:color w:val="auto"/>
              </w:rPr>
            </w:pPr>
          </w:p>
        </w:tc>
        <w:tc>
          <w:tcPr>
            <w:tcW w:w="860" w:type="dxa"/>
            <w:vAlign w:val="bottom"/>
            <w:tcBorders>
              <w:right w:val="single" w:sz="8" w:color="auto"/>
            </w:tcBorders>
          </w:tcPr>
          <w:p>
            <w:pPr>
              <w:spacing w:after="0"/>
              <w:rPr>
                <w:sz w:val="22"/>
                <w:szCs w:val="22"/>
                <w:color w:val="auto"/>
              </w:rPr>
            </w:pPr>
          </w:p>
        </w:tc>
      </w:tr>
      <w:tr>
        <w:trPr>
          <w:trHeight w:val="147"/>
        </w:trPr>
        <w:tc>
          <w:tcPr>
            <w:tcW w:w="580" w:type="dxa"/>
            <w:vAlign w:val="bottom"/>
            <w:tcBorders>
              <w:left w:val="single" w:sz="8" w:color="auto"/>
              <w:bottom w:val="single" w:sz="8" w:color="auto"/>
            </w:tcBorders>
          </w:tcPr>
          <w:p>
            <w:pPr>
              <w:spacing w:after="0"/>
              <w:rPr>
                <w:sz w:val="12"/>
                <w:szCs w:val="12"/>
                <w:color w:val="auto"/>
              </w:rPr>
            </w:pPr>
          </w:p>
        </w:tc>
        <w:tc>
          <w:tcPr>
            <w:tcW w:w="320" w:type="dxa"/>
            <w:vAlign w:val="bottom"/>
            <w:tcBorders>
              <w:bottom w:val="single" w:sz="8" w:color="auto"/>
              <w:right w:val="single" w:sz="8" w:color="auto"/>
            </w:tcBorders>
          </w:tcPr>
          <w:p>
            <w:pPr>
              <w:spacing w:after="0"/>
              <w:rPr>
                <w:sz w:val="12"/>
                <w:szCs w:val="12"/>
                <w:color w:val="auto"/>
              </w:rPr>
            </w:pPr>
          </w:p>
        </w:tc>
        <w:tc>
          <w:tcPr>
            <w:tcW w:w="6380" w:type="dxa"/>
            <w:vAlign w:val="bottom"/>
            <w:tcBorders>
              <w:bottom w:val="single" w:sz="8" w:color="auto"/>
              <w:right w:val="single" w:sz="8" w:color="auto"/>
            </w:tcBorders>
          </w:tcPr>
          <w:p>
            <w:pPr>
              <w:spacing w:after="0"/>
              <w:rPr>
                <w:sz w:val="12"/>
                <w:szCs w:val="12"/>
                <w:color w:val="auto"/>
              </w:rPr>
            </w:pPr>
          </w:p>
        </w:tc>
        <w:tc>
          <w:tcPr>
            <w:tcW w:w="800" w:type="dxa"/>
            <w:vAlign w:val="bottom"/>
            <w:tcBorders>
              <w:bottom w:val="single" w:sz="8" w:color="auto"/>
            </w:tcBorders>
          </w:tcPr>
          <w:p>
            <w:pPr>
              <w:spacing w:after="0"/>
              <w:rPr>
                <w:sz w:val="12"/>
                <w:szCs w:val="12"/>
                <w:color w:val="auto"/>
              </w:rPr>
            </w:pPr>
          </w:p>
        </w:tc>
        <w:tc>
          <w:tcPr>
            <w:tcW w:w="760" w:type="dxa"/>
            <w:vAlign w:val="bottom"/>
            <w:tcBorders>
              <w:bottom w:val="single" w:sz="8" w:color="auto"/>
            </w:tcBorders>
          </w:tcPr>
          <w:p>
            <w:pPr>
              <w:spacing w:after="0"/>
              <w:rPr>
                <w:sz w:val="12"/>
                <w:szCs w:val="12"/>
                <w:color w:val="auto"/>
              </w:rPr>
            </w:pPr>
          </w:p>
        </w:tc>
        <w:tc>
          <w:tcPr>
            <w:tcW w:w="860" w:type="dxa"/>
            <w:vAlign w:val="bottom"/>
            <w:tcBorders>
              <w:bottom w:val="single" w:sz="8" w:color="auto"/>
              <w:right w:val="single" w:sz="8" w:color="auto"/>
            </w:tcBorders>
          </w:tcPr>
          <w:p>
            <w:pPr>
              <w:spacing w:after="0"/>
              <w:rPr>
                <w:sz w:val="12"/>
                <w:szCs w:val="12"/>
                <w:color w:val="auto"/>
              </w:rPr>
            </w:pPr>
          </w:p>
        </w:tc>
      </w:tr>
      <w:tr>
        <w:trPr>
          <w:trHeight w:val="258"/>
        </w:trPr>
        <w:tc>
          <w:tcPr>
            <w:tcW w:w="580" w:type="dxa"/>
            <w:vAlign w:val="bottom"/>
            <w:tcBorders>
              <w:left w:val="single" w:sz="8" w:color="auto"/>
            </w:tcBorders>
          </w:tcPr>
          <w:p>
            <w:pPr>
              <w:jc w:val="center"/>
              <w:spacing w:after="0" w:line="258" w:lineRule="exact"/>
              <w:rPr>
                <w:sz w:val="20"/>
                <w:szCs w:val="20"/>
                <w:color w:val="auto"/>
              </w:rPr>
            </w:pPr>
            <w:r>
              <w:rPr>
                <w:rFonts w:ascii="Times New Roman" w:cs="Times New Roman" w:eastAsia="Times New Roman" w:hAnsi="Times New Roman"/>
                <w:sz w:val="24"/>
                <w:szCs w:val="24"/>
                <w:color w:val="auto"/>
                <w:w w:val="99"/>
              </w:rPr>
              <w:t>6</w:t>
            </w:r>
          </w:p>
        </w:tc>
        <w:tc>
          <w:tcPr>
            <w:tcW w:w="320" w:type="dxa"/>
            <w:vAlign w:val="bottom"/>
            <w:tcBorders>
              <w:right w:val="single" w:sz="8" w:color="auto"/>
            </w:tcBorders>
          </w:tcPr>
          <w:p>
            <w:pPr>
              <w:spacing w:after="0"/>
              <w:rPr>
                <w:sz w:val="22"/>
                <w:szCs w:val="22"/>
                <w:color w:val="auto"/>
              </w:rPr>
            </w:pPr>
          </w:p>
        </w:tc>
        <w:tc>
          <w:tcPr>
            <w:tcW w:w="6380" w:type="dxa"/>
            <w:vAlign w:val="bottom"/>
            <w:tcBorders>
              <w:right w:val="single" w:sz="8" w:color="auto"/>
            </w:tcBorders>
          </w:tcPr>
          <w:p>
            <w:pPr>
              <w:ind w:left="80"/>
              <w:spacing w:after="0" w:line="258" w:lineRule="exact"/>
              <w:rPr>
                <w:sz w:val="20"/>
                <w:szCs w:val="20"/>
                <w:color w:val="auto"/>
              </w:rPr>
            </w:pPr>
            <w:r>
              <w:rPr>
                <w:rFonts w:ascii="Times New Roman" w:cs="Times New Roman" w:eastAsia="Times New Roman" w:hAnsi="Times New Roman"/>
                <w:sz w:val="24"/>
                <w:szCs w:val="24"/>
                <w:color w:val="auto"/>
              </w:rPr>
              <w:t>No. of shares applied for</w:t>
            </w:r>
          </w:p>
        </w:tc>
        <w:tc>
          <w:tcPr>
            <w:tcW w:w="800" w:type="dxa"/>
            <w:vAlign w:val="bottom"/>
          </w:tcPr>
          <w:p>
            <w:pPr>
              <w:ind w:left="120"/>
              <w:spacing w:after="0" w:line="258" w:lineRule="exact"/>
              <w:rPr>
                <w:sz w:val="20"/>
                <w:szCs w:val="20"/>
                <w:color w:val="auto"/>
              </w:rPr>
            </w:pPr>
            <w:r>
              <w:rPr>
                <w:rFonts w:ascii="Times New Roman" w:cs="Times New Roman" w:eastAsia="Times New Roman" w:hAnsi="Times New Roman"/>
                <w:sz w:val="24"/>
                <w:szCs w:val="24"/>
                <w:color w:val="auto"/>
              </w:rPr>
              <w:t>500</w:t>
            </w:r>
          </w:p>
        </w:tc>
        <w:tc>
          <w:tcPr>
            <w:tcW w:w="760" w:type="dxa"/>
            <w:vAlign w:val="bottom"/>
          </w:tcPr>
          <w:p>
            <w:pPr>
              <w:ind w:left="60"/>
              <w:spacing w:after="0" w:line="258" w:lineRule="exact"/>
              <w:rPr>
                <w:sz w:val="20"/>
                <w:szCs w:val="20"/>
                <w:color w:val="auto"/>
              </w:rPr>
            </w:pPr>
            <w:r>
              <w:rPr>
                <w:rFonts w:ascii="Times New Roman" w:cs="Times New Roman" w:eastAsia="Times New Roman" w:hAnsi="Times New Roman"/>
                <w:sz w:val="24"/>
                <w:szCs w:val="24"/>
                <w:color w:val="auto"/>
              </w:rPr>
              <w:t>crore</w:t>
            </w:r>
          </w:p>
        </w:tc>
        <w:tc>
          <w:tcPr>
            <w:tcW w:w="860" w:type="dxa"/>
            <w:vAlign w:val="bottom"/>
            <w:tcBorders>
              <w:right w:val="single" w:sz="8" w:color="auto"/>
            </w:tcBorders>
          </w:tcPr>
          <w:p>
            <w:pPr>
              <w:ind w:left="180"/>
              <w:spacing w:after="0" w:line="258" w:lineRule="exact"/>
              <w:rPr>
                <w:sz w:val="20"/>
                <w:szCs w:val="20"/>
                <w:color w:val="auto"/>
              </w:rPr>
            </w:pPr>
            <w:r>
              <w:rPr>
                <w:rFonts w:ascii="Times New Roman" w:cs="Times New Roman" w:eastAsia="Times New Roman" w:hAnsi="Times New Roman"/>
                <w:sz w:val="24"/>
                <w:szCs w:val="24"/>
                <w:color w:val="auto"/>
              </w:rPr>
              <w:t>equity</w:t>
            </w:r>
          </w:p>
        </w:tc>
      </w:tr>
      <w:tr>
        <w:trPr>
          <w:trHeight w:val="413"/>
        </w:trPr>
        <w:tc>
          <w:tcPr>
            <w:tcW w:w="580" w:type="dxa"/>
            <w:vAlign w:val="bottom"/>
            <w:tcBorders>
              <w:left w:val="single" w:sz="8" w:color="auto"/>
            </w:tcBorders>
          </w:tcPr>
          <w:p>
            <w:pPr>
              <w:spacing w:after="0"/>
              <w:rPr>
                <w:sz w:val="24"/>
                <w:szCs w:val="24"/>
                <w:color w:val="auto"/>
              </w:rPr>
            </w:pPr>
          </w:p>
        </w:tc>
        <w:tc>
          <w:tcPr>
            <w:tcW w:w="320" w:type="dxa"/>
            <w:vAlign w:val="bottom"/>
            <w:tcBorders>
              <w:right w:val="single" w:sz="8" w:color="auto"/>
            </w:tcBorders>
          </w:tcPr>
          <w:p>
            <w:pPr>
              <w:spacing w:after="0"/>
              <w:rPr>
                <w:sz w:val="24"/>
                <w:szCs w:val="24"/>
                <w:color w:val="auto"/>
              </w:rPr>
            </w:pPr>
          </w:p>
        </w:tc>
        <w:tc>
          <w:tcPr>
            <w:tcW w:w="6380" w:type="dxa"/>
            <w:vAlign w:val="bottom"/>
            <w:tcBorders>
              <w:right w:val="single" w:sz="8" w:color="auto"/>
            </w:tcBorders>
          </w:tcPr>
          <w:p>
            <w:pPr>
              <w:spacing w:after="0"/>
              <w:rPr>
                <w:sz w:val="24"/>
                <w:szCs w:val="24"/>
                <w:color w:val="auto"/>
              </w:rPr>
            </w:pPr>
          </w:p>
        </w:tc>
        <w:tc>
          <w:tcPr>
            <w:tcW w:w="800" w:type="dxa"/>
            <w:vAlign w:val="bottom"/>
          </w:tcPr>
          <w:p>
            <w:pPr>
              <w:ind w:left="120"/>
              <w:spacing w:after="0"/>
              <w:rPr>
                <w:sz w:val="20"/>
                <w:szCs w:val="20"/>
                <w:color w:val="auto"/>
              </w:rPr>
            </w:pPr>
            <w:r>
              <w:rPr>
                <w:rFonts w:ascii="Times New Roman" w:cs="Times New Roman" w:eastAsia="Times New Roman" w:hAnsi="Times New Roman"/>
                <w:sz w:val="24"/>
                <w:szCs w:val="24"/>
                <w:color w:val="auto"/>
              </w:rPr>
              <w:t>shares</w:t>
            </w:r>
          </w:p>
        </w:tc>
        <w:tc>
          <w:tcPr>
            <w:tcW w:w="760" w:type="dxa"/>
            <w:vAlign w:val="bottom"/>
          </w:tcPr>
          <w:p>
            <w:pPr>
              <w:spacing w:after="0"/>
              <w:rPr>
                <w:sz w:val="24"/>
                <w:szCs w:val="24"/>
                <w:color w:val="auto"/>
              </w:rPr>
            </w:pPr>
          </w:p>
        </w:tc>
        <w:tc>
          <w:tcPr>
            <w:tcW w:w="860" w:type="dxa"/>
            <w:vAlign w:val="bottom"/>
            <w:tcBorders>
              <w:right w:val="single" w:sz="8" w:color="auto"/>
            </w:tcBorders>
          </w:tcPr>
          <w:p>
            <w:pPr>
              <w:spacing w:after="0"/>
              <w:rPr>
                <w:sz w:val="24"/>
                <w:szCs w:val="24"/>
                <w:color w:val="auto"/>
              </w:rPr>
            </w:pPr>
          </w:p>
        </w:tc>
      </w:tr>
      <w:tr>
        <w:trPr>
          <w:trHeight w:val="147"/>
        </w:trPr>
        <w:tc>
          <w:tcPr>
            <w:tcW w:w="580" w:type="dxa"/>
            <w:vAlign w:val="bottom"/>
            <w:tcBorders>
              <w:left w:val="single" w:sz="8" w:color="auto"/>
              <w:bottom w:val="single" w:sz="8" w:color="auto"/>
            </w:tcBorders>
          </w:tcPr>
          <w:p>
            <w:pPr>
              <w:spacing w:after="0"/>
              <w:rPr>
                <w:sz w:val="12"/>
                <w:szCs w:val="12"/>
                <w:color w:val="auto"/>
              </w:rPr>
            </w:pPr>
          </w:p>
        </w:tc>
        <w:tc>
          <w:tcPr>
            <w:tcW w:w="320" w:type="dxa"/>
            <w:vAlign w:val="bottom"/>
            <w:tcBorders>
              <w:bottom w:val="single" w:sz="8" w:color="auto"/>
              <w:right w:val="single" w:sz="8" w:color="auto"/>
            </w:tcBorders>
          </w:tcPr>
          <w:p>
            <w:pPr>
              <w:spacing w:after="0"/>
              <w:rPr>
                <w:sz w:val="12"/>
                <w:szCs w:val="12"/>
                <w:color w:val="auto"/>
              </w:rPr>
            </w:pPr>
          </w:p>
        </w:tc>
        <w:tc>
          <w:tcPr>
            <w:tcW w:w="6380" w:type="dxa"/>
            <w:vAlign w:val="bottom"/>
            <w:tcBorders>
              <w:bottom w:val="single" w:sz="8" w:color="auto"/>
              <w:right w:val="single" w:sz="8" w:color="auto"/>
            </w:tcBorders>
          </w:tcPr>
          <w:p>
            <w:pPr>
              <w:spacing w:after="0"/>
              <w:rPr>
                <w:sz w:val="12"/>
                <w:szCs w:val="12"/>
                <w:color w:val="auto"/>
              </w:rPr>
            </w:pPr>
          </w:p>
        </w:tc>
        <w:tc>
          <w:tcPr>
            <w:tcW w:w="800" w:type="dxa"/>
            <w:vAlign w:val="bottom"/>
            <w:tcBorders>
              <w:bottom w:val="single" w:sz="8" w:color="auto"/>
            </w:tcBorders>
          </w:tcPr>
          <w:p>
            <w:pPr>
              <w:spacing w:after="0"/>
              <w:rPr>
                <w:sz w:val="12"/>
                <w:szCs w:val="12"/>
                <w:color w:val="auto"/>
              </w:rPr>
            </w:pPr>
          </w:p>
        </w:tc>
        <w:tc>
          <w:tcPr>
            <w:tcW w:w="760" w:type="dxa"/>
            <w:vAlign w:val="bottom"/>
            <w:tcBorders>
              <w:bottom w:val="single" w:sz="8" w:color="auto"/>
            </w:tcBorders>
          </w:tcPr>
          <w:p>
            <w:pPr>
              <w:spacing w:after="0"/>
              <w:rPr>
                <w:sz w:val="12"/>
                <w:szCs w:val="12"/>
                <w:color w:val="auto"/>
              </w:rPr>
            </w:pPr>
          </w:p>
        </w:tc>
        <w:tc>
          <w:tcPr>
            <w:tcW w:w="860" w:type="dxa"/>
            <w:vAlign w:val="bottom"/>
            <w:tcBorders>
              <w:bottom w:val="single" w:sz="8" w:color="auto"/>
              <w:right w:val="single" w:sz="8" w:color="auto"/>
            </w:tcBorders>
          </w:tcPr>
          <w:p>
            <w:pPr>
              <w:spacing w:after="0"/>
              <w:rPr>
                <w:sz w:val="12"/>
                <w:szCs w:val="12"/>
                <w:color w:val="auto"/>
              </w:rPr>
            </w:pPr>
          </w:p>
        </w:tc>
      </w:tr>
    </w:tbl>
    <w:p>
      <w:pPr>
        <w:ind w:left="80"/>
        <w:spacing w:after="0" w:line="233" w:lineRule="auto"/>
        <w:rPr>
          <w:sz w:val="20"/>
          <w:szCs w:val="20"/>
          <w:color w:val="auto"/>
        </w:rPr>
      </w:pPr>
      <w:r>
        <w:rPr>
          <w:rFonts w:ascii="Times New Roman" w:cs="Times New Roman" w:eastAsia="Times New Roman" w:hAnsi="Times New Roman"/>
          <w:sz w:val="24"/>
          <w:szCs w:val="24"/>
          <w:color w:val="auto"/>
        </w:rPr>
        <w:t>* Where 50 per cent. of the issue size is required to be allotted to QIBs.</w:t>
      </w:r>
    </w:p>
    <w:p>
      <w:pPr>
        <w:spacing w:after="0" w:line="200" w:lineRule="exact"/>
        <w:rPr>
          <w:sz w:val="20"/>
          <w:szCs w:val="20"/>
          <w:color w:val="auto"/>
        </w:rPr>
      </w:pPr>
    </w:p>
    <w:p>
      <w:pPr>
        <w:spacing w:after="0" w:line="358" w:lineRule="exact"/>
        <w:rPr>
          <w:sz w:val="20"/>
          <w:szCs w:val="20"/>
          <w:color w:val="auto"/>
        </w:rPr>
      </w:pPr>
    </w:p>
    <w:p>
      <w:pPr>
        <w:ind w:left="640" w:hanging="568"/>
        <w:spacing w:after="0"/>
        <w:tabs>
          <w:tab w:leader="none" w:pos="640" w:val="left"/>
        </w:tabs>
        <w:numPr>
          <w:ilvl w:val="0"/>
          <w:numId w:val="120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Details of QIB Bids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jc w:val="center"/>
        <w:ind w:right="80"/>
        <w:spacing w:after="0"/>
        <w:rPr>
          <w:sz w:val="20"/>
          <w:szCs w:val="20"/>
          <w:color w:val="auto"/>
        </w:rPr>
      </w:pPr>
      <w:r>
        <w:rPr>
          <w:rFonts w:ascii="Times New Roman" w:cs="Times New Roman" w:eastAsia="Times New Roman" w:hAnsi="Times New Roman"/>
          <w:sz w:val="24"/>
          <w:szCs w:val="24"/>
          <w:color w:val="auto"/>
        </w:rPr>
        <w:t>399</w:t>
      </w:r>
    </w:p>
    <w:p>
      <w:pPr>
        <w:sectPr>
          <w:pgSz w:w="11900" w:h="16836" w:orient="portrait"/>
          <w:cols w:equalWidth="0" w:num="1">
            <w:col w:w="9700"/>
          </w:cols>
          <w:pgMar w:left="1080" w:top="1149" w:right="1124" w:bottom="103" w:gutter="0" w:footer="0" w:header="0"/>
        </w:sectPr>
      </w:pPr>
    </w:p>
    <w:bookmarkStart w:id="399" w:name="page400"/>
    <w:bookmarkEnd w:id="399"/>
    <w:tbl>
      <w:tblPr>
        <w:tblLayout w:type="fixed"/>
        <w:tblInd w:w="30" w:type="dxa"/>
        <w:tblCellMar>
          <w:top w:w="0" w:type="dxa"/>
          <w:left w:w="0" w:type="dxa"/>
          <w:bottom w:w="0" w:type="dxa"/>
          <w:right w:w="0" w:type="dxa"/>
        </w:tblCellMar>
      </w:tblPr>
      <w:tr>
        <w:trPr>
          <w:trHeight w:val="292"/>
        </w:trPr>
        <w:tc>
          <w:tcPr>
            <w:tcW w:w="1460" w:type="dxa"/>
            <w:vAlign w:val="bottom"/>
            <w:tcBorders>
              <w:top w:val="single" w:sz="8" w:color="auto"/>
              <w:left w:val="single" w:sz="8" w:color="auto"/>
              <w:right w:val="single" w:sz="8" w:color="auto"/>
            </w:tcBorders>
          </w:tcPr>
          <w:p>
            <w:pPr>
              <w:ind w:left="520"/>
              <w:spacing w:after="0"/>
              <w:rPr>
                <w:sz w:val="20"/>
                <w:szCs w:val="20"/>
                <w:color w:val="auto"/>
              </w:rPr>
            </w:pPr>
            <w:r>
              <w:rPr>
                <w:rFonts w:ascii="Times New Roman" w:cs="Times New Roman" w:eastAsia="Times New Roman" w:hAnsi="Times New Roman"/>
                <w:sz w:val="24"/>
                <w:szCs w:val="24"/>
                <w:b w:val="1"/>
                <w:bCs w:val="1"/>
                <w:color w:val="auto"/>
              </w:rPr>
              <w:t>S. No.</w:t>
            </w:r>
          </w:p>
        </w:tc>
        <w:tc>
          <w:tcPr>
            <w:tcW w:w="3980" w:type="dxa"/>
            <w:vAlign w:val="bottom"/>
            <w:tcBorders>
              <w:top w:val="single" w:sz="8" w:color="auto"/>
              <w:right w:val="single" w:sz="8" w:color="auto"/>
            </w:tcBorders>
          </w:tcPr>
          <w:p>
            <w:pPr>
              <w:ind w:left="980"/>
              <w:spacing w:after="0"/>
              <w:rPr>
                <w:sz w:val="20"/>
                <w:szCs w:val="20"/>
                <w:color w:val="auto"/>
              </w:rPr>
            </w:pPr>
            <w:r>
              <w:rPr>
                <w:rFonts w:ascii="Times New Roman" w:cs="Times New Roman" w:eastAsia="Times New Roman" w:hAnsi="Times New Roman"/>
                <w:sz w:val="24"/>
                <w:szCs w:val="24"/>
                <w:b w:val="1"/>
                <w:bCs w:val="1"/>
                <w:color w:val="auto"/>
              </w:rPr>
              <w:t>Type of QIB bidders</w:t>
            </w:r>
          </w:p>
        </w:tc>
        <w:tc>
          <w:tcPr>
            <w:tcW w:w="4300" w:type="dxa"/>
            <w:vAlign w:val="bottom"/>
            <w:tcBorders>
              <w:top w:val="single" w:sz="8" w:color="auto"/>
              <w:right w:val="single" w:sz="8" w:color="auto"/>
            </w:tcBorders>
          </w:tcPr>
          <w:p>
            <w:pPr>
              <w:jc w:val="right"/>
              <w:ind w:right="20"/>
              <w:spacing w:after="0"/>
              <w:rPr>
                <w:sz w:val="20"/>
                <w:szCs w:val="20"/>
                <w:color w:val="auto"/>
              </w:rPr>
            </w:pPr>
            <w:r>
              <w:rPr>
                <w:rFonts w:ascii="Times New Roman" w:cs="Times New Roman" w:eastAsia="Times New Roman" w:hAnsi="Times New Roman"/>
                <w:sz w:val="24"/>
                <w:szCs w:val="24"/>
                <w:b w:val="1"/>
                <w:bCs w:val="1"/>
                <w:color w:val="auto"/>
              </w:rPr>
              <w:t>No. of equity shares bid for (in crores)</w:t>
            </w:r>
          </w:p>
        </w:tc>
      </w:tr>
      <w:tr>
        <w:trPr>
          <w:trHeight w:val="142"/>
        </w:trPr>
        <w:tc>
          <w:tcPr>
            <w:tcW w:w="1460" w:type="dxa"/>
            <w:vAlign w:val="bottom"/>
            <w:tcBorders>
              <w:left w:val="single" w:sz="8" w:color="auto"/>
              <w:bottom w:val="single" w:sz="8" w:color="auto"/>
              <w:right w:val="single" w:sz="8" w:color="auto"/>
            </w:tcBorders>
          </w:tcPr>
          <w:p>
            <w:pPr>
              <w:spacing w:after="0"/>
              <w:rPr>
                <w:sz w:val="12"/>
                <w:szCs w:val="12"/>
                <w:color w:val="auto"/>
              </w:rPr>
            </w:pPr>
          </w:p>
        </w:tc>
        <w:tc>
          <w:tcPr>
            <w:tcW w:w="3980" w:type="dxa"/>
            <w:vAlign w:val="bottom"/>
            <w:tcBorders>
              <w:bottom w:val="single" w:sz="8" w:color="auto"/>
              <w:right w:val="single" w:sz="8" w:color="auto"/>
            </w:tcBorders>
          </w:tcPr>
          <w:p>
            <w:pPr>
              <w:spacing w:after="0"/>
              <w:rPr>
                <w:sz w:val="12"/>
                <w:szCs w:val="12"/>
                <w:color w:val="auto"/>
              </w:rPr>
            </w:pPr>
          </w:p>
        </w:tc>
        <w:tc>
          <w:tcPr>
            <w:tcW w:w="4300" w:type="dxa"/>
            <w:vAlign w:val="bottom"/>
            <w:tcBorders>
              <w:bottom w:val="single" w:sz="8" w:color="auto"/>
              <w:right w:val="single" w:sz="8" w:color="auto"/>
            </w:tcBorders>
          </w:tcPr>
          <w:p>
            <w:pPr>
              <w:spacing w:after="0"/>
              <w:rPr>
                <w:sz w:val="12"/>
                <w:szCs w:val="12"/>
                <w:color w:val="auto"/>
              </w:rPr>
            </w:pPr>
          </w:p>
        </w:tc>
      </w:tr>
      <w:tr>
        <w:trPr>
          <w:trHeight w:val="258"/>
        </w:trPr>
        <w:tc>
          <w:tcPr>
            <w:tcW w:w="1460" w:type="dxa"/>
            <w:vAlign w:val="bottom"/>
            <w:tcBorders>
              <w:left w:val="single" w:sz="8" w:color="auto"/>
              <w:right w:val="single" w:sz="8" w:color="auto"/>
            </w:tcBorders>
          </w:tcPr>
          <w:p>
            <w:pPr>
              <w:ind w:left="680"/>
              <w:spacing w:after="0" w:line="258" w:lineRule="exact"/>
              <w:rPr>
                <w:sz w:val="20"/>
                <w:szCs w:val="20"/>
                <w:color w:val="auto"/>
              </w:rPr>
            </w:pPr>
            <w:r>
              <w:rPr>
                <w:rFonts w:ascii="Times New Roman" w:cs="Times New Roman" w:eastAsia="Times New Roman" w:hAnsi="Times New Roman"/>
                <w:sz w:val="24"/>
                <w:szCs w:val="24"/>
                <w:color w:val="auto"/>
              </w:rPr>
              <w:t>1</w:t>
            </w:r>
          </w:p>
        </w:tc>
        <w:tc>
          <w:tcPr>
            <w:tcW w:w="3980" w:type="dxa"/>
            <w:vAlign w:val="bottom"/>
            <w:tcBorders>
              <w:right w:val="single" w:sz="8" w:color="auto"/>
            </w:tcBorders>
          </w:tcPr>
          <w:p>
            <w:pPr>
              <w:ind w:left="260"/>
              <w:spacing w:after="0" w:line="258" w:lineRule="exact"/>
              <w:rPr>
                <w:sz w:val="20"/>
                <w:szCs w:val="20"/>
                <w:color w:val="auto"/>
              </w:rPr>
            </w:pPr>
            <w:r>
              <w:rPr>
                <w:rFonts w:ascii="Times New Roman" w:cs="Times New Roman" w:eastAsia="Times New Roman" w:hAnsi="Times New Roman"/>
                <w:sz w:val="24"/>
                <w:szCs w:val="24"/>
                <w:color w:val="auto"/>
              </w:rPr>
              <w:t>A1</w:t>
            </w:r>
          </w:p>
        </w:tc>
        <w:tc>
          <w:tcPr>
            <w:tcW w:w="43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50</w:t>
            </w:r>
          </w:p>
        </w:tc>
      </w:tr>
      <w:tr>
        <w:trPr>
          <w:trHeight w:val="144"/>
        </w:trPr>
        <w:tc>
          <w:tcPr>
            <w:tcW w:w="1460" w:type="dxa"/>
            <w:vAlign w:val="bottom"/>
            <w:tcBorders>
              <w:left w:val="single" w:sz="8" w:color="auto"/>
              <w:bottom w:val="single" w:sz="8" w:color="auto"/>
              <w:right w:val="single" w:sz="8" w:color="auto"/>
            </w:tcBorders>
          </w:tcPr>
          <w:p>
            <w:pPr>
              <w:spacing w:after="0"/>
              <w:rPr>
                <w:sz w:val="12"/>
                <w:szCs w:val="12"/>
                <w:color w:val="auto"/>
              </w:rPr>
            </w:pPr>
          </w:p>
        </w:tc>
        <w:tc>
          <w:tcPr>
            <w:tcW w:w="3980" w:type="dxa"/>
            <w:vAlign w:val="bottom"/>
            <w:tcBorders>
              <w:bottom w:val="single" w:sz="8" w:color="auto"/>
              <w:right w:val="single" w:sz="8" w:color="auto"/>
            </w:tcBorders>
          </w:tcPr>
          <w:p>
            <w:pPr>
              <w:spacing w:after="0"/>
              <w:rPr>
                <w:sz w:val="12"/>
                <w:szCs w:val="12"/>
                <w:color w:val="auto"/>
              </w:rPr>
            </w:pPr>
          </w:p>
        </w:tc>
        <w:tc>
          <w:tcPr>
            <w:tcW w:w="4300" w:type="dxa"/>
            <w:vAlign w:val="bottom"/>
            <w:tcBorders>
              <w:bottom w:val="single" w:sz="8" w:color="auto"/>
              <w:right w:val="single" w:sz="8" w:color="auto"/>
            </w:tcBorders>
          </w:tcPr>
          <w:p>
            <w:pPr>
              <w:spacing w:after="0"/>
              <w:rPr>
                <w:sz w:val="12"/>
                <w:szCs w:val="12"/>
                <w:color w:val="auto"/>
              </w:rPr>
            </w:pPr>
          </w:p>
        </w:tc>
      </w:tr>
      <w:tr>
        <w:trPr>
          <w:trHeight w:val="260"/>
        </w:trPr>
        <w:tc>
          <w:tcPr>
            <w:tcW w:w="1460" w:type="dxa"/>
            <w:vAlign w:val="bottom"/>
            <w:tcBorders>
              <w:left w:val="single" w:sz="8" w:color="auto"/>
              <w:right w:val="single" w:sz="8" w:color="auto"/>
            </w:tcBorders>
          </w:tcPr>
          <w:p>
            <w:pPr>
              <w:ind w:left="680"/>
              <w:spacing w:after="0" w:line="260" w:lineRule="exact"/>
              <w:rPr>
                <w:sz w:val="20"/>
                <w:szCs w:val="20"/>
                <w:color w:val="auto"/>
              </w:rPr>
            </w:pPr>
            <w:r>
              <w:rPr>
                <w:rFonts w:ascii="Times New Roman" w:cs="Times New Roman" w:eastAsia="Times New Roman" w:hAnsi="Times New Roman"/>
                <w:sz w:val="24"/>
                <w:szCs w:val="24"/>
                <w:color w:val="auto"/>
              </w:rPr>
              <w:t>2</w:t>
            </w:r>
          </w:p>
        </w:tc>
        <w:tc>
          <w:tcPr>
            <w:tcW w:w="3980" w:type="dxa"/>
            <w:vAlign w:val="bottom"/>
            <w:tcBorders>
              <w:right w:val="single" w:sz="8" w:color="auto"/>
            </w:tcBorders>
          </w:tcPr>
          <w:p>
            <w:pPr>
              <w:ind w:left="260"/>
              <w:spacing w:after="0" w:line="260" w:lineRule="exact"/>
              <w:rPr>
                <w:sz w:val="20"/>
                <w:szCs w:val="20"/>
                <w:color w:val="auto"/>
              </w:rPr>
            </w:pPr>
            <w:r>
              <w:rPr>
                <w:rFonts w:ascii="Times New Roman" w:cs="Times New Roman" w:eastAsia="Times New Roman" w:hAnsi="Times New Roman"/>
                <w:sz w:val="24"/>
                <w:szCs w:val="24"/>
                <w:color w:val="auto"/>
              </w:rPr>
              <w:t>A2</w:t>
            </w:r>
          </w:p>
        </w:tc>
        <w:tc>
          <w:tcPr>
            <w:tcW w:w="4300" w:type="dxa"/>
            <w:vAlign w:val="bottom"/>
            <w:tcBorders>
              <w:right w:val="single" w:sz="8" w:color="auto"/>
            </w:tcBorders>
          </w:tcPr>
          <w:p>
            <w:pPr>
              <w:jc w:val="right"/>
              <w:spacing w:after="0" w:line="260" w:lineRule="exact"/>
              <w:rPr>
                <w:sz w:val="20"/>
                <w:szCs w:val="20"/>
                <w:color w:val="auto"/>
              </w:rPr>
            </w:pPr>
            <w:r>
              <w:rPr>
                <w:rFonts w:ascii="Times New Roman" w:cs="Times New Roman" w:eastAsia="Times New Roman" w:hAnsi="Times New Roman"/>
                <w:sz w:val="24"/>
                <w:szCs w:val="24"/>
                <w:color w:val="auto"/>
              </w:rPr>
              <w:t>20</w:t>
            </w:r>
          </w:p>
        </w:tc>
      </w:tr>
      <w:tr>
        <w:trPr>
          <w:trHeight w:val="144"/>
        </w:trPr>
        <w:tc>
          <w:tcPr>
            <w:tcW w:w="1460" w:type="dxa"/>
            <w:vAlign w:val="bottom"/>
            <w:tcBorders>
              <w:left w:val="single" w:sz="8" w:color="auto"/>
              <w:bottom w:val="single" w:sz="8" w:color="auto"/>
              <w:right w:val="single" w:sz="8" w:color="auto"/>
            </w:tcBorders>
          </w:tcPr>
          <w:p>
            <w:pPr>
              <w:spacing w:after="0"/>
              <w:rPr>
                <w:sz w:val="12"/>
                <w:szCs w:val="12"/>
                <w:color w:val="auto"/>
              </w:rPr>
            </w:pPr>
          </w:p>
        </w:tc>
        <w:tc>
          <w:tcPr>
            <w:tcW w:w="3980" w:type="dxa"/>
            <w:vAlign w:val="bottom"/>
            <w:tcBorders>
              <w:bottom w:val="single" w:sz="8" w:color="auto"/>
              <w:right w:val="single" w:sz="8" w:color="auto"/>
            </w:tcBorders>
          </w:tcPr>
          <w:p>
            <w:pPr>
              <w:spacing w:after="0"/>
              <w:rPr>
                <w:sz w:val="12"/>
                <w:szCs w:val="12"/>
                <w:color w:val="auto"/>
              </w:rPr>
            </w:pPr>
          </w:p>
        </w:tc>
        <w:tc>
          <w:tcPr>
            <w:tcW w:w="4300" w:type="dxa"/>
            <w:vAlign w:val="bottom"/>
            <w:tcBorders>
              <w:bottom w:val="single" w:sz="8" w:color="auto"/>
              <w:right w:val="single" w:sz="8" w:color="auto"/>
            </w:tcBorders>
          </w:tcPr>
          <w:p>
            <w:pPr>
              <w:spacing w:after="0"/>
              <w:rPr>
                <w:sz w:val="12"/>
                <w:szCs w:val="12"/>
                <w:color w:val="auto"/>
              </w:rPr>
            </w:pPr>
          </w:p>
        </w:tc>
      </w:tr>
      <w:tr>
        <w:trPr>
          <w:trHeight w:val="258"/>
        </w:trPr>
        <w:tc>
          <w:tcPr>
            <w:tcW w:w="1460" w:type="dxa"/>
            <w:vAlign w:val="bottom"/>
            <w:tcBorders>
              <w:left w:val="single" w:sz="8" w:color="auto"/>
              <w:right w:val="single" w:sz="8" w:color="auto"/>
            </w:tcBorders>
          </w:tcPr>
          <w:p>
            <w:pPr>
              <w:ind w:left="680"/>
              <w:spacing w:after="0" w:line="258" w:lineRule="exact"/>
              <w:rPr>
                <w:sz w:val="20"/>
                <w:szCs w:val="20"/>
                <w:color w:val="auto"/>
              </w:rPr>
            </w:pPr>
            <w:r>
              <w:rPr>
                <w:rFonts w:ascii="Times New Roman" w:cs="Times New Roman" w:eastAsia="Times New Roman" w:hAnsi="Times New Roman"/>
                <w:sz w:val="24"/>
                <w:szCs w:val="24"/>
                <w:color w:val="auto"/>
              </w:rPr>
              <w:t>3</w:t>
            </w:r>
          </w:p>
        </w:tc>
        <w:tc>
          <w:tcPr>
            <w:tcW w:w="3980" w:type="dxa"/>
            <w:vAlign w:val="bottom"/>
            <w:tcBorders>
              <w:right w:val="single" w:sz="8" w:color="auto"/>
            </w:tcBorders>
          </w:tcPr>
          <w:p>
            <w:pPr>
              <w:ind w:left="260"/>
              <w:spacing w:after="0" w:line="258" w:lineRule="exact"/>
              <w:rPr>
                <w:sz w:val="20"/>
                <w:szCs w:val="20"/>
                <w:color w:val="auto"/>
              </w:rPr>
            </w:pPr>
            <w:r>
              <w:rPr>
                <w:rFonts w:ascii="Times New Roman" w:cs="Times New Roman" w:eastAsia="Times New Roman" w:hAnsi="Times New Roman"/>
                <w:sz w:val="24"/>
                <w:szCs w:val="24"/>
                <w:color w:val="auto"/>
              </w:rPr>
              <w:t>A3</w:t>
            </w:r>
          </w:p>
        </w:tc>
        <w:tc>
          <w:tcPr>
            <w:tcW w:w="43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130</w:t>
            </w:r>
          </w:p>
        </w:tc>
      </w:tr>
      <w:tr>
        <w:trPr>
          <w:trHeight w:val="147"/>
        </w:trPr>
        <w:tc>
          <w:tcPr>
            <w:tcW w:w="1460" w:type="dxa"/>
            <w:vAlign w:val="bottom"/>
            <w:tcBorders>
              <w:left w:val="single" w:sz="8" w:color="auto"/>
              <w:bottom w:val="single" w:sz="8" w:color="auto"/>
              <w:right w:val="single" w:sz="8" w:color="auto"/>
            </w:tcBorders>
          </w:tcPr>
          <w:p>
            <w:pPr>
              <w:spacing w:after="0"/>
              <w:rPr>
                <w:sz w:val="12"/>
                <w:szCs w:val="12"/>
                <w:color w:val="auto"/>
              </w:rPr>
            </w:pPr>
          </w:p>
        </w:tc>
        <w:tc>
          <w:tcPr>
            <w:tcW w:w="3980" w:type="dxa"/>
            <w:vAlign w:val="bottom"/>
            <w:tcBorders>
              <w:bottom w:val="single" w:sz="8" w:color="auto"/>
              <w:right w:val="single" w:sz="8" w:color="auto"/>
            </w:tcBorders>
          </w:tcPr>
          <w:p>
            <w:pPr>
              <w:spacing w:after="0"/>
              <w:rPr>
                <w:sz w:val="12"/>
                <w:szCs w:val="12"/>
                <w:color w:val="auto"/>
              </w:rPr>
            </w:pPr>
          </w:p>
        </w:tc>
        <w:tc>
          <w:tcPr>
            <w:tcW w:w="4300" w:type="dxa"/>
            <w:vAlign w:val="bottom"/>
            <w:tcBorders>
              <w:bottom w:val="single" w:sz="8" w:color="auto"/>
              <w:right w:val="single" w:sz="8" w:color="auto"/>
            </w:tcBorders>
          </w:tcPr>
          <w:p>
            <w:pPr>
              <w:spacing w:after="0"/>
              <w:rPr>
                <w:sz w:val="12"/>
                <w:szCs w:val="12"/>
                <w:color w:val="auto"/>
              </w:rPr>
            </w:pPr>
          </w:p>
        </w:tc>
      </w:tr>
      <w:tr>
        <w:trPr>
          <w:trHeight w:val="258"/>
        </w:trPr>
        <w:tc>
          <w:tcPr>
            <w:tcW w:w="1460" w:type="dxa"/>
            <w:vAlign w:val="bottom"/>
            <w:tcBorders>
              <w:left w:val="single" w:sz="8" w:color="auto"/>
              <w:right w:val="single" w:sz="8" w:color="auto"/>
            </w:tcBorders>
          </w:tcPr>
          <w:p>
            <w:pPr>
              <w:ind w:left="680"/>
              <w:spacing w:after="0" w:line="258" w:lineRule="exact"/>
              <w:rPr>
                <w:sz w:val="20"/>
                <w:szCs w:val="20"/>
                <w:color w:val="auto"/>
              </w:rPr>
            </w:pPr>
            <w:r>
              <w:rPr>
                <w:rFonts w:ascii="Times New Roman" w:cs="Times New Roman" w:eastAsia="Times New Roman" w:hAnsi="Times New Roman"/>
                <w:sz w:val="24"/>
                <w:szCs w:val="24"/>
                <w:color w:val="auto"/>
              </w:rPr>
              <w:t>4</w:t>
            </w:r>
          </w:p>
        </w:tc>
        <w:tc>
          <w:tcPr>
            <w:tcW w:w="3980" w:type="dxa"/>
            <w:vAlign w:val="bottom"/>
            <w:tcBorders>
              <w:right w:val="single" w:sz="8" w:color="auto"/>
            </w:tcBorders>
          </w:tcPr>
          <w:p>
            <w:pPr>
              <w:ind w:left="260"/>
              <w:spacing w:after="0" w:line="258" w:lineRule="exact"/>
              <w:rPr>
                <w:sz w:val="20"/>
                <w:szCs w:val="20"/>
                <w:color w:val="auto"/>
              </w:rPr>
            </w:pPr>
            <w:r>
              <w:rPr>
                <w:rFonts w:ascii="Times New Roman" w:cs="Times New Roman" w:eastAsia="Times New Roman" w:hAnsi="Times New Roman"/>
                <w:sz w:val="24"/>
                <w:szCs w:val="24"/>
                <w:color w:val="auto"/>
              </w:rPr>
              <w:t>A4</w:t>
            </w:r>
          </w:p>
        </w:tc>
        <w:tc>
          <w:tcPr>
            <w:tcW w:w="43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50</w:t>
            </w:r>
          </w:p>
        </w:tc>
      </w:tr>
      <w:tr>
        <w:trPr>
          <w:trHeight w:val="144"/>
        </w:trPr>
        <w:tc>
          <w:tcPr>
            <w:tcW w:w="1460" w:type="dxa"/>
            <w:vAlign w:val="bottom"/>
            <w:tcBorders>
              <w:left w:val="single" w:sz="8" w:color="auto"/>
              <w:bottom w:val="single" w:sz="8" w:color="auto"/>
              <w:right w:val="single" w:sz="8" w:color="auto"/>
            </w:tcBorders>
          </w:tcPr>
          <w:p>
            <w:pPr>
              <w:spacing w:after="0"/>
              <w:rPr>
                <w:sz w:val="12"/>
                <w:szCs w:val="12"/>
                <w:color w:val="auto"/>
              </w:rPr>
            </w:pPr>
          </w:p>
        </w:tc>
        <w:tc>
          <w:tcPr>
            <w:tcW w:w="3980" w:type="dxa"/>
            <w:vAlign w:val="bottom"/>
            <w:tcBorders>
              <w:bottom w:val="single" w:sz="8" w:color="auto"/>
              <w:right w:val="single" w:sz="8" w:color="auto"/>
            </w:tcBorders>
          </w:tcPr>
          <w:p>
            <w:pPr>
              <w:spacing w:after="0"/>
              <w:rPr>
                <w:sz w:val="12"/>
                <w:szCs w:val="12"/>
                <w:color w:val="auto"/>
              </w:rPr>
            </w:pPr>
          </w:p>
        </w:tc>
        <w:tc>
          <w:tcPr>
            <w:tcW w:w="4300" w:type="dxa"/>
            <w:vAlign w:val="bottom"/>
            <w:tcBorders>
              <w:bottom w:val="single" w:sz="8" w:color="auto"/>
              <w:right w:val="single" w:sz="8" w:color="auto"/>
            </w:tcBorders>
          </w:tcPr>
          <w:p>
            <w:pPr>
              <w:spacing w:after="0"/>
              <w:rPr>
                <w:sz w:val="12"/>
                <w:szCs w:val="12"/>
                <w:color w:val="auto"/>
              </w:rPr>
            </w:pPr>
          </w:p>
        </w:tc>
      </w:tr>
      <w:tr>
        <w:trPr>
          <w:trHeight w:val="260"/>
        </w:trPr>
        <w:tc>
          <w:tcPr>
            <w:tcW w:w="1460" w:type="dxa"/>
            <w:vAlign w:val="bottom"/>
            <w:tcBorders>
              <w:left w:val="single" w:sz="8" w:color="auto"/>
              <w:right w:val="single" w:sz="8" w:color="auto"/>
            </w:tcBorders>
          </w:tcPr>
          <w:p>
            <w:pPr>
              <w:ind w:left="680"/>
              <w:spacing w:after="0" w:line="260" w:lineRule="exact"/>
              <w:rPr>
                <w:sz w:val="20"/>
                <w:szCs w:val="20"/>
                <w:color w:val="auto"/>
              </w:rPr>
            </w:pPr>
            <w:r>
              <w:rPr>
                <w:rFonts w:ascii="Times New Roman" w:cs="Times New Roman" w:eastAsia="Times New Roman" w:hAnsi="Times New Roman"/>
                <w:sz w:val="24"/>
                <w:szCs w:val="24"/>
                <w:color w:val="auto"/>
              </w:rPr>
              <w:t>5</w:t>
            </w:r>
          </w:p>
        </w:tc>
        <w:tc>
          <w:tcPr>
            <w:tcW w:w="3980" w:type="dxa"/>
            <w:vAlign w:val="bottom"/>
            <w:tcBorders>
              <w:right w:val="single" w:sz="8" w:color="auto"/>
            </w:tcBorders>
          </w:tcPr>
          <w:p>
            <w:pPr>
              <w:ind w:left="260"/>
              <w:spacing w:after="0" w:line="260" w:lineRule="exact"/>
              <w:rPr>
                <w:sz w:val="20"/>
                <w:szCs w:val="20"/>
                <w:color w:val="auto"/>
              </w:rPr>
            </w:pPr>
            <w:r>
              <w:rPr>
                <w:rFonts w:ascii="Times New Roman" w:cs="Times New Roman" w:eastAsia="Times New Roman" w:hAnsi="Times New Roman"/>
                <w:sz w:val="24"/>
                <w:szCs w:val="24"/>
                <w:color w:val="auto"/>
              </w:rPr>
              <w:t>A5</w:t>
            </w:r>
          </w:p>
        </w:tc>
        <w:tc>
          <w:tcPr>
            <w:tcW w:w="4300" w:type="dxa"/>
            <w:vAlign w:val="bottom"/>
            <w:tcBorders>
              <w:right w:val="single" w:sz="8" w:color="auto"/>
            </w:tcBorders>
          </w:tcPr>
          <w:p>
            <w:pPr>
              <w:jc w:val="right"/>
              <w:spacing w:after="0" w:line="260" w:lineRule="exact"/>
              <w:rPr>
                <w:sz w:val="20"/>
                <w:szCs w:val="20"/>
                <w:color w:val="auto"/>
              </w:rPr>
            </w:pPr>
            <w:r>
              <w:rPr>
                <w:rFonts w:ascii="Times New Roman" w:cs="Times New Roman" w:eastAsia="Times New Roman" w:hAnsi="Times New Roman"/>
                <w:sz w:val="24"/>
                <w:szCs w:val="24"/>
                <w:color w:val="auto"/>
              </w:rPr>
              <w:t>50</w:t>
            </w:r>
          </w:p>
        </w:tc>
      </w:tr>
      <w:tr>
        <w:trPr>
          <w:trHeight w:val="144"/>
        </w:trPr>
        <w:tc>
          <w:tcPr>
            <w:tcW w:w="1460" w:type="dxa"/>
            <w:vAlign w:val="bottom"/>
            <w:tcBorders>
              <w:left w:val="single" w:sz="8" w:color="auto"/>
              <w:bottom w:val="single" w:sz="8" w:color="auto"/>
              <w:right w:val="single" w:sz="8" w:color="auto"/>
            </w:tcBorders>
          </w:tcPr>
          <w:p>
            <w:pPr>
              <w:spacing w:after="0"/>
              <w:rPr>
                <w:sz w:val="12"/>
                <w:szCs w:val="12"/>
                <w:color w:val="auto"/>
              </w:rPr>
            </w:pPr>
          </w:p>
        </w:tc>
        <w:tc>
          <w:tcPr>
            <w:tcW w:w="3980" w:type="dxa"/>
            <w:vAlign w:val="bottom"/>
            <w:tcBorders>
              <w:bottom w:val="single" w:sz="8" w:color="auto"/>
              <w:right w:val="single" w:sz="8" w:color="auto"/>
            </w:tcBorders>
          </w:tcPr>
          <w:p>
            <w:pPr>
              <w:spacing w:after="0"/>
              <w:rPr>
                <w:sz w:val="12"/>
                <w:szCs w:val="12"/>
                <w:color w:val="auto"/>
              </w:rPr>
            </w:pPr>
          </w:p>
        </w:tc>
        <w:tc>
          <w:tcPr>
            <w:tcW w:w="4300" w:type="dxa"/>
            <w:vAlign w:val="bottom"/>
            <w:tcBorders>
              <w:bottom w:val="single" w:sz="8" w:color="auto"/>
              <w:right w:val="single" w:sz="8" w:color="auto"/>
            </w:tcBorders>
          </w:tcPr>
          <w:p>
            <w:pPr>
              <w:spacing w:after="0"/>
              <w:rPr>
                <w:sz w:val="12"/>
                <w:szCs w:val="12"/>
                <w:color w:val="auto"/>
              </w:rPr>
            </w:pPr>
          </w:p>
        </w:tc>
      </w:tr>
      <w:tr>
        <w:trPr>
          <w:trHeight w:val="258"/>
        </w:trPr>
        <w:tc>
          <w:tcPr>
            <w:tcW w:w="1460" w:type="dxa"/>
            <w:vAlign w:val="bottom"/>
            <w:tcBorders>
              <w:left w:val="single" w:sz="8" w:color="auto"/>
              <w:right w:val="single" w:sz="8" w:color="auto"/>
            </w:tcBorders>
          </w:tcPr>
          <w:p>
            <w:pPr>
              <w:ind w:left="680"/>
              <w:spacing w:after="0" w:line="258" w:lineRule="exact"/>
              <w:rPr>
                <w:sz w:val="20"/>
                <w:szCs w:val="20"/>
                <w:color w:val="auto"/>
              </w:rPr>
            </w:pPr>
            <w:r>
              <w:rPr>
                <w:rFonts w:ascii="Times New Roman" w:cs="Times New Roman" w:eastAsia="Times New Roman" w:hAnsi="Times New Roman"/>
                <w:sz w:val="24"/>
                <w:szCs w:val="24"/>
                <w:color w:val="auto"/>
              </w:rPr>
              <w:t>6</w:t>
            </w:r>
          </w:p>
        </w:tc>
        <w:tc>
          <w:tcPr>
            <w:tcW w:w="3980" w:type="dxa"/>
            <w:vAlign w:val="bottom"/>
            <w:tcBorders>
              <w:right w:val="single" w:sz="8" w:color="auto"/>
            </w:tcBorders>
          </w:tcPr>
          <w:p>
            <w:pPr>
              <w:ind w:left="260"/>
              <w:spacing w:after="0" w:line="258" w:lineRule="exact"/>
              <w:rPr>
                <w:sz w:val="20"/>
                <w:szCs w:val="20"/>
                <w:color w:val="auto"/>
              </w:rPr>
            </w:pPr>
            <w:r>
              <w:rPr>
                <w:rFonts w:ascii="Times New Roman" w:cs="Times New Roman" w:eastAsia="Times New Roman" w:hAnsi="Times New Roman"/>
                <w:sz w:val="24"/>
                <w:szCs w:val="24"/>
                <w:color w:val="auto"/>
              </w:rPr>
              <w:t>MF1</w:t>
            </w:r>
          </w:p>
        </w:tc>
        <w:tc>
          <w:tcPr>
            <w:tcW w:w="43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40</w:t>
            </w:r>
          </w:p>
        </w:tc>
      </w:tr>
      <w:tr>
        <w:trPr>
          <w:trHeight w:val="147"/>
        </w:trPr>
        <w:tc>
          <w:tcPr>
            <w:tcW w:w="1460" w:type="dxa"/>
            <w:vAlign w:val="bottom"/>
            <w:tcBorders>
              <w:left w:val="single" w:sz="8" w:color="auto"/>
              <w:bottom w:val="single" w:sz="8" w:color="auto"/>
              <w:right w:val="single" w:sz="8" w:color="auto"/>
            </w:tcBorders>
          </w:tcPr>
          <w:p>
            <w:pPr>
              <w:spacing w:after="0"/>
              <w:rPr>
                <w:sz w:val="12"/>
                <w:szCs w:val="12"/>
                <w:color w:val="auto"/>
              </w:rPr>
            </w:pPr>
          </w:p>
        </w:tc>
        <w:tc>
          <w:tcPr>
            <w:tcW w:w="3980" w:type="dxa"/>
            <w:vAlign w:val="bottom"/>
            <w:tcBorders>
              <w:bottom w:val="single" w:sz="8" w:color="auto"/>
              <w:right w:val="single" w:sz="8" w:color="auto"/>
            </w:tcBorders>
          </w:tcPr>
          <w:p>
            <w:pPr>
              <w:spacing w:after="0"/>
              <w:rPr>
                <w:sz w:val="12"/>
                <w:szCs w:val="12"/>
                <w:color w:val="auto"/>
              </w:rPr>
            </w:pPr>
          </w:p>
        </w:tc>
        <w:tc>
          <w:tcPr>
            <w:tcW w:w="4300" w:type="dxa"/>
            <w:vAlign w:val="bottom"/>
            <w:tcBorders>
              <w:bottom w:val="single" w:sz="8" w:color="auto"/>
              <w:right w:val="single" w:sz="8" w:color="auto"/>
            </w:tcBorders>
          </w:tcPr>
          <w:p>
            <w:pPr>
              <w:spacing w:after="0"/>
              <w:rPr>
                <w:sz w:val="12"/>
                <w:szCs w:val="12"/>
                <w:color w:val="auto"/>
              </w:rPr>
            </w:pPr>
          </w:p>
        </w:tc>
      </w:tr>
      <w:tr>
        <w:trPr>
          <w:trHeight w:val="258"/>
        </w:trPr>
        <w:tc>
          <w:tcPr>
            <w:tcW w:w="1460" w:type="dxa"/>
            <w:vAlign w:val="bottom"/>
            <w:tcBorders>
              <w:left w:val="single" w:sz="8" w:color="auto"/>
              <w:right w:val="single" w:sz="8" w:color="auto"/>
            </w:tcBorders>
          </w:tcPr>
          <w:p>
            <w:pPr>
              <w:ind w:left="680"/>
              <w:spacing w:after="0" w:line="258" w:lineRule="exact"/>
              <w:rPr>
                <w:sz w:val="20"/>
                <w:szCs w:val="20"/>
                <w:color w:val="auto"/>
              </w:rPr>
            </w:pPr>
            <w:r>
              <w:rPr>
                <w:rFonts w:ascii="Times New Roman" w:cs="Times New Roman" w:eastAsia="Times New Roman" w:hAnsi="Times New Roman"/>
                <w:sz w:val="24"/>
                <w:szCs w:val="24"/>
                <w:color w:val="auto"/>
              </w:rPr>
              <w:t>7</w:t>
            </w:r>
          </w:p>
        </w:tc>
        <w:tc>
          <w:tcPr>
            <w:tcW w:w="3980" w:type="dxa"/>
            <w:vAlign w:val="bottom"/>
            <w:tcBorders>
              <w:right w:val="single" w:sz="8" w:color="auto"/>
            </w:tcBorders>
          </w:tcPr>
          <w:p>
            <w:pPr>
              <w:ind w:left="260"/>
              <w:spacing w:after="0" w:line="258" w:lineRule="exact"/>
              <w:rPr>
                <w:sz w:val="20"/>
                <w:szCs w:val="20"/>
                <w:color w:val="auto"/>
              </w:rPr>
            </w:pPr>
            <w:r>
              <w:rPr>
                <w:rFonts w:ascii="Times New Roman" w:cs="Times New Roman" w:eastAsia="Times New Roman" w:hAnsi="Times New Roman"/>
                <w:sz w:val="24"/>
                <w:szCs w:val="24"/>
                <w:color w:val="auto"/>
              </w:rPr>
              <w:t>MF2</w:t>
            </w:r>
          </w:p>
        </w:tc>
        <w:tc>
          <w:tcPr>
            <w:tcW w:w="43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40</w:t>
            </w:r>
          </w:p>
        </w:tc>
      </w:tr>
      <w:tr>
        <w:trPr>
          <w:trHeight w:val="144"/>
        </w:trPr>
        <w:tc>
          <w:tcPr>
            <w:tcW w:w="1460" w:type="dxa"/>
            <w:vAlign w:val="bottom"/>
            <w:tcBorders>
              <w:left w:val="single" w:sz="8" w:color="auto"/>
              <w:bottom w:val="single" w:sz="8" w:color="auto"/>
              <w:right w:val="single" w:sz="8" w:color="auto"/>
            </w:tcBorders>
          </w:tcPr>
          <w:p>
            <w:pPr>
              <w:spacing w:after="0"/>
              <w:rPr>
                <w:sz w:val="12"/>
                <w:szCs w:val="12"/>
                <w:color w:val="auto"/>
              </w:rPr>
            </w:pPr>
          </w:p>
        </w:tc>
        <w:tc>
          <w:tcPr>
            <w:tcW w:w="3980" w:type="dxa"/>
            <w:vAlign w:val="bottom"/>
            <w:tcBorders>
              <w:bottom w:val="single" w:sz="8" w:color="auto"/>
              <w:right w:val="single" w:sz="8" w:color="auto"/>
            </w:tcBorders>
          </w:tcPr>
          <w:p>
            <w:pPr>
              <w:spacing w:after="0"/>
              <w:rPr>
                <w:sz w:val="12"/>
                <w:szCs w:val="12"/>
                <w:color w:val="auto"/>
              </w:rPr>
            </w:pPr>
          </w:p>
        </w:tc>
        <w:tc>
          <w:tcPr>
            <w:tcW w:w="4300" w:type="dxa"/>
            <w:vAlign w:val="bottom"/>
            <w:tcBorders>
              <w:bottom w:val="single" w:sz="8" w:color="auto"/>
              <w:right w:val="single" w:sz="8" w:color="auto"/>
            </w:tcBorders>
          </w:tcPr>
          <w:p>
            <w:pPr>
              <w:spacing w:after="0"/>
              <w:rPr>
                <w:sz w:val="12"/>
                <w:szCs w:val="12"/>
                <w:color w:val="auto"/>
              </w:rPr>
            </w:pPr>
          </w:p>
        </w:tc>
      </w:tr>
      <w:tr>
        <w:trPr>
          <w:trHeight w:val="261"/>
        </w:trPr>
        <w:tc>
          <w:tcPr>
            <w:tcW w:w="1460" w:type="dxa"/>
            <w:vAlign w:val="bottom"/>
            <w:tcBorders>
              <w:left w:val="single" w:sz="8" w:color="auto"/>
              <w:right w:val="single" w:sz="8" w:color="auto"/>
            </w:tcBorders>
          </w:tcPr>
          <w:p>
            <w:pPr>
              <w:ind w:left="680"/>
              <w:spacing w:after="0" w:line="260" w:lineRule="exact"/>
              <w:rPr>
                <w:sz w:val="20"/>
                <w:szCs w:val="20"/>
                <w:color w:val="auto"/>
              </w:rPr>
            </w:pPr>
            <w:r>
              <w:rPr>
                <w:rFonts w:ascii="Times New Roman" w:cs="Times New Roman" w:eastAsia="Times New Roman" w:hAnsi="Times New Roman"/>
                <w:sz w:val="24"/>
                <w:szCs w:val="24"/>
                <w:color w:val="auto"/>
              </w:rPr>
              <w:t>8</w:t>
            </w:r>
          </w:p>
        </w:tc>
        <w:tc>
          <w:tcPr>
            <w:tcW w:w="3980" w:type="dxa"/>
            <w:vAlign w:val="bottom"/>
            <w:tcBorders>
              <w:right w:val="single" w:sz="8" w:color="auto"/>
            </w:tcBorders>
          </w:tcPr>
          <w:p>
            <w:pPr>
              <w:ind w:left="260"/>
              <w:spacing w:after="0" w:line="260" w:lineRule="exact"/>
              <w:rPr>
                <w:sz w:val="20"/>
                <w:szCs w:val="20"/>
                <w:color w:val="auto"/>
              </w:rPr>
            </w:pPr>
            <w:r>
              <w:rPr>
                <w:rFonts w:ascii="Times New Roman" w:cs="Times New Roman" w:eastAsia="Times New Roman" w:hAnsi="Times New Roman"/>
                <w:sz w:val="24"/>
                <w:szCs w:val="24"/>
                <w:color w:val="auto"/>
              </w:rPr>
              <w:t>MF3</w:t>
            </w:r>
          </w:p>
        </w:tc>
        <w:tc>
          <w:tcPr>
            <w:tcW w:w="4300" w:type="dxa"/>
            <w:vAlign w:val="bottom"/>
            <w:tcBorders>
              <w:right w:val="single" w:sz="8" w:color="auto"/>
            </w:tcBorders>
          </w:tcPr>
          <w:p>
            <w:pPr>
              <w:jc w:val="right"/>
              <w:spacing w:after="0" w:line="260" w:lineRule="exact"/>
              <w:rPr>
                <w:sz w:val="20"/>
                <w:szCs w:val="20"/>
                <w:color w:val="auto"/>
              </w:rPr>
            </w:pPr>
            <w:r>
              <w:rPr>
                <w:rFonts w:ascii="Times New Roman" w:cs="Times New Roman" w:eastAsia="Times New Roman" w:hAnsi="Times New Roman"/>
                <w:sz w:val="24"/>
                <w:szCs w:val="24"/>
                <w:color w:val="auto"/>
              </w:rPr>
              <w:t>80</w:t>
            </w:r>
          </w:p>
        </w:tc>
      </w:tr>
      <w:tr>
        <w:trPr>
          <w:trHeight w:val="144"/>
        </w:trPr>
        <w:tc>
          <w:tcPr>
            <w:tcW w:w="1460" w:type="dxa"/>
            <w:vAlign w:val="bottom"/>
            <w:tcBorders>
              <w:left w:val="single" w:sz="8" w:color="auto"/>
              <w:bottom w:val="single" w:sz="8" w:color="auto"/>
              <w:right w:val="single" w:sz="8" w:color="auto"/>
            </w:tcBorders>
          </w:tcPr>
          <w:p>
            <w:pPr>
              <w:spacing w:after="0"/>
              <w:rPr>
                <w:sz w:val="12"/>
                <w:szCs w:val="12"/>
                <w:color w:val="auto"/>
              </w:rPr>
            </w:pPr>
          </w:p>
        </w:tc>
        <w:tc>
          <w:tcPr>
            <w:tcW w:w="3980" w:type="dxa"/>
            <w:vAlign w:val="bottom"/>
            <w:tcBorders>
              <w:bottom w:val="single" w:sz="8" w:color="auto"/>
              <w:right w:val="single" w:sz="8" w:color="auto"/>
            </w:tcBorders>
          </w:tcPr>
          <w:p>
            <w:pPr>
              <w:spacing w:after="0"/>
              <w:rPr>
                <w:sz w:val="12"/>
                <w:szCs w:val="12"/>
                <w:color w:val="auto"/>
              </w:rPr>
            </w:pPr>
          </w:p>
        </w:tc>
        <w:tc>
          <w:tcPr>
            <w:tcW w:w="4300" w:type="dxa"/>
            <w:vAlign w:val="bottom"/>
            <w:tcBorders>
              <w:bottom w:val="single" w:sz="8" w:color="auto"/>
              <w:right w:val="single" w:sz="8" w:color="auto"/>
            </w:tcBorders>
          </w:tcPr>
          <w:p>
            <w:pPr>
              <w:spacing w:after="0"/>
              <w:rPr>
                <w:sz w:val="12"/>
                <w:szCs w:val="12"/>
                <w:color w:val="auto"/>
              </w:rPr>
            </w:pPr>
          </w:p>
        </w:tc>
      </w:tr>
      <w:tr>
        <w:trPr>
          <w:trHeight w:val="258"/>
        </w:trPr>
        <w:tc>
          <w:tcPr>
            <w:tcW w:w="1460" w:type="dxa"/>
            <w:vAlign w:val="bottom"/>
            <w:tcBorders>
              <w:left w:val="single" w:sz="8" w:color="auto"/>
              <w:right w:val="single" w:sz="8" w:color="auto"/>
            </w:tcBorders>
          </w:tcPr>
          <w:p>
            <w:pPr>
              <w:ind w:left="680"/>
              <w:spacing w:after="0" w:line="258" w:lineRule="exact"/>
              <w:rPr>
                <w:sz w:val="20"/>
                <w:szCs w:val="20"/>
                <w:color w:val="auto"/>
              </w:rPr>
            </w:pPr>
            <w:r>
              <w:rPr>
                <w:rFonts w:ascii="Times New Roman" w:cs="Times New Roman" w:eastAsia="Times New Roman" w:hAnsi="Times New Roman"/>
                <w:sz w:val="24"/>
                <w:szCs w:val="24"/>
                <w:color w:val="auto"/>
              </w:rPr>
              <w:t>9</w:t>
            </w:r>
          </w:p>
        </w:tc>
        <w:tc>
          <w:tcPr>
            <w:tcW w:w="3980" w:type="dxa"/>
            <w:vAlign w:val="bottom"/>
            <w:tcBorders>
              <w:right w:val="single" w:sz="8" w:color="auto"/>
            </w:tcBorders>
          </w:tcPr>
          <w:p>
            <w:pPr>
              <w:ind w:left="260"/>
              <w:spacing w:after="0" w:line="258" w:lineRule="exact"/>
              <w:rPr>
                <w:sz w:val="20"/>
                <w:szCs w:val="20"/>
                <w:color w:val="auto"/>
              </w:rPr>
            </w:pPr>
            <w:r>
              <w:rPr>
                <w:rFonts w:ascii="Times New Roman" w:cs="Times New Roman" w:eastAsia="Times New Roman" w:hAnsi="Times New Roman"/>
                <w:sz w:val="24"/>
                <w:szCs w:val="24"/>
                <w:color w:val="auto"/>
              </w:rPr>
              <w:t>MF4</w:t>
            </w:r>
          </w:p>
        </w:tc>
        <w:tc>
          <w:tcPr>
            <w:tcW w:w="43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20</w:t>
            </w:r>
          </w:p>
        </w:tc>
      </w:tr>
      <w:tr>
        <w:trPr>
          <w:trHeight w:val="147"/>
        </w:trPr>
        <w:tc>
          <w:tcPr>
            <w:tcW w:w="1460" w:type="dxa"/>
            <w:vAlign w:val="bottom"/>
            <w:tcBorders>
              <w:left w:val="single" w:sz="8" w:color="auto"/>
              <w:bottom w:val="single" w:sz="8" w:color="auto"/>
              <w:right w:val="single" w:sz="8" w:color="auto"/>
            </w:tcBorders>
          </w:tcPr>
          <w:p>
            <w:pPr>
              <w:spacing w:after="0"/>
              <w:rPr>
                <w:sz w:val="12"/>
                <w:szCs w:val="12"/>
                <w:color w:val="auto"/>
              </w:rPr>
            </w:pPr>
          </w:p>
        </w:tc>
        <w:tc>
          <w:tcPr>
            <w:tcW w:w="3980" w:type="dxa"/>
            <w:vAlign w:val="bottom"/>
            <w:tcBorders>
              <w:bottom w:val="single" w:sz="8" w:color="auto"/>
              <w:right w:val="single" w:sz="8" w:color="auto"/>
            </w:tcBorders>
          </w:tcPr>
          <w:p>
            <w:pPr>
              <w:spacing w:after="0"/>
              <w:rPr>
                <w:sz w:val="12"/>
                <w:szCs w:val="12"/>
                <w:color w:val="auto"/>
              </w:rPr>
            </w:pPr>
          </w:p>
        </w:tc>
        <w:tc>
          <w:tcPr>
            <w:tcW w:w="4300" w:type="dxa"/>
            <w:vAlign w:val="bottom"/>
            <w:tcBorders>
              <w:bottom w:val="single" w:sz="8" w:color="auto"/>
              <w:right w:val="single" w:sz="8" w:color="auto"/>
            </w:tcBorders>
          </w:tcPr>
          <w:p>
            <w:pPr>
              <w:spacing w:after="0"/>
              <w:rPr>
                <w:sz w:val="12"/>
                <w:szCs w:val="12"/>
                <w:color w:val="auto"/>
              </w:rPr>
            </w:pPr>
          </w:p>
        </w:tc>
      </w:tr>
      <w:tr>
        <w:trPr>
          <w:trHeight w:val="258"/>
        </w:trPr>
        <w:tc>
          <w:tcPr>
            <w:tcW w:w="1460" w:type="dxa"/>
            <w:vAlign w:val="bottom"/>
            <w:tcBorders>
              <w:left w:val="single" w:sz="8" w:color="auto"/>
              <w:right w:val="single" w:sz="8" w:color="auto"/>
            </w:tcBorders>
          </w:tcPr>
          <w:p>
            <w:pPr>
              <w:ind w:left="680"/>
              <w:spacing w:after="0" w:line="258" w:lineRule="exact"/>
              <w:rPr>
                <w:sz w:val="20"/>
                <w:szCs w:val="20"/>
                <w:color w:val="auto"/>
              </w:rPr>
            </w:pPr>
            <w:r>
              <w:rPr>
                <w:rFonts w:ascii="Times New Roman" w:cs="Times New Roman" w:eastAsia="Times New Roman" w:hAnsi="Times New Roman"/>
                <w:sz w:val="24"/>
                <w:szCs w:val="24"/>
                <w:color w:val="auto"/>
              </w:rPr>
              <w:t>10</w:t>
            </w:r>
          </w:p>
        </w:tc>
        <w:tc>
          <w:tcPr>
            <w:tcW w:w="3980" w:type="dxa"/>
            <w:vAlign w:val="bottom"/>
            <w:tcBorders>
              <w:right w:val="single" w:sz="8" w:color="auto"/>
            </w:tcBorders>
          </w:tcPr>
          <w:p>
            <w:pPr>
              <w:ind w:left="260"/>
              <w:spacing w:after="0" w:line="258" w:lineRule="exact"/>
              <w:rPr>
                <w:sz w:val="20"/>
                <w:szCs w:val="20"/>
                <w:color w:val="auto"/>
              </w:rPr>
            </w:pPr>
            <w:r>
              <w:rPr>
                <w:rFonts w:ascii="Times New Roman" w:cs="Times New Roman" w:eastAsia="Times New Roman" w:hAnsi="Times New Roman"/>
                <w:sz w:val="24"/>
                <w:szCs w:val="24"/>
                <w:color w:val="auto"/>
              </w:rPr>
              <w:t>MF5</w:t>
            </w:r>
          </w:p>
        </w:tc>
        <w:tc>
          <w:tcPr>
            <w:tcW w:w="43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20</w:t>
            </w:r>
          </w:p>
        </w:tc>
      </w:tr>
      <w:tr>
        <w:trPr>
          <w:trHeight w:val="144"/>
        </w:trPr>
        <w:tc>
          <w:tcPr>
            <w:tcW w:w="1460" w:type="dxa"/>
            <w:vAlign w:val="bottom"/>
            <w:tcBorders>
              <w:left w:val="single" w:sz="8" w:color="auto"/>
              <w:bottom w:val="single" w:sz="8" w:color="auto"/>
              <w:right w:val="single" w:sz="8" w:color="auto"/>
            </w:tcBorders>
          </w:tcPr>
          <w:p>
            <w:pPr>
              <w:spacing w:after="0"/>
              <w:rPr>
                <w:sz w:val="12"/>
                <w:szCs w:val="12"/>
                <w:color w:val="auto"/>
              </w:rPr>
            </w:pPr>
          </w:p>
        </w:tc>
        <w:tc>
          <w:tcPr>
            <w:tcW w:w="3980" w:type="dxa"/>
            <w:vAlign w:val="bottom"/>
            <w:tcBorders>
              <w:bottom w:val="single" w:sz="8" w:color="auto"/>
              <w:right w:val="single" w:sz="8" w:color="auto"/>
            </w:tcBorders>
          </w:tcPr>
          <w:p>
            <w:pPr>
              <w:spacing w:after="0"/>
              <w:rPr>
                <w:sz w:val="12"/>
                <w:szCs w:val="12"/>
                <w:color w:val="auto"/>
              </w:rPr>
            </w:pPr>
          </w:p>
        </w:tc>
        <w:tc>
          <w:tcPr>
            <w:tcW w:w="4300" w:type="dxa"/>
            <w:vAlign w:val="bottom"/>
            <w:tcBorders>
              <w:bottom w:val="single" w:sz="8" w:color="auto"/>
              <w:right w:val="single" w:sz="8" w:color="auto"/>
            </w:tcBorders>
          </w:tcPr>
          <w:p>
            <w:pPr>
              <w:spacing w:after="0"/>
              <w:rPr>
                <w:sz w:val="12"/>
                <w:szCs w:val="12"/>
                <w:color w:val="auto"/>
              </w:rPr>
            </w:pPr>
          </w:p>
        </w:tc>
      </w:tr>
      <w:tr>
        <w:trPr>
          <w:trHeight w:val="265"/>
        </w:trPr>
        <w:tc>
          <w:tcPr>
            <w:tcW w:w="1460" w:type="dxa"/>
            <w:vAlign w:val="bottom"/>
            <w:tcBorders>
              <w:left w:val="single" w:sz="8" w:color="auto"/>
              <w:right w:val="single" w:sz="8" w:color="auto"/>
            </w:tcBorders>
          </w:tcPr>
          <w:p>
            <w:pPr>
              <w:spacing w:after="0"/>
              <w:rPr>
                <w:sz w:val="23"/>
                <w:szCs w:val="23"/>
                <w:color w:val="auto"/>
              </w:rPr>
            </w:pPr>
          </w:p>
        </w:tc>
        <w:tc>
          <w:tcPr>
            <w:tcW w:w="3980" w:type="dxa"/>
            <w:vAlign w:val="bottom"/>
            <w:tcBorders>
              <w:right w:val="single" w:sz="8" w:color="auto"/>
            </w:tcBorders>
          </w:tcPr>
          <w:p>
            <w:pPr>
              <w:ind w:left="260"/>
              <w:spacing w:after="0" w:line="265" w:lineRule="exact"/>
              <w:rPr>
                <w:sz w:val="20"/>
                <w:szCs w:val="20"/>
                <w:color w:val="auto"/>
              </w:rPr>
            </w:pPr>
            <w:r>
              <w:rPr>
                <w:rFonts w:ascii="Times New Roman" w:cs="Times New Roman" w:eastAsia="Times New Roman" w:hAnsi="Times New Roman"/>
                <w:sz w:val="24"/>
                <w:szCs w:val="24"/>
                <w:b w:val="1"/>
                <w:bCs w:val="1"/>
                <w:color w:val="auto"/>
              </w:rPr>
              <w:t>TOTAL</w:t>
            </w:r>
          </w:p>
        </w:tc>
        <w:tc>
          <w:tcPr>
            <w:tcW w:w="4300" w:type="dxa"/>
            <w:vAlign w:val="bottom"/>
            <w:tcBorders>
              <w:right w:val="single" w:sz="8" w:color="auto"/>
            </w:tcBorders>
          </w:tcPr>
          <w:p>
            <w:pPr>
              <w:jc w:val="right"/>
              <w:spacing w:after="0" w:line="265" w:lineRule="exact"/>
              <w:rPr>
                <w:sz w:val="20"/>
                <w:szCs w:val="20"/>
                <w:color w:val="auto"/>
              </w:rPr>
            </w:pPr>
            <w:r>
              <w:rPr>
                <w:rFonts w:ascii="Times New Roman" w:cs="Times New Roman" w:eastAsia="Times New Roman" w:hAnsi="Times New Roman"/>
                <w:sz w:val="24"/>
                <w:szCs w:val="24"/>
                <w:b w:val="1"/>
                <w:bCs w:val="1"/>
                <w:color w:val="auto"/>
              </w:rPr>
              <w:t>500</w:t>
            </w:r>
          </w:p>
        </w:tc>
      </w:tr>
      <w:tr>
        <w:trPr>
          <w:trHeight w:val="140"/>
        </w:trPr>
        <w:tc>
          <w:tcPr>
            <w:tcW w:w="1460" w:type="dxa"/>
            <w:vAlign w:val="bottom"/>
            <w:tcBorders>
              <w:left w:val="single" w:sz="8" w:color="auto"/>
              <w:bottom w:val="single" w:sz="8" w:color="auto"/>
              <w:right w:val="single" w:sz="8" w:color="auto"/>
            </w:tcBorders>
          </w:tcPr>
          <w:p>
            <w:pPr>
              <w:spacing w:after="0"/>
              <w:rPr>
                <w:sz w:val="12"/>
                <w:szCs w:val="12"/>
                <w:color w:val="auto"/>
              </w:rPr>
            </w:pPr>
          </w:p>
        </w:tc>
        <w:tc>
          <w:tcPr>
            <w:tcW w:w="3980" w:type="dxa"/>
            <w:vAlign w:val="bottom"/>
            <w:tcBorders>
              <w:bottom w:val="single" w:sz="8" w:color="auto"/>
              <w:right w:val="single" w:sz="8" w:color="auto"/>
            </w:tcBorders>
          </w:tcPr>
          <w:p>
            <w:pPr>
              <w:spacing w:after="0"/>
              <w:rPr>
                <w:sz w:val="12"/>
                <w:szCs w:val="12"/>
                <w:color w:val="auto"/>
              </w:rPr>
            </w:pPr>
          </w:p>
        </w:tc>
        <w:tc>
          <w:tcPr>
            <w:tcW w:w="4300" w:type="dxa"/>
            <w:vAlign w:val="bottom"/>
            <w:tcBorders>
              <w:bottom w:val="single" w:sz="8" w:color="auto"/>
              <w:right w:val="single" w:sz="8" w:color="auto"/>
            </w:tcBorders>
          </w:tcPr>
          <w:p>
            <w:pPr>
              <w:spacing w:after="0"/>
              <w:rPr>
                <w:sz w:val="12"/>
                <w:szCs w:val="12"/>
                <w:color w:val="auto"/>
              </w:rPr>
            </w:pPr>
          </w:p>
        </w:tc>
      </w:tr>
    </w:tbl>
    <w:p>
      <w:pPr>
        <w:ind w:left="120"/>
        <w:spacing w:after="0" w:line="233" w:lineRule="auto"/>
        <w:rPr>
          <w:sz w:val="20"/>
          <w:szCs w:val="20"/>
          <w:color w:val="auto"/>
        </w:rPr>
      </w:pPr>
      <w:r>
        <w:rPr>
          <w:rFonts w:ascii="Times New Roman" w:cs="Times New Roman" w:eastAsia="Times New Roman" w:hAnsi="Times New Roman"/>
          <w:sz w:val="24"/>
          <w:szCs w:val="24"/>
          <w:color w:val="auto"/>
        </w:rPr>
        <w:t>A1-A5 : QIB bidders other than Mutual Funds</w:t>
      </w:r>
    </w:p>
    <w:p>
      <w:pPr>
        <w:spacing w:after="0" w:line="140"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4"/>
          <w:szCs w:val="24"/>
          <w:color w:val="auto"/>
        </w:rPr>
        <w:t>MF1-MF5: QIB bidders which are Mutual Funds</w:t>
      </w:r>
    </w:p>
    <w:p>
      <w:pPr>
        <w:spacing w:after="0" w:line="200" w:lineRule="exact"/>
        <w:rPr>
          <w:sz w:val="20"/>
          <w:szCs w:val="20"/>
          <w:color w:val="auto"/>
        </w:rPr>
      </w:pPr>
    </w:p>
    <w:p>
      <w:pPr>
        <w:spacing w:after="0" w:line="357" w:lineRule="exact"/>
        <w:rPr>
          <w:sz w:val="20"/>
          <w:szCs w:val="20"/>
          <w:color w:val="auto"/>
        </w:rPr>
      </w:pPr>
    </w:p>
    <w:p>
      <w:pPr>
        <w:ind w:left="680" w:hanging="568"/>
        <w:spacing w:after="0"/>
        <w:tabs>
          <w:tab w:leader="none" w:pos="680" w:val="left"/>
        </w:tabs>
        <w:numPr>
          <w:ilvl w:val="0"/>
          <w:numId w:val="120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Details of Allotment to QIB Bidders/Applicants</w:t>
      </w:r>
    </w:p>
    <w:p>
      <w:pPr>
        <w:spacing w:after="0" w:line="137" w:lineRule="exact"/>
        <w:rPr>
          <w:sz w:val="20"/>
          <w:szCs w:val="20"/>
          <w:color w:val="auto"/>
        </w:rPr>
      </w:pPr>
    </w:p>
    <w:p>
      <w:pPr>
        <w:ind w:left="6440"/>
        <w:spacing w:after="0"/>
        <w:rPr>
          <w:sz w:val="20"/>
          <w:szCs w:val="20"/>
          <w:color w:val="auto"/>
        </w:rPr>
      </w:pPr>
      <w:r>
        <w:rPr>
          <w:rFonts w:ascii="Times New Roman" w:cs="Times New Roman" w:eastAsia="Times New Roman" w:hAnsi="Times New Roman"/>
          <w:sz w:val="24"/>
          <w:szCs w:val="24"/>
          <w:b w:val="1"/>
          <w:bCs w:val="1"/>
          <w:color w:val="auto"/>
        </w:rPr>
        <w:t>(No. of equity shares in crores)</w:t>
      </w:r>
    </w:p>
    <w:p>
      <w:pPr>
        <w:spacing w:after="0" w:line="122" w:lineRule="exact"/>
        <w:rPr>
          <w:sz w:val="20"/>
          <w:szCs w:val="20"/>
          <w:color w:val="auto"/>
        </w:rPr>
      </w:pPr>
    </w:p>
    <w:tbl>
      <w:tblPr>
        <w:tblLayout w:type="fixed"/>
        <w:tblInd w:w="10" w:type="dxa"/>
        <w:tblCellMar>
          <w:top w:w="0" w:type="dxa"/>
          <w:left w:w="0" w:type="dxa"/>
          <w:bottom w:w="0" w:type="dxa"/>
          <w:right w:w="0" w:type="dxa"/>
        </w:tblCellMar>
      </w:tblPr>
      <w:tr>
        <w:trPr>
          <w:trHeight w:val="283"/>
        </w:trPr>
        <w:tc>
          <w:tcPr>
            <w:tcW w:w="1580" w:type="dxa"/>
            <w:vAlign w:val="bottom"/>
            <w:tcBorders>
              <w:top w:val="single" w:sz="8" w:color="auto"/>
              <w:left w:val="single" w:sz="8" w:color="auto"/>
              <w:right w:val="single" w:sz="8" w:color="auto"/>
            </w:tcBorders>
          </w:tcPr>
          <w:p>
            <w:pPr>
              <w:jc w:val="center"/>
              <w:ind w:left="40"/>
              <w:spacing w:after="0"/>
              <w:rPr>
                <w:sz w:val="20"/>
                <w:szCs w:val="20"/>
                <w:color w:val="auto"/>
              </w:rPr>
            </w:pPr>
            <w:r>
              <w:rPr>
                <w:rFonts w:ascii="Times New Roman" w:cs="Times New Roman" w:eastAsia="Times New Roman" w:hAnsi="Times New Roman"/>
                <w:sz w:val="24"/>
                <w:szCs w:val="24"/>
                <w:b w:val="1"/>
                <w:bCs w:val="1"/>
                <w:color w:val="auto"/>
                <w:w w:val="99"/>
              </w:rPr>
              <w:t>Type of</w:t>
            </w:r>
          </w:p>
        </w:tc>
        <w:tc>
          <w:tcPr>
            <w:tcW w:w="1480" w:type="dxa"/>
            <w:vAlign w:val="bottom"/>
            <w:tcBorders>
              <w:top w:val="single" w:sz="8" w:color="auto"/>
              <w:right w:val="single" w:sz="8" w:color="auto"/>
            </w:tcBorders>
          </w:tcPr>
          <w:p>
            <w:pPr>
              <w:jc w:val="center"/>
              <w:ind w:left="40"/>
              <w:spacing w:after="0"/>
              <w:rPr>
                <w:sz w:val="20"/>
                <w:szCs w:val="20"/>
                <w:color w:val="auto"/>
              </w:rPr>
            </w:pPr>
            <w:r>
              <w:rPr>
                <w:rFonts w:ascii="Times New Roman" w:cs="Times New Roman" w:eastAsia="Times New Roman" w:hAnsi="Times New Roman"/>
                <w:sz w:val="24"/>
                <w:szCs w:val="24"/>
                <w:b w:val="1"/>
                <w:bCs w:val="1"/>
                <w:color w:val="auto"/>
                <w:w w:val="97"/>
              </w:rPr>
              <w:t>Equity</w:t>
            </w:r>
          </w:p>
        </w:tc>
        <w:tc>
          <w:tcPr>
            <w:tcW w:w="2420" w:type="dxa"/>
            <w:vAlign w:val="bottom"/>
            <w:tcBorders>
              <w:top w:val="single" w:sz="8" w:color="auto"/>
              <w:right w:val="single" w:sz="8" w:color="auto"/>
            </w:tcBorders>
          </w:tcPr>
          <w:p>
            <w:pPr>
              <w:jc w:val="center"/>
              <w:ind w:left="40"/>
              <w:spacing w:after="0"/>
              <w:rPr>
                <w:sz w:val="20"/>
                <w:szCs w:val="20"/>
                <w:color w:val="auto"/>
              </w:rPr>
            </w:pPr>
            <w:r>
              <w:rPr>
                <w:rFonts w:ascii="Times New Roman" w:cs="Times New Roman" w:eastAsia="Times New Roman" w:hAnsi="Times New Roman"/>
                <w:sz w:val="24"/>
                <w:szCs w:val="24"/>
                <w:b w:val="1"/>
                <w:bCs w:val="1"/>
                <w:color w:val="auto"/>
              </w:rPr>
              <w:t>Allocation of 2</w:t>
            </w:r>
          </w:p>
        </w:tc>
        <w:tc>
          <w:tcPr>
            <w:tcW w:w="2400" w:type="dxa"/>
            <w:vAlign w:val="bottom"/>
            <w:tcBorders>
              <w:top w:val="single" w:sz="8" w:color="auto"/>
              <w:right w:val="single" w:sz="8" w:color="auto"/>
            </w:tcBorders>
          </w:tcPr>
          <w:p>
            <w:pPr>
              <w:jc w:val="center"/>
              <w:ind w:left="20"/>
              <w:spacing w:after="0"/>
              <w:rPr>
                <w:sz w:val="20"/>
                <w:szCs w:val="20"/>
                <w:color w:val="auto"/>
              </w:rPr>
            </w:pPr>
            <w:r>
              <w:rPr>
                <w:rFonts w:ascii="Times New Roman" w:cs="Times New Roman" w:eastAsia="Times New Roman" w:hAnsi="Times New Roman"/>
                <w:sz w:val="24"/>
                <w:szCs w:val="24"/>
                <w:b w:val="1"/>
                <w:bCs w:val="1"/>
                <w:color w:val="auto"/>
                <w:w w:val="98"/>
              </w:rPr>
              <w:t>Allocation of</w:t>
            </w:r>
          </w:p>
        </w:tc>
        <w:tc>
          <w:tcPr>
            <w:tcW w:w="1860" w:type="dxa"/>
            <w:vAlign w:val="bottom"/>
            <w:tcBorders>
              <w:top w:val="single" w:sz="8" w:color="auto"/>
              <w:right w:val="single" w:sz="8" w:color="auto"/>
            </w:tcBorders>
          </w:tcPr>
          <w:p>
            <w:pPr>
              <w:jc w:val="center"/>
              <w:ind w:left="40"/>
              <w:spacing w:after="0"/>
              <w:rPr>
                <w:sz w:val="20"/>
                <w:szCs w:val="20"/>
                <w:color w:val="auto"/>
              </w:rPr>
            </w:pPr>
            <w:r>
              <w:rPr>
                <w:rFonts w:ascii="Times New Roman" w:cs="Times New Roman" w:eastAsia="Times New Roman" w:hAnsi="Times New Roman"/>
                <w:sz w:val="24"/>
                <w:szCs w:val="24"/>
                <w:b w:val="1"/>
                <w:bCs w:val="1"/>
                <w:color w:val="auto"/>
              </w:rPr>
              <w:t>Aggregate</w:t>
            </w:r>
          </w:p>
        </w:tc>
      </w:tr>
      <w:tr>
        <w:trPr>
          <w:trHeight w:val="413"/>
        </w:trPr>
        <w:tc>
          <w:tcPr>
            <w:tcW w:w="1580" w:type="dxa"/>
            <w:vAlign w:val="bottom"/>
            <w:tcBorders>
              <w:left w:val="single" w:sz="8" w:color="auto"/>
              <w:right w:val="single" w:sz="8" w:color="auto"/>
            </w:tcBorders>
          </w:tcPr>
          <w:p>
            <w:pPr>
              <w:jc w:val="center"/>
              <w:ind w:left="60"/>
              <w:spacing w:after="0"/>
              <w:rPr>
                <w:sz w:val="20"/>
                <w:szCs w:val="20"/>
                <w:color w:val="auto"/>
              </w:rPr>
            </w:pPr>
            <w:r>
              <w:rPr>
                <w:rFonts w:ascii="Times New Roman" w:cs="Times New Roman" w:eastAsia="Times New Roman" w:hAnsi="Times New Roman"/>
                <w:sz w:val="24"/>
                <w:szCs w:val="24"/>
                <w:b w:val="1"/>
                <w:bCs w:val="1"/>
                <w:color w:val="auto"/>
                <w:w w:val="99"/>
              </w:rPr>
              <w:t>QIB</w:t>
            </w:r>
          </w:p>
        </w:tc>
        <w:tc>
          <w:tcPr>
            <w:tcW w:w="1480" w:type="dxa"/>
            <w:vAlign w:val="bottom"/>
            <w:tcBorders>
              <w:right w:val="single" w:sz="8" w:color="auto"/>
            </w:tcBorders>
          </w:tcPr>
          <w:p>
            <w:pPr>
              <w:jc w:val="center"/>
              <w:ind w:left="40"/>
              <w:spacing w:after="0"/>
              <w:rPr>
                <w:sz w:val="20"/>
                <w:szCs w:val="20"/>
                <w:color w:val="auto"/>
              </w:rPr>
            </w:pPr>
            <w:r>
              <w:rPr>
                <w:rFonts w:ascii="Times New Roman" w:cs="Times New Roman" w:eastAsia="Times New Roman" w:hAnsi="Times New Roman"/>
                <w:sz w:val="24"/>
                <w:szCs w:val="24"/>
                <w:b w:val="1"/>
                <w:bCs w:val="1"/>
                <w:color w:val="auto"/>
                <w:w w:val="99"/>
              </w:rPr>
              <w:t>shares bid</w:t>
            </w:r>
          </w:p>
        </w:tc>
        <w:tc>
          <w:tcPr>
            <w:tcW w:w="2420" w:type="dxa"/>
            <w:vAlign w:val="bottom"/>
            <w:tcBorders>
              <w:right w:val="single" w:sz="8" w:color="auto"/>
            </w:tcBorders>
          </w:tcPr>
          <w:p>
            <w:pPr>
              <w:jc w:val="center"/>
              <w:ind w:left="20"/>
              <w:spacing w:after="0"/>
              <w:rPr>
                <w:sz w:val="20"/>
                <w:szCs w:val="20"/>
                <w:color w:val="auto"/>
              </w:rPr>
            </w:pPr>
            <w:r>
              <w:rPr>
                <w:rFonts w:ascii="Times New Roman" w:cs="Times New Roman" w:eastAsia="Times New Roman" w:hAnsi="Times New Roman"/>
                <w:sz w:val="24"/>
                <w:szCs w:val="24"/>
                <w:b w:val="1"/>
                <w:bCs w:val="1"/>
                <w:color w:val="auto"/>
                <w:w w:val="99"/>
              </w:rPr>
              <w:t>crore equity shares</w:t>
            </w:r>
          </w:p>
        </w:tc>
        <w:tc>
          <w:tcPr>
            <w:tcW w:w="2400" w:type="dxa"/>
            <w:vAlign w:val="bottom"/>
            <w:tcBorders>
              <w:right w:val="single" w:sz="8" w:color="auto"/>
            </w:tcBorders>
          </w:tcPr>
          <w:p>
            <w:pPr>
              <w:jc w:val="center"/>
              <w:ind w:left="20"/>
              <w:spacing w:after="0"/>
              <w:rPr>
                <w:sz w:val="20"/>
                <w:szCs w:val="20"/>
                <w:color w:val="auto"/>
              </w:rPr>
            </w:pPr>
            <w:r>
              <w:rPr>
                <w:rFonts w:ascii="Times New Roman" w:cs="Times New Roman" w:eastAsia="Times New Roman" w:hAnsi="Times New Roman"/>
                <w:sz w:val="24"/>
                <w:szCs w:val="24"/>
                <w:b w:val="1"/>
                <w:bCs w:val="1"/>
                <w:color w:val="auto"/>
              </w:rPr>
              <w:t>balance 38 crore</w:t>
            </w:r>
          </w:p>
        </w:tc>
        <w:tc>
          <w:tcPr>
            <w:tcW w:w="1860" w:type="dxa"/>
            <w:vAlign w:val="bottom"/>
            <w:tcBorders>
              <w:right w:val="single" w:sz="8" w:color="auto"/>
            </w:tcBorders>
          </w:tcPr>
          <w:p>
            <w:pPr>
              <w:jc w:val="center"/>
              <w:ind w:left="40"/>
              <w:spacing w:after="0"/>
              <w:rPr>
                <w:sz w:val="20"/>
                <w:szCs w:val="20"/>
                <w:color w:val="auto"/>
              </w:rPr>
            </w:pPr>
            <w:r>
              <w:rPr>
                <w:rFonts w:ascii="Times New Roman" w:cs="Times New Roman" w:eastAsia="Times New Roman" w:hAnsi="Times New Roman"/>
                <w:sz w:val="24"/>
                <w:szCs w:val="24"/>
                <w:b w:val="1"/>
                <w:bCs w:val="1"/>
                <w:color w:val="auto"/>
                <w:w w:val="99"/>
              </w:rPr>
              <w:t>allocation to</w:t>
            </w:r>
          </w:p>
        </w:tc>
      </w:tr>
      <w:tr>
        <w:trPr>
          <w:trHeight w:val="415"/>
        </w:trPr>
        <w:tc>
          <w:tcPr>
            <w:tcW w:w="1580" w:type="dxa"/>
            <w:vAlign w:val="bottom"/>
            <w:tcBorders>
              <w:left w:val="single" w:sz="8" w:color="auto"/>
              <w:right w:val="single" w:sz="8" w:color="auto"/>
            </w:tcBorders>
          </w:tcPr>
          <w:p>
            <w:pPr>
              <w:jc w:val="center"/>
              <w:ind w:left="40"/>
              <w:spacing w:after="0"/>
              <w:rPr>
                <w:sz w:val="20"/>
                <w:szCs w:val="20"/>
                <w:color w:val="auto"/>
              </w:rPr>
            </w:pPr>
            <w:r>
              <w:rPr>
                <w:rFonts w:ascii="Times New Roman" w:cs="Times New Roman" w:eastAsia="Times New Roman" w:hAnsi="Times New Roman"/>
                <w:sz w:val="24"/>
                <w:szCs w:val="24"/>
                <w:b w:val="1"/>
                <w:bCs w:val="1"/>
                <w:color w:val="auto"/>
              </w:rPr>
              <w:t>bidders</w:t>
            </w:r>
          </w:p>
        </w:tc>
        <w:tc>
          <w:tcPr>
            <w:tcW w:w="1480" w:type="dxa"/>
            <w:vAlign w:val="bottom"/>
            <w:tcBorders>
              <w:right w:val="single" w:sz="8" w:color="auto"/>
            </w:tcBorders>
          </w:tcPr>
          <w:p>
            <w:pPr>
              <w:jc w:val="center"/>
              <w:ind w:left="40"/>
              <w:spacing w:after="0"/>
              <w:rPr>
                <w:sz w:val="20"/>
                <w:szCs w:val="20"/>
                <w:color w:val="auto"/>
              </w:rPr>
            </w:pPr>
            <w:r>
              <w:rPr>
                <w:rFonts w:ascii="Times New Roman" w:cs="Times New Roman" w:eastAsia="Times New Roman" w:hAnsi="Times New Roman"/>
                <w:sz w:val="24"/>
                <w:szCs w:val="24"/>
                <w:b w:val="1"/>
                <w:bCs w:val="1"/>
                <w:color w:val="auto"/>
              </w:rPr>
              <w:t>for</w:t>
            </w:r>
          </w:p>
        </w:tc>
        <w:tc>
          <w:tcPr>
            <w:tcW w:w="2420" w:type="dxa"/>
            <w:vAlign w:val="bottom"/>
            <w:tcBorders>
              <w:right w:val="single" w:sz="8" w:color="auto"/>
            </w:tcBorders>
          </w:tcPr>
          <w:p>
            <w:pPr>
              <w:jc w:val="center"/>
              <w:ind w:left="20"/>
              <w:spacing w:after="0"/>
              <w:rPr>
                <w:sz w:val="20"/>
                <w:szCs w:val="20"/>
                <w:color w:val="auto"/>
              </w:rPr>
            </w:pPr>
            <w:r>
              <w:rPr>
                <w:rFonts w:ascii="Times New Roman" w:cs="Times New Roman" w:eastAsia="Times New Roman" w:hAnsi="Times New Roman"/>
                <w:sz w:val="24"/>
                <w:szCs w:val="24"/>
                <w:b w:val="1"/>
                <w:bCs w:val="1"/>
                <w:color w:val="auto"/>
                <w:w w:val="99"/>
              </w:rPr>
              <w:t>to Mutual Funds</w:t>
            </w:r>
          </w:p>
        </w:tc>
        <w:tc>
          <w:tcPr>
            <w:tcW w:w="2400" w:type="dxa"/>
            <w:vAlign w:val="bottom"/>
            <w:tcBorders>
              <w:right w:val="single" w:sz="8" w:color="auto"/>
            </w:tcBorders>
          </w:tcPr>
          <w:p>
            <w:pPr>
              <w:jc w:val="center"/>
              <w:ind w:left="20"/>
              <w:spacing w:after="0"/>
              <w:rPr>
                <w:sz w:val="20"/>
                <w:szCs w:val="20"/>
                <w:color w:val="auto"/>
              </w:rPr>
            </w:pPr>
            <w:r>
              <w:rPr>
                <w:rFonts w:ascii="Times New Roman" w:cs="Times New Roman" w:eastAsia="Times New Roman" w:hAnsi="Times New Roman"/>
                <w:sz w:val="24"/>
                <w:szCs w:val="24"/>
                <w:b w:val="1"/>
                <w:bCs w:val="1"/>
                <w:color w:val="auto"/>
              </w:rPr>
              <w:t>equity shares to</w:t>
            </w:r>
          </w:p>
        </w:tc>
        <w:tc>
          <w:tcPr>
            <w:tcW w:w="1860" w:type="dxa"/>
            <w:vAlign w:val="bottom"/>
            <w:tcBorders>
              <w:right w:val="single" w:sz="8" w:color="auto"/>
            </w:tcBorders>
          </w:tcPr>
          <w:p>
            <w:pPr>
              <w:jc w:val="center"/>
              <w:ind w:left="20"/>
              <w:spacing w:after="0"/>
              <w:rPr>
                <w:sz w:val="20"/>
                <w:szCs w:val="20"/>
                <w:color w:val="auto"/>
              </w:rPr>
            </w:pPr>
            <w:r>
              <w:rPr>
                <w:rFonts w:ascii="Times New Roman" w:cs="Times New Roman" w:eastAsia="Times New Roman" w:hAnsi="Times New Roman"/>
                <w:sz w:val="24"/>
                <w:szCs w:val="24"/>
                <w:b w:val="1"/>
                <w:bCs w:val="1"/>
                <w:color w:val="auto"/>
                <w:w w:val="99"/>
              </w:rPr>
              <w:t>Mutual</w:t>
            </w:r>
          </w:p>
        </w:tc>
      </w:tr>
      <w:tr>
        <w:trPr>
          <w:trHeight w:val="413"/>
        </w:trPr>
        <w:tc>
          <w:tcPr>
            <w:tcW w:w="1580" w:type="dxa"/>
            <w:vAlign w:val="bottom"/>
            <w:tcBorders>
              <w:left w:val="single" w:sz="8" w:color="auto"/>
              <w:right w:val="single" w:sz="8" w:color="auto"/>
            </w:tcBorders>
          </w:tcPr>
          <w:p>
            <w:pPr>
              <w:spacing w:after="0"/>
              <w:rPr>
                <w:sz w:val="24"/>
                <w:szCs w:val="24"/>
                <w:color w:val="auto"/>
              </w:rPr>
            </w:pPr>
          </w:p>
        </w:tc>
        <w:tc>
          <w:tcPr>
            <w:tcW w:w="1480" w:type="dxa"/>
            <w:vAlign w:val="bottom"/>
            <w:tcBorders>
              <w:right w:val="single" w:sz="8" w:color="auto"/>
            </w:tcBorders>
          </w:tcPr>
          <w:p>
            <w:pPr>
              <w:spacing w:after="0"/>
              <w:rPr>
                <w:sz w:val="24"/>
                <w:szCs w:val="24"/>
                <w:color w:val="auto"/>
              </w:rPr>
            </w:pPr>
          </w:p>
        </w:tc>
        <w:tc>
          <w:tcPr>
            <w:tcW w:w="2420" w:type="dxa"/>
            <w:vAlign w:val="bottom"/>
            <w:tcBorders>
              <w:right w:val="single" w:sz="8" w:color="auto"/>
            </w:tcBorders>
          </w:tcPr>
          <w:p>
            <w:pPr>
              <w:jc w:val="center"/>
              <w:ind w:left="40"/>
              <w:spacing w:after="0"/>
              <w:rPr>
                <w:sz w:val="20"/>
                <w:szCs w:val="20"/>
                <w:color w:val="auto"/>
              </w:rPr>
            </w:pPr>
            <w:r>
              <w:rPr>
                <w:rFonts w:ascii="Times New Roman" w:cs="Times New Roman" w:eastAsia="Times New Roman" w:hAnsi="Times New Roman"/>
                <w:sz w:val="24"/>
                <w:szCs w:val="24"/>
                <w:b w:val="1"/>
                <w:bCs w:val="1"/>
                <w:color w:val="auto"/>
              </w:rPr>
              <w:t>proportionately</w:t>
            </w:r>
          </w:p>
        </w:tc>
        <w:tc>
          <w:tcPr>
            <w:tcW w:w="2400" w:type="dxa"/>
            <w:vAlign w:val="bottom"/>
            <w:tcBorders>
              <w:right w:val="single" w:sz="8" w:color="auto"/>
            </w:tcBorders>
          </w:tcPr>
          <w:p>
            <w:pPr>
              <w:jc w:val="center"/>
              <w:ind w:left="20"/>
              <w:spacing w:after="0"/>
              <w:rPr>
                <w:sz w:val="20"/>
                <w:szCs w:val="20"/>
                <w:color w:val="auto"/>
              </w:rPr>
            </w:pPr>
            <w:r>
              <w:rPr>
                <w:rFonts w:ascii="Times New Roman" w:cs="Times New Roman" w:eastAsia="Times New Roman" w:hAnsi="Times New Roman"/>
                <w:sz w:val="24"/>
                <w:szCs w:val="24"/>
                <w:b w:val="1"/>
                <w:bCs w:val="1"/>
                <w:color w:val="auto"/>
              </w:rPr>
              <w:t>QIBs</w:t>
            </w:r>
          </w:p>
        </w:tc>
        <w:tc>
          <w:tcPr>
            <w:tcW w:w="1860" w:type="dxa"/>
            <w:vAlign w:val="bottom"/>
            <w:tcBorders>
              <w:right w:val="single" w:sz="8" w:color="auto"/>
            </w:tcBorders>
          </w:tcPr>
          <w:p>
            <w:pPr>
              <w:jc w:val="center"/>
              <w:ind w:left="20"/>
              <w:spacing w:after="0"/>
              <w:rPr>
                <w:sz w:val="20"/>
                <w:szCs w:val="20"/>
                <w:color w:val="auto"/>
              </w:rPr>
            </w:pPr>
            <w:r>
              <w:rPr>
                <w:rFonts w:ascii="Times New Roman" w:cs="Times New Roman" w:eastAsia="Times New Roman" w:hAnsi="Times New Roman"/>
                <w:sz w:val="24"/>
                <w:szCs w:val="24"/>
                <w:b w:val="1"/>
                <w:bCs w:val="1"/>
                <w:color w:val="auto"/>
                <w:w w:val="99"/>
              </w:rPr>
              <w:t>Funds</w:t>
            </w:r>
          </w:p>
        </w:tc>
      </w:tr>
      <w:tr>
        <w:trPr>
          <w:trHeight w:val="415"/>
        </w:trPr>
        <w:tc>
          <w:tcPr>
            <w:tcW w:w="1580" w:type="dxa"/>
            <w:vAlign w:val="bottom"/>
            <w:tcBorders>
              <w:left w:val="single" w:sz="8" w:color="auto"/>
              <w:right w:val="single" w:sz="8" w:color="auto"/>
            </w:tcBorders>
          </w:tcPr>
          <w:p>
            <w:pPr>
              <w:spacing w:after="0"/>
              <w:rPr>
                <w:sz w:val="24"/>
                <w:szCs w:val="24"/>
                <w:color w:val="auto"/>
              </w:rPr>
            </w:pPr>
          </w:p>
        </w:tc>
        <w:tc>
          <w:tcPr>
            <w:tcW w:w="1480" w:type="dxa"/>
            <w:vAlign w:val="bottom"/>
            <w:tcBorders>
              <w:right w:val="single" w:sz="8" w:color="auto"/>
            </w:tcBorders>
          </w:tcPr>
          <w:p>
            <w:pPr>
              <w:spacing w:after="0"/>
              <w:rPr>
                <w:sz w:val="24"/>
                <w:szCs w:val="24"/>
                <w:color w:val="auto"/>
              </w:rPr>
            </w:pPr>
          </w:p>
        </w:tc>
        <w:tc>
          <w:tcPr>
            <w:tcW w:w="2420" w:type="dxa"/>
            <w:vAlign w:val="bottom"/>
            <w:tcBorders>
              <w:right w:val="single" w:sz="8" w:color="auto"/>
            </w:tcBorders>
          </w:tcPr>
          <w:p>
            <w:pPr>
              <w:jc w:val="center"/>
              <w:ind w:left="40"/>
              <w:spacing w:after="0"/>
              <w:rPr>
                <w:sz w:val="20"/>
                <w:szCs w:val="20"/>
                <w:color w:val="auto"/>
              </w:rPr>
            </w:pPr>
            <w:r>
              <w:rPr>
                <w:rFonts w:ascii="Times New Roman" w:cs="Times New Roman" w:eastAsia="Times New Roman" w:hAnsi="Times New Roman"/>
                <w:sz w:val="24"/>
                <w:szCs w:val="24"/>
                <w:b w:val="1"/>
                <w:bCs w:val="1"/>
                <w:color w:val="auto"/>
                <w:w w:val="99"/>
              </w:rPr>
              <w:t>(See Note 2)</w:t>
            </w:r>
          </w:p>
        </w:tc>
        <w:tc>
          <w:tcPr>
            <w:tcW w:w="2400" w:type="dxa"/>
            <w:vAlign w:val="bottom"/>
            <w:tcBorders>
              <w:right w:val="single" w:sz="8" w:color="auto"/>
            </w:tcBorders>
          </w:tcPr>
          <w:p>
            <w:pPr>
              <w:jc w:val="center"/>
              <w:ind w:left="20"/>
              <w:spacing w:after="0"/>
              <w:rPr>
                <w:sz w:val="20"/>
                <w:szCs w:val="20"/>
                <w:color w:val="auto"/>
              </w:rPr>
            </w:pPr>
            <w:r>
              <w:rPr>
                <w:rFonts w:ascii="Times New Roman" w:cs="Times New Roman" w:eastAsia="Times New Roman" w:hAnsi="Times New Roman"/>
                <w:sz w:val="24"/>
                <w:szCs w:val="24"/>
                <w:b w:val="1"/>
                <w:bCs w:val="1"/>
                <w:color w:val="auto"/>
              </w:rPr>
              <w:t>proportionately</w:t>
            </w:r>
          </w:p>
        </w:tc>
        <w:tc>
          <w:tcPr>
            <w:tcW w:w="1860" w:type="dxa"/>
            <w:vAlign w:val="bottom"/>
            <w:tcBorders>
              <w:right w:val="single" w:sz="8" w:color="auto"/>
            </w:tcBorders>
          </w:tcPr>
          <w:p>
            <w:pPr>
              <w:spacing w:after="0"/>
              <w:rPr>
                <w:sz w:val="24"/>
                <w:szCs w:val="24"/>
                <w:color w:val="auto"/>
              </w:rPr>
            </w:pPr>
          </w:p>
        </w:tc>
      </w:tr>
      <w:tr>
        <w:trPr>
          <w:trHeight w:val="413"/>
        </w:trPr>
        <w:tc>
          <w:tcPr>
            <w:tcW w:w="1580" w:type="dxa"/>
            <w:vAlign w:val="bottom"/>
            <w:tcBorders>
              <w:left w:val="single" w:sz="8" w:color="auto"/>
              <w:right w:val="single" w:sz="8" w:color="auto"/>
            </w:tcBorders>
          </w:tcPr>
          <w:p>
            <w:pPr>
              <w:spacing w:after="0"/>
              <w:rPr>
                <w:sz w:val="24"/>
                <w:szCs w:val="24"/>
                <w:color w:val="auto"/>
              </w:rPr>
            </w:pPr>
          </w:p>
        </w:tc>
        <w:tc>
          <w:tcPr>
            <w:tcW w:w="1480" w:type="dxa"/>
            <w:vAlign w:val="bottom"/>
            <w:tcBorders>
              <w:right w:val="single" w:sz="8" w:color="auto"/>
            </w:tcBorders>
          </w:tcPr>
          <w:p>
            <w:pPr>
              <w:spacing w:after="0"/>
              <w:rPr>
                <w:sz w:val="24"/>
                <w:szCs w:val="24"/>
                <w:color w:val="auto"/>
              </w:rPr>
            </w:pPr>
          </w:p>
        </w:tc>
        <w:tc>
          <w:tcPr>
            <w:tcW w:w="2420" w:type="dxa"/>
            <w:vAlign w:val="bottom"/>
            <w:tcBorders>
              <w:right w:val="single" w:sz="8" w:color="auto"/>
            </w:tcBorders>
          </w:tcPr>
          <w:p>
            <w:pPr>
              <w:spacing w:after="0"/>
              <w:rPr>
                <w:sz w:val="24"/>
                <w:szCs w:val="24"/>
                <w:color w:val="auto"/>
              </w:rPr>
            </w:pPr>
          </w:p>
        </w:tc>
        <w:tc>
          <w:tcPr>
            <w:tcW w:w="2400" w:type="dxa"/>
            <w:vAlign w:val="bottom"/>
            <w:tcBorders>
              <w:right w:val="single" w:sz="8" w:color="auto"/>
            </w:tcBorders>
          </w:tcPr>
          <w:p>
            <w:pPr>
              <w:jc w:val="center"/>
              <w:ind w:left="20"/>
              <w:spacing w:after="0"/>
              <w:rPr>
                <w:sz w:val="20"/>
                <w:szCs w:val="20"/>
                <w:color w:val="auto"/>
              </w:rPr>
            </w:pPr>
            <w:r>
              <w:rPr>
                <w:rFonts w:ascii="Times New Roman" w:cs="Times New Roman" w:eastAsia="Times New Roman" w:hAnsi="Times New Roman"/>
                <w:sz w:val="24"/>
                <w:szCs w:val="24"/>
                <w:b w:val="1"/>
                <w:bCs w:val="1"/>
                <w:color w:val="auto"/>
                <w:w w:val="99"/>
              </w:rPr>
              <w:t>(See Note 4)</w:t>
            </w:r>
          </w:p>
        </w:tc>
        <w:tc>
          <w:tcPr>
            <w:tcW w:w="1860" w:type="dxa"/>
            <w:vAlign w:val="bottom"/>
            <w:tcBorders>
              <w:right w:val="single" w:sz="8" w:color="auto"/>
            </w:tcBorders>
          </w:tcPr>
          <w:p>
            <w:pPr>
              <w:spacing w:after="0"/>
              <w:rPr>
                <w:sz w:val="24"/>
                <w:szCs w:val="24"/>
                <w:color w:val="auto"/>
              </w:rPr>
            </w:pPr>
          </w:p>
        </w:tc>
      </w:tr>
      <w:tr>
        <w:trPr>
          <w:trHeight w:val="142"/>
        </w:trPr>
        <w:tc>
          <w:tcPr>
            <w:tcW w:w="1580" w:type="dxa"/>
            <w:vAlign w:val="bottom"/>
            <w:tcBorders>
              <w:left w:val="single" w:sz="8" w:color="auto"/>
              <w:bottom w:val="single" w:sz="8" w:color="auto"/>
              <w:right w:val="single" w:sz="8" w:color="auto"/>
            </w:tcBorders>
          </w:tcPr>
          <w:p>
            <w:pPr>
              <w:spacing w:after="0"/>
              <w:rPr>
                <w:sz w:val="12"/>
                <w:szCs w:val="12"/>
                <w:color w:val="auto"/>
              </w:rPr>
            </w:pPr>
          </w:p>
        </w:tc>
        <w:tc>
          <w:tcPr>
            <w:tcW w:w="1480" w:type="dxa"/>
            <w:vAlign w:val="bottom"/>
            <w:tcBorders>
              <w:bottom w:val="single" w:sz="8" w:color="auto"/>
              <w:right w:val="single" w:sz="8" w:color="auto"/>
            </w:tcBorders>
          </w:tcPr>
          <w:p>
            <w:pPr>
              <w:spacing w:after="0"/>
              <w:rPr>
                <w:sz w:val="12"/>
                <w:szCs w:val="12"/>
                <w:color w:val="auto"/>
              </w:rPr>
            </w:pPr>
          </w:p>
        </w:tc>
        <w:tc>
          <w:tcPr>
            <w:tcW w:w="2420" w:type="dxa"/>
            <w:vAlign w:val="bottom"/>
            <w:tcBorders>
              <w:bottom w:val="single" w:sz="8" w:color="auto"/>
              <w:right w:val="single" w:sz="8" w:color="auto"/>
            </w:tcBorders>
          </w:tcPr>
          <w:p>
            <w:pPr>
              <w:spacing w:after="0"/>
              <w:rPr>
                <w:sz w:val="12"/>
                <w:szCs w:val="12"/>
                <w:color w:val="auto"/>
              </w:rPr>
            </w:pPr>
          </w:p>
        </w:tc>
        <w:tc>
          <w:tcPr>
            <w:tcW w:w="2400" w:type="dxa"/>
            <w:vAlign w:val="bottom"/>
            <w:tcBorders>
              <w:bottom w:val="single" w:sz="8" w:color="auto"/>
              <w:right w:val="single" w:sz="8" w:color="auto"/>
            </w:tcBorders>
          </w:tcPr>
          <w:p>
            <w:pPr>
              <w:spacing w:after="0"/>
              <w:rPr>
                <w:sz w:val="12"/>
                <w:szCs w:val="12"/>
                <w:color w:val="auto"/>
              </w:rPr>
            </w:pPr>
          </w:p>
        </w:tc>
        <w:tc>
          <w:tcPr>
            <w:tcW w:w="1860" w:type="dxa"/>
            <w:vAlign w:val="bottom"/>
            <w:tcBorders>
              <w:bottom w:val="single" w:sz="8" w:color="auto"/>
              <w:right w:val="single" w:sz="8" w:color="auto"/>
            </w:tcBorders>
          </w:tcPr>
          <w:p>
            <w:pPr>
              <w:spacing w:after="0"/>
              <w:rPr>
                <w:sz w:val="12"/>
                <w:szCs w:val="12"/>
                <w:color w:val="auto"/>
              </w:rPr>
            </w:pPr>
          </w:p>
        </w:tc>
      </w:tr>
      <w:tr>
        <w:trPr>
          <w:trHeight w:val="259"/>
        </w:trPr>
        <w:tc>
          <w:tcPr>
            <w:tcW w:w="1580" w:type="dxa"/>
            <w:vAlign w:val="bottom"/>
            <w:tcBorders>
              <w:left w:val="single" w:sz="8" w:color="auto"/>
              <w:right w:val="single" w:sz="8" w:color="auto"/>
            </w:tcBorders>
          </w:tcPr>
          <w:p>
            <w:pPr>
              <w:ind w:left="680"/>
              <w:spacing w:after="0" w:line="258" w:lineRule="exact"/>
              <w:rPr>
                <w:sz w:val="20"/>
                <w:szCs w:val="20"/>
                <w:color w:val="auto"/>
              </w:rPr>
            </w:pPr>
            <w:r>
              <w:rPr>
                <w:rFonts w:ascii="Times New Roman" w:cs="Times New Roman" w:eastAsia="Times New Roman" w:hAnsi="Times New Roman"/>
                <w:sz w:val="24"/>
                <w:szCs w:val="24"/>
                <w:color w:val="auto"/>
              </w:rPr>
              <w:t>A1</w:t>
            </w:r>
          </w:p>
        </w:tc>
        <w:tc>
          <w:tcPr>
            <w:tcW w:w="148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50</w:t>
            </w:r>
          </w:p>
        </w:tc>
        <w:tc>
          <w:tcPr>
            <w:tcW w:w="242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0</w:t>
            </w:r>
          </w:p>
        </w:tc>
        <w:tc>
          <w:tcPr>
            <w:tcW w:w="24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3.82</w:t>
            </w:r>
          </w:p>
        </w:tc>
        <w:tc>
          <w:tcPr>
            <w:tcW w:w="186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3.82</w:t>
            </w:r>
          </w:p>
        </w:tc>
      </w:tr>
      <w:tr>
        <w:trPr>
          <w:trHeight w:val="144"/>
        </w:trPr>
        <w:tc>
          <w:tcPr>
            <w:tcW w:w="1580" w:type="dxa"/>
            <w:vAlign w:val="bottom"/>
            <w:tcBorders>
              <w:left w:val="single" w:sz="8" w:color="auto"/>
              <w:bottom w:val="single" w:sz="8" w:color="auto"/>
              <w:right w:val="single" w:sz="8" w:color="auto"/>
            </w:tcBorders>
          </w:tcPr>
          <w:p>
            <w:pPr>
              <w:spacing w:after="0"/>
              <w:rPr>
                <w:sz w:val="12"/>
                <w:szCs w:val="12"/>
                <w:color w:val="auto"/>
              </w:rPr>
            </w:pPr>
          </w:p>
        </w:tc>
        <w:tc>
          <w:tcPr>
            <w:tcW w:w="1480" w:type="dxa"/>
            <w:vAlign w:val="bottom"/>
            <w:tcBorders>
              <w:bottom w:val="single" w:sz="8" w:color="auto"/>
              <w:right w:val="single" w:sz="8" w:color="auto"/>
            </w:tcBorders>
          </w:tcPr>
          <w:p>
            <w:pPr>
              <w:spacing w:after="0"/>
              <w:rPr>
                <w:sz w:val="12"/>
                <w:szCs w:val="12"/>
                <w:color w:val="auto"/>
              </w:rPr>
            </w:pPr>
          </w:p>
        </w:tc>
        <w:tc>
          <w:tcPr>
            <w:tcW w:w="2420" w:type="dxa"/>
            <w:vAlign w:val="bottom"/>
            <w:tcBorders>
              <w:bottom w:val="single" w:sz="8" w:color="auto"/>
              <w:right w:val="single" w:sz="8" w:color="auto"/>
            </w:tcBorders>
          </w:tcPr>
          <w:p>
            <w:pPr>
              <w:spacing w:after="0"/>
              <w:rPr>
                <w:sz w:val="12"/>
                <w:szCs w:val="12"/>
                <w:color w:val="auto"/>
              </w:rPr>
            </w:pPr>
          </w:p>
        </w:tc>
        <w:tc>
          <w:tcPr>
            <w:tcW w:w="2400" w:type="dxa"/>
            <w:vAlign w:val="bottom"/>
            <w:tcBorders>
              <w:bottom w:val="single" w:sz="8" w:color="auto"/>
              <w:right w:val="single" w:sz="8" w:color="auto"/>
            </w:tcBorders>
          </w:tcPr>
          <w:p>
            <w:pPr>
              <w:spacing w:after="0"/>
              <w:rPr>
                <w:sz w:val="12"/>
                <w:szCs w:val="12"/>
                <w:color w:val="auto"/>
              </w:rPr>
            </w:pPr>
          </w:p>
        </w:tc>
        <w:tc>
          <w:tcPr>
            <w:tcW w:w="1860" w:type="dxa"/>
            <w:vAlign w:val="bottom"/>
            <w:tcBorders>
              <w:bottom w:val="single" w:sz="8" w:color="auto"/>
              <w:right w:val="single" w:sz="8" w:color="auto"/>
            </w:tcBorders>
          </w:tcPr>
          <w:p>
            <w:pPr>
              <w:spacing w:after="0"/>
              <w:rPr>
                <w:sz w:val="12"/>
                <w:szCs w:val="12"/>
                <w:color w:val="auto"/>
              </w:rPr>
            </w:pPr>
          </w:p>
        </w:tc>
      </w:tr>
      <w:tr>
        <w:trPr>
          <w:trHeight w:val="258"/>
        </w:trPr>
        <w:tc>
          <w:tcPr>
            <w:tcW w:w="1580" w:type="dxa"/>
            <w:vAlign w:val="bottom"/>
            <w:tcBorders>
              <w:left w:val="single" w:sz="8" w:color="auto"/>
              <w:right w:val="single" w:sz="8" w:color="auto"/>
            </w:tcBorders>
          </w:tcPr>
          <w:p>
            <w:pPr>
              <w:ind w:left="680"/>
              <w:spacing w:after="0" w:line="258" w:lineRule="exact"/>
              <w:rPr>
                <w:sz w:val="20"/>
                <w:szCs w:val="20"/>
                <w:color w:val="auto"/>
              </w:rPr>
            </w:pPr>
            <w:r>
              <w:rPr>
                <w:rFonts w:ascii="Times New Roman" w:cs="Times New Roman" w:eastAsia="Times New Roman" w:hAnsi="Times New Roman"/>
                <w:sz w:val="24"/>
                <w:szCs w:val="24"/>
                <w:color w:val="auto"/>
              </w:rPr>
              <w:t>A2</w:t>
            </w:r>
          </w:p>
        </w:tc>
        <w:tc>
          <w:tcPr>
            <w:tcW w:w="148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20</w:t>
            </w:r>
          </w:p>
        </w:tc>
        <w:tc>
          <w:tcPr>
            <w:tcW w:w="242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0</w:t>
            </w:r>
          </w:p>
        </w:tc>
        <w:tc>
          <w:tcPr>
            <w:tcW w:w="24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1.53</w:t>
            </w:r>
          </w:p>
        </w:tc>
        <w:tc>
          <w:tcPr>
            <w:tcW w:w="186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1.53</w:t>
            </w:r>
          </w:p>
        </w:tc>
      </w:tr>
      <w:tr>
        <w:trPr>
          <w:trHeight w:val="147"/>
        </w:trPr>
        <w:tc>
          <w:tcPr>
            <w:tcW w:w="1580" w:type="dxa"/>
            <w:vAlign w:val="bottom"/>
            <w:tcBorders>
              <w:left w:val="single" w:sz="8" w:color="auto"/>
              <w:bottom w:val="single" w:sz="8" w:color="auto"/>
              <w:right w:val="single" w:sz="8" w:color="auto"/>
            </w:tcBorders>
          </w:tcPr>
          <w:p>
            <w:pPr>
              <w:spacing w:after="0"/>
              <w:rPr>
                <w:sz w:val="12"/>
                <w:szCs w:val="12"/>
                <w:color w:val="auto"/>
              </w:rPr>
            </w:pPr>
          </w:p>
        </w:tc>
        <w:tc>
          <w:tcPr>
            <w:tcW w:w="1480" w:type="dxa"/>
            <w:vAlign w:val="bottom"/>
            <w:tcBorders>
              <w:bottom w:val="single" w:sz="8" w:color="auto"/>
              <w:right w:val="single" w:sz="8" w:color="auto"/>
            </w:tcBorders>
          </w:tcPr>
          <w:p>
            <w:pPr>
              <w:spacing w:after="0"/>
              <w:rPr>
                <w:sz w:val="12"/>
                <w:szCs w:val="12"/>
                <w:color w:val="auto"/>
              </w:rPr>
            </w:pPr>
          </w:p>
        </w:tc>
        <w:tc>
          <w:tcPr>
            <w:tcW w:w="2420" w:type="dxa"/>
            <w:vAlign w:val="bottom"/>
            <w:tcBorders>
              <w:bottom w:val="single" w:sz="8" w:color="auto"/>
              <w:right w:val="single" w:sz="8" w:color="auto"/>
            </w:tcBorders>
          </w:tcPr>
          <w:p>
            <w:pPr>
              <w:spacing w:after="0"/>
              <w:rPr>
                <w:sz w:val="12"/>
                <w:szCs w:val="12"/>
                <w:color w:val="auto"/>
              </w:rPr>
            </w:pPr>
          </w:p>
        </w:tc>
        <w:tc>
          <w:tcPr>
            <w:tcW w:w="2400" w:type="dxa"/>
            <w:vAlign w:val="bottom"/>
            <w:tcBorders>
              <w:bottom w:val="single" w:sz="8" w:color="auto"/>
              <w:right w:val="single" w:sz="8" w:color="auto"/>
            </w:tcBorders>
          </w:tcPr>
          <w:p>
            <w:pPr>
              <w:spacing w:after="0"/>
              <w:rPr>
                <w:sz w:val="12"/>
                <w:szCs w:val="12"/>
                <w:color w:val="auto"/>
              </w:rPr>
            </w:pPr>
          </w:p>
        </w:tc>
        <w:tc>
          <w:tcPr>
            <w:tcW w:w="1860" w:type="dxa"/>
            <w:vAlign w:val="bottom"/>
            <w:tcBorders>
              <w:bottom w:val="single" w:sz="8" w:color="auto"/>
              <w:right w:val="single" w:sz="8" w:color="auto"/>
            </w:tcBorders>
          </w:tcPr>
          <w:p>
            <w:pPr>
              <w:spacing w:after="0"/>
              <w:rPr>
                <w:sz w:val="12"/>
                <w:szCs w:val="12"/>
                <w:color w:val="auto"/>
              </w:rPr>
            </w:pPr>
          </w:p>
        </w:tc>
      </w:tr>
      <w:tr>
        <w:trPr>
          <w:trHeight w:val="258"/>
        </w:trPr>
        <w:tc>
          <w:tcPr>
            <w:tcW w:w="1580" w:type="dxa"/>
            <w:vAlign w:val="bottom"/>
            <w:tcBorders>
              <w:left w:val="single" w:sz="8" w:color="auto"/>
              <w:right w:val="single" w:sz="8" w:color="auto"/>
            </w:tcBorders>
          </w:tcPr>
          <w:p>
            <w:pPr>
              <w:ind w:left="680"/>
              <w:spacing w:after="0" w:line="258" w:lineRule="exact"/>
              <w:rPr>
                <w:sz w:val="20"/>
                <w:szCs w:val="20"/>
                <w:color w:val="auto"/>
              </w:rPr>
            </w:pPr>
            <w:r>
              <w:rPr>
                <w:rFonts w:ascii="Times New Roman" w:cs="Times New Roman" w:eastAsia="Times New Roman" w:hAnsi="Times New Roman"/>
                <w:sz w:val="24"/>
                <w:szCs w:val="24"/>
                <w:color w:val="auto"/>
              </w:rPr>
              <w:t>A3</w:t>
            </w:r>
          </w:p>
        </w:tc>
        <w:tc>
          <w:tcPr>
            <w:tcW w:w="148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130</w:t>
            </w:r>
          </w:p>
        </w:tc>
        <w:tc>
          <w:tcPr>
            <w:tcW w:w="242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0</w:t>
            </w:r>
          </w:p>
        </w:tc>
        <w:tc>
          <w:tcPr>
            <w:tcW w:w="24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9.92</w:t>
            </w:r>
          </w:p>
        </w:tc>
        <w:tc>
          <w:tcPr>
            <w:tcW w:w="186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9.92</w:t>
            </w:r>
          </w:p>
        </w:tc>
      </w:tr>
      <w:tr>
        <w:trPr>
          <w:trHeight w:val="147"/>
        </w:trPr>
        <w:tc>
          <w:tcPr>
            <w:tcW w:w="1580" w:type="dxa"/>
            <w:vAlign w:val="bottom"/>
            <w:tcBorders>
              <w:left w:val="single" w:sz="8" w:color="auto"/>
              <w:bottom w:val="single" w:sz="8" w:color="auto"/>
              <w:right w:val="single" w:sz="8" w:color="auto"/>
            </w:tcBorders>
          </w:tcPr>
          <w:p>
            <w:pPr>
              <w:spacing w:after="0"/>
              <w:rPr>
                <w:sz w:val="12"/>
                <w:szCs w:val="12"/>
                <w:color w:val="auto"/>
              </w:rPr>
            </w:pPr>
          </w:p>
        </w:tc>
        <w:tc>
          <w:tcPr>
            <w:tcW w:w="1480" w:type="dxa"/>
            <w:vAlign w:val="bottom"/>
            <w:tcBorders>
              <w:bottom w:val="single" w:sz="8" w:color="auto"/>
              <w:right w:val="single" w:sz="8" w:color="auto"/>
            </w:tcBorders>
          </w:tcPr>
          <w:p>
            <w:pPr>
              <w:spacing w:after="0"/>
              <w:rPr>
                <w:sz w:val="12"/>
                <w:szCs w:val="12"/>
                <w:color w:val="auto"/>
              </w:rPr>
            </w:pPr>
          </w:p>
        </w:tc>
        <w:tc>
          <w:tcPr>
            <w:tcW w:w="2420" w:type="dxa"/>
            <w:vAlign w:val="bottom"/>
            <w:tcBorders>
              <w:bottom w:val="single" w:sz="8" w:color="auto"/>
              <w:right w:val="single" w:sz="8" w:color="auto"/>
            </w:tcBorders>
          </w:tcPr>
          <w:p>
            <w:pPr>
              <w:spacing w:after="0"/>
              <w:rPr>
                <w:sz w:val="12"/>
                <w:szCs w:val="12"/>
                <w:color w:val="auto"/>
              </w:rPr>
            </w:pPr>
          </w:p>
        </w:tc>
        <w:tc>
          <w:tcPr>
            <w:tcW w:w="2400" w:type="dxa"/>
            <w:vAlign w:val="bottom"/>
            <w:tcBorders>
              <w:bottom w:val="single" w:sz="8" w:color="auto"/>
              <w:right w:val="single" w:sz="8" w:color="auto"/>
            </w:tcBorders>
          </w:tcPr>
          <w:p>
            <w:pPr>
              <w:spacing w:after="0"/>
              <w:rPr>
                <w:sz w:val="12"/>
                <w:szCs w:val="12"/>
                <w:color w:val="auto"/>
              </w:rPr>
            </w:pPr>
          </w:p>
        </w:tc>
        <w:tc>
          <w:tcPr>
            <w:tcW w:w="1860" w:type="dxa"/>
            <w:vAlign w:val="bottom"/>
            <w:tcBorders>
              <w:bottom w:val="single" w:sz="8" w:color="auto"/>
              <w:right w:val="single" w:sz="8" w:color="auto"/>
            </w:tcBorders>
          </w:tcPr>
          <w:p>
            <w:pPr>
              <w:spacing w:after="0"/>
              <w:rPr>
                <w:sz w:val="12"/>
                <w:szCs w:val="12"/>
                <w:color w:val="auto"/>
              </w:rPr>
            </w:pPr>
          </w:p>
        </w:tc>
      </w:tr>
      <w:tr>
        <w:trPr>
          <w:trHeight w:val="258"/>
        </w:trPr>
        <w:tc>
          <w:tcPr>
            <w:tcW w:w="1580" w:type="dxa"/>
            <w:vAlign w:val="bottom"/>
            <w:tcBorders>
              <w:left w:val="single" w:sz="8" w:color="auto"/>
              <w:right w:val="single" w:sz="8" w:color="auto"/>
            </w:tcBorders>
          </w:tcPr>
          <w:p>
            <w:pPr>
              <w:ind w:left="680"/>
              <w:spacing w:after="0" w:line="258" w:lineRule="exact"/>
              <w:rPr>
                <w:sz w:val="20"/>
                <w:szCs w:val="20"/>
                <w:color w:val="auto"/>
              </w:rPr>
            </w:pPr>
            <w:r>
              <w:rPr>
                <w:rFonts w:ascii="Times New Roman" w:cs="Times New Roman" w:eastAsia="Times New Roman" w:hAnsi="Times New Roman"/>
                <w:sz w:val="24"/>
                <w:szCs w:val="24"/>
                <w:color w:val="auto"/>
              </w:rPr>
              <w:t>A4</w:t>
            </w:r>
          </w:p>
        </w:tc>
        <w:tc>
          <w:tcPr>
            <w:tcW w:w="148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50</w:t>
            </w:r>
          </w:p>
        </w:tc>
        <w:tc>
          <w:tcPr>
            <w:tcW w:w="242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0</w:t>
            </w:r>
          </w:p>
        </w:tc>
        <w:tc>
          <w:tcPr>
            <w:tcW w:w="24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3.82</w:t>
            </w:r>
          </w:p>
        </w:tc>
        <w:tc>
          <w:tcPr>
            <w:tcW w:w="186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3.82</w:t>
            </w:r>
          </w:p>
        </w:tc>
      </w:tr>
      <w:tr>
        <w:trPr>
          <w:trHeight w:val="144"/>
        </w:trPr>
        <w:tc>
          <w:tcPr>
            <w:tcW w:w="1580" w:type="dxa"/>
            <w:vAlign w:val="bottom"/>
            <w:tcBorders>
              <w:left w:val="single" w:sz="8" w:color="auto"/>
              <w:bottom w:val="single" w:sz="8" w:color="auto"/>
              <w:right w:val="single" w:sz="8" w:color="auto"/>
            </w:tcBorders>
          </w:tcPr>
          <w:p>
            <w:pPr>
              <w:spacing w:after="0"/>
              <w:rPr>
                <w:sz w:val="12"/>
                <w:szCs w:val="12"/>
                <w:color w:val="auto"/>
              </w:rPr>
            </w:pPr>
          </w:p>
        </w:tc>
        <w:tc>
          <w:tcPr>
            <w:tcW w:w="1480" w:type="dxa"/>
            <w:vAlign w:val="bottom"/>
            <w:tcBorders>
              <w:bottom w:val="single" w:sz="8" w:color="auto"/>
              <w:right w:val="single" w:sz="8" w:color="auto"/>
            </w:tcBorders>
          </w:tcPr>
          <w:p>
            <w:pPr>
              <w:spacing w:after="0"/>
              <w:rPr>
                <w:sz w:val="12"/>
                <w:szCs w:val="12"/>
                <w:color w:val="auto"/>
              </w:rPr>
            </w:pPr>
          </w:p>
        </w:tc>
        <w:tc>
          <w:tcPr>
            <w:tcW w:w="2420" w:type="dxa"/>
            <w:vAlign w:val="bottom"/>
            <w:tcBorders>
              <w:bottom w:val="single" w:sz="8" w:color="auto"/>
              <w:right w:val="single" w:sz="8" w:color="auto"/>
            </w:tcBorders>
          </w:tcPr>
          <w:p>
            <w:pPr>
              <w:spacing w:after="0"/>
              <w:rPr>
                <w:sz w:val="12"/>
                <w:szCs w:val="12"/>
                <w:color w:val="auto"/>
              </w:rPr>
            </w:pPr>
          </w:p>
        </w:tc>
        <w:tc>
          <w:tcPr>
            <w:tcW w:w="2400" w:type="dxa"/>
            <w:vAlign w:val="bottom"/>
            <w:tcBorders>
              <w:bottom w:val="single" w:sz="8" w:color="auto"/>
              <w:right w:val="single" w:sz="8" w:color="auto"/>
            </w:tcBorders>
          </w:tcPr>
          <w:p>
            <w:pPr>
              <w:spacing w:after="0"/>
              <w:rPr>
                <w:sz w:val="12"/>
                <w:szCs w:val="12"/>
                <w:color w:val="auto"/>
              </w:rPr>
            </w:pPr>
          </w:p>
        </w:tc>
        <w:tc>
          <w:tcPr>
            <w:tcW w:w="1860" w:type="dxa"/>
            <w:vAlign w:val="bottom"/>
            <w:tcBorders>
              <w:bottom w:val="single" w:sz="8" w:color="auto"/>
              <w:right w:val="single" w:sz="8" w:color="auto"/>
            </w:tcBorders>
          </w:tcPr>
          <w:p>
            <w:pPr>
              <w:spacing w:after="0"/>
              <w:rPr>
                <w:sz w:val="12"/>
                <w:szCs w:val="12"/>
                <w:color w:val="auto"/>
              </w:rPr>
            </w:pPr>
          </w:p>
        </w:tc>
      </w:tr>
      <w:tr>
        <w:trPr>
          <w:trHeight w:val="258"/>
        </w:trPr>
        <w:tc>
          <w:tcPr>
            <w:tcW w:w="1580" w:type="dxa"/>
            <w:vAlign w:val="bottom"/>
            <w:tcBorders>
              <w:left w:val="single" w:sz="8" w:color="auto"/>
              <w:right w:val="single" w:sz="8" w:color="auto"/>
            </w:tcBorders>
          </w:tcPr>
          <w:p>
            <w:pPr>
              <w:ind w:left="680"/>
              <w:spacing w:after="0" w:line="258" w:lineRule="exact"/>
              <w:rPr>
                <w:sz w:val="20"/>
                <w:szCs w:val="20"/>
                <w:color w:val="auto"/>
              </w:rPr>
            </w:pPr>
            <w:r>
              <w:rPr>
                <w:rFonts w:ascii="Times New Roman" w:cs="Times New Roman" w:eastAsia="Times New Roman" w:hAnsi="Times New Roman"/>
                <w:sz w:val="24"/>
                <w:szCs w:val="24"/>
                <w:color w:val="auto"/>
              </w:rPr>
              <w:t>A5</w:t>
            </w:r>
          </w:p>
        </w:tc>
        <w:tc>
          <w:tcPr>
            <w:tcW w:w="148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50</w:t>
            </w:r>
          </w:p>
        </w:tc>
        <w:tc>
          <w:tcPr>
            <w:tcW w:w="242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0</w:t>
            </w:r>
          </w:p>
        </w:tc>
        <w:tc>
          <w:tcPr>
            <w:tcW w:w="24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3.82</w:t>
            </w:r>
          </w:p>
        </w:tc>
        <w:tc>
          <w:tcPr>
            <w:tcW w:w="186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3.82</w:t>
            </w:r>
          </w:p>
        </w:tc>
      </w:tr>
      <w:tr>
        <w:trPr>
          <w:trHeight w:val="147"/>
        </w:trPr>
        <w:tc>
          <w:tcPr>
            <w:tcW w:w="1580" w:type="dxa"/>
            <w:vAlign w:val="bottom"/>
            <w:tcBorders>
              <w:left w:val="single" w:sz="8" w:color="auto"/>
              <w:bottom w:val="single" w:sz="8" w:color="auto"/>
              <w:right w:val="single" w:sz="8" w:color="auto"/>
            </w:tcBorders>
          </w:tcPr>
          <w:p>
            <w:pPr>
              <w:spacing w:after="0"/>
              <w:rPr>
                <w:sz w:val="12"/>
                <w:szCs w:val="12"/>
                <w:color w:val="auto"/>
              </w:rPr>
            </w:pPr>
          </w:p>
        </w:tc>
        <w:tc>
          <w:tcPr>
            <w:tcW w:w="1480" w:type="dxa"/>
            <w:vAlign w:val="bottom"/>
            <w:tcBorders>
              <w:bottom w:val="single" w:sz="8" w:color="auto"/>
              <w:right w:val="single" w:sz="8" w:color="auto"/>
            </w:tcBorders>
          </w:tcPr>
          <w:p>
            <w:pPr>
              <w:spacing w:after="0"/>
              <w:rPr>
                <w:sz w:val="12"/>
                <w:szCs w:val="12"/>
                <w:color w:val="auto"/>
              </w:rPr>
            </w:pPr>
          </w:p>
        </w:tc>
        <w:tc>
          <w:tcPr>
            <w:tcW w:w="2420" w:type="dxa"/>
            <w:vAlign w:val="bottom"/>
            <w:tcBorders>
              <w:bottom w:val="single" w:sz="8" w:color="auto"/>
              <w:right w:val="single" w:sz="8" w:color="auto"/>
            </w:tcBorders>
          </w:tcPr>
          <w:p>
            <w:pPr>
              <w:spacing w:after="0"/>
              <w:rPr>
                <w:sz w:val="12"/>
                <w:szCs w:val="12"/>
                <w:color w:val="auto"/>
              </w:rPr>
            </w:pPr>
          </w:p>
        </w:tc>
        <w:tc>
          <w:tcPr>
            <w:tcW w:w="2400" w:type="dxa"/>
            <w:vAlign w:val="bottom"/>
            <w:tcBorders>
              <w:bottom w:val="single" w:sz="8" w:color="auto"/>
              <w:right w:val="single" w:sz="8" w:color="auto"/>
            </w:tcBorders>
          </w:tcPr>
          <w:p>
            <w:pPr>
              <w:spacing w:after="0"/>
              <w:rPr>
                <w:sz w:val="12"/>
                <w:szCs w:val="12"/>
                <w:color w:val="auto"/>
              </w:rPr>
            </w:pPr>
          </w:p>
        </w:tc>
        <w:tc>
          <w:tcPr>
            <w:tcW w:w="1860" w:type="dxa"/>
            <w:vAlign w:val="bottom"/>
            <w:tcBorders>
              <w:bottom w:val="single" w:sz="8" w:color="auto"/>
              <w:right w:val="single" w:sz="8" w:color="auto"/>
            </w:tcBorders>
          </w:tcPr>
          <w:p>
            <w:pPr>
              <w:spacing w:after="0"/>
              <w:rPr>
                <w:sz w:val="12"/>
                <w:szCs w:val="12"/>
                <w:color w:val="auto"/>
              </w:rPr>
            </w:pPr>
          </w:p>
        </w:tc>
      </w:tr>
      <w:tr>
        <w:trPr>
          <w:trHeight w:val="258"/>
        </w:trPr>
        <w:tc>
          <w:tcPr>
            <w:tcW w:w="1580" w:type="dxa"/>
            <w:vAlign w:val="bottom"/>
            <w:tcBorders>
              <w:left w:val="single" w:sz="8" w:color="auto"/>
              <w:right w:val="single" w:sz="8" w:color="auto"/>
            </w:tcBorders>
          </w:tcPr>
          <w:p>
            <w:pPr>
              <w:ind w:left="680"/>
              <w:spacing w:after="0" w:line="258" w:lineRule="exact"/>
              <w:rPr>
                <w:sz w:val="20"/>
                <w:szCs w:val="20"/>
                <w:color w:val="auto"/>
              </w:rPr>
            </w:pPr>
            <w:r>
              <w:rPr>
                <w:rFonts w:ascii="Times New Roman" w:cs="Times New Roman" w:eastAsia="Times New Roman" w:hAnsi="Times New Roman"/>
                <w:sz w:val="24"/>
                <w:szCs w:val="24"/>
                <w:color w:val="auto"/>
              </w:rPr>
              <w:t>MF1</w:t>
            </w:r>
          </w:p>
        </w:tc>
        <w:tc>
          <w:tcPr>
            <w:tcW w:w="148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40</w:t>
            </w:r>
          </w:p>
        </w:tc>
        <w:tc>
          <w:tcPr>
            <w:tcW w:w="242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0.4</w:t>
            </w:r>
          </w:p>
        </w:tc>
        <w:tc>
          <w:tcPr>
            <w:tcW w:w="24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3.02</w:t>
            </w:r>
          </w:p>
        </w:tc>
        <w:tc>
          <w:tcPr>
            <w:tcW w:w="186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3.42</w:t>
            </w:r>
          </w:p>
        </w:tc>
      </w:tr>
      <w:tr>
        <w:trPr>
          <w:trHeight w:val="147"/>
        </w:trPr>
        <w:tc>
          <w:tcPr>
            <w:tcW w:w="1580" w:type="dxa"/>
            <w:vAlign w:val="bottom"/>
            <w:tcBorders>
              <w:left w:val="single" w:sz="8" w:color="auto"/>
              <w:bottom w:val="single" w:sz="8" w:color="auto"/>
              <w:right w:val="single" w:sz="8" w:color="auto"/>
            </w:tcBorders>
          </w:tcPr>
          <w:p>
            <w:pPr>
              <w:spacing w:after="0"/>
              <w:rPr>
                <w:sz w:val="12"/>
                <w:szCs w:val="12"/>
                <w:color w:val="auto"/>
              </w:rPr>
            </w:pPr>
          </w:p>
        </w:tc>
        <w:tc>
          <w:tcPr>
            <w:tcW w:w="1480" w:type="dxa"/>
            <w:vAlign w:val="bottom"/>
            <w:tcBorders>
              <w:bottom w:val="single" w:sz="8" w:color="auto"/>
              <w:right w:val="single" w:sz="8" w:color="auto"/>
            </w:tcBorders>
          </w:tcPr>
          <w:p>
            <w:pPr>
              <w:spacing w:after="0"/>
              <w:rPr>
                <w:sz w:val="12"/>
                <w:szCs w:val="12"/>
                <w:color w:val="auto"/>
              </w:rPr>
            </w:pPr>
          </w:p>
        </w:tc>
        <w:tc>
          <w:tcPr>
            <w:tcW w:w="2420" w:type="dxa"/>
            <w:vAlign w:val="bottom"/>
            <w:tcBorders>
              <w:bottom w:val="single" w:sz="8" w:color="auto"/>
              <w:right w:val="single" w:sz="8" w:color="auto"/>
            </w:tcBorders>
          </w:tcPr>
          <w:p>
            <w:pPr>
              <w:spacing w:after="0"/>
              <w:rPr>
                <w:sz w:val="12"/>
                <w:szCs w:val="12"/>
                <w:color w:val="auto"/>
              </w:rPr>
            </w:pPr>
          </w:p>
        </w:tc>
        <w:tc>
          <w:tcPr>
            <w:tcW w:w="2400" w:type="dxa"/>
            <w:vAlign w:val="bottom"/>
            <w:tcBorders>
              <w:bottom w:val="single" w:sz="8" w:color="auto"/>
              <w:right w:val="single" w:sz="8" w:color="auto"/>
            </w:tcBorders>
          </w:tcPr>
          <w:p>
            <w:pPr>
              <w:spacing w:after="0"/>
              <w:rPr>
                <w:sz w:val="12"/>
                <w:szCs w:val="12"/>
                <w:color w:val="auto"/>
              </w:rPr>
            </w:pPr>
          </w:p>
        </w:tc>
        <w:tc>
          <w:tcPr>
            <w:tcW w:w="1860" w:type="dxa"/>
            <w:vAlign w:val="bottom"/>
            <w:tcBorders>
              <w:bottom w:val="single" w:sz="8" w:color="auto"/>
              <w:right w:val="single" w:sz="8" w:color="auto"/>
            </w:tcBorders>
          </w:tcPr>
          <w:p>
            <w:pPr>
              <w:spacing w:after="0"/>
              <w:rPr>
                <w:sz w:val="12"/>
                <w:szCs w:val="12"/>
                <w:color w:val="auto"/>
              </w:rPr>
            </w:pPr>
          </w:p>
        </w:tc>
      </w:tr>
      <w:tr>
        <w:trPr>
          <w:trHeight w:val="258"/>
        </w:trPr>
        <w:tc>
          <w:tcPr>
            <w:tcW w:w="1580" w:type="dxa"/>
            <w:vAlign w:val="bottom"/>
            <w:tcBorders>
              <w:left w:val="single" w:sz="8" w:color="auto"/>
              <w:right w:val="single" w:sz="8" w:color="auto"/>
            </w:tcBorders>
          </w:tcPr>
          <w:p>
            <w:pPr>
              <w:ind w:left="680"/>
              <w:spacing w:after="0" w:line="258" w:lineRule="exact"/>
              <w:rPr>
                <w:sz w:val="20"/>
                <w:szCs w:val="20"/>
                <w:color w:val="auto"/>
              </w:rPr>
            </w:pPr>
            <w:r>
              <w:rPr>
                <w:rFonts w:ascii="Times New Roman" w:cs="Times New Roman" w:eastAsia="Times New Roman" w:hAnsi="Times New Roman"/>
                <w:sz w:val="24"/>
                <w:szCs w:val="24"/>
                <w:color w:val="auto"/>
              </w:rPr>
              <w:t>MF2</w:t>
            </w:r>
          </w:p>
        </w:tc>
        <w:tc>
          <w:tcPr>
            <w:tcW w:w="148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40</w:t>
            </w:r>
          </w:p>
        </w:tc>
        <w:tc>
          <w:tcPr>
            <w:tcW w:w="242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0.4</w:t>
            </w:r>
          </w:p>
        </w:tc>
        <w:tc>
          <w:tcPr>
            <w:tcW w:w="24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3.02</w:t>
            </w:r>
          </w:p>
        </w:tc>
        <w:tc>
          <w:tcPr>
            <w:tcW w:w="186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3.42</w:t>
            </w:r>
          </w:p>
        </w:tc>
      </w:tr>
      <w:tr>
        <w:trPr>
          <w:trHeight w:val="144"/>
        </w:trPr>
        <w:tc>
          <w:tcPr>
            <w:tcW w:w="1580" w:type="dxa"/>
            <w:vAlign w:val="bottom"/>
            <w:tcBorders>
              <w:left w:val="single" w:sz="8" w:color="auto"/>
              <w:bottom w:val="single" w:sz="8" w:color="auto"/>
              <w:right w:val="single" w:sz="8" w:color="auto"/>
            </w:tcBorders>
          </w:tcPr>
          <w:p>
            <w:pPr>
              <w:spacing w:after="0"/>
              <w:rPr>
                <w:sz w:val="12"/>
                <w:szCs w:val="12"/>
                <w:color w:val="auto"/>
              </w:rPr>
            </w:pPr>
          </w:p>
        </w:tc>
        <w:tc>
          <w:tcPr>
            <w:tcW w:w="1480" w:type="dxa"/>
            <w:vAlign w:val="bottom"/>
            <w:tcBorders>
              <w:bottom w:val="single" w:sz="8" w:color="auto"/>
              <w:right w:val="single" w:sz="8" w:color="auto"/>
            </w:tcBorders>
          </w:tcPr>
          <w:p>
            <w:pPr>
              <w:spacing w:after="0"/>
              <w:rPr>
                <w:sz w:val="12"/>
                <w:szCs w:val="12"/>
                <w:color w:val="auto"/>
              </w:rPr>
            </w:pPr>
          </w:p>
        </w:tc>
        <w:tc>
          <w:tcPr>
            <w:tcW w:w="2420" w:type="dxa"/>
            <w:vAlign w:val="bottom"/>
            <w:tcBorders>
              <w:bottom w:val="single" w:sz="8" w:color="auto"/>
              <w:right w:val="single" w:sz="8" w:color="auto"/>
            </w:tcBorders>
          </w:tcPr>
          <w:p>
            <w:pPr>
              <w:spacing w:after="0"/>
              <w:rPr>
                <w:sz w:val="12"/>
                <w:szCs w:val="12"/>
                <w:color w:val="auto"/>
              </w:rPr>
            </w:pPr>
          </w:p>
        </w:tc>
        <w:tc>
          <w:tcPr>
            <w:tcW w:w="2400" w:type="dxa"/>
            <w:vAlign w:val="bottom"/>
            <w:tcBorders>
              <w:bottom w:val="single" w:sz="8" w:color="auto"/>
              <w:right w:val="single" w:sz="8" w:color="auto"/>
            </w:tcBorders>
          </w:tcPr>
          <w:p>
            <w:pPr>
              <w:spacing w:after="0"/>
              <w:rPr>
                <w:sz w:val="12"/>
                <w:szCs w:val="12"/>
                <w:color w:val="auto"/>
              </w:rPr>
            </w:pPr>
          </w:p>
        </w:tc>
        <w:tc>
          <w:tcPr>
            <w:tcW w:w="1860" w:type="dxa"/>
            <w:vAlign w:val="bottom"/>
            <w:tcBorders>
              <w:bottom w:val="single" w:sz="8" w:color="auto"/>
              <w:right w:val="single" w:sz="8" w:color="auto"/>
            </w:tcBorders>
          </w:tcPr>
          <w:p>
            <w:pPr>
              <w:spacing w:after="0"/>
              <w:rPr>
                <w:sz w:val="12"/>
                <w:szCs w:val="12"/>
                <w:color w:val="auto"/>
              </w:rPr>
            </w:pPr>
          </w:p>
        </w:tc>
      </w:tr>
      <w:tr>
        <w:trPr>
          <w:trHeight w:val="258"/>
        </w:trPr>
        <w:tc>
          <w:tcPr>
            <w:tcW w:w="1580" w:type="dxa"/>
            <w:vAlign w:val="bottom"/>
            <w:tcBorders>
              <w:left w:val="single" w:sz="8" w:color="auto"/>
              <w:right w:val="single" w:sz="8" w:color="auto"/>
            </w:tcBorders>
          </w:tcPr>
          <w:p>
            <w:pPr>
              <w:ind w:left="680"/>
              <w:spacing w:after="0" w:line="258" w:lineRule="exact"/>
              <w:rPr>
                <w:sz w:val="20"/>
                <w:szCs w:val="20"/>
                <w:color w:val="auto"/>
              </w:rPr>
            </w:pPr>
            <w:r>
              <w:rPr>
                <w:rFonts w:ascii="Times New Roman" w:cs="Times New Roman" w:eastAsia="Times New Roman" w:hAnsi="Times New Roman"/>
                <w:sz w:val="24"/>
                <w:szCs w:val="24"/>
                <w:color w:val="auto"/>
              </w:rPr>
              <w:t>MF3</w:t>
            </w:r>
          </w:p>
        </w:tc>
        <w:tc>
          <w:tcPr>
            <w:tcW w:w="148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80</w:t>
            </w:r>
          </w:p>
        </w:tc>
        <w:tc>
          <w:tcPr>
            <w:tcW w:w="242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0.8</w:t>
            </w:r>
          </w:p>
        </w:tc>
        <w:tc>
          <w:tcPr>
            <w:tcW w:w="24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6.04</w:t>
            </w:r>
          </w:p>
        </w:tc>
        <w:tc>
          <w:tcPr>
            <w:tcW w:w="186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6.84</w:t>
            </w:r>
          </w:p>
        </w:tc>
      </w:tr>
      <w:tr>
        <w:trPr>
          <w:trHeight w:val="147"/>
        </w:trPr>
        <w:tc>
          <w:tcPr>
            <w:tcW w:w="1580" w:type="dxa"/>
            <w:vAlign w:val="bottom"/>
            <w:tcBorders>
              <w:left w:val="single" w:sz="8" w:color="auto"/>
              <w:bottom w:val="single" w:sz="8" w:color="auto"/>
              <w:right w:val="single" w:sz="8" w:color="auto"/>
            </w:tcBorders>
          </w:tcPr>
          <w:p>
            <w:pPr>
              <w:spacing w:after="0"/>
              <w:rPr>
                <w:sz w:val="12"/>
                <w:szCs w:val="12"/>
                <w:color w:val="auto"/>
              </w:rPr>
            </w:pPr>
          </w:p>
        </w:tc>
        <w:tc>
          <w:tcPr>
            <w:tcW w:w="1480" w:type="dxa"/>
            <w:vAlign w:val="bottom"/>
            <w:tcBorders>
              <w:bottom w:val="single" w:sz="8" w:color="auto"/>
              <w:right w:val="single" w:sz="8" w:color="auto"/>
            </w:tcBorders>
          </w:tcPr>
          <w:p>
            <w:pPr>
              <w:spacing w:after="0"/>
              <w:rPr>
                <w:sz w:val="12"/>
                <w:szCs w:val="12"/>
                <w:color w:val="auto"/>
              </w:rPr>
            </w:pPr>
          </w:p>
        </w:tc>
        <w:tc>
          <w:tcPr>
            <w:tcW w:w="2420" w:type="dxa"/>
            <w:vAlign w:val="bottom"/>
            <w:tcBorders>
              <w:bottom w:val="single" w:sz="8" w:color="auto"/>
              <w:right w:val="single" w:sz="8" w:color="auto"/>
            </w:tcBorders>
          </w:tcPr>
          <w:p>
            <w:pPr>
              <w:spacing w:after="0"/>
              <w:rPr>
                <w:sz w:val="12"/>
                <w:szCs w:val="12"/>
                <w:color w:val="auto"/>
              </w:rPr>
            </w:pPr>
          </w:p>
        </w:tc>
        <w:tc>
          <w:tcPr>
            <w:tcW w:w="2400" w:type="dxa"/>
            <w:vAlign w:val="bottom"/>
            <w:tcBorders>
              <w:bottom w:val="single" w:sz="8" w:color="auto"/>
              <w:right w:val="single" w:sz="8" w:color="auto"/>
            </w:tcBorders>
          </w:tcPr>
          <w:p>
            <w:pPr>
              <w:spacing w:after="0"/>
              <w:rPr>
                <w:sz w:val="12"/>
                <w:szCs w:val="12"/>
                <w:color w:val="auto"/>
              </w:rPr>
            </w:pPr>
          </w:p>
        </w:tc>
        <w:tc>
          <w:tcPr>
            <w:tcW w:w="1860" w:type="dxa"/>
            <w:vAlign w:val="bottom"/>
            <w:tcBorders>
              <w:bottom w:val="single" w:sz="8" w:color="auto"/>
              <w:right w:val="single" w:sz="8" w:color="auto"/>
            </w:tcBorders>
          </w:tcPr>
          <w:p>
            <w:pPr>
              <w:spacing w:after="0"/>
              <w:rPr>
                <w:sz w:val="12"/>
                <w:szCs w:val="12"/>
                <w:color w:val="auto"/>
              </w:rPr>
            </w:pPr>
          </w:p>
        </w:tc>
      </w:tr>
      <w:tr>
        <w:trPr>
          <w:trHeight w:val="258"/>
        </w:trPr>
        <w:tc>
          <w:tcPr>
            <w:tcW w:w="1580" w:type="dxa"/>
            <w:vAlign w:val="bottom"/>
            <w:tcBorders>
              <w:left w:val="single" w:sz="8" w:color="auto"/>
              <w:right w:val="single" w:sz="8" w:color="auto"/>
            </w:tcBorders>
          </w:tcPr>
          <w:p>
            <w:pPr>
              <w:ind w:left="680"/>
              <w:spacing w:after="0" w:line="258" w:lineRule="exact"/>
              <w:rPr>
                <w:sz w:val="20"/>
                <w:szCs w:val="20"/>
                <w:color w:val="auto"/>
              </w:rPr>
            </w:pPr>
            <w:r>
              <w:rPr>
                <w:rFonts w:ascii="Times New Roman" w:cs="Times New Roman" w:eastAsia="Times New Roman" w:hAnsi="Times New Roman"/>
                <w:sz w:val="24"/>
                <w:szCs w:val="24"/>
                <w:color w:val="auto"/>
              </w:rPr>
              <w:t>MF4</w:t>
            </w:r>
          </w:p>
        </w:tc>
        <w:tc>
          <w:tcPr>
            <w:tcW w:w="148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20</w:t>
            </w:r>
          </w:p>
        </w:tc>
        <w:tc>
          <w:tcPr>
            <w:tcW w:w="242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0.2</w:t>
            </w:r>
          </w:p>
        </w:tc>
        <w:tc>
          <w:tcPr>
            <w:tcW w:w="24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1.51</w:t>
            </w:r>
          </w:p>
        </w:tc>
        <w:tc>
          <w:tcPr>
            <w:tcW w:w="186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1.71</w:t>
            </w:r>
          </w:p>
        </w:tc>
      </w:tr>
      <w:tr>
        <w:trPr>
          <w:trHeight w:val="147"/>
        </w:trPr>
        <w:tc>
          <w:tcPr>
            <w:tcW w:w="1580" w:type="dxa"/>
            <w:vAlign w:val="bottom"/>
            <w:tcBorders>
              <w:left w:val="single" w:sz="8" w:color="auto"/>
              <w:bottom w:val="single" w:sz="8" w:color="auto"/>
              <w:right w:val="single" w:sz="8" w:color="auto"/>
            </w:tcBorders>
          </w:tcPr>
          <w:p>
            <w:pPr>
              <w:spacing w:after="0"/>
              <w:rPr>
                <w:sz w:val="12"/>
                <w:szCs w:val="12"/>
                <w:color w:val="auto"/>
              </w:rPr>
            </w:pPr>
          </w:p>
        </w:tc>
        <w:tc>
          <w:tcPr>
            <w:tcW w:w="1480" w:type="dxa"/>
            <w:vAlign w:val="bottom"/>
            <w:tcBorders>
              <w:bottom w:val="single" w:sz="8" w:color="auto"/>
              <w:right w:val="single" w:sz="8" w:color="auto"/>
            </w:tcBorders>
          </w:tcPr>
          <w:p>
            <w:pPr>
              <w:spacing w:after="0"/>
              <w:rPr>
                <w:sz w:val="12"/>
                <w:szCs w:val="12"/>
                <w:color w:val="auto"/>
              </w:rPr>
            </w:pPr>
          </w:p>
        </w:tc>
        <w:tc>
          <w:tcPr>
            <w:tcW w:w="2420" w:type="dxa"/>
            <w:vAlign w:val="bottom"/>
            <w:tcBorders>
              <w:bottom w:val="single" w:sz="8" w:color="auto"/>
              <w:right w:val="single" w:sz="8" w:color="auto"/>
            </w:tcBorders>
          </w:tcPr>
          <w:p>
            <w:pPr>
              <w:spacing w:after="0"/>
              <w:rPr>
                <w:sz w:val="12"/>
                <w:szCs w:val="12"/>
                <w:color w:val="auto"/>
              </w:rPr>
            </w:pPr>
          </w:p>
        </w:tc>
        <w:tc>
          <w:tcPr>
            <w:tcW w:w="2400" w:type="dxa"/>
            <w:vAlign w:val="bottom"/>
            <w:tcBorders>
              <w:bottom w:val="single" w:sz="8" w:color="auto"/>
              <w:right w:val="single" w:sz="8" w:color="auto"/>
            </w:tcBorders>
          </w:tcPr>
          <w:p>
            <w:pPr>
              <w:spacing w:after="0"/>
              <w:rPr>
                <w:sz w:val="12"/>
                <w:szCs w:val="12"/>
                <w:color w:val="auto"/>
              </w:rPr>
            </w:pPr>
          </w:p>
        </w:tc>
        <w:tc>
          <w:tcPr>
            <w:tcW w:w="1860" w:type="dxa"/>
            <w:vAlign w:val="bottom"/>
            <w:tcBorders>
              <w:bottom w:val="single" w:sz="8" w:color="auto"/>
              <w:right w:val="single" w:sz="8" w:color="auto"/>
            </w:tcBorders>
          </w:tcPr>
          <w:p>
            <w:pPr>
              <w:spacing w:after="0"/>
              <w:rPr>
                <w:sz w:val="12"/>
                <w:szCs w:val="12"/>
                <w:color w:val="auto"/>
              </w:rPr>
            </w:pPr>
          </w:p>
        </w:tc>
      </w:tr>
      <w:tr>
        <w:trPr>
          <w:trHeight w:val="258"/>
        </w:trPr>
        <w:tc>
          <w:tcPr>
            <w:tcW w:w="1580" w:type="dxa"/>
            <w:vAlign w:val="bottom"/>
            <w:tcBorders>
              <w:left w:val="single" w:sz="8" w:color="auto"/>
              <w:right w:val="single" w:sz="8" w:color="auto"/>
            </w:tcBorders>
          </w:tcPr>
          <w:p>
            <w:pPr>
              <w:ind w:left="680"/>
              <w:spacing w:after="0" w:line="258" w:lineRule="exact"/>
              <w:rPr>
                <w:sz w:val="20"/>
                <w:szCs w:val="20"/>
                <w:color w:val="auto"/>
              </w:rPr>
            </w:pPr>
            <w:r>
              <w:rPr>
                <w:rFonts w:ascii="Times New Roman" w:cs="Times New Roman" w:eastAsia="Times New Roman" w:hAnsi="Times New Roman"/>
                <w:sz w:val="24"/>
                <w:szCs w:val="24"/>
                <w:color w:val="auto"/>
              </w:rPr>
              <w:t>MF5</w:t>
            </w:r>
          </w:p>
        </w:tc>
        <w:tc>
          <w:tcPr>
            <w:tcW w:w="148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20</w:t>
            </w:r>
          </w:p>
        </w:tc>
        <w:tc>
          <w:tcPr>
            <w:tcW w:w="242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0.2</w:t>
            </w:r>
          </w:p>
        </w:tc>
        <w:tc>
          <w:tcPr>
            <w:tcW w:w="24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1.51</w:t>
            </w:r>
          </w:p>
        </w:tc>
        <w:tc>
          <w:tcPr>
            <w:tcW w:w="186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1.71</w:t>
            </w:r>
          </w:p>
        </w:tc>
      </w:tr>
      <w:tr>
        <w:trPr>
          <w:trHeight w:val="144"/>
        </w:trPr>
        <w:tc>
          <w:tcPr>
            <w:tcW w:w="1580" w:type="dxa"/>
            <w:vAlign w:val="bottom"/>
            <w:tcBorders>
              <w:left w:val="single" w:sz="8" w:color="auto"/>
              <w:bottom w:val="single" w:sz="8" w:color="auto"/>
              <w:right w:val="single" w:sz="8" w:color="auto"/>
            </w:tcBorders>
          </w:tcPr>
          <w:p>
            <w:pPr>
              <w:spacing w:after="0"/>
              <w:rPr>
                <w:sz w:val="12"/>
                <w:szCs w:val="12"/>
                <w:color w:val="auto"/>
              </w:rPr>
            </w:pPr>
          </w:p>
        </w:tc>
        <w:tc>
          <w:tcPr>
            <w:tcW w:w="1480" w:type="dxa"/>
            <w:vAlign w:val="bottom"/>
            <w:tcBorders>
              <w:bottom w:val="single" w:sz="8" w:color="auto"/>
              <w:right w:val="single" w:sz="8" w:color="auto"/>
            </w:tcBorders>
          </w:tcPr>
          <w:p>
            <w:pPr>
              <w:spacing w:after="0"/>
              <w:rPr>
                <w:sz w:val="12"/>
                <w:szCs w:val="12"/>
                <w:color w:val="auto"/>
              </w:rPr>
            </w:pPr>
          </w:p>
        </w:tc>
        <w:tc>
          <w:tcPr>
            <w:tcW w:w="2420" w:type="dxa"/>
            <w:vAlign w:val="bottom"/>
            <w:tcBorders>
              <w:bottom w:val="single" w:sz="8" w:color="auto"/>
              <w:right w:val="single" w:sz="8" w:color="auto"/>
            </w:tcBorders>
          </w:tcPr>
          <w:p>
            <w:pPr>
              <w:spacing w:after="0"/>
              <w:rPr>
                <w:sz w:val="12"/>
                <w:szCs w:val="12"/>
                <w:color w:val="auto"/>
              </w:rPr>
            </w:pPr>
          </w:p>
        </w:tc>
        <w:tc>
          <w:tcPr>
            <w:tcW w:w="2400" w:type="dxa"/>
            <w:vAlign w:val="bottom"/>
            <w:tcBorders>
              <w:bottom w:val="single" w:sz="8" w:color="auto"/>
              <w:right w:val="single" w:sz="8" w:color="auto"/>
            </w:tcBorders>
          </w:tcPr>
          <w:p>
            <w:pPr>
              <w:spacing w:after="0"/>
              <w:rPr>
                <w:sz w:val="12"/>
                <w:szCs w:val="12"/>
                <w:color w:val="auto"/>
              </w:rPr>
            </w:pPr>
          </w:p>
        </w:tc>
        <w:tc>
          <w:tcPr>
            <w:tcW w:w="1860" w:type="dxa"/>
            <w:vAlign w:val="bottom"/>
            <w:tcBorders>
              <w:bottom w:val="single" w:sz="8" w:color="auto"/>
              <w:right w:val="single" w:sz="8" w:color="auto"/>
            </w:tcBorders>
          </w:tcPr>
          <w:p>
            <w:pPr>
              <w:spacing w:after="0"/>
              <w:rPr>
                <w:sz w:val="12"/>
                <w:szCs w:val="12"/>
                <w:color w:val="auto"/>
              </w:rPr>
            </w:pPr>
          </w:p>
        </w:tc>
      </w:tr>
      <w:tr>
        <w:trPr>
          <w:trHeight w:val="263"/>
        </w:trPr>
        <w:tc>
          <w:tcPr>
            <w:tcW w:w="1580" w:type="dxa"/>
            <w:vAlign w:val="bottom"/>
            <w:tcBorders>
              <w:left w:val="single" w:sz="8" w:color="auto"/>
              <w:right w:val="single" w:sz="8" w:color="auto"/>
            </w:tcBorders>
          </w:tcPr>
          <w:p>
            <w:pPr>
              <w:spacing w:after="0"/>
              <w:rPr>
                <w:sz w:val="22"/>
                <w:szCs w:val="22"/>
                <w:color w:val="auto"/>
              </w:rPr>
            </w:pPr>
          </w:p>
        </w:tc>
        <w:tc>
          <w:tcPr>
            <w:tcW w:w="1480" w:type="dxa"/>
            <w:vAlign w:val="bottom"/>
            <w:tcBorders>
              <w:right w:val="single" w:sz="8" w:color="auto"/>
            </w:tcBorders>
          </w:tcPr>
          <w:p>
            <w:pPr>
              <w:jc w:val="right"/>
              <w:spacing w:after="0" w:line="263" w:lineRule="exact"/>
              <w:rPr>
                <w:sz w:val="20"/>
                <w:szCs w:val="20"/>
                <w:color w:val="auto"/>
              </w:rPr>
            </w:pPr>
            <w:r>
              <w:rPr>
                <w:rFonts w:ascii="Times New Roman" w:cs="Times New Roman" w:eastAsia="Times New Roman" w:hAnsi="Times New Roman"/>
                <w:sz w:val="24"/>
                <w:szCs w:val="24"/>
                <w:b w:val="1"/>
                <w:bCs w:val="1"/>
                <w:color w:val="auto"/>
              </w:rPr>
              <w:t>500</w:t>
            </w:r>
          </w:p>
        </w:tc>
        <w:tc>
          <w:tcPr>
            <w:tcW w:w="2420" w:type="dxa"/>
            <w:vAlign w:val="bottom"/>
            <w:tcBorders>
              <w:right w:val="single" w:sz="8" w:color="auto"/>
            </w:tcBorders>
          </w:tcPr>
          <w:p>
            <w:pPr>
              <w:jc w:val="right"/>
              <w:spacing w:after="0" w:line="263" w:lineRule="exact"/>
              <w:rPr>
                <w:sz w:val="20"/>
                <w:szCs w:val="20"/>
                <w:color w:val="auto"/>
              </w:rPr>
            </w:pPr>
            <w:r>
              <w:rPr>
                <w:rFonts w:ascii="Times New Roman" w:cs="Times New Roman" w:eastAsia="Times New Roman" w:hAnsi="Times New Roman"/>
                <w:sz w:val="24"/>
                <w:szCs w:val="24"/>
                <w:b w:val="1"/>
                <w:bCs w:val="1"/>
                <w:color w:val="auto"/>
              </w:rPr>
              <w:t>2.0</w:t>
            </w:r>
          </w:p>
        </w:tc>
        <w:tc>
          <w:tcPr>
            <w:tcW w:w="2400" w:type="dxa"/>
            <w:vAlign w:val="bottom"/>
            <w:tcBorders>
              <w:right w:val="single" w:sz="8" w:color="auto"/>
            </w:tcBorders>
          </w:tcPr>
          <w:p>
            <w:pPr>
              <w:jc w:val="right"/>
              <w:spacing w:after="0" w:line="263" w:lineRule="exact"/>
              <w:rPr>
                <w:sz w:val="20"/>
                <w:szCs w:val="20"/>
                <w:color w:val="auto"/>
              </w:rPr>
            </w:pPr>
            <w:r>
              <w:rPr>
                <w:rFonts w:ascii="Times New Roman" w:cs="Times New Roman" w:eastAsia="Times New Roman" w:hAnsi="Times New Roman"/>
                <w:sz w:val="24"/>
                <w:szCs w:val="24"/>
                <w:b w:val="1"/>
                <w:bCs w:val="1"/>
                <w:color w:val="auto"/>
              </w:rPr>
              <w:t>38.00</w:t>
            </w:r>
          </w:p>
        </w:tc>
        <w:tc>
          <w:tcPr>
            <w:tcW w:w="1860" w:type="dxa"/>
            <w:vAlign w:val="bottom"/>
            <w:tcBorders>
              <w:right w:val="single" w:sz="8" w:color="auto"/>
            </w:tcBorders>
          </w:tcPr>
          <w:p>
            <w:pPr>
              <w:jc w:val="right"/>
              <w:spacing w:after="0" w:line="263" w:lineRule="exact"/>
              <w:rPr>
                <w:sz w:val="20"/>
                <w:szCs w:val="20"/>
                <w:color w:val="auto"/>
              </w:rPr>
            </w:pPr>
            <w:r>
              <w:rPr>
                <w:rFonts w:ascii="Times New Roman" w:cs="Times New Roman" w:eastAsia="Times New Roman" w:hAnsi="Times New Roman"/>
                <w:sz w:val="24"/>
                <w:szCs w:val="24"/>
                <w:b w:val="1"/>
                <w:bCs w:val="1"/>
                <w:color w:val="auto"/>
              </w:rPr>
              <w:t>40.00</w:t>
            </w:r>
          </w:p>
        </w:tc>
      </w:tr>
      <w:tr>
        <w:trPr>
          <w:trHeight w:val="142"/>
        </w:trPr>
        <w:tc>
          <w:tcPr>
            <w:tcW w:w="1580" w:type="dxa"/>
            <w:vAlign w:val="bottom"/>
            <w:tcBorders>
              <w:left w:val="single" w:sz="8" w:color="auto"/>
              <w:bottom w:val="single" w:sz="8" w:color="auto"/>
              <w:right w:val="single" w:sz="8" w:color="auto"/>
            </w:tcBorders>
          </w:tcPr>
          <w:p>
            <w:pPr>
              <w:spacing w:after="0"/>
              <w:rPr>
                <w:sz w:val="12"/>
                <w:szCs w:val="12"/>
                <w:color w:val="auto"/>
              </w:rPr>
            </w:pPr>
          </w:p>
        </w:tc>
        <w:tc>
          <w:tcPr>
            <w:tcW w:w="1480" w:type="dxa"/>
            <w:vAlign w:val="bottom"/>
            <w:tcBorders>
              <w:bottom w:val="single" w:sz="8" w:color="auto"/>
              <w:right w:val="single" w:sz="8" w:color="auto"/>
            </w:tcBorders>
          </w:tcPr>
          <w:p>
            <w:pPr>
              <w:spacing w:after="0"/>
              <w:rPr>
                <w:sz w:val="12"/>
                <w:szCs w:val="12"/>
                <w:color w:val="auto"/>
              </w:rPr>
            </w:pPr>
          </w:p>
        </w:tc>
        <w:tc>
          <w:tcPr>
            <w:tcW w:w="2420" w:type="dxa"/>
            <w:vAlign w:val="bottom"/>
            <w:tcBorders>
              <w:bottom w:val="single" w:sz="8" w:color="auto"/>
              <w:right w:val="single" w:sz="8" w:color="auto"/>
            </w:tcBorders>
          </w:tcPr>
          <w:p>
            <w:pPr>
              <w:spacing w:after="0"/>
              <w:rPr>
                <w:sz w:val="12"/>
                <w:szCs w:val="12"/>
                <w:color w:val="auto"/>
              </w:rPr>
            </w:pPr>
          </w:p>
        </w:tc>
        <w:tc>
          <w:tcPr>
            <w:tcW w:w="2400" w:type="dxa"/>
            <w:vAlign w:val="bottom"/>
            <w:tcBorders>
              <w:bottom w:val="single" w:sz="8" w:color="auto"/>
              <w:right w:val="single" w:sz="8" w:color="auto"/>
            </w:tcBorders>
          </w:tcPr>
          <w:p>
            <w:pPr>
              <w:spacing w:after="0"/>
              <w:rPr>
                <w:sz w:val="12"/>
                <w:szCs w:val="12"/>
                <w:color w:val="auto"/>
              </w:rPr>
            </w:pPr>
          </w:p>
        </w:tc>
        <w:tc>
          <w:tcPr>
            <w:tcW w:w="1860" w:type="dxa"/>
            <w:vAlign w:val="bottom"/>
            <w:tcBorders>
              <w:bottom w:val="single" w:sz="8" w:color="auto"/>
              <w:right w:val="single" w:sz="8" w:color="auto"/>
            </w:tcBorders>
          </w:tcPr>
          <w:p>
            <w:pPr>
              <w:spacing w:after="0"/>
              <w:rPr>
                <w:sz w:val="12"/>
                <w:szCs w:val="12"/>
                <w:color w:val="auto"/>
              </w:rPr>
            </w:pPr>
          </w:p>
        </w:tc>
      </w:tr>
      <w:tr>
        <w:trPr>
          <w:trHeight w:val="659"/>
        </w:trPr>
        <w:tc>
          <w:tcPr>
            <w:tcW w:w="1580" w:type="dxa"/>
            <w:vAlign w:val="bottom"/>
          </w:tcPr>
          <w:p>
            <w:pPr>
              <w:spacing w:after="0"/>
              <w:rPr>
                <w:sz w:val="24"/>
                <w:szCs w:val="24"/>
                <w:color w:val="auto"/>
              </w:rPr>
            </w:pPr>
          </w:p>
        </w:tc>
        <w:tc>
          <w:tcPr>
            <w:tcW w:w="1480" w:type="dxa"/>
            <w:vAlign w:val="bottom"/>
          </w:tcPr>
          <w:p>
            <w:pPr>
              <w:spacing w:after="0"/>
              <w:rPr>
                <w:sz w:val="24"/>
                <w:szCs w:val="24"/>
                <w:color w:val="auto"/>
              </w:rPr>
            </w:pPr>
          </w:p>
        </w:tc>
        <w:tc>
          <w:tcPr>
            <w:tcW w:w="2420" w:type="dxa"/>
            <w:vAlign w:val="bottom"/>
          </w:tcPr>
          <w:p>
            <w:pPr>
              <w:jc w:val="right"/>
              <w:ind w:right="340"/>
              <w:spacing w:after="0"/>
              <w:rPr>
                <w:sz w:val="20"/>
                <w:szCs w:val="20"/>
                <w:color w:val="auto"/>
              </w:rPr>
            </w:pPr>
            <w:r>
              <w:rPr>
                <w:rFonts w:ascii="Times New Roman" w:cs="Times New Roman" w:eastAsia="Times New Roman" w:hAnsi="Times New Roman"/>
                <w:sz w:val="24"/>
                <w:szCs w:val="24"/>
                <w:color w:val="auto"/>
              </w:rPr>
              <w:t>400</w:t>
            </w:r>
          </w:p>
        </w:tc>
        <w:tc>
          <w:tcPr>
            <w:tcW w:w="2400" w:type="dxa"/>
            <w:vAlign w:val="bottom"/>
          </w:tcPr>
          <w:p>
            <w:pPr>
              <w:spacing w:after="0"/>
              <w:rPr>
                <w:sz w:val="24"/>
                <w:szCs w:val="24"/>
                <w:color w:val="auto"/>
              </w:rPr>
            </w:pPr>
          </w:p>
        </w:tc>
        <w:tc>
          <w:tcPr>
            <w:tcW w:w="1860" w:type="dxa"/>
            <w:vAlign w:val="bottom"/>
          </w:tcPr>
          <w:p>
            <w:pPr>
              <w:spacing w:after="0"/>
              <w:rPr>
                <w:sz w:val="24"/>
                <w:szCs w:val="24"/>
                <w:color w:val="auto"/>
              </w:rPr>
            </w:pPr>
          </w:p>
        </w:tc>
      </w:tr>
    </w:tbl>
    <w:p>
      <w:pPr>
        <w:sectPr>
          <w:pgSz w:w="11900" w:h="16836" w:orient="portrait"/>
          <w:cols w:equalWidth="0" w:num="1">
            <w:col w:w="9760"/>
          </w:cols>
          <w:pgMar w:left="1040" w:top="1131" w:right="1104" w:bottom="103" w:gutter="0" w:footer="0" w:header="0"/>
        </w:sectPr>
      </w:pPr>
    </w:p>
    <w:bookmarkStart w:id="400" w:name="page401"/>
    <w:bookmarkEnd w:id="400"/>
    <w:p>
      <w:pPr>
        <w:ind w:left="8"/>
        <w:spacing w:after="0"/>
        <w:rPr>
          <w:sz w:val="20"/>
          <w:szCs w:val="20"/>
          <w:color w:val="auto"/>
        </w:rPr>
      </w:pPr>
      <w:r>
        <w:rPr>
          <w:rFonts w:ascii="Times New Roman" w:cs="Times New Roman" w:eastAsia="Times New Roman" w:hAnsi="Times New Roman"/>
          <w:sz w:val="24"/>
          <w:szCs w:val="24"/>
          <w:b w:val="1"/>
          <w:bCs w:val="1"/>
          <w:color w:val="auto"/>
        </w:rPr>
        <w:t>Notes:</w:t>
      </w:r>
    </w:p>
    <w:p>
      <w:pPr>
        <w:spacing w:after="0" w:line="145" w:lineRule="exact"/>
        <w:rPr>
          <w:sz w:val="20"/>
          <w:szCs w:val="20"/>
          <w:color w:val="auto"/>
        </w:rPr>
      </w:pPr>
    </w:p>
    <w:p>
      <w:pPr>
        <w:ind w:left="568" w:hanging="568"/>
        <w:spacing w:after="0" w:line="350" w:lineRule="auto"/>
        <w:tabs>
          <w:tab w:leader="none" w:pos="568" w:val="left"/>
        </w:tabs>
        <w:numPr>
          <w:ilvl w:val="0"/>
          <w:numId w:val="120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illustration presumes compliance with the provisions of these regulations pertaining to minimum allotment.</w:t>
      </w:r>
    </w:p>
    <w:p>
      <w:pPr>
        <w:spacing w:after="0" w:line="23" w:lineRule="exact"/>
        <w:rPr>
          <w:rFonts w:ascii="Times New Roman" w:cs="Times New Roman" w:eastAsia="Times New Roman" w:hAnsi="Times New Roman"/>
          <w:sz w:val="24"/>
          <w:szCs w:val="24"/>
          <w:color w:val="auto"/>
        </w:rPr>
      </w:pPr>
    </w:p>
    <w:p>
      <w:pPr>
        <w:jc w:val="both"/>
        <w:ind w:left="568" w:hanging="568"/>
        <w:spacing w:after="0" w:line="354" w:lineRule="auto"/>
        <w:tabs>
          <w:tab w:leader="none" w:pos="568" w:val="left"/>
        </w:tabs>
        <w:numPr>
          <w:ilvl w:val="0"/>
          <w:numId w:val="120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Out of 40 crore securities allocated to QIBs, 2 crore equity shares (i.e. 5 per cent.) shall be allocated on a proportionate basis among 5 mutual fund applicants who applied for 200 crore equity shares in the QIB category.</w:t>
      </w:r>
    </w:p>
    <w:p>
      <w:pPr>
        <w:spacing w:after="0" w:line="22" w:lineRule="exact"/>
        <w:rPr>
          <w:rFonts w:ascii="Times New Roman" w:cs="Times New Roman" w:eastAsia="Times New Roman" w:hAnsi="Times New Roman"/>
          <w:sz w:val="24"/>
          <w:szCs w:val="24"/>
          <w:color w:val="auto"/>
        </w:rPr>
      </w:pPr>
    </w:p>
    <w:p>
      <w:pPr>
        <w:jc w:val="both"/>
        <w:ind w:left="568" w:hanging="568"/>
        <w:spacing w:after="0" w:line="354" w:lineRule="auto"/>
        <w:tabs>
          <w:tab w:leader="none" w:pos="568" w:val="left"/>
        </w:tabs>
        <w:numPr>
          <w:ilvl w:val="0"/>
          <w:numId w:val="120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balance 38 crore equity shares, i.e. 40 – 2 available for the mutual funds, shall be allocated on a proportionate basis among 10 QIB applicants who applied for 500 crore equity shares (including 5 mutual fund applicants who applied for 200 crore equity shares).</w:t>
      </w:r>
    </w:p>
    <w:p>
      <w:pPr>
        <w:spacing w:after="0" w:line="7"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20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figures at column no. IV are arrived as under:</w:t>
      </w:r>
    </w:p>
    <w:p>
      <w:pPr>
        <w:spacing w:after="0" w:line="151" w:lineRule="exact"/>
        <w:rPr>
          <w:rFonts w:ascii="Times New Roman" w:cs="Times New Roman" w:eastAsia="Times New Roman" w:hAnsi="Times New Roman"/>
          <w:sz w:val="24"/>
          <w:szCs w:val="24"/>
          <w:color w:val="auto"/>
        </w:rPr>
      </w:pPr>
    </w:p>
    <w:p>
      <w:pPr>
        <w:ind w:left="1148" w:hanging="572"/>
        <w:spacing w:after="0" w:line="348" w:lineRule="auto"/>
        <w:tabs>
          <w:tab w:leader="none" w:pos="1148" w:val="left"/>
        </w:tabs>
        <w:numPr>
          <w:ilvl w:val="1"/>
          <w:numId w:val="120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For QIBs other than mutual funds (A1 to A5) = No. of equity shares bid for (i.e. column no. II) X 38 / 498</w:t>
      </w:r>
    </w:p>
    <w:p>
      <w:pPr>
        <w:spacing w:after="0" w:line="27" w:lineRule="exact"/>
        <w:rPr>
          <w:rFonts w:ascii="Times New Roman" w:cs="Times New Roman" w:eastAsia="Times New Roman" w:hAnsi="Times New Roman"/>
          <w:sz w:val="24"/>
          <w:szCs w:val="24"/>
          <w:color w:val="auto"/>
        </w:rPr>
      </w:pPr>
    </w:p>
    <w:p>
      <w:pPr>
        <w:ind w:left="1148" w:hanging="572"/>
        <w:spacing w:after="0" w:line="348" w:lineRule="auto"/>
        <w:tabs>
          <w:tab w:leader="none" w:pos="1148" w:val="left"/>
        </w:tabs>
        <w:numPr>
          <w:ilvl w:val="1"/>
          <w:numId w:val="120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For mutual funds (MF1 to MF5) = {(No. of equity shares bid for (i.e. column no. II) less no. of equity shares allotted (i.e. column no. III )} X 38 / 498</w:t>
      </w:r>
    </w:p>
    <w:p>
      <w:pPr>
        <w:spacing w:after="0" w:line="27" w:lineRule="exact"/>
        <w:rPr>
          <w:rFonts w:ascii="Times New Roman" w:cs="Times New Roman" w:eastAsia="Times New Roman" w:hAnsi="Times New Roman"/>
          <w:sz w:val="24"/>
          <w:szCs w:val="24"/>
          <w:color w:val="auto"/>
        </w:rPr>
      </w:pPr>
    </w:p>
    <w:p>
      <w:pPr>
        <w:jc w:val="both"/>
        <w:ind w:left="1148" w:hanging="572"/>
        <w:spacing w:after="0" w:line="354" w:lineRule="auto"/>
        <w:tabs>
          <w:tab w:leader="none" w:pos="1148" w:val="left"/>
        </w:tabs>
        <w:numPr>
          <w:ilvl w:val="1"/>
          <w:numId w:val="120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numerator and denominator for arriving at allocation of 38 crore equity shares to the 10 QIBs are reduced by 2 crore equity shares, which have already been allotted to the mutual funds at column. no. III.</w:t>
      </w:r>
    </w:p>
    <w:p>
      <w:pPr>
        <w:spacing w:after="0" w:line="200" w:lineRule="exact"/>
        <w:rPr>
          <w:sz w:val="20"/>
          <w:szCs w:val="20"/>
          <w:color w:val="auto"/>
        </w:rPr>
      </w:pPr>
    </w:p>
    <w:p>
      <w:pPr>
        <w:spacing w:after="0" w:line="228"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Part D - Alternate method of book building</w:t>
      </w:r>
    </w:p>
    <w:p>
      <w:pPr>
        <w:spacing w:after="0" w:line="200" w:lineRule="exact"/>
        <w:rPr>
          <w:sz w:val="20"/>
          <w:szCs w:val="20"/>
          <w:color w:val="auto"/>
        </w:rPr>
      </w:pPr>
    </w:p>
    <w:p>
      <w:pPr>
        <w:spacing w:after="0" w:line="359" w:lineRule="exact"/>
        <w:rPr>
          <w:sz w:val="20"/>
          <w:szCs w:val="20"/>
          <w:color w:val="auto"/>
        </w:rPr>
      </w:pPr>
    </w:p>
    <w:p>
      <w:pPr>
        <w:ind w:left="8"/>
        <w:spacing w:after="0" w:line="348" w:lineRule="auto"/>
        <w:rPr>
          <w:sz w:val="20"/>
          <w:szCs w:val="20"/>
          <w:color w:val="auto"/>
        </w:rPr>
      </w:pPr>
      <w:r>
        <w:rPr>
          <w:rFonts w:ascii="Times New Roman" w:cs="Times New Roman" w:eastAsia="Times New Roman" w:hAnsi="Times New Roman"/>
          <w:sz w:val="24"/>
          <w:szCs w:val="24"/>
          <w:color w:val="auto"/>
        </w:rPr>
        <w:t>In the case of a further public offering, the issuer may opt for an alternate method of book building, subject to the following:</w:t>
      </w:r>
    </w:p>
    <w:p>
      <w:pPr>
        <w:spacing w:after="0" w:line="200" w:lineRule="exact"/>
        <w:rPr>
          <w:sz w:val="20"/>
          <w:szCs w:val="20"/>
          <w:color w:val="auto"/>
        </w:rPr>
      </w:pPr>
    </w:p>
    <w:p>
      <w:pPr>
        <w:spacing w:after="0" w:line="241" w:lineRule="exact"/>
        <w:rPr>
          <w:sz w:val="20"/>
          <w:szCs w:val="20"/>
          <w:color w:val="auto"/>
        </w:rPr>
      </w:pPr>
    </w:p>
    <w:p>
      <w:pPr>
        <w:ind w:left="408" w:hanging="408"/>
        <w:spacing w:after="0" w:line="350" w:lineRule="auto"/>
        <w:tabs>
          <w:tab w:leader="none" w:pos="408" w:val="left"/>
        </w:tabs>
        <w:numPr>
          <w:ilvl w:val="0"/>
          <w:numId w:val="12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follow the procedure laid down in Part A of this Schedule except clause (13) and clause (15) (c) thereof.</w:t>
      </w:r>
    </w:p>
    <w:p>
      <w:pPr>
        <w:spacing w:after="0" w:line="23" w:lineRule="exact"/>
        <w:rPr>
          <w:rFonts w:ascii="Times New Roman" w:cs="Times New Roman" w:eastAsia="Times New Roman" w:hAnsi="Times New Roman"/>
          <w:sz w:val="24"/>
          <w:szCs w:val="24"/>
          <w:color w:val="auto"/>
        </w:rPr>
      </w:pPr>
    </w:p>
    <w:p>
      <w:pPr>
        <w:jc w:val="both"/>
        <w:ind w:left="408" w:hanging="408"/>
        <w:spacing w:after="0" w:line="354" w:lineRule="auto"/>
        <w:tabs>
          <w:tab w:leader="none" w:pos="408" w:val="left"/>
        </w:tabs>
        <w:numPr>
          <w:ilvl w:val="0"/>
          <w:numId w:val="12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may mention the floor price in the red herring prospectus or announce the floor price at least one working day before opening of the issue in all newspapers in which the pre-issue advertisement was released.</w:t>
      </w:r>
    </w:p>
    <w:p>
      <w:pPr>
        <w:spacing w:after="0" w:line="9" w:lineRule="exact"/>
        <w:rPr>
          <w:rFonts w:ascii="Times New Roman" w:cs="Times New Roman" w:eastAsia="Times New Roman" w:hAnsi="Times New Roman"/>
          <w:sz w:val="24"/>
          <w:szCs w:val="24"/>
          <w:color w:val="auto"/>
        </w:rPr>
      </w:pPr>
    </w:p>
    <w:p>
      <w:pPr>
        <w:ind w:left="408" w:hanging="408"/>
        <w:spacing w:after="0"/>
        <w:tabs>
          <w:tab w:leader="none" w:pos="408" w:val="left"/>
        </w:tabs>
        <w:numPr>
          <w:ilvl w:val="0"/>
          <w:numId w:val="12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Qualified institutional buyers shall bid only at a price above the floor price.</w:t>
      </w:r>
    </w:p>
    <w:p>
      <w:pPr>
        <w:spacing w:after="0" w:line="149" w:lineRule="exact"/>
        <w:rPr>
          <w:rFonts w:ascii="Times New Roman" w:cs="Times New Roman" w:eastAsia="Times New Roman" w:hAnsi="Times New Roman"/>
          <w:sz w:val="24"/>
          <w:szCs w:val="24"/>
          <w:color w:val="auto"/>
        </w:rPr>
      </w:pPr>
    </w:p>
    <w:p>
      <w:pPr>
        <w:jc w:val="both"/>
        <w:ind w:left="408" w:hanging="408"/>
        <w:spacing w:after="0" w:line="354" w:lineRule="auto"/>
        <w:tabs>
          <w:tab w:leader="none" w:pos="408" w:val="left"/>
        </w:tabs>
        <w:numPr>
          <w:ilvl w:val="0"/>
          <w:numId w:val="12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bidder who bids at the highest price shall be allotted the number of securities it has bid for, the bidder who has bid at the second highest price shall be allotted the number of securities that it has bid for and so on, until all the specified securities on offer are allotted.</w:t>
      </w:r>
    </w:p>
    <w:p>
      <w:pPr>
        <w:spacing w:after="0" w:line="10" w:lineRule="exact"/>
        <w:rPr>
          <w:rFonts w:ascii="Times New Roman" w:cs="Times New Roman" w:eastAsia="Times New Roman" w:hAnsi="Times New Roman"/>
          <w:sz w:val="24"/>
          <w:szCs w:val="24"/>
          <w:color w:val="auto"/>
        </w:rPr>
      </w:pPr>
    </w:p>
    <w:p>
      <w:pPr>
        <w:ind w:left="408" w:hanging="408"/>
        <w:spacing w:after="0"/>
        <w:tabs>
          <w:tab w:leader="none" w:pos="408" w:val="left"/>
        </w:tabs>
        <w:numPr>
          <w:ilvl w:val="0"/>
          <w:numId w:val="12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Allotment shall be on a price priority basis for the qualified institutional buyers.</w:t>
      </w:r>
    </w:p>
    <w:p>
      <w:pPr>
        <w:spacing w:after="0" w:line="149" w:lineRule="exact"/>
        <w:rPr>
          <w:rFonts w:ascii="Times New Roman" w:cs="Times New Roman" w:eastAsia="Times New Roman" w:hAnsi="Times New Roman"/>
          <w:sz w:val="24"/>
          <w:szCs w:val="24"/>
          <w:color w:val="auto"/>
        </w:rPr>
      </w:pPr>
    </w:p>
    <w:p>
      <w:pPr>
        <w:ind w:left="408" w:hanging="408"/>
        <w:spacing w:after="0" w:line="350" w:lineRule="auto"/>
        <w:tabs>
          <w:tab w:leader="none" w:pos="408" w:val="left"/>
        </w:tabs>
        <w:numPr>
          <w:ilvl w:val="0"/>
          <w:numId w:val="12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Allotment to the retail individual investors, non-institutional investors and reserved categories of the issuer shall be made on a proportionate basis as illustrated in this Schedule.</w:t>
      </w:r>
    </w:p>
    <w:p>
      <w:pPr>
        <w:spacing w:after="0" w:line="268"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401</w:t>
      </w:r>
    </w:p>
    <w:p>
      <w:pPr>
        <w:sectPr>
          <w:pgSz w:w="11900" w:h="16836" w:orient="portrait"/>
          <w:cols w:equalWidth="0" w:num="1">
            <w:col w:w="9468"/>
          </w:cols>
          <w:pgMar w:left="1152" w:top="1149" w:right="1284" w:bottom="103" w:gutter="0" w:footer="0" w:header="0"/>
        </w:sectPr>
      </w:pPr>
    </w:p>
    <w:bookmarkStart w:id="401" w:name="page402"/>
    <w:bookmarkEnd w:id="401"/>
    <w:p>
      <w:pPr>
        <w:ind w:left="408" w:hanging="408"/>
        <w:spacing w:after="0" w:line="348" w:lineRule="auto"/>
        <w:tabs>
          <w:tab w:leader="none" w:pos="408" w:val="left"/>
        </w:tabs>
        <w:numPr>
          <w:ilvl w:val="0"/>
          <w:numId w:val="12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Where, however, the number of specified securities bid for at a price are more than the available quantity, the allotment shall be done on a proportionate basis.</w:t>
      </w:r>
    </w:p>
    <w:p>
      <w:pPr>
        <w:spacing w:after="0" w:line="28" w:lineRule="exact"/>
        <w:rPr>
          <w:rFonts w:ascii="Times New Roman" w:cs="Times New Roman" w:eastAsia="Times New Roman" w:hAnsi="Times New Roman"/>
          <w:sz w:val="24"/>
          <w:szCs w:val="24"/>
          <w:color w:val="auto"/>
        </w:rPr>
      </w:pPr>
    </w:p>
    <w:p>
      <w:pPr>
        <w:ind w:left="408" w:hanging="408"/>
        <w:spacing w:after="0" w:line="348" w:lineRule="auto"/>
        <w:tabs>
          <w:tab w:leader="none" w:pos="408" w:val="left"/>
        </w:tabs>
        <w:numPr>
          <w:ilvl w:val="0"/>
          <w:numId w:val="12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Retail individual investors and non-institutional investors shall be allotted specified securities at the floor price.</w:t>
      </w:r>
    </w:p>
    <w:p>
      <w:pPr>
        <w:spacing w:after="0" w:line="15" w:lineRule="exact"/>
        <w:rPr>
          <w:rFonts w:ascii="Times New Roman" w:cs="Times New Roman" w:eastAsia="Times New Roman" w:hAnsi="Times New Roman"/>
          <w:sz w:val="24"/>
          <w:szCs w:val="24"/>
          <w:color w:val="auto"/>
        </w:rPr>
      </w:pPr>
    </w:p>
    <w:p>
      <w:pPr>
        <w:ind w:left="408" w:hanging="408"/>
        <w:spacing w:after="0"/>
        <w:tabs>
          <w:tab w:leader="none" w:pos="408" w:val="left"/>
        </w:tabs>
        <w:numPr>
          <w:ilvl w:val="0"/>
          <w:numId w:val="12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Employees may be allotted specified securities at a price lower than the floor price;</w:t>
      </w:r>
    </w:p>
    <w:p>
      <w:pPr>
        <w:spacing w:after="0" w:line="149" w:lineRule="exact"/>
        <w:rPr>
          <w:rFonts w:ascii="Times New Roman" w:cs="Times New Roman" w:eastAsia="Times New Roman" w:hAnsi="Times New Roman"/>
          <w:sz w:val="24"/>
          <w:szCs w:val="24"/>
          <w:color w:val="auto"/>
        </w:rPr>
      </w:pPr>
    </w:p>
    <w:p>
      <w:pPr>
        <w:ind w:left="408"/>
        <w:spacing w:after="0" w:line="350"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Provided that </w:t>
      </w:r>
      <w:r>
        <w:rPr>
          <w:rFonts w:ascii="Times New Roman" w:cs="Times New Roman" w:eastAsia="Times New Roman" w:hAnsi="Times New Roman"/>
          <w:sz w:val="24"/>
          <w:szCs w:val="24"/>
          <w:color w:val="auto"/>
        </w:rPr>
        <w:t>the difference between the floor price and the price at which the specified</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securities are offered to employees shall not be more than ten per cent. of the floor price.</w:t>
      </w:r>
    </w:p>
    <w:p>
      <w:pPr>
        <w:spacing w:after="0" w:line="10" w:lineRule="exact"/>
        <w:rPr>
          <w:rFonts w:ascii="Times New Roman" w:cs="Times New Roman" w:eastAsia="Times New Roman" w:hAnsi="Times New Roman"/>
          <w:sz w:val="24"/>
          <w:szCs w:val="24"/>
          <w:color w:val="auto"/>
        </w:rPr>
      </w:pPr>
    </w:p>
    <w:p>
      <w:pPr>
        <w:ind w:left="408" w:hanging="408"/>
        <w:spacing w:after="0"/>
        <w:tabs>
          <w:tab w:leader="none" w:pos="408" w:val="left"/>
        </w:tabs>
        <w:numPr>
          <w:ilvl w:val="0"/>
          <w:numId w:val="12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may decide and disclose in the offer document:</w:t>
      </w:r>
    </w:p>
    <w:p>
      <w:pPr>
        <w:spacing w:after="0" w:line="152" w:lineRule="exact"/>
        <w:rPr>
          <w:rFonts w:ascii="Times New Roman" w:cs="Times New Roman" w:eastAsia="Times New Roman" w:hAnsi="Times New Roman"/>
          <w:sz w:val="24"/>
          <w:szCs w:val="24"/>
          <w:color w:val="auto"/>
        </w:rPr>
      </w:pPr>
    </w:p>
    <w:p>
      <w:pPr>
        <w:ind w:left="728" w:hanging="327"/>
        <w:spacing w:after="0" w:line="342" w:lineRule="auto"/>
        <w:tabs>
          <w:tab w:leader="none" w:pos="728" w:val="left"/>
        </w:tabs>
        <w:numPr>
          <w:ilvl w:val="1"/>
          <w:numId w:val="1211"/>
        </w:numPr>
        <w:rPr>
          <w:rFonts w:ascii="Calibri" w:cs="Calibri" w:eastAsia="Calibri" w:hAnsi="Calibri"/>
          <w:sz w:val="22"/>
          <w:szCs w:val="22"/>
          <w:color w:val="auto"/>
        </w:rPr>
      </w:pPr>
      <w:r>
        <w:rPr>
          <w:rFonts w:ascii="Times New Roman" w:cs="Times New Roman" w:eastAsia="Times New Roman" w:hAnsi="Times New Roman"/>
          <w:sz w:val="24"/>
          <w:szCs w:val="24"/>
          <w:color w:val="auto"/>
        </w:rPr>
        <w:t>to place a cap either in terms of number of specified securities or percentage of issued capital of the issuer that may be allotted to a single bidder;</w:t>
      </w:r>
    </w:p>
    <w:p>
      <w:pPr>
        <w:spacing w:after="0" w:line="31" w:lineRule="exact"/>
        <w:rPr>
          <w:rFonts w:ascii="Calibri" w:cs="Calibri" w:eastAsia="Calibri" w:hAnsi="Calibri"/>
          <w:sz w:val="22"/>
          <w:szCs w:val="22"/>
          <w:color w:val="auto"/>
        </w:rPr>
      </w:pPr>
    </w:p>
    <w:p>
      <w:pPr>
        <w:ind w:left="728" w:hanging="327"/>
        <w:spacing w:after="0" w:line="342" w:lineRule="auto"/>
        <w:tabs>
          <w:tab w:leader="none" w:pos="728" w:val="left"/>
        </w:tabs>
        <w:numPr>
          <w:ilvl w:val="1"/>
          <w:numId w:val="1211"/>
        </w:numPr>
        <w:rPr>
          <w:rFonts w:ascii="Calibri" w:cs="Calibri" w:eastAsia="Calibri" w:hAnsi="Calibri"/>
          <w:sz w:val="22"/>
          <w:szCs w:val="22"/>
          <w:color w:val="auto"/>
        </w:rPr>
      </w:pPr>
      <w:r>
        <w:rPr>
          <w:rFonts w:ascii="Times New Roman" w:cs="Times New Roman" w:eastAsia="Times New Roman" w:hAnsi="Times New Roman"/>
          <w:sz w:val="24"/>
          <w:szCs w:val="24"/>
          <w:color w:val="auto"/>
        </w:rPr>
        <w:t>whether a bidder shall be allowed to revise the bid upwards or downwards in terms of price and/or quantity;</w:t>
      </w:r>
    </w:p>
    <w:p>
      <w:pPr>
        <w:spacing w:after="0" w:line="11" w:lineRule="exact"/>
        <w:rPr>
          <w:rFonts w:ascii="Calibri" w:cs="Calibri" w:eastAsia="Calibri" w:hAnsi="Calibri"/>
          <w:sz w:val="22"/>
          <w:szCs w:val="22"/>
          <w:color w:val="auto"/>
        </w:rPr>
      </w:pPr>
    </w:p>
    <w:p>
      <w:pPr>
        <w:ind w:left="728" w:hanging="327"/>
        <w:spacing w:after="0"/>
        <w:tabs>
          <w:tab w:leader="none" w:pos="728" w:val="left"/>
        </w:tabs>
        <w:numPr>
          <w:ilvl w:val="1"/>
          <w:numId w:val="1211"/>
        </w:numPr>
        <w:rPr>
          <w:rFonts w:ascii="Calibri" w:cs="Calibri" w:eastAsia="Calibri" w:hAnsi="Calibri"/>
          <w:sz w:val="22"/>
          <w:szCs w:val="22"/>
          <w:color w:val="auto"/>
        </w:rPr>
      </w:pPr>
      <w:r>
        <w:rPr>
          <w:rFonts w:ascii="Times New Roman" w:cs="Times New Roman" w:eastAsia="Times New Roman" w:hAnsi="Times New Roman"/>
          <w:sz w:val="24"/>
          <w:szCs w:val="24"/>
          <w:color w:val="auto"/>
        </w:rPr>
        <w:t>whether a bidder shall be allowed only a single or multiple bids.</w:t>
      </w:r>
    </w:p>
    <w:p>
      <w:pPr>
        <w:spacing w:after="0" w:line="200" w:lineRule="exact"/>
        <w:rPr>
          <w:sz w:val="20"/>
          <w:szCs w:val="20"/>
          <w:color w:val="auto"/>
        </w:rPr>
      </w:pPr>
    </w:p>
    <w:p>
      <w:pPr>
        <w:spacing w:after="0" w:line="357"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SCHEDULE XIV - ILLUSTRATION EXPLAINING THE PROCEDURE OF</w:t>
      </w:r>
    </w:p>
    <w:p>
      <w:pPr>
        <w:spacing w:after="0" w:line="137"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ALLOTMENT</w:t>
      </w:r>
    </w:p>
    <w:p>
      <w:pPr>
        <w:spacing w:after="0" w:line="140" w:lineRule="exact"/>
        <w:rPr>
          <w:sz w:val="20"/>
          <w:szCs w:val="20"/>
          <w:color w:val="auto"/>
        </w:rPr>
      </w:pPr>
    </w:p>
    <w:p>
      <w:pPr>
        <w:jc w:val="center"/>
        <w:ind w:right="-67"/>
        <w:spacing w:after="0"/>
        <w:rPr>
          <w:sz w:val="20"/>
          <w:szCs w:val="20"/>
          <w:color w:val="auto"/>
        </w:rPr>
      </w:pPr>
      <w:r>
        <w:rPr>
          <w:rFonts w:ascii="Times New Roman" w:cs="Times New Roman" w:eastAsia="Times New Roman" w:hAnsi="Times New Roman"/>
          <w:sz w:val="24"/>
          <w:szCs w:val="24"/>
          <w:b w:val="1"/>
          <w:bCs w:val="1"/>
          <w:color w:val="auto"/>
        </w:rPr>
        <w:t>[See regulation 47(3), 49(5), 145(5), 192(1)(a), 204(4), 267(3), 143(3) and 268(5)]</w:t>
      </w:r>
    </w:p>
    <w:p>
      <w:pPr>
        <w:spacing w:after="0" w:line="200" w:lineRule="exact"/>
        <w:rPr>
          <w:sz w:val="20"/>
          <w:szCs w:val="20"/>
          <w:color w:val="auto"/>
        </w:rPr>
      </w:pPr>
    </w:p>
    <w:p>
      <w:pPr>
        <w:spacing w:after="0" w:line="352"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Part A - Illustration explaining the procedure of allotment</w:t>
      </w:r>
    </w:p>
    <w:p>
      <w:pPr>
        <w:spacing w:after="0" w:line="200" w:lineRule="exact"/>
        <w:rPr>
          <w:sz w:val="20"/>
          <w:szCs w:val="20"/>
          <w:color w:val="auto"/>
        </w:rPr>
      </w:pPr>
    </w:p>
    <w:p>
      <w:pPr>
        <w:spacing w:after="0" w:line="35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Example A.</w:t>
      </w:r>
    </w:p>
    <w:p>
      <w:pPr>
        <w:spacing w:after="0" w:line="132" w:lineRule="exact"/>
        <w:rPr>
          <w:sz w:val="20"/>
          <w:szCs w:val="20"/>
          <w:color w:val="auto"/>
        </w:rPr>
      </w:pPr>
    </w:p>
    <w:p>
      <w:pPr>
        <w:ind w:left="348" w:hanging="348"/>
        <w:spacing w:after="0"/>
        <w:tabs>
          <w:tab w:leader="none" w:pos="348" w:val="left"/>
        </w:tabs>
        <w:numPr>
          <w:ilvl w:val="0"/>
          <w:numId w:val="12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Total number of specified securities on offer@ ` 600 per share: 1 crore specified securities.</w:t>
      </w:r>
    </w:p>
    <w:p>
      <w:pPr>
        <w:spacing w:after="0" w:line="200" w:lineRule="exact"/>
        <w:rPr>
          <w:rFonts w:ascii="Times New Roman" w:cs="Times New Roman" w:eastAsia="Times New Roman" w:hAnsi="Times New Roman"/>
          <w:sz w:val="24"/>
          <w:szCs w:val="24"/>
          <w:color w:val="auto"/>
        </w:rPr>
      </w:pPr>
    </w:p>
    <w:p>
      <w:pPr>
        <w:spacing w:after="0" w:line="364" w:lineRule="exact"/>
        <w:rPr>
          <w:rFonts w:ascii="Times New Roman" w:cs="Times New Roman" w:eastAsia="Times New Roman" w:hAnsi="Times New Roman"/>
          <w:sz w:val="24"/>
          <w:szCs w:val="24"/>
          <w:color w:val="auto"/>
        </w:rPr>
      </w:pPr>
    </w:p>
    <w:p>
      <w:pPr>
        <w:ind w:left="8" w:hanging="8"/>
        <w:spacing w:after="0" w:line="350" w:lineRule="auto"/>
        <w:tabs>
          <w:tab w:leader="none" w:pos="415" w:val="left"/>
        </w:tabs>
        <w:numPr>
          <w:ilvl w:val="0"/>
          <w:numId w:val="12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Specified securities on offer for retail individual investors’ category: 35 lakh specified securities.</w:t>
      </w:r>
    </w:p>
    <w:p>
      <w:pPr>
        <w:spacing w:after="0" w:line="200" w:lineRule="exact"/>
        <w:rPr>
          <w:rFonts w:ascii="Times New Roman" w:cs="Times New Roman" w:eastAsia="Times New Roman" w:hAnsi="Times New Roman"/>
          <w:sz w:val="24"/>
          <w:szCs w:val="24"/>
          <w:color w:val="auto"/>
        </w:rPr>
      </w:pPr>
    </w:p>
    <w:p>
      <w:pPr>
        <w:spacing w:after="0" w:line="226" w:lineRule="exact"/>
        <w:rPr>
          <w:rFonts w:ascii="Times New Roman" w:cs="Times New Roman" w:eastAsia="Times New Roman" w:hAnsi="Times New Roman"/>
          <w:sz w:val="24"/>
          <w:szCs w:val="24"/>
          <w:color w:val="auto"/>
        </w:rPr>
      </w:pPr>
    </w:p>
    <w:p>
      <w:pPr>
        <w:ind w:left="348" w:hanging="348"/>
        <w:spacing w:after="0"/>
        <w:tabs>
          <w:tab w:leader="none" w:pos="348" w:val="left"/>
        </w:tabs>
        <w:numPr>
          <w:ilvl w:val="0"/>
          <w:numId w:val="12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 is over-all subscribed by 2.5 times, whereas the retail individual investors’ category</w:t>
      </w:r>
    </w:p>
    <w:p>
      <w:pPr>
        <w:spacing w:after="0" w:line="13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is oversubscribed 4 times.</w:t>
      </w:r>
    </w:p>
    <w:p>
      <w:pPr>
        <w:spacing w:after="0" w:line="200" w:lineRule="exact"/>
        <w:rPr>
          <w:sz w:val="20"/>
          <w:szCs w:val="20"/>
          <w:color w:val="auto"/>
        </w:rPr>
      </w:pPr>
    </w:p>
    <w:p>
      <w:pPr>
        <w:spacing w:after="0" w:line="364" w:lineRule="exact"/>
        <w:rPr>
          <w:sz w:val="20"/>
          <w:szCs w:val="20"/>
          <w:color w:val="auto"/>
        </w:rPr>
      </w:pPr>
    </w:p>
    <w:p>
      <w:pPr>
        <w:ind w:left="8" w:hanging="8"/>
        <w:spacing w:after="0" w:line="350" w:lineRule="auto"/>
        <w:tabs>
          <w:tab w:leader="none" w:pos="348" w:val="left"/>
        </w:tabs>
        <w:numPr>
          <w:ilvl w:val="0"/>
          <w:numId w:val="12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has fixed the minimum application/bid size as 20 specified securities (falling within the range of ten thousand to fifteen thousand rupees) and in multiples thereof.</w:t>
      </w:r>
    </w:p>
    <w:p>
      <w:pPr>
        <w:spacing w:after="0" w:line="200" w:lineRule="exact"/>
        <w:rPr>
          <w:rFonts w:ascii="Times New Roman" w:cs="Times New Roman" w:eastAsia="Times New Roman" w:hAnsi="Times New Roman"/>
          <w:sz w:val="24"/>
          <w:szCs w:val="24"/>
          <w:color w:val="auto"/>
        </w:rPr>
      </w:pPr>
    </w:p>
    <w:p>
      <w:pPr>
        <w:spacing w:after="0" w:line="238" w:lineRule="exact"/>
        <w:rPr>
          <w:rFonts w:ascii="Times New Roman" w:cs="Times New Roman" w:eastAsia="Times New Roman" w:hAnsi="Times New Roman"/>
          <w:sz w:val="24"/>
          <w:szCs w:val="24"/>
          <w:color w:val="auto"/>
        </w:rPr>
      </w:pPr>
    </w:p>
    <w:p>
      <w:pPr>
        <w:jc w:val="both"/>
        <w:ind w:left="8" w:hanging="8"/>
        <w:spacing w:after="0" w:line="354" w:lineRule="auto"/>
        <w:tabs>
          <w:tab w:leader="none" w:pos="360" w:val="left"/>
        </w:tabs>
        <w:numPr>
          <w:ilvl w:val="0"/>
          <w:numId w:val="12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total of one lakh retail individual investors have applied in the issue, in varying number of bid lots i.e. between 1 – 16 bid lots, based on the maximum application size of up to two lakh rupees.</w:t>
      </w:r>
    </w:p>
    <w:p>
      <w:pPr>
        <w:spacing w:after="0" w:line="264"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402</w:t>
      </w:r>
    </w:p>
    <w:p>
      <w:pPr>
        <w:sectPr>
          <w:pgSz w:w="11900" w:h="16836" w:orient="portrait"/>
          <w:cols w:equalWidth="0" w:num="1">
            <w:col w:w="9468"/>
          </w:cols>
          <w:pgMar w:left="1152" w:top="1156" w:right="1284" w:bottom="103" w:gutter="0" w:footer="0" w:header="0"/>
        </w:sectPr>
      </w:pPr>
    </w:p>
    <w:bookmarkStart w:id="402" w:name="page403"/>
    <w:bookmarkEnd w:id="402"/>
    <w:p>
      <w:pPr>
        <w:spacing w:after="0" w:line="130" w:lineRule="exact"/>
        <w:rPr>
          <w:sz w:val="20"/>
          <w:szCs w:val="20"/>
          <w:color w:val="auto"/>
        </w:rPr>
      </w:pPr>
    </w:p>
    <w:p>
      <w:pPr>
        <w:jc w:val="both"/>
        <w:ind w:left="20" w:right="80" w:hanging="8"/>
        <w:spacing w:after="0" w:line="356" w:lineRule="auto"/>
        <w:tabs>
          <w:tab w:leader="none" w:pos="373" w:val="left"/>
        </w:tabs>
        <w:numPr>
          <w:ilvl w:val="0"/>
          <w:numId w:val="12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Out of the one lakh investors, there are five retail individual investors A, B, C, D and E who have applied as follows: A has applied for 320 specified securities. B has applied for 220 specified securities. C has applied for 120 specified securities. D has applied for 60 specified securities and E has applied for 20 specified securities.</w:t>
      </w:r>
    </w:p>
    <w:p>
      <w:pPr>
        <w:spacing w:after="0" w:line="200" w:lineRule="exact"/>
        <w:rPr>
          <w:rFonts w:ascii="Times New Roman" w:cs="Times New Roman" w:eastAsia="Times New Roman" w:hAnsi="Times New Roman"/>
          <w:sz w:val="24"/>
          <w:szCs w:val="24"/>
          <w:color w:val="auto"/>
        </w:rPr>
      </w:pPr>
    </w:p>
    <w:p>
      <w:pPr>
        <w:spacing w:after="0" w:line="233" w:lineRule="exact"/>
        <w:rPr>
          <w:rFonts w:ascii="Times New Roman" w:cs="Times New Roman" w:eastAsia="Times New Roman" w:hAnsi="Times New Roman"/>
          <w:sz w:val="24"/>
          <w:szCs w:val="24"/>
          <w:color w:val="auto"/>
        </w:rPr>
      </w:pPr>
    </w:p>
    <w:p>
      <w:pPr>
        <w:jc w:val="both"/>
        <w:ind w:left="20" w:right="80" w:hanging="8"/>
        <w:spacing w:after="0" w:line="354" w:lineRule="auto"/>
        <w:tabs>
          <w:tab w:leader="none" w:pos="358" w:val="left"/>
        </w:tabs>
        <w:numPr>
          <w:ilvl w:val="0"/>
          <w:numId w:val="12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As the allotment to a retail individual investor cannot be less than the minimum bid lot, subject to availability of shares, the remaining available shares, if any, shall be allotted on a proportionate basis.</w:t>
      </w:r>
    </w:p>
    <w:p>
      <w:pPr>
        <w:spacing w:after="0" w:line="200" w:lineRule="exact"/>
        <w:rPr>
          <w:sz w:val="20"/>
          <w:szCs w:val="20"/>
          <w:color w:val="auto"/>
        </w:rPr>
      </w:pPr>
    </w:p>
    <w:p>
      <w:pPr>
        <w:spacing w:after="0" w:line="223"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4"/>
          <w:szCs w:val="24"/>
          <w:color w:val="auto"/>
        </w:rPr>
        <w:t>The actual entitlement shall be as follows:</w:t>
      </w:r>
    </w:p>
    <w:p>
      <w:pPr>
        <w:spacing w:after="0" w:line="200" w:lineRule="exact"/>
        <w:rPr>
          <w:sz w:val="20"/>
          <w:szCs w:val="20"/>
          <w:color w:val="auto"/>
        </w:rPr>
      </w:pPr>
    </w:p>
    <w:p>
      <w:pPr>
        <w:spacing w:after="0" w:line="340" w:lineRule="exact"/>
        <w:rPr>
          <w:sz w:val="20"/>
          <w:szCs w:val="20"/>
          <w:color w:val="auto"/>
        </w:rPr>
      </w:pPr>
    </w:p>
    <w:tbl>
      <w:tblPr>
        <w:tblLayout w:type="fixed"/>
        <w:tblInd w:w="10" w:type="dxa"/>
        <w:tblCellMar>
          <w:top w:w="0" w:type="dxa"/>
          <w:left w:w="0" w:type="dxa"/>
          <w:bottom w:w="0" w:type="dxa"/>
          <w:right w:w="0" w:type="dxa"/>
        </w:tblCellMar>
      </w:tblPr>
      <w:tr>
        <w:trPr>
          <w:trHeight w:val="283"/>
        </w:trPr>
        <w:tc>
          <w:tcPr>
            <w:tcW w:w="940" w:type="dxa"/>
            <w:vAlign w:val="bottom"/>
            <w:tcBorders>
              <w:top w:val="single" w:sz="8" w:color="auto"/>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Sr.</w:t>
            </w:r>
          </w:p>
        </w:tc>
        <w:tc>
          <w:tcPr>
            <w:tcW w:w="118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Name of</w:t>
            </w:r>
          </w:p>
        </w:tc>
        <w:tc>
          <w:tcPr>
            <w:tcW w:w="198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8"/>
              </w:rPr>
              <w:t>Total Number of</w:t>
            </w:r>
          </w:p>
        </w:tc>
        <w:tc>
          <w:tcPr>
            <w:tcW w:w="5480" w:type="dxa"/>
            <w:vAlign w:val="bottom"/>
            <w:tcBorders>
              <w:top w:val="single" w:sz="8" w:color="auto"/>
              <w:right w:val="single" w:sz="8" w:color="auto"/>
            </w:tcBorders>
          </w:tcPr>
          <w:p>
            <w:pPr>
              <w:ind w:left="220"/>
              <w:spacing w:after="0"/>
              <w:rPr>
                <w:sz w:val="20"/>
                <w:szCs w:val="20"/>
                <w:color w:val="auto"/>
              </w:rPr>
            </w:pPr>
            <w:r>
              <w:rPr>
                <w:rFonts w:ascii="Times New Roman" w:cs="Times New Roman" w:eastAsia="Times New Roman" w:hAnsi="Times New Roman"/>
                <w:sz w:val="24"/>
                <w:szCs w:val="24"/>
                <w:b w:val="1"/>
                <w:bCs w:val="1"/>
                <w:color w:val="auto"/>
              </w:rPr>
              <w:t>Total number of specified securities eligible to be</w:t>
            </w:r>
          </w:p>
        </w:tc>
      </w:tr>
      <w:tr>
        <w:trPr>
          <w:trHeight w:val="413"/>
        </w:trPr>
        <w:tc>
          <w:tcPr>
            <w:tcW w:w="94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6"/>
              </w:rPr>
              <w:t>No.</w:t>
            </w:r>
          </w:p>
        </w:tc>
        <w:tc>
          <w:tcPr>
            <w:tcW w:w="11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Investor</w:t>
            </w:r>
          </w:p>
        </w:tc>
        <w:tc>
          <w:tcPr>
            <w:tcW w:w="19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specified</w:t>
            </w:r>
          </w:p>
        </w:tc>
        <w:tc>
          <w:tcPr>
            <w:tcW w:w="5480" w:type="dxa"/>
            <w:vAlign w:val="bottom"/>
            <w:tcBorders>
              <w:right w:val="single" w:sz="8" w:color="auto"/>
            </w:tcBorders>
          </w:tcPr>
          <w:p>
            <w:pPr>
              <w:ind w:left="2340"/>
              <w:spacing w:after="0"/>
              <w:rPr>
                <w:sz w:val="20"/>
                <w:szCs w:val="20"/>
                <w:color w:val="auto"/>
              </w:rPr>
            </w:pPr>
            <w:r>
              <w:rPr>
                <w:rFonts w:ascii="Times New Roman" w:cs="Times New Roman" w:eastAsia="Times New Roman" w:hAnsi="Times New Roman"/>
                <w:sz w:val="24"/>
                <w:szCs w:val="24"/>
                <w:b w:val="1"/>
                <w:bCs w:val="1"/>
                <w:color w:val="auto"/>
              </w:rPr>
              <w:t>allotted</w:t>
            </w:r>
          </w:p>
        </w:tc>
      </w:tr>
      <w:tr>
        <w:trPr>
          <w:trHeight w:val="415"/>
        </w:trPr>
        <w:tc>
          <w:tcPr>
            <w:tcW w:w="940" w:type="dxa"/>
            <w:vAlign w:val="bottom"/>
            <w:tcBorders>
              <w:left w:val="single" w:sz="8" w:color="auto"/>
              <w:right w:val="single" w:sz="8" w:color="auto"/>
            </w:tcBorders>
          </w:tcPr>
          <w:p>
            <w:pPr>
              <w:spacing w:after="0"/>
              <w:rPr>
                <w:sz w:val="24"/>
                <w:szCs w:val="24"/>
                <w:color w:val="auto"/>
              </w:rPr>
            </w:pPr>
          </w:p>
        </w:tc>
        <w:tc>
          <w:tcPr>
            <w:tcW w:w="1180" w:type="dxa"/>
            <w:vAlign w:val="bottom"/>
            <w:tcBorders>
              <w:right w:val="single" w:sz="8" w:color="auto"/>
            </w:tcBorders>
          </w:tcPr>
          <w:p>
            <w:pPr>
              <w:spacing w:after="0"/>
              <w:rPr>
                <w:sz w:val="24"/>
                <w:szCs w:val="24"/>
                <w:color w:val="auto"/>
              </w:rPr>
            </w:pPr>
          </w:p>
        </w:tc>
        <w:tc>
          <w:tcPr>
            <w:tcW w:w="19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7"/>
              </w:rPr>
              <w:t>securities</w:t>
            </w:r>
          </w:p>
        </w:tc>
        <w:tc>
          <w:tcPr>
            <w:tcW w:w="5480" w:type="dxa"/>
            <w:vAlign w:val="bottom"/>
            <w:tcBorders>
              <w:right w:val="single" w:sz="8" w:color="auto"/>
            </w:tcBorders>
          </w:tcPr>
          <w:p>
            <w:pPr>
              <w:spacing w:after="0"/>
              <w:rPr>
                <w:sz w:val="24"/>
                <w:szCs w:val="24"/>
                <w:color w:val="auto"/>
              </w:rPr>
            </w:pPr>
          </w:p>
        </w:tc>
      </w:tr>
      <w:tr>
        <w:trPr>
          <w:trHeight w:val="413"/>
        </w:trPr>
        <w:tc>
          <w:tcPr>
            <w:tcW w:w="940" w:type="dxa"/>
            <w:vAlign w:val="bottom"/>
            <w:tcBorders>
              <w:left w:val="single" w:sz="8" w:color="auto"/>
              <w:right w:val="single" w:sz="8" w:color="auto"/>
            </w:tcBorders>
          </w:tcPr>
          <w:p>
            <w:pPr>
              <w:spacing w:after="0"/>
              <w:rPr>
                <w:sz w:val="24"/>
                <w:szCs w:val="24"/>
                <w:color w:val="auto"/>
              </w:rPr>
            </w:pPr>
          </w:p>
        </w:tc>
        <w:tc>
          <w:tcPr>
            <w:tcW w:w="1180" w:type="dxa"/>
            <w:vAlign w:val="bottom"/>
            <w:tcBorders>
              <w:right w:val="single" w:sz="8" w:color="auto"/>
            </w:tcBorders>
          </w:tcPr>
          <w:p>
            <w:pPr>
              <w:spacing w:after="0"/>
              <w:rPr>
                <w:sz w:val="24"/>
                <w:szCs w:val="24"/>
                <w:color w:val="auto"/>
              </w:rPr>
            </w:pPr>
          </w:p>
        </w:tc>
        <w:tc>
          <w:tcPr>
            <w:tcW w:w="19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applied for</w:t>
            </w:r>
          </w:p>
        </w:tc>
        <w:tc>
          <w:tcPr>
            <w:tcW w:w="5480" w:type="dxa"/>
            <w:vAlign w:val="bottom"/>
            <w:tcBorders>
              <w:right w:val="single" w:sz="8" w:color="auto"/>
            </w:tcBorders>
          </w:tcPr>
          <w:p>
            <w:pPr>
              <w:spacing w:after="0"/>
              <w:rPr>
                <w:sz w:val="24"/>
                <w:szCs w:val="24"/>
                <w:color w:val="auto"/>
              </w:rPr>
            </w:pPr>
          </w:p>
        </w:tc>
      </w:tr>
      <w:tr>
        <w:trPr>
          <w:trHeight w:val="142"/>
        </w:trPr>
        <w:tc>
          <w:tcPr>
            <w:tcW w:w="940" w:type="dxa"/>
            <w:vAlign w:val="bottom"/>
            <w:tcBorders>
              <w:left w:val="single" w:sz="8" w:color="auto"/>
              <w:bottom w:val="single" w:sz="8" w:color="auto"/>
              <w:right w:val="single" w:sz="8" w:color="auto"/>
            </w:tcBorders>
          </w:tcPr>
          <w:p>
            <w:pPr>
              <w:spacing w:after="0"/>
              <w:rPr>
                <w:sz w:val="12"/>
                <w:szCs w:val="12"/>
                <w:color w:val="auto"/>
              </w:rPr>
            </w:pPr>
          </w:p>
        </w:tc>
        <w:tc>
          <w:tcPr>
            <w:tcW w:w="1180" w:type="dxa"/>
            <w:vAlign w:val="bottom"/>
            <w:tcBorders>
              <w:bottom w:val="single" w:sz="8" w:color="auto"/>
              <w:right w:val="single" w:sz="8" w:color="auto"/>
            </w:tcBorders>
          </w:tcPr>
          <w:p>
            <w:pPr>
              <w:spacing w:after="0"/>
              <w:rPr>
                <w:sz w:val="12"/>
                <w:szCs w:val="12"/>
                <w:color w:val="auto"/>
              </w:rPr>
            </w:pPr>
          </w:p>
        </w:tc>
        <w:tc>
          <w:tcPr>
            <w:tcW w:w="1980" w:type="dxa"/>
            <w:vAlign w:val="bottom"/>
            <w:tcBorders>
              <w:bottom w:val="single" w:sz="8" w:color="auto"/>
              <w:right w:val="single" w:sz="8" w:color="auto"/>
            </w:tcBorders>
          </w:tcPr>
          <w:p>
            <w:pPr>
              <w:spacing w:after="0"/>
              <w:rPr>
                <w:sz w:val="12"/>
                <w:szCs w:val="12"/>
                <w:color w:val="auto"/>
              </w:rPr>
            </w:pPr>
          </w:p>
        </w:tc>
        <w:tc>
          <w:tcPr>
            <w:tcW w:w="5480" w:type="dxa"/>
            <w:vAlign w:val="bottom"/>
            <w:tcBorders>
              <w:bottom w:val="single" w:sz="8" w:color="auto"/>
              <w:right w:val="single" w:sz="8" w:color="auto"/>
            </w:tcBorders>
          </w:tcPr>
          <w:p>
            <w:pPr>
              <w:spacing w:after="0"/>
              <w:rPr>
                <w:sz w:val="12"/>
                <w:szCs w:val="12"/>
                <w:color w:val="auto"/>
              </w:rPr>
            </w:pPr>
          </w:p>
        </w:tc>
      </w:tr>
      <w:tr>
        <w:trPr>
          <w:trHeight w:val="258"/>
        </w:trPr>
        <w:tc>
          <w:tcPr>
            <w:tcW w:w="940" w:type="dxa"/>
            <w:vAlign w:val="bottom"/>
            <w:tcBorders>
              <w:left w:val="single" w:sz="8" w:color="auto"/>
              <w:right w:val="single" w:sz="8" w:color="auto"/>
            </w:tcBorders>
          </w:tcPr>
          <w:p>
            <w:pPr>
              <w:jc w:val="center"/>
              <w:spacing w:after="0" w:line="258" w:lineRule="exact"/>
              <w:rPr>
                <w:sz w:val="20"/>
                <w:szCs w:val="20"/>
                <w:color w:val="auto"/>
              </w:rPr>
            </w:pPr>
            <w:r>
              <w:rPr>
                <w:rFonts w:ascii="Times New Roman" w:cs="Times New Roman" w:eastAsia="Times New Roman" w:hAnsi="Times New Roman"/>
                <w:sz w:val="24"/>
                <w:szCs w:val="24"/>
                <w:color w:val="auto"/>
                <w:w w:val="99"/>
              </w:rPr>
              <w:t>1</w:t>
            </w:r>
          </w:p>
        </w:tc>
        <w:tc>
          <w:tcPr>
            <w:tcW w:w="1180" w:type="dxa"/>
            <w:vAlign w:val="bottom"/>
            <w:tcBorders>
              <w:right w:val="single" w:sz="8" w:color="auto"/>
            </w:tcBorders>
          </w:tcPr>
          <w:p>
            <w:pPr>
              <w:jc w:val="center"/>
              <w:spacing w:after="0" w:line="258" w:lineRule="exact"/>
              <w:rPr>
                <w:sz w:val="20"/>
                <w:szCs w:val="20"/>
                <w:color w:val="auto"/>
              </w:rPr>
            </w:pPr>
            <w:r>
              <w:rPr>
                <w:rFonts w:ascii="Times New Roman" w:cs="Times New Roman" w:eastAsia="Times New Roman" w:hAnsi="Times New Roman"/>
                <w:sz w:val="24"/>
                <w:szCs w:val="24"/>
                <w:color w:val="auto"/>
              </w:rPr>
              <w:t>A</w:t>
            </w:r>
          </w:p>
        </w:tc>
        <w:tc>
          <w:tcPr>
            <w:tcW w:w="1980" w:type="dxa"/>
            <w:vAlign w:val="bottom"/>
            <w:tcBorders>
              <w:right w:val="single" w:sz="8" w:color="auto"/>
            </w:tcBorders>
          </w:tcPr>
          <w:p>
            <w:pPr>
              <w:jc w:val="center"/>
              <w:spacing w:after="0" w:line="258" w:lineRule="exact"/>
              <w:rPr>
                <w:sz w:val="20"/>
                <w:szCs w:val="20"/>
                <w:color w:val="auto"/>
              </w:rPr>
            </w:pPr>
            <w:r>
              <w:rPr>
                <w:rFonts w:ascii="Times New Roman" w:cs="Times New Roman" w:eastAsia="Times New Roman" w:hAnsi="Times New Roman"/>
                <w:sz w:val="24"/>
                <w:szCs w:val="24"/>
                <w:color w:val="auto"/>
                <w:w w:val="99"/>
              </w:rPr>
              <w:t>320</w:t>
            </w:r>
          </w:p>
        </w:tc>
        <w:tc>
          <w:tcPr>
            <w:tcW w:w="5480" w:type="dxa"/>
            <w:vAlign w:val="bottom"/>
            <w:tcBorders>
              <w:right w:val="single" w:sz="8" w:color="auto"/>
            </w:tcBorders>
          </w:tcPr>
          <w:p>
            <w:pPr>
              <w:ind w:left="160"/>
              <w:spacing w:after="0" w:line="258" w:lineRule="exact"/>
              <w:rPr>
                <w:sz w:val="20"/>
                <w:szCs w:val="20"/>
                <w:color w:val="auto"/>
              </w:rPr>
            </w:pPr>
            <w:r>
              <w:rPr>
                <w:rFonts w:ascii="Times New Roman" w:cs="Times New Roman" w:eastAsia="Times New Roman" w:hAnsi="Times New Roman"/>
                <w:sz w:val="24"/>
                <w:szCs w:val="24"/>
                <w:color w:val="auto"/>
              </w:rPr>
              <w:t>20 specified securities (i.e. the minimum bid lot) + 38</w:t>
            </w:r>
          </w:p>
        </w:tc>
      </w:tr>
      <w:tr>
        <w:trPr>
          <w:trHeight w:val="415"/>
        </w:trPr>
        <w:tc>
          <w:tcPr>
            <w:tcW w:w="940" w:type="dxa"/>
            <w:vAlign w:val="bottom"/>
            <w:tcBorders>
              <w:left w:val="single" w:sz="8" w:color="auto"/>
              <w:right w:val="single" w:sz="8" w:color="auto"/>
            </w:tcBorders>
          </w:tcPr>
          <w:p>
            <w:pPr>
              <w:spacing w:after="0"/>
              <w:rPr>
                <w:sz w:val="24"/>
                <w:szCs w:val="24"/>
                <w:color w:val="auto"/>
              </w:rPr>
            </w:pPr>
          </w:p>
        </w:tc>
        <w:tc>
          <w:tcPr>
            <w:tcW w:w="1180" w:type="dxa"/>
            <w:vAlign w:val="bottom"/>
            <w:tcBorders>
              <w:right w:val="single" w:sz="8" w:color="auto"/>
            </w:tcBorders>
          </w:tcPr>
          <w:p>
            <w:pPr>
              <w:spacing w:after="0"/>
              <w:rPr>
                <w:sz w:val="24"/>
                <w:szCs w:val="24"/>
                <w:color w:val="auto"/>
              </w:rPr>
            </w:pPr>
          </w:p>
        </w:tc>
        <w:tc>
          <w:tcPr>
            <w:tcW w:w="1980" w:type="dxa"/>
            <w:vAlign w:val="bottom"/>
            <w:tcBorders>
              <w:right w:val="single" w:sz="8" w:color="auto"/>
            </w:tcBorders>
          </w:tcPr>
          <w:p>
            <w:pPr>
              <w:spacing w:after="0"/>
              <w:rPr>
                <w:sz w:val="24"/>
                <w:szCs w:val="24"/>
                <w:color w:val="auto"/>
              </w:rPr>
            </w:pPr>
          </w:p>
        </w:tc>
        <w:tc>
          <w:tcPr>
            <w:tcW w:w="5480" w:type="dxa"/>
            <w:vAlign w:val="bottom"/>
            <w:tcBorders>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specified securities [{35,00,000 - (1,00,000 * 20)} /</w:t>
            </w:r>
          </w:p>
        </w:tc>
      </w:tr>
      <w:tr>
        <w:trPr>
          <w:trHeight w:val="413"/>
        </w:trPr>
        <w:tc>
          <w:tcPr>
            <w:tcW w:w="940" w:type="dxa"/>
            <w:vAlign w:val="bottom"/>
            <w:tcBorders>
              <w:left w:val="single" w:sz="8" w:color="auto"/>
              <w:right w:val="single" w:sz="8" w:color="auto"/>
            </w:tcBorders>
          </w:tcPr>
          <w:p>
            <w:pPr>
              <w:spacing w:after="0"/>
              <w:rPr>
                <w:sz w:val="24"/>
                <w:szCs w:val="24"/>
                <w:color w:val="auto"/>
              </w:rPr>
            </w:pPr>
          </w:p>
        </w:tc>
        <w:tc>
          <w:tcPr>
            <w:tcW w:w="1180" w:type="dxa"/>
            <w:vAlign w:val="bottom"/>
            <w:tcBorders>
              <w:right w:val="single" w:sz="8" w:color="auto"/>
            </w:tcBorders>
          </w:tcPr>
          <w:p>
            <w:pPr>
              <w:spacing w:after="0"/>
              <w:rPr>
                <w:sz w:val="24"/>
                <w:szCs w:val="24"/>
                <w:color w:val="auto"/>
              </w:rPr>
            </w:pPr>
          </w:p>
        </w:tc>
        <w:tc>
          <w:tcPr>
            <w:tcW w:w="1980" w:type="dxa"/>
            <w:vAlign w:val="bottom"/>
            <w:tcBorders>
              <w:right w:val="single" w:sz="8" w:color="auto"/>
            </w:tcBorders>
          </w:tcPr>
          <w:p>
            <w:pPr>
              <w:spacing w:after="0"/>
              <w:rPr>
                <w:sz w:val="24"/>
                <w:szCs w:val="24"/>
                <w:color w:val="auto"/>
              </w:rPr>
            </w:pPr>
          </w:p>
        </w:tc>
        <w:tc>
          <w:tcPr>
            <w:tcW w:w="5480" w:type="dxa"/>
            <w:vAlign w:val="bottom"/>
            <w:tcBorders>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{140,00,000 - (1,00,000 * 20)}] * 300 (i.e. 320-20)</w:t>
            </w:r>
          </w:p>
        </w:tc>
      </w:tr>
      <w:tr>
        <w:trPr>
          <w:trHeight w:val="147"/>
        </w:trPr>
        <w:tc>
          <w:tcPr>
            <w:tcW w:w="940" w:type="dxa"/>
            <w:vAlign w:val="bottom"/>
            <w:tcBorders>
              <w:left w:val="single" w:sz="8" w:color="auto"/>
              <w:bottom w:val="single" w:sz="8" w:color="auto"/>
              <w:right w:val="single" w:sz="8" w:color="auto"/>
            </w:tcBorders>
          </w:tcPr>
          <w:p>
            <w:pPr>
              <w:spacing w:after="0"/>
              <w:rPr>
                <w:sz w:val="12"/>
                <w:szCs w:val="12"/>
                <w:color w:val="auto"/>
              </w:rPr>
            </w:pPr>
          </w:p>
        </w:tc>
        <w:tc>
          <w:tcPr>
            <w:tcW w:w="1180" w:type="dxa"/>
            <w:vAlign w:val="bottom"/>
            <w:tcBorders>
              <w:bottom w:val="single" w:sz="8" w:color="auto"/>
              <w:right w:val="single" w:sz="8" w:color="auto"/>
            </w:tcBorders>
          </w:tcPr>
          <w:p>
            <w:pPr>
              <w:spacing w:after="0"/>
              <w:rPr>
                <w:sz w:val="12"/>
                <w:szCs w:val="12"/>
                <w:color w:val="auto"/>
              </w:rPr>
            </w:pPr>
          </w:p>
        </w:tc>
        <w:tc>
          <w:tcPr>
            <w:tcW w:w="1980" w:type="dxa"/>
            <w:vAlign w:val="bottom"/>
            <w:tcBorders>
              <w:bottom w:val="single" w:sz="8" w:color="auto"/>
              <w:right w:val="single" w:sz="8" w:color="auto"/>
            </w:tcBorders>
          </w:tcPr>
          <w:p>
            <w:pPr>
              <w:spacing w:after="0"/>
              <w:rPr>
                <w:sz w:val="12"/>
                <w:szCs w:val="12"/>
                <w:color w:val="auto"/>
              </w:rPr>
            </w:pPr>
          </w:p>
        </w:tc>
        <w:tc>
          <w:tcPr>
            <w:tcW w:w="5480" w:type="dxa"/>
            <w:vAlign w:val="bottom"/>
            <w:tcBorders>
              <w:bottom w:val="single" w:sz="8" w:color="auto"/>
              <w:right w:val="single" w:sz="8" w:color="auto"/>
            </w:tcBorders>
          </w:tcPr>
          <w:p>
            <w:pPr>
              <w:spacing w:after="0"/>
              <w:rPr>
                <w:sz w:val="12"/>
                <w:szCs w:val="12"/>
                <w:color w:val="auto"/>
              </w:rPr>
            </w:pPr>
          </w:p>
        </w:tc>
      </w:tr>
      <w:tr>
        <w:trPr>
          <w:trHeight w:val="258"/>
        </w:trPr>
        <w:tc>
          <w:tcPr>
            <w:tcW w:w="940" w:type="dxa"/>
            <w:vAlign w:val="bottom"/>
            <w:tcBorders>
              <w:left w:val="single" w:sz="8" w:color="auto"/>
              <w:right w:val="single" w:sz="8" w:color="auto"/>
            </w:tcBorders>
          </w:tcPr>
          <w:p>
            <w:pPr>
              <w:jc w:val="center"/>
              <w:spacing w:after="0" w:line="258" w:lineRule="exact"/>
              <w:rPr>
                <w:sz w:val="20"/>
                <w:szCs w:val="20"/>
                <w:color w:val="auto"/>
              </w:rPr>
            </w:pPr>
            <w:r>
              <w:rPr>
                <w:rFonts w:ascii="Times New Roman" w:cs="Times New Roman" w:eastAsia="Times New Roman" w:hAnsi="Times New Roman"/>
                <w:sz w:val="24"/>
                <w:szCs w:val="24"/>
                <w:color w:val="auto"/>
                <w:w w:val="99"/>
              </w:rPr>
              <w:t>2</w:t>
            </w:r>
          </w:p>
        </w:tc>
        <w:tc>
          <w:tcPr>
            <w:tcW w:w="1180" w:type="dxa"/>
            <w:vAlign w:val="bottom"/>
            <w:tcBorders>
              <w:right w:val="single" w:sz="8" w:color="auto"/>
            </w:tcBorders>
          </w:tcPr>
          <w:p>
            <w:pPr>
              <w:jc w:val="center"/>
              <w:spacing w:after="0" w:line="258" w:lineRule="exact"/>
              <w:rPr>
                <w:sz w:val="20"/>
                <w:szCs w:val="20"/>
                <w:color w:val="auto"/>
              </w:rPr>
            </w:pPr>
            <w:r>
              <w:rPr>
                <w:rFonts w:ascii="Times New Roman" w:cs="Times New Roman" w:eastAsia="Times New Roman" w:hAnsi="Times New Roman"/>
                <w:sz w:val="24"/>
                <w:szCs w:val="24"/>
                <w:color w:val="auto"/>
                <w:w w:val="99"/>
              </w:rPr>
              <w:t>B</w:t>
            </w:r>
          </w:p>
        </w:tc>
        <w:tc>
          <w:tcPr>
            <w:tcW w:w="1980" w:type="dxa"/>
            <w:vAlign w:val="bottom"/>
            <w:tcBorders>
              <w:right w:val="single" w:sz="8" w:color="auto"/>
            </w:tcBorders>
          </w:tcPr>
          <w:p>
            <w:pPr>
              <w:jc w:val="center"/>
              <w:spacing w:after="0" w:line="258" w:lineRule="exact"/>
              <w:rPr>
                <w:sz w:val="20"/>
                <w:szCs w:val="20"/>
                <w:color w:val="auto"/>
              </w:rPr>
            </w:pPr>
            <w:r>
              <w:rPr>
                <w:rFonts w:ascii="Times New Roman" w:cs="Times New Roman" w:eastAsia="Times New Roman" w:hAnsi="Times New Roman"/>
                <w:sz w:val="24"/>
                <w:szCs w:val="24"/>
                <w:color w:val="auto"/>
                <w:w w:val="99"/>
              </w:rPr>
              <w:t>220</w:t>
            </w:r>
          </w:p>
        </w:tc>
        <w:tc>
          <w:tcPr>
            <w:tcW w:w="5480" w:type="dxa"/>
            <w:vAlign w:val="bottom"/>
            <w:tcBorders>
              <w:right w:val="single" w:sz="8" w:color="auto"/>
            </w:tcBorders>
          </w:tcPr>
          <w:p>
            <w:pPr>
              <w:ind w:left="160"/>
              <w:spacing w:after="0" w:line="258" w:lineRule="exact"/>
              <w:rPr>
                <w:sz w:val="20"/>
                <w:szCs w:val="20"/>
                <w:color w:val="auto"/>
              </w:rPr>
            </w:pPr>
            <w:r>
              <w:rPr>
                <w:rFonts w:ascii="Times New Roman" w:cs="Times New Roman" w:eastAsia="Times New Roman" w:hAnsi="Times New Roman"/>
                <w:sz w:val="24"/>
                <w:szCs w:val="24"/>
                <w:color w:val="auto"/>
              </w:rPr>
              <w:t>20 specified securities (i.e. the minimum bid lot) + 25</w:t>
            </w:r>
          </w:p>
        </w:tc>
      </w:tr>
      <w:tr>
        <w:trPr>
          <w:trHeight w:val="413"/>
        </w:trPr>
        <w:tc>
          <w:tcPr>
            <w:tcW w:w="940" w:type="dxa"/>
            <w:vAlign w:val="bottom"/>
            <w:tcBorders>
              <w:left w:val="single" w:sz="8" w:color="auto"/>
              <w:right w:val="single" w:sz="8" w:color="auto"/>
            </w:tcBorders>
          </w:tcPr>
          <w:p>
            <w:pPr>
              <w:spacing w:after="0"/>
              <w:rPr>
                <w:sz w:val="24"/>
                <w:szCs w:val="24"/>
                <w:color w:val="auto"/>
              </w:rPr>
            </w:pPr>
          </w:p>
        </w:tc>
        <w:tc>
          <w:tcPr>
            <w:tcW w:w="1180" w:type="dxa"/>
            <w:vAlign w:val="bottom"/>
            <w:tcBorders>
              <w:right w:val="single" w:sz="8" w:color="auto"/>
            </w:tcBorders>
          </w:tcPr>
          <w:p>
            <w:pPr>
              <w:spacing w:after="0"/>
              <w:rPr>
                <w:sz w:val="24"/>
                <w:szCs w:val="24"/>
                <w:color w:val="auto"/>
              </w:rPr>
            </w:pPr>
          </w:p>
        </w:tc>
        <w:tc>
          <w:tcPr>
            <w:tcW w:w="1980" w:type="dxa"/>
            <w:vAlign w:val="bottom"/>
            <w:tcBorders>
              <w:right w:val="single" w:sz="8" w:color="auto"/>
            </w:tcBorders>
          </w:tcPr>
          <w:p>
            <w:pPr>
              <w:spacing w:after="0"/>
              <w:rPr>
                <w:sz w:val="24"/>
                <w:szCs w:val="24"/>
                <w:color w:val="auto"/>
              </w:rPr>
            </w:pPr>
          </w:p>
        </w:tc>
        <w:tc>
          <w:tcPr>
            <w:tcW w:w="5480" w:type="dxa"/>
            <w:vAlign w:val="bottom"/>
            <w:tcBorders>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specified securities [{35,00,000 - (1,00,000 * 20) /</w:t>
            </w:r>
          </w:p>
        </w:tc>
      </w:tr>
      <w:tr>
        <w:trPr>
          <w:trHeight w:val="415"/>
        </w:trPr>
        <w:tc>
          <w:tcPr>
            <w:tcW w:w="940" w:type="dxa"/>
            <w:vAlign w:val="bottom"/>
            <w:tcBorders>
              <w:left w:val="single" w:sz="8" w:color="auto"/>
              <w:right w:val="single" w:sz="8" w:color="auto"/>
            </w:tcBorders>
          </w:tcPr>
          <w:p>
            <w:pPr>
              <w:spacing w:after="0"/>
              <w:rPr>
                <w:sz w:val="24"/>
                <w:szCs w:val="24"/>
                <w:color w:val="auto"/>
              </w:rPr>
            </w:pPr>
          </w:p>
        </w:tc>
        <w:tc>
          <w:tcPr>
            <w:tcW w:w="1180" w:type="dxa"/>
            <w:vAlign w:val="bottom"/>
            <w:tcBorders>
              <w:right w:val="single" w:sz="8" w:color="auto"/>
            </w:tcBorders>
          </w:tcPr>
          <w:p>
            <w:pPr>
              <w:spacing w:after="0"/>
              <w:rPr>
                <w:sz w:val="24"/>
                <w:szCs w:val="24"/>
                <w:color w:val="auto"/>
              </w:rPr>
            </w:pPr>
          </w:p>
        </w:tc>
        <w:tc>
          <w:tcPr>
            <w:tcW w:w="1980" w:type="dxa"/>
            <w:vAlign w:val="bottom"/>
            <w:tcBorders>
              <w:right w:val="single" w:sz="8" w:color="auto"/>
            </w:tcBorders>
          </w:tcPr>
          <w:p>
            <w:pPr>
              <w:spacing w:after="0"/>
              <w:rPr>
                <w:sz w:val="24"/>
                <w:szCs w:val="24"/>
                <w:color w:val="auto"/>
              </w:rPr>
            </w:pPr>
          </w:p>
        </w:tc>
        <w:tc>
          <w:tcPr>
            <w:tcW w:w="5480" w:type="dxa"/>
            <w:vAlign w:val="bottom"/>
            <w:tcBorders>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{140,00,000 - (1,00,000 * 20)}] * 200 (i.e. 220-20)</w:t>
            </w:r>
          </w:p>
        </w:tc>
      </w:tr>
      <w:tr>
        <w:trPr>
          <w:trHeight w:val="144"/>
        </w:trPr>
        <w:tc>
          <w:tcPr>
            <w:tcW w:w="940" w:type="dxa"/>
            <w:vAlign w:val="bottom"/>
            <w:tcBorders>
              <w:left w:val="single" w:sz="8" w:color="auto"/>
              <w:bottom w:val="single" w:sz="8" w:color="auto"/>
              <w:right w:val="single" w:sz="8" w:color="auto"/>
            </w:tcBorders>
          </w:tcPr>
          <w:p>
            <w:pPr>
              <w:spacing w:after="0"/>
              <w:rPr>
                <w:sz w:val="12"/>
                <w:szCs w:val="12"/>
                <w:color w:val="auto"/>
              </w:rPr>
            </w:pPr>
          </w:p>
        </w:tc>
        <w:tc>
          <w:tcPr>
            <w:tcW w:w="1180" w:type="dxa"/>
            <w:vAlign w:val="bottom"/>
            <w:tcBorders>
              <w:bottom w:val="single" w:sz="8" w:color="auto"/>
              <w:right w:val="single" w:sz="8" w:color="auto"/>
            </w:tcBorders>
          </w:tcPr>
          <w:p>
            <w:pPr>
              <w:spacing w:after="0"/>
              <w:rPr>
                <w:sz w:val="12"/>
                <w:szCs w:val="12"/>
                <w:color w:val="auto"/>
              </w:rPr>
            </w:pPr>
          </w:p>
        </w:tc>
        <w:tc>
          <w:tcPr>
            <w:tcW w:w="1980" w:type="dxa"/>
            <w:vAlign w:val="bottom"/>
            <w:tcBorders>
              <w:bottom w:val="single" w:sz="8" w:color="auto"/>
              <w:right w:val="single" w:sz="8" w:color="auto"/>
            </w:tcBorders>
          </w:tcPr>
          <w:p>
            <w:pPr>
              <w:spacing w:after="0"/>
              <w:rPr>
                <w:sz w:val="12"/>
                <w:szCs w:val="12"/>
                <w:color w:val="auto"/>
              </w:rPr>
            </w:pPr>
          </w:p>
        </w:tc>
        <w:tc>
          <w:tcPr>
            <w:tcW w:w="5480" w:type="dxa"/>
            <w:vAlign w:val="bottom"/>
            <w:tcBorders>
              <w:bottom w:val="single" w:sz="8" w:color="auto"/>
              <w:right w:val="single" w:sz="8" w:color="auto"/>
            </w:tcBorders>
          </w:tcPr>
          <w:p>
            <w:pPr>
              <w:spacing w:after="0"/>
              <w:rPr>
                <w:sz w:val="12"/>
                <w:szCs w:val="12"/>
                <w:color w:val="auto"/>
              </w:rPr>
            </w:pPr>
          </w:p>
        </w:tc>
      </w:tr>
      <w:tr>
        <w:trPr>
          <w:trHeight w:val="258"/>
        </w:trPr>
        <w:tc>
          <w:tcPr>
            <w:tcW w:w="940" w:type="dxa"/>
            <w:vAlign w:val="bottom"/>
            <w:tcBorders>
              <w:left w:val="single" w:sz="8" w:color="auto"/>
              <w:right w:val="single" w:sz="8" w:color="auto"/>
            </w:tcBorders>
          </w:tcPr>
          <w:p>
            <w:pPr>
              <w:jc w:val="center"/>
              <w:spacing w:after="0" w:line="258" w:lineRule="exact"/>
              <w:rPr>
                <w:sz w:val="20"/>
                <w:szCs w:val="20"/>
                <w:color w:val="auto"/>
              </w:rPr>
            </w:pPr>
            <w:r>
              <w:rPr>
                <w:rFonts w:ascii="Times New Roman" w:cs="Times New Roman" w:eastAsia="Times New Roman" w:hAnsi="Times New Roman"/>
                <w:sz w:val="24"/>
                <w:szCs w:val="24"/>
                <w:color w:val="auto"/>
                <w:w w:val="99"/>
              </w:rPr>
              <w:t>3</w:t>
            </w:r>
          </w:p>
        </w:tc>
        <w:tc>
          <w:tcPr>
            <w:tcW w:w="1180" w:type="dxa"/>
            <w:vAlign w:val="bottom"/>
            <w:tcBorders>
              <w:right w:val="single" w:sz="8" w:color="auto"/>
            </w:tcBorders>
          </w:tcPr>
          <w:p>
            <w:pPr>
              <w:jc w:val="center"/>
              <w:spacing w:after="0" w:line="258" w:lineRule="exact"/>
              <w:rPr>
                <w:sz w:val="20"/>
                <w:szCs w:val="20"/>
                <w:color w:val="auto"/>
              </w:rPr>
            </w:pPr>
            <w:r>
              <w:rPr>
                <w:rFonts w:ascii="Times New Roman" w:cs="Times New Roman" w:eastAsia="Times New Roman" w:hAnsi="Times New Roman"/>
                <w:sz w:val="24"/>
                <w:szCs w:val="24"/>
                <w:color w:val="auto"/>
                <w:w w:val="99"/>
              </w:rPr>
              <w:t>C</w:t>
            </w:r>
          </w:p>
        </w:tc>
        <w:tc>
          <w:tcPr>
            <w:tcW w:w="1980" w:type="dxa"/>
            <w:vAlign w:val="bottom"/>
            <w:tcBorders>
              <w:right w:val="single" w:sz="8" w:color="auto"/>
            </w:tcBorders>
          </w:tcPr>
          <w:p>
            <w:pPr>
              <w:jc w:val="center"/>
              <w:spacing w:after="0" w:line="258" w:lineRule="exact"/>
              <w:rPr>
                <w:sz w:val="20"/>
                <w:szCs w:val="20"/>
                <w:color w:val="auto"/>
              </w:rPr>
            </w:pPr>
            <w:r>
              <w:rPr>
                <w:rFonts w:ascii="Times New Roman" w:cs="Times New Roman" w:eastAsia="Times New Roman" w:hAnsi="Times New Roman"/>
                <w:sz w:val="24"/>
                <w:szCs w:val="24"/>
                <w:color w:val="auto"/>
                <w:w w:val="99"/>
              </w:rPr>
              <w:t>120</w:t>
            </w:r>
          </w:p>
        </w:tc>
        <w:tc>
          <w:tcPr>
            <w:tcW w:w="5480" w:type="dxa"/>
            <w:vAlign w:val="bottom"/>
            <w:tcBorders>
              <w:right w:val="single" w:sz="8" w:color="auto"/>
            </w:tcBorders>
          </w:tcPr>
          <w:p>
            <w:pPr>
              <w:ind w:left="160"/>
              <w:spacing w:after="0" w:line="258" w:lineRule="exact"/>
              <w:rPr>
                <w:sz w:val="20"/>
                <w:szCs w:val="20"/>
                <w:color w:val="auto"/>
              </w:rPr>
            </w:pPr>
            <w:r>
              <w:rPr>
                <w:rFonts w:ascii="Times New Roman" w:cs="Times New Roman" w:eastAsia="Times New Roman" w:hAnsi="Times New Roman"/>
                <w:sz w:val="24"/>
                <w:szCs w:val="24"/>
                <w:color w:val="auto"/>
              </w:rPr>
              <w:t>20 specified securities (i.e. the minimum bid lot) + 13</w:t>
            </w:r>
          </w:p>
        </w:tc>
      </w:tr>
      <w:tr>
        <w:trPr>
          <w:trHeight w:val="416"/>
        </w:trPr>
        <w:tc>
          <w:tcPr>
            <w:tcW w:w="940" w:type="dxa"/>
            <w:vAlign w:val="bottom"/>
            <w:tcBorders>
              <w:left w:val="single" w:sz="8" w:color="auto"/>
              <w:right w:val="single" w:sz="8" w:color="auto"/>
            </w:tcBorders>
          </w:tcPr>
          <w:p>
            <w:pPr>
              <w:spacing w:after="0"/>
              <w:rPr>
                <w:sz w:val="24"/>
                <w:szCs w:val="24"/>
                <w:color w:val="auto"/>
              </w:rPr>
            </w:pPr>
          </w:p>
        </w:tc>
        <w:tc>
          <w:tcPr>
            <w:tcW w:w="1180" w:type="dxa"/>
            <w:vAlign w:val="bottom"/>
            <w:tcBorders>
              <w:right w:val="single" w:sz="8" w:color="auto"/>
            </w:tcBorders>
          </w:tcPr>
          <w:p>
            <w:pPr>
              <w:spacing w:after="0"/>
              <w:rPr>
                <w:sz w:val="24"/>
                <w:szCs w:val="24"/>
                <w:color w:val="auto"/>
              </w:rPr>
            </w:pPr>
          </w:p>
        </w:tc>
        <w:tc>
          <w:tcPr>
            <w:tcW w:w="1980" w:type="dxa"/>
            <w:vAlign w:val="bottom"/>
            <w:tcBorders>
              <w:right w:val="single" w:sz="8" w:color="auto"/>
            </w:tcBorders>
          </w:tcPr>
          <w:p>
            <w:pPr>
              <w:spacing w:after="0"/>
              <w:rPr>
                <w:sz w:val="24"/>
                <w:szCs w:val="24"/>
                <w:color w:val="auto"/>
              </w:rPr>
            </w:pPr>
          </w:p>
        </w:tc>
        <w:tc>
          <w:tcPr>
            <w:tcW w:w="5480" w:type="dxa"/>
            <w:vAlign w:val="bottom"/>
            <w:tcBorders>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specified securities [{35,00,000 - (1,00,000 * 20)} /</w:t>
            </w:r>
          </w:p>
        </w:tc>
      </w:tr>
      <w:tr>
        <w:trPr>
          <w:trHeight w:val="413"/>
        </w:trPr>
        <w:tc>
          <w:tcPr>
            <w:tcW w:w="940" w:type="dxa"/>
            <w:vAlign w:val="bottom"/>
            <w:tcBorders>
              <w:left w:val="single" w:sz="8" w:color="auto"/>
              <w:right w:val="single" w:sz="8" w:color="auto"/>
            </w:tcBorders>
          </w:tcPr>
          <w:p>
            <w:pPr>
              <w:spacing w:after="0"/>
              <w:rPr>
                <w:sz w:val="24"/>
                <w:szCs w:val="24"/>
                <w:color w:val="auto"/>
              </w:rPr>
            </w:pPr>
          </w:p>
        </w:tc>
        <w:tc>
          <w:tcPr>
            <w:tcW w:w="1180" w:type="dxa"/>
            <w:vAlign w:val="bottom"/>
            <w:tcBorders>
              <w:right w:val="single" w:sz="8" w:color="auto"/>
            </w:tcBorders>
          </w:tcPr>
          <w:p>
            <w:pPr>
              <w:spacing w:after="0"/>
              <w:rPr>
                <w:sz w:val="24"/>
                <w:szCs w:val="24"/>
                <w:color w:val="auto"/>
              </w:rPr>
            </w:pPr>
          </w:p>
        </w:tc>
        <w:tc>
          <w:tcPr>
            <w:tcW w:w="1980" w:type="dxa"/>
            <w:vAlign w:val="bottom"/>
            <w:tcBorders>
              <w:right w:val="single" w:sz="8" w:color="auto"/>
            </w:tcBorders>
          </w:tcPr>
          <w:p>
            <w:pPr>
              <w:spacing w:after="0"/>
              <w:rPr>
                <w:sz w:val="24"/>
                <w:szCs w:val="24"/>
                <w:color w:val="auto"/>
              </w:rPr>
            </w:pPr>
          </w:p>
        </w:tc>
        <w:tc>
          <w:tcPr>
            <w:tcW w:w="5480" w:type="dxa"/>
            <w:vAlign w:val="bottom"/>
            <w:tcBorders>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{(140,00,000 - (1,00,000 * 20)}] * 100 (i.e. 120-20)</w:t>
            </w:r>
          </w:p>
        </w:tc>
      </w:tr>
      <w:tr>
        <w:trPr>
          <w:trHeight w:val="147"/>
        </w:trPr>
        <w:tc>
          <w:tcPr>
            <w:tcW w:w="940" w:type="dxa"/>
            <w:vAlign w:val="bottom"/>
            <w:tcBorders>
              <w:left w:val="single" w:sz="8" w:color="auto"/>
              <w:bottom w:val="single" w:sz="8" w:color="auto"/>
              <w:right w:val="single" w:sz="8" w:color="auto"/>
            </w:tcBorders>
          </w:tcPr>
          <w:p>
            <w:pPr>
              <w:spacing w:after="0"/>
              <w:rPr>
                <w:sz w:val="12"/>
                <w:szCs w:val="12"/>
                <w:color w:val="auto"/>
              </w:rPr>
            </w:pPr>
          </w:p>
        </w:tc>
        <w:tc>
          <w:tcPr>
            <w:tcW w:w="1180" w:type="dxa"/>
            <w:vAlign w:val="bottom"/>
            <w:tcBorders>
              <w:bottom w:val="single" w:sz="8" w:color="auto"/>
              <w:right w:val="single" w:sz="8" w:color="auto"/>
            </w:tcBorders>
          </w:tcPr>
          <w:p>
            <w:pPr>
              <w:spacing w:after="0"/>
              <w:rPr>
                <w:sz w:val="12"/>
                <w:szCs w:val="12"/>
                <w:color w:val="auto"/>
              </w:rPr>
            </w:pPr>
          </w:p>
        </w:tc>
        <w:tc>
          <w:tcPr>
            <w:tcW w:w="1980" w:type="dxa"/>
            <w:vAlign w:val="bottom"/>
            <w:tcBorders>
              <w:bottom w:val="single" w:sz="8" w:color="auto"/>
              <w:right w:val="single" w:sz="8" w:color="auto"/>
            </w:tcBorders>
          </w:tcPr>
          <w:p>
            <w:pPr>
              <w:spacing w:after="0"/>
              <w:rPr>
                <w:sz w:val="12"/>
                <w:szCs w:val="12"/>
                <w:color w:val="auto"/>
              </w:rPr>
            </w:pPr>
          </w:p>
        </w:tc>
        <w:tc>
          <w:tcPr>
            <w:tcW w:w="5480" w:type="dxa"/>
            <w:vAlign w:val="bottom"/>
            <w:tcBorders>
              <w:bottom w:val="single" w:sz="8" w:color="auto"/>
              <w:right w:val="single" w:sz="8" w:color="auto"/>
            </w:tcBorders>
          </w:tcPr>
          <w:p>
            <w:pPr>
              <w:spacing w:after="0"/>
              <w:rPr>
                <w:sz w:val="12"/>
                <w:szCs w:val="12"/>
                <w:color w:val="auto"/>
              </w:rPr>
            </w:pPr>
          </w:p>
        </w:tc>
      </w:tr>
      <w:tr>
        <w:trPr>
          <w:trHeight w:val="258"/>
        </w:trPr>
        <w:tc>
          <w:tcPr>
            <w:tcW w:w="940" w:type="dxa"/>
            <w:vAlign w:val="bottom"/>
            <w:tcBorders>
              <w:left w:val="single" w:sz="8" w:color="auto"/>
              <w:right w:val="single" w:sz="8" w:color="auto"/>
            </w:tcBorders>
          </w:tcPr>
          <w:p>
            <w:pPr>
              <w:jc w:val="center"/>
              <w:spacing w:after="0" w:line="258" w:lineRule="exact"/>
              <w:rPr>
                <w:sz w:val="20"/>
                <w:szCs w:val="20"/>
                <w:color w:val="auto"/>
              </w:rPr>
            </w:pPr>
            <w:r>
              <w:rPr>
                <w:rFonts w:ascii="Times New Roman" w:cs="Times New Roman" w:eastAsia="Times New Roman" w:hAnsi="Times New Roman"/>
                <w:sz w:val="24"/>
                <w:szCs w:val="24"/>
                <w:color w:val="auto"/>
                <w:w w:val="99"/>
              </w:rPr>
              <w:t>4</w:t>
            </w:r>
          </w:p>
        </w:tc>
        <w:tc>
          <w:tcPr>
            <w:tcW w:w="1180" w:type="dxa"/>
            <w:vAlign w:val="bottom"/>
            <w:tcBorders>
              <w:right w:val="single" w:sz="8" w:color="auto"/>
            </w:tcBorders>
          </w:tcPr>
          <w:p>
            <w:pPr>
              <w:jc w:val="center"/>
              <w:spacing w:after="0" w:line="258" w:lineRule="exact"/>
              <w:rPr>
                <w:sz w:val="20"/>
                <w:szCs w:val="20"/>
                <w:color w:val="auto"/>
              </w:rPr>
            </w:pPr>
            <w:r>
              <w:rPr>
                <w:rFonts w:ascii="Times New Roman" w:cs="Times New Roman" w:eastAsia="Times New Roman" w:hAnsi="Times New Roman"/>
                <w:sz w:val="24"/>
                <w:szCs w:val="24"/>
                <w:color w:val="auto"/>
              </w:rPr>
              <w:t>D</w:t>
            </w:r>
          </w:p>
        </w:tc>
        <w:tc>
          <w:tcPr>
            <w:tcW w:w="1980" w:type="dxa"/>
            <w:vAlign w:val="bottom"/>
            <w:tcBorders>
              <w:right w:val="single" w:sz="8" w:color="auto"/>
            </w:tcBorders>
          </w:tcPr>
          <w:p>
            <w:pPr>
              <w:jc w:val="center"/>
              <w:spacing w:after="0" w:line="258" w:lineRule="exact"/>
              <w:rPr>
                <w:sz w:val="20"/>
                <w:szCs w:val="20"/>
                <w:color w:val="auto"/>
              </w:rPr>
            </w:pPr>
            <w:r>
              <w:rPr>
                <w:rFonts w:ascii="Times New Roman" w:cs="Times New Roman" w:eastAsia="Times New Roman" w:hAnsi="Times New Roman"/>
                <w:sz w:val="24"/>
                <w:szCs w:val="24"/>
                <w:color w:val="auto"/>
                <w:w w:val="99"/>
              </w:rPr>
              <w:t>60</w:t>
            </w:r>
          </w:p>
        </w:tc>
        <w:tc>
          <w:tcPr>
            <w:tcW w:w="5480" w:type="dxa"/>
            <w:vAlign w:val="bottom"/>
            <w:tcBorders>
              <w:right w:val="single" w:sz="8" w:color="auto"/>
            </w:tcBorders>
          </w:tcPr>
          <w:p>
            <w:pPr>
              <w:ind w:left="160"/>
              <w:spacing w:after="0" w:line="258" w:lineRule="exact"/>
              <w:rPr>
                <w:sz w:val="20"/>
                <w:szCs w:val="20"/>
                <w:color w:val="auto"/>
              </w:rPr>
            </w:pPr>
            <w:r>
              <w:rPr>
                <w:rFonts w:ascii="Times New Roman" w:cs="Times New Roman" w:eastAsia="Times New Roman" w:hAnsi="Times New Roman"/>
                <w:sz w:val="24"/>
                <w:szCs w:val="24"/>
                <w:color w:val="auto"/>
              </w:rPr>
              <w:t>20 specified securities (i.e. the minimum bid lot) + 5</w:t>
            </w:r>
          </w:p>
        </w:tc>
      </w:tr>
      <w:tr>
        <w:trPr>
          <w:trHeight w:val="413"/>
        </w:trPr>
        <w:tc>
          <w:tcPr>
            <w:tcW w:w="940" w:type="dxa"/>
            <w:vAlign w:val="bottom"/>
            <w:tcBorders>
              <w:left w:val="single" w:sz="8" w:color="auto"/>
              <w:right w:val="single" w:sz="8" w:color="auto"/>
            </w:tcBorders>
          </w:tcPr>
          <w:p>
            <w:pPr>
              <w:spacing w:after="0"/>
              <w:rPr>
                <w:sz w:val="24"/>
                <w:szCs w:val="24"/>
                <w:color w:val="auto"/>
              </w:rPr>
            </w:pPr>
          </w:p>
        </w:tc>
        <w:tc>
          <w:tcPr>
            <w:tcW w:w="1180" w:type="dxa"/>
            <w:vAlign w:val="bottom"/>
            <w:tcBorders>
              <w:right w:val="single" w:sz="8" w:color="auto"/>
            </w:tcBorders>
          </w:tcPr>
          <w:p>
            <w:pPr>
              <w:spacing w:after="0"/>
              <w:rPr>
                <w:sz w:val="24"/>
                <w:szCs w:val="24"/>
                <w:color w:val="auto"/>
              </w:rPr>
            </w:pPr>
          </w:p>
        </w:tc>
        <w:tc>
          <w:tcPr>
            <w:tcW w:w="1980" w:type="dxa"/>
            <w:vAlign w:val="bottom"/>
            <w:tcBorders>
              <w:right w:val="single" w:sz="8" w:color="auto"/>
            </w:tcBorders>
          </w:tcPr>
          <w:p>
            <w:pPr>
              <w:spacing w:after="0"/>
              <w:rPr>
                <w:sz w:val="24"/>
                <w:szCs w:val="24"/>
                <w:color w:val="auto"/>
              </w:rPr>
            </w:pPr>
          </w:p>
        </w:tc>
        <w:tc>
          <w:tcPr>
            <w:tcW w:w="5480" w:type="dxa"/>
            <w:vAlign w:val="bottom"/>
            <w:tcBorders>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specified securities [{(35,00,000 - 1,00,000 * 20)} /</w:t>
            </w:r>
          </w:p>
        </w:tc>
      </w:tr>
      <w:tr>
        <w:trPr>
          <w:trHeight w:val="415"/>
        </w:trPr>
        <w:tc>
          <w:tcPr>
            <w:tcW w:w="940" w:type="dxa"/>
            <w:vAlign w:val="bottom"/>
            <w:tcBorders>
              <w:left w:val="single" w:sz="8" w:color="auto"/>
              <w:right w:val="single" w:sz="8" w:color="auto"/>
            </w:tcBorders>
          </w:tcPr>
          <w:p>
            <w:pPr>
              <w:spacing w:after="0"/>
              <w:rPr>
                <w:sz w:val="24"/>
                <w:szCs w:val="24"/>
                <w:color w:val="auto"/>
              </w:rPr>
            </w:pPr>
          </w:p>
        </w:tc>
        <w:tc>
          <w:tcPr>
            <w:tcW w:w="1180" w:type="dxa"/>
            <w:vAlign w:val="bottom"/>
            <w:tcBorders>
              <w:right w:val="single" w:sz="8" w:color="auto"/>
            </w:tcBorders>
          </w:tcPr>
          <w:p>
            <w:pPr>
              <w:spacing w:after="0"/>
              <w:rPr>
                <w:sz w:val="24"/>
                <w:szCs w:val="24"/>
                <w:color w:val="auto"/>
              </w:rPr>
            </w:pPr>
          </w:p>
        </w:tc>
        <w:tc>
          <w:tcPr>
            <w:tcW w:w="1980" w:type="dxa"/>
            <w:vAlign w:val="bottom"/>
            <w:tcBorders>
              <w:right w:val="single" w:sz="8" w:color="auto"/>
            </w:tcBorders>
          </w:tcPr>
          <w:p>
            <w:pPr>
              <w:spacing w:after="0"/>
              <w:rPr>
                <w:sz w:val="24"/>
                <w:szCs w:val="24"/>
                <w:color w:val="auto"/>
              </w:rPr>
            </w:pPr>
          </w:p>
        </w:tc>
        <w:tc>
          <w:tcPr>
            <w:tcW w:w="5480" w:type="dxa"/>
            <w:vAlign w:val="bottom"/>
            <w:tcBorders>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{(140,00,000 - (1,00,000 * 20)}] * 40 (i.e. 60-20)</w:t>
            </w:r>
          </w:p>
        </w:tc>
      </w:tr>
      <w:tr>
        <w:trPr>
          <w:trHeight w:val="144"/>
        </w:trPr>
        <w:tc>
          <w:tcPr>
            <w:tcW w:w="940" w:type="dxa"/>
            <w:vAlign w:val="bottom"/>
            <w:tcBorders>
              <w:left w:val="single" w:sz="8" w:color="auto"/>
              <w:bottom w:val="single" w:sz="8" w:color="auto"/>
              <w:right w:val="single" w:sz="8" w:color="auto"/>
            </w:tcBorders>
          </w:tcPr>
          <w:p>
            <w:pPr>
              <w:spacing w:after="0"/>
              <w:rPr>
                <w:sz w:val="12"/>
                <w:szCs w:val="12"/>
                <w:color w:val="auto"/>
              </w:rPr>
            </w:pPr>
          </w:p>
        </w:tc>
        <w:tc>
          <w:tcPr>
            <w:tcW w:w="1180" w:type="dxa"/>
            <w:vAlign w:val="bottom"/>
            <w:tcBorders>
              <w:bottom w:val="single" w:sz="8" w:color="auto"/>
              <w:right w:val="single" w:sz="8" w:color="auto"/>
            </w:tcBorders>
          </w:tcPr>
          <w:p>
            <w:pPr>
              <w:spacing w:after="0"/>
              <w:rPr>
                <w:sz w:val="12"/>
                <w:szCs w:val="12"/>
                <w:color w:val="auto"/>
              </w:rPr>
            </w:pPr>
          </w:p>
        </w:tc>
        <w:tc>
          <w:tcPr>
            <w:tcW w:w="1980" w:type="dxa"/>
            <w:vAlign w:val="bottom"/>
            <w:tcBorders>
              <w:bottom w:val="single" w:sz="8" w:color="auto"/>
              <w:right w:val="single" w:sz="8" w:color="auto"/>
            </w:tcBorders>
          </w:tcPr>
          <w:p>
            <w:pPr>
              <w:spacing w:after="0"/>
              <w:rPr>
                <w:sz w:val="12"/>
                <w:szCs w:val="12"/>
                <w:color w:val="auto"/>
              </w:rPr>
            </w:pPr>
          </w:p>
        </w:tc>
        <w:tc>
          <w:tcPr>
            <w:tcW w:w="5480" w:type="dxa"/>
            <w:vAlign w:val="bottom"/>
            <w:tcBorders>
              <w:bottom w:val="single" w:sz="8" w:color="auto"/>
              <w:right w:val="single" w:sz="8" w:color="auto"/>
            </w:tcBorders>
          </w:tcPr>
          <w:p>
            <w:pPr>
              <w:spacing w:after="0"/>
              <w:rPr>
                <w:sz w:val="12"/>
                <w:szCs w:val="12"/>
                <w:color w:val="auto"/>
              </w:rPr>
            </w:pPr>
          </w:p>
        </w:tc>
      </w:tr>
      <w:tr>
        <w:trPr>
          <w:trHeight w:val="260"/>
        </w:trPr>
        <w:tc>
          <w:tcPr>
            <w:tcW w:w="940" w:type="dxa"/>
            <w:vAlign w:val="bottom"/>
            <w:tcBorders>
              <w:left w:val="single" w:sz="8" w:color="auto"/>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5</w:t>
            </w:r>
          </w:p>
        </w:tc>
        <w:tc>
          <w:tcPr>
            <w:tcW w:w="118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5"/>
              </w:rPr>
              <w:t>E</w:t>
            </w:r>
          </w:p>
        </w:tc>
        <w:tc>
          <w:tcPr>
            <w:tcW w:w="1980" w:type="dxa"/>
            <w:vAlign w:val="bottom"/>
            <w:tcBorders>
              <w:right w:val="single" w:sz="8" w:color="auto"/>
            </w:tcBorders>
          </w:tcPr>
          <w:p>
            <w:pPr>
              <w:jc w:val="center"/>
              <w:spacing w:after="0" w:line="260" w:lineRule="exact"/>
              <w:rPr>
                <w:sz w:val="20"/>
                <w:szCs w:val="20"/>
                <w:color w:val="auto"/>
              </w:rPr>
            </w:pPr>
            <w:r>
              <w:rPr>
                <w:rFonts w:ascii="Times New Roman" w:cs="Times New Roman" w:eastAsia="Times New Roman" w:hAnsi="Times New Roman"/>
                <w:sz w:val="24"/>
                <w:szCs w:val="24"/>
                <w:color w:val="auto"/>
                <w:w w:val="99"/>
              </w:rPr>
              <w:t>20</w:t>
            </w:r>
          </w:p>
        </w:tc>
        <w:tc>
          <w:tcPr>
            <w:tcW w:w="5480" w:type="dxa"/>
            <w:vAlign w:val="bottom"/>
            <w:tcBorders>
              <w:right w:val="single" w:sz="8" w:color="auto"/>
            </w:tcBorders>
          </w:tcPr>
          <w:p>
            <w:pPr>
              <w:ind w:left="160"/>
              <w:spacing w:after="0" w:line="260" w:lineRule="exact"/>
              <w:rPr>
                <w:sz w:val="20"/>
                <w:szCs w:val="20"/>
                <w:color w:val="auto"/>
              </w:rPr>
            </w:pPr>
            <w:r>
              <w:rPr>
                <w:rFonts w:ascii="Times New Roman" w:cs="Times New Roman" w:eastAsia="Times New Roman" w:hAnsi="Times New Roman"/>
                <w:sz w:val="24"/>
                <w:szCs w:val="24"/>
                <w:color w:val="auto"/>
              </w:rPr>
              <w:t>20 specified securities (i.e. the minimum bid lot)</w:t>
            </w:r>
          </w:p>
        </w:tc>
      </w:tr>
      <w:tr>
        <w:trPr>
          <w:trHeight w:val="144"/>
        </w:trPr>
        <w:tc>
          <w:tcPr>
            <w:tcW w:w="940" w:type="dxa"/>
            <w:vAlign w:val="bottom"/>
            <w:tcBorders>
              <w:left w:val="single" w:sz="8" w:color="auto"/>
              <w:bottom w:val="single" w:sz="8" w:color="auto"/>
              <w:right w:val="single" w:sz="8" w:color="auto"/>
            </w:tcBorders>
          </w:tcPr>
          <w:p>
            <w:pPr>
              <w:spacing w:after="0"/>
              <w:rPr>
                <w:sz w:val="12"/>
                <w:szCs w:val="12"/>
                <w:color w:val="auto"/>
              </w:rPr>
            </w:pPr>
          </w:p>
        </w:tc>
        <w:tc>
          <w:tcPr>
            <w:tcW w:w="1180" w:type="dxa"/>
            <w:vAlign w:val="bottom"/>
            <w:tcBorders>
              <w:bottom w:val="single" w:sz="8" w:color="auto"/>
              <w:right w:val="single" w:sz="8" w:color="auto"/>
            </w:tcBorders>
          </w:tcPr>
          <w:p>
            <w:pPr>
              <w:spacing w:after="0"/>
              <w:rPr>
                <w:sz w:val="12"/>
                <w:szCs w:val="12"/>
                <w:color w:val="auto"/>
              </w:rPr>
            </w:pPr>
          </w:p>
        </w:tc>
        <w:tc>
          <w:tcPr>
            <w:tcW w:w="1980" w:type="dxa"/>
            <w:vAlign w:val="bottom"/>
            <w:tcBorders>
              <w:bottom w:val="single" w:sz="8" w:color="auto"/>
              <w:right w:val="single" w:sz="8" w:color="auto"/>
            </w:tcBorders>
          </w:tcPr>
          <w:p>
            <w:pPr>
              <w:spacing w:after="0"/>
              <w:rPr>
                <w:sz w:val="12"/>
                <w:szCs w:val="12"/>
                <w:color w:val="auto"/>
              </w:rPr>
            </w:pPr>
          </w:p>
        </w:tc>
        <w:tc>
          <w:tcPr>
            <w:tcW w:w="5480" w:type="dxa"/>
            <w:vAlign w:val="bottom"/>
            <w:tcBorders>
              <w:bottom w:val="single" w:sz="8" w:color="auto"/>
              <w:right w:val="single" w:sz="8" w:color="auto"/>
            </w:tcBorders>
          </w:tcPr>
          <w:p>
            <w:pPr>
              <w:spacing w:after="0"/>
              <w:rPr>
                <w:sz w:val="12"/>
                <w:szCs w:val="12"/>
                <w:color w:val="auto"/>
              </w:rPr>
            </w:pPr>
          </w:p>
        </w:tc>
      </w:tr>
    </w:tbl>
    <w:p>
      <w:pPr>
        <w:spacing w:after="0" w:line="200" w:lineRule="exact"/>
        <w:rPr>
          <w:sz w:val="20"/>
          <w:szCs w:val="20"/>
          <w:color w:val="auto"/>
        </w:rPr>
      </w:pPr>
    </w:p>
    <w:p>
      <w:pPr>
        <w:spacing w:after="0" w:line="212"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4"/>
          <w:szCs w:val="24"/>
          <w:b w:val="1"/>
          <w:bCs w:val="1"/>
          <w:color w:val="auto"/>
        </w:rPr>
        <w:t>Example B.</w:t>
      </w:r>
    </w:p>
    <w:p>
      <w:pPr>
        <w:spacing w:after="0" w:line="132" w:lineRule="exact"/>
        <w:rPr>
          <w:sz w:val="20"/>
          <w:szCs w:val="20"/>
          <w:color w:val="auto"/>
        </w:rPr>
      </w:pPr>
    </w:p>
    <w:p>
      <w:pPr>
        <w:ind w:left="360" w:hanging="348"/>
        <w:spacing w:after="0"/>
        <w:tabs>
          <w:tab w:leader="none" w:pos="360" w:val="left"/>
        </w:tabs>
        <w:numPr>
          <w:ilvl w:val="0"/>
          <w:numId w:val="12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Total number of specified securities on offer @ ` 600 per share: 1 crore specified securities.</w:t>
      </w:r>
    </w:p>
    <w:p>
      <w:pPr>
        <w:spacing w:after="0" w:line="200" w:lineRule="exact"/>
        <w:rPr>
          <w:rFonts w:ascii="Times New Roman" w:cs="Times New Roman" w:eastAsia="Times New Roman" w:hAnsi="Times New Roman"/>
          <w:sz w:val="24"/>
          <w:szCs w:val="24"/>
          <w:color w:val="auto"/>
        </w:rPr>
      </w:pPr>
    </w:p>
    <w:p>
      <w:pPr>
        <w:spacing w:after="0" w:line="352" w:lineRule="exact"/>
        <w:rPr>
          <w:rFonts w:ascii="Times New Roman" w:cs="Times New Roman" w:eastAsia="Times New Roman" w:hAnsi="Times New Roman"/>
          <w:sz w:val="24"/>
          <w:szCs w:val="24"/>
          <w:color w:val="auto"/>
        </w:rPr>
      </w:pPr>
    </w:p>
    <w:p>
      <w:pPr>
        <w:ind w:left="420" w:hanging="408"/>
        <w:spacing w:after="0"/>
        <w:tabs>
          <w:tab w:leader="none" w:pos="420" w:val="left"/>
        </w:tabs>
        <w:numPr>
          <w:ilvl w:val="0"/>
          <w:numId w:val="12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Specified  securities  on  offer  for  retail  individual  investors’  category:  35  lakh  specified</w:t>
      </w:r>
    </w:p>
    <w:p>
      <w:pPr>
        <w:spacing w:after="0" w:line="139"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4"/>
          <w:szCs w:val="24"/>
          <w:color w:val="auto"/>
        </w:rPr>
        <w:t>securities.</w:t>
      </w:r>
    </w:p>
    <w:p>
      <w:pPr>
        <w:spacing w:after="0" w:line="324" w:lineRule="exact"/>
        <w:rPr>
          <w:sz w:val="20"/>
          <w:szCs w:val="20"/>
          <w:color w:val="auto"/>
        </w:rPr>
      </w:pPr>
    </w:p>
    <w:p>
      <w:pPr>
        <w:jc w:val="center"/>
        <w:ind w:right="60"/>
        <w:spacing w:after="0"/>
        <w:rPr>
          <w:sz w:val="20"/>
          <w:szCs w:val="20"/>
          <w:color w:val="auto"/>
        </w:rPr>
      </w:pPr>
      <w:r>
        <w:rPr>
          <w:rFonts w:ascii="Times New Roman" w:cs="Times New Roman" w:eastAsia="Times New Roman" w:hAnsi="Times New Roman"/>
          <w:sz w:val="24"/>
          <w:szCs w:val="24"/>
          <w:color w:val="auto"/>
        </w:rPr>
        <w:t>403</w:t>
      </w:r>
    </w:p>
    <w:p>
      <w:pPr>
        <w:sectPr>
          <w:pgSz w:w="11900" w:h="16836" w:orient="portrait"/>
          <w:cols w:equalWidth="0" w:num="1">
            <w:col w:w="9560"/>
          </w:cols>
          <w:pgMar w:left="1140" w:top="1440" w:right="1204" w:bottom="103" w:gutter="0" w:footer="0" w:header="0"/>
        </w:sectPr>
      </w:pPr>
    </w:p>
    <w:bookmarkStart w:id="403" w:name="page404"/>
    <w:bookmarkEnd w:id="403"/>
    <w:p>
      <w:pPr>
        <w:spacing w:after="0" w:line="130" w:lineRule="exact"/>
        <w:rPr>
          <w:sz w:val="20"/>
          <w:szCs w:val="20"/>
          <w:color w:val="auto"/>
        </w:rPr>
      </w:pPr>
    </w:p>
    <w:p>
      <w:pPr>
        <w:ind w:left="120" w:right="120"/>
        <w:spacing w:after="0" w:line="350" w:lineRule="auto"/>
        <w:rPr>
          <w:sz w:val="20"/>
          <w:szCs w:val="20"/>
          <w:color w:val="auto"/>
        </w:rPr>
      </w:pPr>
      <w:r>
        <w:rPr>
          <w:rFonts w:ascii="Times New Roman" w:cs="Times New Roman" w:eastAsia="Times New Roman" w:hAnsi="Times New Roman"/>
          <w:sz w:val="24"/>
          <w:szCs w:val="24"/>
          <w:color w:val="auto"/>
        </w:rPr>
        <w:t>(3) The issue is overall subscribed by 7 times, whereas the retail individual investors’ category is over-subscribed 9.37 times.</w:t>
      </w:r>
    </w:p>
    <w:p>
      <w:pPr>
        <w:spacing w:after="0" w:line="200" w:lineRule="exact"/>
        <w:rPr>
          <w:sz w:val="20"/>
          <w:szCs w:val="20"/>
          <w:color w:val="auto"/>
        </w:rPr>
      </w:pPr>
    </w:p>
    <w:p>
      <w:pPr>
        <w:spacing w:after="0" w:line="238" w:lineRule="exact"/>
        <w:rPr>
          <w:sz w:val="20"/>
          <w:szCs w:val="20"/>
          <w:color w:val="auto"/>
        </w:rPr>
      </w:pPr>
    </w:p>
    <w:p>
      <w:pPr>
        <w:ind w:left="120" w:right="120" w:hanging="8"/>
        <w:spacing w:after="0" w:line="348" w:lineRule="auto"/>
        <w:tabs>
          <w:tab w:leader="none" w:pos="492" w:val="left"/>
        </w:tabs>
        <w:numPr>
          <w:ilvl w:val="0"/>
          <w:numId w:val="121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has decided the minimum application/bid size as 20 specified securities (falling within the range of ten thousand to fifteen thousand rupees) and in multiples thereof.</w:t>
      </w:r>
    </w:p>
    <w:p>
      <w:pPr>
        <w:spacing w:after="0" w:line="200" w:lineRule="exact"/>
        <w:rPr>
          <w:rFonts w:ascii="Times New Roman" w:cs="Times New Roman" w:eastAsia="Times New Roman" w:hAnsi="Times New Roman"/>
          <w:sz w:val="24"/>
          <w:szCs w:val="24"/>
          <w:color w:val="auto"/>
        </w:rPr>
      </w:pPr>
    </w:p>
    <w:p>
      <w:pPr>
        <w:spacing w:after="0" w:line="240" w:lineRule="exact"/>
        <w:rPr>
          <w:rFonts w:ascii="Times New Roman" w:cs="Times New Roman" w:eastAsia="Times New Roman" w:hAnsi="Times New Roman"/>
          <w:sz w:val="24"/>
          <w:szCs w:val="24"/>
          <w:color w:val="auto"/>
        </w:rPr>
      </w:pPr>
    </w:p>
    <w:p>
      <w:pPr>
        <w:jc w:val="both"/>
        <w:ind w:left="120" w:right="120" w:hanging="8"/>
        <w:spacing w:after="0" w:line="354" w:lineRule="auto"/>
        <w:tabs>
          <w:tab w:leader="none" w:pos="473" w:val="left"/>
        </w:tabs>
        <w:numPr>
          <w:ilvl w:val="0"/>
          <w:numId w:val="121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total of two lakh retail individual investors have applied in the issue, in varying number of bid lots i.e. between 1-16 bid lots, based on the maximum application size of up to two lakh rupees.</w:t>
      </w:r>
    </w:p>
    <w:p>
      <w:pPr>
        <w:spacing w:after="0" w:line="200" w:lineRule="exact"/>
        <w:rPr>
          <w:rFonts w:ascii="Times New Roman" w:cs="Times New Roman" w:eastAsia="Times New Roman" w:hAnsi="Times New Roman"/>
          <w:sz w:val="24"/>
          <w:szCs w:val="24"/>
          <w:color w:val="auto"/>
        </w:rPr>
      </w:pPr>
    </w:p>
    <w:p>
      <w:pPr>
        <w:spacing w:after="0" w:line="235" w:lineRule="exact"/>
        <w:rPr>
          <w:rFonts w:ascii="Times New Roman" w:cs="Times New Roman" w:eastAsia="Times New Roman" w:hAnsi="Times New Roman"/>
          <w:sz w:val="24"/>
          <w:szCs w:val="24"/>
          <w:color w:val="auto"/>
        </w:rPr>
      </w:pPr>
    </w:p>
    <w:p>
      <w:pPr>
        <w:ind w:left="120" w:right="120" w:hanging="8"/>
        <w:spacing w:after="0" w:line="350" w:lineRule="auto"/>
        <w:tabs>
          <w:tab w:leader="none" w:pos="487" w:val="left"/>
        </w:tabs>
        <w:numPr>
          <w:ilvl w:val="0"/>
          <w:numId w:val="121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As per the allotment procedure, the allotment to retail individual investors shall not be less than the minimum bid lot, subject to availability of shares.</w:t>
      </w:r>
    </w:p>
    <w:p>
      <w:pPr>
        <w:spacing w:after="0" w:line="200" w:lineRule="exact"/>
        <w:rPr>
          <w:rFonts w:ascii="Times New Roman" w:cs="Times New Roman" w:eastAsia="Times New Roman" w:hAnsi="Times New Roman"/>
          <w:sz w:val="24"/>
          <w:szCs w:val="24"/>
          <w:color w:val="auto"/>
        </w:rPr>
      </w:pPr>
    </w:p>
    <w:p>
      <w:pPr>
        <w:spacing w:after="0" w:line="238" w:lineRule="exact"/>
        <w:rPr>
          <w:rFonts w:ascii="Times New Roman" w:cs="Times New Roman" w:eastAsia="Times New Roman" w:hAnsi="Times New Roman"/>
          <w:sz w:val="24"/>
          <w:szCs w:val="24"/>
          <w:color w:val="auto"/>
        </w:rPr>
      </w:pPr>
    </w:p>
    <w:p>
      <w:pPr>
        <w:jc w:val="both"/>
        <w:ind w:left="120" w:right="120" w:hanging="8"/>
        <w:spacing w:after="0" w:line="356" w:lineRule="auto"/>
        <w:tabs>
          <w:tab w:leader="none" w:pos="465" w:val="left"/>
        </w:tabs>
        <w:numPr>
          <w:ilvl w:val="0"/>
          <w:numId w:val="121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Since the total number of shares on offer to the retail individual investors is 35,00,000 and the minimum bid lot is 20 shares, the maximum number of investors who can be allotted this minimum bid lot should be 1,75,000. In other words, 1,75,000 retail applicants shall get the minimum bid lot and the remaining 25,000 retail applicants will not get any allotment.</w:t>
      </w:r>
    </w:p>
    <w:p>
      <w:pPr>
        <w:spacing w:after="0" w:line="200" w:lineRule="exact"/>
        <w:rPr>
          <w:sz w:val="20"/>
          <w:szCs w:val="20"/>
          <w:color w:val="auto"/>
        </w:rPr>
      </w:pPr>
    </w:p>
    <w:p>
      <w:pPr>
        <w:spacing w:after="0" w:line="220"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4"/>
          <w:szCs w:val="24"/>
          <w:color w:val="auto"/>
        </w:rPr>
        <w:t>The details of the allotment shall be as follows:</w:t>
      </w:r>
    </w:p>
    <w:p>
      <w:pPr>
        <w:spacing w:after="0" w:line="200" w:lineRule="exact"/>
        <w:rPr>
          <w:sz w:val="20"/>
          <w:szCs w:val="20"/>
          <w:color w:val="auto"/>
        </w:rPr>
      </w:pPr>
    </w:p>
    <w:p>
      <w:pPr>
        <w:spacing w:after="0" w:line="340" w:lineRule="exact"/>
        <w:rPr>
          <w:sz w:val="20"/>
          <w:szCs w:val="20"/>
          <w:color w:val="auto"/>
        </w:rPr>
      </w:pPr>
    </w:p>
    <w:tbl>
      <w:tblPr>
        <w:tblLayout w:type="fixed"/>
        <w:tblInd w:w="10" w:type="dxa"/>
        <w:tblCellMar>
          <w:top w:w="0" w:type="dxa"/>
          <w:left w:w="0" w:type="dxa"/>
          <w:bottom w:w="0" w:type="dxa"/>
          <w:right w:w="0" w:type="dxa"/>
        </w:tblCellMar>
      </w:tblPr>
      <w:tr>
        <w:trPr>
          <w:trHeight w:val="283"/>
        </w:trPr>
        <w:tc>
          <w:tcPr>
            <w:tcW w:w="1180" w:type="dxa"/>
            <w:vAlign w:val="bottom"/>
            <w:tcBorders>
              <w:top w:val="single" w:sz="8" w:color="auto"/>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No. of</w:t>
            </w:r>
          </w:p>
        </w:tc>
        <w:tc>
          <w:tcPr>
            <w:tcW w:w="134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No. of</w:t>
            </w:r>
          </w:p>
        </w:tc>
        <w:tc>
          <w:tcPr>
            <w:tcW w:w="150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No. of retail</w:t>
            </w:r>
          </w:p>
        </w:tc>
        <w:tc>
          <w:tcPr>
            <w:tcW w:w="170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Total no. of</w:t>
            </w:r>
          </w:p>
        </w:tc>
        <w:tc>
          <w:tcPr>
            <w:tcW w:w="398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No. of investors who shall receive</w:t>
            </w:r>
          </w:p>
        </w:tc>
      </w:tr>
      <w:tr>
        <w:trPr>
          <w:trHeight w:val="415"/>
        </w:trPr>
        <w:tc>
          <w:tcPr>
            <w:tcW w:w="118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lots</w:t>
            </w:r>
          </w:p>
        </w:tc>
        <w:tc>
          <w:tcPr>
            <w:tcW w:w="13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8"/>
              </w:rPr>
              <w:t>shares at</w:t>
            </w:r>
          </w:p>
        </w:tc>
        <w:tc>
          <w:tcPr>
            <w:tcW w:w="15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investors</w:t>
            </w:r>
          </w:p>
        </w:tc>
        <w:tc>
          <w:tcPr>
            <w:tcW w:w="17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shares applied</w:t>
            </w:r>
          </w:p>
        </w:tc>
        <w:tc>
          <w:tcPr>
            <w:tcW w:w="39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minimum bid-lot (to be selected by a</w:t>
            </w:r>
          </w:p>
        </w:tc>
      </w:tr>
      <w:tr>
        <w:trPr>
          <w:trHeight w:val="413"/>
        </w:trPr>
        <w:tc>
          <w:tcPr>
            <w:tcW w:w="1180" w:type="dxa"/>
            <w:vAlign w:val="bottom"/>
            <w:tcBorders>
              <w:left w:val="single" w:sz="8" w:color="auto"/>
              <w:right w:val="single" w:sz="8" w:color="auto"/>
            </w:tcBorders>
          </w:tcPr>
          <w:p>
            <w:pPr>
              <w:spacing w:after="0"/>
              <w:rPr>
                <w:sz w:val="24"/>
                <w:szCs w:val="24"/>
                <w:color w:val="auto"/>
              </w:rPr>
            </w:pPr>
          </w:p>
        </w:tc>
        <w:tc>
          <w:tcPr>
            <w:tcW w:w="13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8"/>
              </w:rPr>
              <w:t>each lot</w:t>
            </w:r>
          </w:p>
        </w:tc>
        <w:tc>
          <w:tcPr>
            <w:tcW w:w="15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applying at</w:t>
            </w:r>
          </w:p>
        </w:tc>
        <w:tc>
          <w:tcPr>
            <w:tcW w:w="17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for at each lot</w:t>
            </w:r>
          </w:p>
        </w:tc>
        <w:tc>
          <w:tcPr>
            <w:tcW w:w="39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lottery)</w:t>
            </w:r>
          </w:p>
        </w:tc>
      </w:tr>
      <w:tr>
        <w:trPr>
          <w:trHeight w:val="415"/>
        </w:trPr>
        <w:tc>
          <w:tcPr>
            <w:tcW w:w="1180" w:type="dxa"/>
            <w:vAlign w:val="bottom"/>
            <w:tcBorders>
              <w:left w:val="single" w:sz="8" w:color="auto"/>
              <w:right w:val="single" w:sz="8" w:color="auto"/>
            </w:tcBorders>
          </w:tcPr>
          <w:p>
            <w:pPr>
              <w:spacing w:after="0"/>
              <w:rPr>
                <w:sz w:val="24"/>
                <w:szCs w:val="24"/>
                <w:color w:val="auto"/>
              </w:rPr>
            </w:pPr>
          </w:p>
        </w:tc>
        <w:tc>
          <w:tcPr>
            <w:tcW w:w="1340" w:type="dxa"/>
            <w:vAlign w:val="bottom"/>
            <w:tcBorders>
              <w:right w:val="single" w:sz="8" w:color="auto"/>
            </w:tcBorders>
          </w:tcPr>
          <w:p>
            <w:pPr>
              <w:spacing w:after="0"/>
              <w:rPr>
                <w:sz w:val="24"/>
                <w:szCs w:val="24"/>
                <w:color w:val="auto"/>
              </w:rPr>
            </w:pPr>
          </w:p>
        </w:tc>
        <w:tc>
          <w:tcPr>
            <w:tcW w:w="15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each lot</w:t>
            </w:r>
          </w:p>
        </w:tc>
        <w:tc>
          <w:tcPr>
            <w:tcW w:w="1700" w:type="dxa"/>
            <w:vAlign w:val="bottom"/>
            <w:tcBorders>
              <w:right w:val="single" w:sz="8" w:color="auto"/>
            </w:tcBorders>
          </w:tcPr>
          <w:p>
            <w:pPr>
              <w:spacing w:after="0"/>
              <w:rPr>
                <w:sz w:val="24"/>
                <w:szCs w:val="24"/>
                <w:color w:val="auto"/>
              </w:rPr>
            </w:pPr>
          </w:p>
        </w:tc>
        <w:tc>
          <w:tcPr>
            <w:tcW w:w="3980" w:type="dxa"/>
            <w:vAlign w:val="bottom"/>
            <w:tcBorders>
              <w:right w:val="single" w:sz="8" w:color="auto"/>
            </w:tcBorders>
          </w:tcPr>
          <w:p>
            <w:pPr>
              <w:spacing w:after="0"/>
              <w:rPr>
                <w:sz w:val="24"/>
                <w:szCs w:val="24"/>
                <w:color w:val="auto"/>
              </w:rPr>
            </w:pPr>
          </w:p>
        </w:tc>
      </w:tr>
      <w:tr>
        <w:trPr>
          <w:trHeight w:val="140"/>
        </w:trPr>
        <w:tc>
          <w:tcPr>
            <w:tcW w:w="1180" w:type="dxa"/>
            <w:vAlign w:val="bottom"/>
            <w:tcBorders>
              <w:left w:val="single" w:sz="8" w:color="auto"/>
              <w:bottom w:val="single" w:sz="8" w:color="auto"/>
              <w:right w:val="single" w:sz="8" w:color="auto"/>
            </w:tcBorders>
          </w:tcPr>
          <w:p>
            <w:pPr>
              <w:spacing w:after="0"/>
              <w:rPr>
                <w:sz w:val="12"/>
                <w:szCs w:val="12"/>
                <w:color w:val="auto"/>
              </w:rPr>
            </w:pPr>
          </w:p>
        </w:tc>
        <w:tc>
          <w:tcPr>
            <w:tcW w:w="1340" w:type="dxa"/>
            <w:vAlign w:val="bottom"/>
            <w:tcBorders>
              <w:bottom w:val="single" w:sz="8" w:color="auto"/>
              <w:right w:val="single" w:sz="8" w:color="auto"/>
            </w:tcBorders>
          </w:tcPr>
          <w:p>
            <w:pPr>
              <w:spacing w:after="0"/>
              <w:rPr>
                <w:sz w:val="12"/>
                <w:szCs w:val="12"/>
                <w:color w:val="auto"/>
              </w:rPr>
            </w:pPr>
          </w:p>
        </w:tc>
        <w:tc>
          <w:tcPr>
            <w:tcW w:w="1500" w:type="dxa"/>
            <w:vAlign w:val="bottom"/>
            <w:tcBorders>
              <w:bottom w:val="single" w:sz="8" w:color="auto"/>
              <w:right w:val="single" w:sz="8" w:color="auto"/>
            </w:tcBorders>
          </w:tcPr>
          <w:p>
            <w:pPr>
              <w:spacing w:after="0"/>
              <w:rPr>
                <w:sz w:val="12"/>
                <w:szCs w:val="12"/>
                <w:color w:val="auto"/>
              </w:rPr>
            </w:pPr>
          </w:p>
        </w:tc>
        <w:tc>
          <w:tcPr>
            <w:tcW w:w="1700" w:type="dxa"/>
            <w:vAlign w:val="bottom"/>
            <w:tcBorders>
              <w:bottom w:val="single" w:sz="8" w:color="auto"/>
              <w:right w:val="single" w:sz="8" w:color="auto"/>
            </w:tcBorders>
          </w:tcPr>
          <w:p>
            <w:pPr>
              <w:spacing w:after="0"/>
              <w:rPr>
                <w:sz w:val="12"/>
                <w:szCs w:val="12"/>
                <w:color w:val="auto"/>
              </w:rPr>
            </w:pPr>
          </w:p>
        </w:tc>
        <w:tc>
          <w:tcPr>
            <w:tcW w:w="3980" w:type="dxa"/>
            <w:vAlign w:val="bottom"/>
            <w:tcBorders>
              <w:bottom w:val="single" w:sz="8" w:color="auto"/>
              <w:right w:val="single" w:sz="8" w:color="auto"/>
            </w:tcBorders>
          </w:tcPr>
          <w:p>
            <w:pPr>
              <w:spacing w:after="0"/>
              <w:rPr>
                <w:sz w:val="12"/>
                <w:szCs w:val="12"/>
                <w:color w:val="auto"/>
              </w:rPr>
            </w:pPr>
          </w:p>
        </w:tc>
      </w:tr>
      <w:tr>
        <w:trPr>
          <w:trHeight w:val="263"/>
        </w:trPr>
        <w:tc>
          <w:tcPr>
            <w:tcW w:w="1180" w:type="dxa"/>
            <w:vAlign w:val="bottom"/>
            <w:tcBorders>
              <w:left w:val="single" w:sz="8" w:color="auto"/>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b w:val="1"/>
                <w:bCs w:val="1"/>
                <w:color w:val="auto"/>
              </w:rPr>
              <w:t>A</w:t>
            </w:r>
          </w:p>
        </w:tc>
        <w:tc>
          <w:tcPr>
            <w:tcW w:w="1340" w:type="dxa"/>
            <w:vAlign w:val="bottom"/>
            <w:tcBorders>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b w:val="1"/>
                <w:bCs w:val="1"/>
                <w:color w:val="auto"/>
                <w:w w:val="99"/>
              </w:rPr>
              <w:t>B</w:t>
            </w:r>
          </w:p>
        </w:tc>
        <w:tc>
          <w:tcPr>
            <w:tcW w:w="1500" w:type="dxa"/>
            <w:vAlign w:val="bottom"/>
            <w:tcBorders>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b w:val="1"/>
                <w:bCs w:val="1"/>
                <w:color w:val="auto"/>
              </w:rPr>
              <w:t>C</w:t>
            </w:r>
          </w:p>
        </w:tc>
        <w:tc>
          <w:tcPr>
            <w:tcW w:w="1700" w:type="dxa"/>
            <w:vAlign w:val="bottom"/>
            <w:tcBorders>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b w:val="1"/>
                <w:bCs w:val="1"/>
                <w:color w:val="auto"/>
                <w:w w:val="99"/>
              </w:rPr>
              <w:t>D= (B*C)</w:t>
            </w:r>
          </w:p>
        </w:tc>
        <w:tc>
          <w:tcPr>
            <w:tcW w:w="3980" w:type="dxa"/>
            <w:vAlign w:val="bottom"/>
            <w:tcBorders>
              <w:right w:val="single" w:sz="8" w:color="auto"/>
            </w:tcBorders>
          </w:tcPr>
          <w:p>
            <w:pPr>
              <w:jc w:val="center"/>
              <w:spacing w:after="0" w:line="263" w:lineRule="exact"/>
              <w:rPr>
                <w:sz w:val="20"/>
                <w:szCs w:val="20"/>
                <w:color w:val="auto"/>
              </w:rPr>
            </w:pPr>
            <w:r>
              <w:rPr>
                <w:rFonts w:ascii="Times New Roman" w:cs="Times New Roman" w:eastAsia="Times New Roman" w:hAnsi="Times New Roman"/>
                <w:sz w:val="24"/>
                <w:szCs w:val="24"/>
                <w:b w:val="1"/>
                <w:bCs w:val="1"/>
                <w:color w:val="auto"/>
                <w:w w:val="99"/>
              </w:rPr>
              <w:t>E</w:t>
            </w:r>
          </w:p>
        </w:tc>
      </w:tr>
      <w:tr>
        <w:trPr>
          <w:trHeight w:val="142"/>
        </w:trPr>
        <w:tc>
          <w:tcPr>
            <w:tcW w:w="1180" w:type="dxa"/>
            <w:vAlign w:val="bottom"/>
            <w:tcBorders>
              <w:left w:val="single" w:sz="8" w:color="auto"/>
              <w:bottom w:val="single" w:sz="8" w:color="auto"/>
              <w:right w:val="single" w:sz="8" w:color="auto"/>
            </w:tcBorders>
          </w:tcPr>
          <w:p>
            <w:pPr>
              <w:spacing w:after="0"/>
              <w:rPr>
                <w:sz w:val="12"/>
                <w:szCs w:val="12"/>
                <w:color w:val="auto"/>
              </w:rPr>
            </w:pPr>
          </w:p>
        </w:tc>
        <w:tc>
          <w:tcPr>
            <w:tcW w:w="1340" w:type="dxa"/>
            <w:vAlign w:val="bottom"/>
            <w:tcBorders>
              <w:bottom w:val="single" w:sz="8" w:color="auto"/>
              <w:right w:val="single" w:sz="8" w:color="auto"/>
            </w:tcBorders>
          </w:tcPr>
          <w:p>
            <w:pPr>
              <w:spacing w:after="0"/>
              <w:rPr>
                <w:sz w:val="12"/>
                <w:szCs w:val="12"/>
                <w:color w:val="auto"/>
              </w:rPr>
            </w:pPr>
          </w:p>
        </w:tc>
        <w:tc>
          <w:tcPr>
            <w:tcW w:w="1500" w:type="dxa"/>
            <w:vAlign w:val="bottom"/>
            <w:tcBorders>
              <w:bottom w:val="single" w:sz="8" w:color="auto"/>
              <w:right w:val="single" w:sz="8" w:color="auto"/>
            </w:tcBorders>
          </w:tcPr>
          <w:p>
            <w:pPr>
              <w:spacing w:after="0"/>
              <w:rPr>
                <w:sz w:val="12"/>
                <w:szCs w:val="12"/>
                <w:color w:val="auto"/>
              </w:rPr>
            </w:pPr>
          </w:p>
        </w:tc>
        <w:tc>
          <w:tcPr>
            <w:tcW w:w="1700" w:type="dxa"/>
            <w:vAlign w:val="bottom"/>
            <w:tcBorders>
              <w:bottom w:val="single" w:sz="8" w:color="auto"/>
              <w:right w:val="single" w:sz="8" w:color="auto"/>
            </w:tcBorders>
          </w:tcPr>
          <w:p>
            <w:pPr>
              <w:spacing w:after="0"/>
              <w:rPr>
                <w:sz w:val="12"/>
                <w:szCs w:val="12"/>
                <w:color w:val="auto"/>
              </w:rPr>
            </w:pPr>
          </w:p>
        </w:tc>
        <w:tc>
          <w:tcPr>
            <w:tcW w:w="3980" w:type="dxa"/>
            <w:vAlign w:val="bottom"/>
            <w:tcBorders>
              <w:bottom w:val="single" w:sz="8" w:color="auto"/>
              <w:right w:val="single" w:sz="8" w:color="auto"/>
            </w:tcBorders>
          </w:tcPr>
          <w:p>
            <w:pPr>
              <w:spacing w:after="0"/>
              <w:rPr>
                <w:sz w:val="12"/>
                <w:szCs w:val="12"/>
                <w:color w:val="auto"/>
              </w:rPr>
            </w:pPr>
          </w:p>
        </w:tc>
      </w:tr>
      <w:tr>
        <w:trPr>
          <w:trHeight w:val="258"/>
        </w:trPr>
        <w:tc>
          <w:tcPr>
            <w:tcW w:w="1180" w:type="dxa"/>
            <w:vAlign w:val="bottom"/>
            <w:tcBorders>
              <w:left w:val="single" w:sz="8" w:color="auto"/>
              <w:right w:val="single" w:sz="8" w:color="auto"/>
            </w:tcBorders>
          </w:tcPr>
          <w:p>
            <w:pPr>
              <w:jc w:val="right"/>
              <w:ind w:right="820"/>
              <w:spacing w:after="0" w:line="258" w:lineRule="exact"/>
              <w:rPr>
                <w:sz w:val="20"/>
                <w:szCs w:val="20"/>
                <w:color w:val="auto"/>
              </w:rPr>
            </w:pPr>
            <w:r>
              <w:rPr>
                <w:rFonts w:ascii="Times New Roman" w:cs="Times New Roman" w:eastAsia="Times New Roman" w:hAnsi="Times New Roman"/>
                <w:sz w:val="24"/>
                <w:szCs w:val="24"/>
                <w:color w:val="auto"/>
              </w:rPr>
              <w:t>1</w:t>
            </w:r>
          </w:p>
        </w:tc>
        <w:tc>
          <w:tcPr>
            <w:tcW w:w="134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20</w:t>
            </w:r>
          </w:p>
        </w:tc>
        <w:tc>
          <w:tcPr>
            <w:tcW w:w="15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10,000</w:t>
            </w:r>
          </w:p>
        </w:tc>
        <w:tc>
          <w:tcPr>
            <w:tcW w:w="17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2,00,000</w:t>
            </w:r>
          </w:p>
        </w:tc>
        <w:tc>
          <w:tcPr>
            <w:tcW w:w="398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8,750 =(1,75,000/2,00,000)*10,000</w:t>
            </w:r>
          </w:p>
        </w:tc>
      </w:tr>
      <w:tr>
        <w:trPr>
          <w:trHeight w:val="147"/>
        </w:trPr>
        <w:tc>
          <w:tcPr>
            <w:tcW w:w="1180" w:type="dxa"/>
            <w:vAlign w:val="bottom"/>
            <w:tcBorders>
              <w:left w:val="single" w:sz="8" w:color="auto"/>
              <w:bottom w:val="single" w:sz="8" w:color="auto"/>
              <w:right w:val="single" w:sz="8" w:color="auto"/>
            </w:tcBorders>
          </w:tcPr>
          <w:p>
            <w:pPr>
              <w:spacing w:after="0"/>
              <w:rPr>
                <w:sz w:val="12"/>
                <w:szCs w:val="12"/>
                <w:color w:val="auto"/>
              </w:rPr>
            </w:pPr>
          </w:p>
        </w:tc>
        <w:tc>
          <w:tcPr>
            <w:tcW w:w="1340" w:type="dxa"/>
            <w:vAlign w:val="bottom"/>
            <w:tcBorders>
              <w:bottom w:val="single" w:sz="8" w:color="auto"/>
              <w:right w:val="single" w:sz="8" w:color="auto"/>
            </w:tcBorders>
          </w:tcPr>
          <w:p>
            <w:pPr>
              <w:spacing w:after="0"/>
              <w:rPr>
                <w:sz w:val="12"/>
                <w:szCs w:val="12"/>
                <w:color w:val="auto"/>
              </w:rPr>
            </w:pPr>
          </w:p>
        </w:tc>
        <w:tc>
          <w:tcPr>
            <w:tcW w:w="1500" w:type="dxa"/>
            <w:vAlign w:val="bottom"/>
            <w:tcBorders>
              <w:bottom w:val="single" w:sz="8" w:color="auto"/>
              <w:right w:val="single" w:sz="8" w:color="auto"/>
            </w:tcBorders>
          </w:tcPr>
          <w:p>
            <w:pPr>
              <w:spacing w:after="0"/>
              <w:rPr>
                <w:sz w:val="12"/>
                <w:szCs w:val="12"/>
                <w:color w:val="auto"/>
              </w:rPr>
            </w:pPr>
          </w:p>
        </w:tc>
        <w:tc>
          <w:tcPr>
            <w:tcW w:w="1700" w:type="dxa"/>
            <w:vAlign w:val="bottom"/>
            <w:tcBorders>
              <w:bottom w:val="single" w:sz="8" w:color="auto"/>
              <w:right w:val="single" w:sz="8" w:color="auto"/>
            </w:tcBorders>
          </w:tcPr>
          <w:p>
            <w:pPr>
              <w:spacing w:after="0"/>
              <w:rPr>
                <w:sz w:val="12"/>
                <w:szCs w:val="12"/>
                <w:color w:val="auto"/>
              </w:rPr>
            </w:pPr>
          </w:p>
        </w:tc>
        <w:tc>
          <w:tcPr>
            <w:tcW w:w="3980" w:type="dxa"/>
            <w:vAlign w:val="bottom"/>
            <w:tcBorders>
              <w:bottom w:val="single" w:sz="8" w:color="auto"/>
              <w:right w:val="single" w:sz="8" w:color="auto"/>
            </w:tcBorders>
          </w:tcPr>
          <w:p>
            <w:pPr>
              <w:spacing w:after="0"/>
              <w:rPr>
                <w:sz w:val="12"/>
                <w:szCs w:val="12"/>
                <w:color w:val="auto"/>
              </w:rPr>
            </w:pPr>
          </w:p>
        </w:tc>
      </w:tr>
      <w:tr>
        <w:trPr>
          <w:trHeight w:val="258"/>
        </w:trPr>
        <w:tc>
          <w:tcPr>
            <w:tcW w:w="1180" w:type="dxa"/>
            <w:vAlign w:val="bottom"/>
            <w:tcBorders>
              <w:left w:val="single" w:sz="8" w:color="auto"/>
              <w:right w:val="single" w:sz="8" w:color="auto"/>
            </w:tcBorders>
          </w:tcPr>
          <w:p>
            <w:pPr>
              <w:jc w:val="right"/>
              <w:ind w:right="820"/>
              <w:spacing w:after="0" w:line="258" w:lineRule="exact"/>
              <w:rPr>
                <w:sz w:val="20"/>
                <w:szCs w:val="20"/>
                <w:color w:val="auto"/>
              </w:rPr>
            </w:pPr>
            <w:r>
              <w:rPr>
                <w:rFonts w:ascii="Times New Roman" w:cs="Times New Roman" w:eastAsia="Times New Roman" w:hAnsi="Times New Roman"/>
                <w:sz w:val="24"/>
                <w:szCs w:val="24"/>
                <w:color w:val="auto"/>
              </w:rPr>
              <w:t>2</w:t>
            </w:r>
          </w:p>
        </w:tc>
        <w:tc>
          <w:tcPr>
            <w:tcW w:w="134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40</w:t>
            </w:r>
          </w:p>
        </w:tc>
        <w:tc>
          <w:tcPr>
            <w:tcW w:w="15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10,000</w:t>
            </w:r>
          </w:p>
        </w:tc>
        <w:tc>
          <w:tcPr>
            <w:tcW w:w="17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4,00,000</w:t>
            </w:r>
          </w:p>
        </w:tc>
        <w:tc>
          <w:tcPr>
            <w:tcW w:w="398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8,750</w:t>
            </w:r>
          </w:p>
        </w:tc>
      </w:tr>
      <w:tr>
        <w:trPr>
          <w:trHeight w:val="144"/>
        </w:trPr>
        <w:tc>
          <w:tcPr>
            <w:tcW w:w="1180" w:type="dxa"/>
            <w:vAlign w:val="bottom"/>
            <w:tcBorders>
              <w:left w:val="single" w:sz="8" w:color="auto"/>
              <w:bottom w:val="single" w:sz="8" w:color="auto"/>
              <w:right w:val="single" w:sz="8" w:color="auto"/>
            </w:tcBorders>
          </w:tcPr>
          <w:p>
            <w:pPr>
              <w:spacing w:after="0"/>
              <w:rPr>
                <w:sz w:val="12"/>
                <w:szCs w:val="12"/>
                <w:color w:val="auto"/>
              </w:rPr>
            </w:pPr>
          </w:p>
        </w:tc>
        <w:tc>
          <w:tcPr>
            <w:tcW w:w="1340" w:type="dxa"/>
            <w:vAlign w:val="bottom"/>
            <w:tcBorders>
              <w:bottom w:val="single" w:sz="8" w:color="auto"/>
              <w:right w:val="single" w:sz="8" w:color="auto"/>
            </w:tcBorders>
          </w:tcPr>
          <w:p>
            <w:pPr>
              <w:spacing w:after="0"/>
              <w:rPr>
                <w:sz w:val="12"/>
                <w:szCs w:val="12"/>
                <w:color w:val="auto"/>
              </w:rPr>
            </w:pPr>
          </w:p>
        </w:tc>
        <w:tc>
          <w:tcPr>
            <w:tcW w:w="1500" w:type="dxa"/>
            <w:vAlign w:val="bottom"/>
            <w:tcBorders>
              <w:bottom w:val="single" w:sz="8" w:color="auto"/>
              <w:right w:val="single" w:sz="8" w:color="auto"/>
            </w:tcBorders>
          </w:tcPr>
          <w:p>
            <w:pPr>
              <w:spacing w:after="0"/>
              <w:rPr>
                <w:sz w:val="12"/>
                <w:szCs w:val="12"/>
                <w:color w:val="auto"/>
              </w:rPr>
            </w:pPr>
          </w:p>
        </w:tc>
        <w:tc>
          <w:tcPr>
            <w:tcW w:w="1700" w:type="dxa"/>
            <w:vAlign w:val="bottom"/>
            <w:tcBorders>
              <w:bottom w:val="single" w:sz="8" w:color="auto"/>
              <w:right w:val="single" w:sz="8" w:color="auto"/>
            </w:tcBorders>
          </w:tcPr>
          <w:p>
            <w:pPr>
              <w:spacing w:after="0"/>
              <w:rPr>
                <w:sz w:val="12"/>
                <w:szCs w:val="12"/>
                <w:color w:val="auto"/>
              </w:rPr>
            </w:pPr>
          </w:p>
        </w:tc>
        <w:tc>
          <w:tcPr>
            <w:tcW w:w="3980" w:type="dxa"/>
            <w:vAlign w:val="bottom"/>
            <w:tcBorders>
              <w:bottom w:val="single" w:sz="8" w:color="auto"/>
              <w:right w:val="single" w:sz="8" w:color="auto"/>
            </w:tcBorders>
          </w:tcPr>
          <w:p>
            <w:pPr>
              <w:spacing w:after="0"/>
              <w:rPr>
                <w:sz w:val="12"/>
                <w:szCs w:val="12"/>
                <w:color w:val="auto"/>
              </w:rPr>
            </w:pPr>
          </w:p>
        </w:tc>
      </w:tr>
      <w:tr>
        <w:trPr>
          <w:trHeight w:val="258"/>
        </w:trPr>
        <w:tc>
          <w:tcPr>
            <w:tcW w:w="1180" w:type="dxa"/>
            <w:vAlign w:val="bottom"/>
            <w:tcBorders>
              <w:left w:val="single" w:sz="8" w:color="auto"/>
              <w:right w:val="single" w:sz="8" w:color="auto"/>
            </w:tcBorders>
          </w:tcPr>
          <w:p>
            <w:pPr>
              <w:jc w:val="right"/>
              <w:ind w:right="820"/>
              <w:spacing w:after="0" w:line="258" w:lineRule="exact"/>
              <w:rPr>
                <w:sz w:val="20"/>
                <w:szCs w:val="20"/>
                <w:color w:val="auto"/>
              </w:rPr>
            </w:pPr>
            <w:r>
              <w:rPr>
                <w:rFonts w:ascii="Times New Roman" w:cs="Times New Roman" w:eastAsia="Times New Roman" w:hAnsi="Times New Roman"/>
                <w:sz w:val="24"/>
                <w:szCs w:val="24"/>
                <w:color w:val="auto"/>
              </w:rPr>
              <w:t>3</w:t>
            </w:r>
          </w:p>
        </w:tc>
        <w:tc>
          <w:tcPr>
            <w:tcW w:w="134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60</w:t>
            </w:r>
          </w:p>
        </w:tc>
        <w:tc>
          <w:tcPr>
            <w:tcW w:w="15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10,000</w:t>
            </w:r>
          </w:p>
        </w:tc>
        <w:tc>
          <w:tcPr>
            <w:tcW w:w="17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6,00,000</w:t>
            </w:r>
          </w:p>
        </w:tc>
        <w:tc>
          <w:tcPr>
            <w:tcW w:w="398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8,750</w:t>
            </w:r>
          </w:p>
        </w:tc>
      </w:tr>
      <w:tr>
        <w:trPr>
          <w:trHeight w:val="147"/>
        </w:trPr>
        <w:tc>
          <w:tcPr>
            <w:tcW w:w="1180" w:type="dxa"/>
            <w:vAlign w:val="bottom"/>
            <w:tcBorders>
              <w:left w:val="single" w:sz="8" w:color="auto"/>
              <w:bottom w:val="single" w:sz="8" w:color="auto"/>
              <w:right w:val="single" w:sz="8" w:color="auto"/>
            </w:tcBorders>
          </w:tcPr>
          <w:p>
            <w:pPr>
              <w:spacing w:after="0"/>
              <w:rPr>
                <w:sz w:val="12"/>
                <w:szCs w:val="12"/>
                <w:color w:val="auto"/>
              </w:rPr>
            </w:pPr>
          </w:p>
        </w:tc>
        <w:tc>
          <w:tcPr>
            <w:tcW w:w="1340" w:type="dxa"/>
            <w:vAlign w:val="bottom"/>
            <w:tcBorders>
              <w:bottom w:val="single" w:sz="8" w:color="auto"/>
              <w:right w:val="single" w:sz="8" w:color="auto"/>
            </w:tcBorders>
          </w:tcPr>
          <w:p>
            <w:pPr>
              <w:spacing w:after="0"/>
              <w:rPr>
                <w:sz w:val="12"/>
                <w:szCs w:val="12"/>
                <w:color w:val="auto"/>
              </w:rPr>
            </w:pPr>
          </w:p>
        </w:tc>
        <w:tc>
          <w:tcPr>
            <w:tcW w:w="1500" w:type="dxa"/>
            <w:vAlign w:val="bottom"/>
            <w:tcBorders>
              <w:bottom w:val="single" w:sz="8" w:color="auto"/>
              <w:right w:val="single" w:sz="8" w:color="auto"/>
            </w:tcBorders>
          </w:tcPr>
          <w:p>
            <w:pPr>
              <w:spacing w:after="0"/>
              <w:rPr>
                <w:sz w:val="12"/>
                <w:szCs w:val="12"/>
                <w:color w:val="auto"/>
              </w:rPr>
            </w:pPr>
          </w:p>
        </w:tc>
        <w:tc>
          <w:tcPr>
            <w:tcW w:w="1700" w:type="dxa"/>
            <w:vAlign w:val="bottom"/>
            <w:tcBorders>
              <w:bottom w:val="single" w:sz="8" w:color="auto"/>
              <w:right w:val="single" w:sz="8" w:color="auto"/>
            </w:tcBorders>
          </w:tcPr>
          <w:p>
            <w:pPr>
              <w:spacing w:after="0"/>
              <w:rPr>
                <w:sz w:val="12"/>
                <w:szCs w:val="12"/>
                <w:color w:val="auto"/>
              </w:rPr>
            </w:pPr>
          </w:p>
        </w:tc>
        <w:tc>
          <w:tcPr>
            <w:tcW w:w="3980" w:type="dxa"/>
            <w:vAlign w:val="bottom"/>
            <w:tcBorders>
              <w:bottom w:val="single" w:sz="8" w:color="auto"/>
              <w:right w:val="single" w:sz="8" w:color="auto"/>
            </w:tcBorders>
          </w:tcPr>
          <w:p>
            <w:pPr>
              <w:spacing w:after="0"/>
              <w:rPr>
                <w:sz w:val="12"/>
                <w:szCs w:val="12"/>
                <w:color w:val="auto"/>
              </w:rPr>
            </w:pPr>
          </w:p>
        </w:tc>
      </w:tr>
      <w:tr>
        <w:trPr>
          <w:trHeight w:val="258"/>
        </w:trPr>
        <w:tc>
          <w:tcPr>
            <w:tcW w:w="1180" w:type="dxa"/>
            <w:vAlign w:val="bottom"/>
            <w:tcBorders>
              <w:left w:val="single" w:sz="8" w:color="auto"/>
              <w:right w:val="single" w:sz="8" w:color="auto"/>
            </w:tcBorders>
          </w:tcPr>
          <w:p>
            <w:pPr>
              <w:jc w:val="right"/>
              <w:ind w:right="820"/>
              <w:spacing w:after="0" w:line="258" w:lineRule="exact"/>
              <w:rPr>
                <w:sz w:val="20"/>
                <w:szCs w:val="20"/>
                <w:color w:val="auto"/>
              </w:rPr>
            </w:pPr>
            <w:r>
              <w:rPr>
                <w:rFonts w:ascii="Times New Roman" w:cs="Times New Roman" w:eastAsia="Times New Roman" w:hAnsi="Times New Roman"/>
                <w:sz w:val="24"/>
                <w:szCs w:val="24"/>
                <w:color w:val="auto"/>
              </w:rPr>
              <w:t>4</w:t>
            </w:r>
          </w:p>
        </w:tc>
        <w:tc>
          <w:tcPr>
            <w:tcW w:w="134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80</w:t>
            </w:r>
          </w:p>
        </w:tc>
        <w:tc>
          <w:tcPr>
            <w:tcW w:w="15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10,000</w:t>
            </w:r>
          </w:p>
        </w:tc>
        <w:tc>
          <w:tcPr>
            <w:tcW w:w="17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8,00,000</w:t>
            </w:r>
          </w:p>
        </w:tc>
        <w:tc>
          <w:tcPr>
            <w:tcW w:w="398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8,750</w:t>
            </w:r>
          </w:p>
        </w:tc>
      </w:tr>
      <w:tr>
        <w:trPr>
          <w:trHeight w:val="147"/>
        </w:trPr>
        <w:tc>
          <w:tcPr>
            <w:tcW w:w="1180" w:type="dxa"/>
            <w:vAlign w:val="bottom"/>
            <w:tcBorders>
              <w:left w:val="single" w:sz="8" w:color="auto"/>
              <w:bottom w:val="single" w:sz="8" w:color="auto"/>
              <w:right w:val="single" w:sz="8" w:color="auto"/>
            </w:tcBorders>
          </w:tcPr>
          <w:p>
            <w:pPr>
              <w:spacing w:after="0"/>
              <w:rPr>
                <w:sz w:val="12"/>
                <w:szCs w:val="12"/>
                <w:color w:val="auto"/>
              </w:rPr>
            </w:pPr>
          </w:p>
        </w:tc>
        <w:tc>
          <w:tcPr>
            <w:tcW w:w="1340" w:type="dxa"/>
            <w:vAlign w:val="bottom"/>
            <w:tcBorders>
              <w:bottom w:val="single" w:sz="8" w:color="auto"/>
              <w:right w:val="single" w:sz="8" w:color="auto"/>
            </w:tcBorders>
          </w:tcPr>
          <w:p>
            <w:pPr>
              <w:spacing w:after="0"/>
              <w:rPr>
                <w:sz w:val="12"/>
                <w:szCs w:val="12"/>
                <w:color w:val="auto"/>
              </w:rPr>
            </w:pPr>
          </w:p>
        </w:tc>
        <w:tc>
          <w:tcPr>
            <w:tcW w:w="1500" w:type="dxa"/>
            <w:vAlign w:val="bottom"/>
            <w:tcBorders>
              <w:bottom w:val="single" w:sz="8" w:color="auto"/>
              <w:right w:val="single" w:sz="8" w:color="auto"/>
            </w:tcBorders>
          </w:tcPr>
          <w:p>
            <w:pPr>
              <w:spacing w:after="0"/>
              <w:rPr>
                <w:sz w:val="12"/>
                <w:szCs w:val="12"/>
                <w:color w:val="auto"/>
              </w:rPr>
            </w:pPr>
          </w:p>
        </w:tc>
        <w:tc>
          <w:tcPr>
            <w:tcW w:w="1700" w:type="dxa"/>
            <w:vAlign w:val="bottom"/>
            <w:tcBorders>
              <w:bottom w:val="single" w:sz="8" w:color="auto"/>
              <w:right w:val="single" w:sz="8" w:color="auto"/>
            </w:tcBorders>
          </w:tcPr>
          <w:p>
            <w:pPr>
              <w:spacing w:after="0"/>
              <w:rPr>
                <w:sz w:val="12"/>
                <w:szCs w:val="12"/>
                <w:color w:val="auto"/>
              </w:rPr>
            </w:pPr>
          </w:p>
        </w:tc>
        <w:tc>
          <w:tcPr>
            <w:tcW w:w="3980" w:type="dxa"/>
            <w:vAlign w:val="bottom"/>
            <w:tcBorders>
              <w:bottom w:val="single" w:sz="8" w:color="auto"/>
              <w:right w:val="single" w:sz="8" w:color="auto"/>
            </w:tcBorders>
          </w:tcPr>
          <w:p>
            <w:pPr>
              <w:spacing w:after="0"/>
              <w:rPr>
                <w:sz w:val="12"/>
                <w:szCs w:val="12"/>
                <w:color w:val="auto"/>
              </w:rPr>
            </w:pPr>
          </w:p>
        </w:tc>
      </w:tr>
      <w:tr>
        <w:trPr>
          <w:trHeight w:val="258"/>
        </w:trPr>
        <w:tc>
          <w:tcPr>
            <w:tcW w:w="1180" w:type="dxa"/>
            <w:vAlign w:val="bottom"/>
            <w:tcBorders>
              <w:left w:val="single" w:sz="8" w:color="auto"/>
              <w:right w:val="single" w:sz="8" w:color="auto"/>
            </w:tcBorders>
          </w:tcPr>
          <w:p>
            <w:pPr>
              <w:jc w:val="right"/>
              <w:ind w:right="820"/>
              <w:spacing w:after="0" w:line="258" w:lineRule="exact"/>
              <w:rPr>
                <w:sz w:val="20"/>
                <w:szCs w:val="20"/>
                <w:color w:val="auto"/>
              </w:rPr>
            </w:pPr>
            <w:r>
              <w:rPr>
                <w:rFonts w:ascii="Times New Roman" w:cs="Times New Roman" w:eastAsia="Times New Roman" w:hAnsi="Times New Roman"/>
                <w:sz w:val="24"/>
                <w:szCs w:val="24"/>
                <w:color w:val="auto"/>
              </w:rPr>
              <w:t>5</w:t>
            </w:r>
          </w:p>
        </w:tc>
        <w:tc>
          <w:tcPr>
            <w:tcW w:w="134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100</w:t>
            </w:r>
          </w:p>
        </w:tc>
        <w:tc>
          <w:tcPr>
            <w:tcW w:w="15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20,000</w:t>
            </w:r>
          </w:p>
        </w:tc>
        <w:tc>
          <w:tcPr>
            <w:tcW w:w="17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20,00,000</w:t>
            </w:r>
          </w:p>
        </w:tc>
        <w:tc>
          <w:tcPr>
            <w:tcW w:w="398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17,500</w:t>
            </w:r>
          </w:p>
        </w:tc>
      </w:tr>
      <w:tr>
        <w:trPr>
          <w:trHeight w:val="145"/>
        </w:trPr>
        <w:tc>
          <w:tcPr>
            <w:tcW w:w="1180" w:type="dxa"/>
            <w:vAlign w:val="bottom"/>
            <w:tcBorders>
              <w:left w:val="single" w:sz="8" w:color="auto"/>
              <w:bottom w:val="single" w:sz="8" w:color="auto"/>
              <w:right w:val="single" w:sz="8" w:color="auto"/>
            </w:tcBorders>
          </w:tcPr>
          <w:p>
            <w:pPr>
              <w:spacing w:after="0"/>
              <w:rPr>
                <w:sz w:val="12"/>
                <w:szCs w:val="12"/>
                <w:color w:val="auto"/>
              </w:rPr>
            </w:pPr>
          </w:p>
        </w:tc>
        <w:tc>
          <w:tcPr>
            <w:tcW w:w="1340" w:type="dxa"/>
            <w:vAlign w:val="bottom"/>
            <w:tcBorders>
              <w:bottom w:val="single" w:sz="8" w:color="auto"/>
              <w:right w:val="single" w:sz="8" w:color="auto"/>
            </w:tcBorders>
          </w:tcPr>
          <w:p>
            <w:pPr>
              <w:spacing w:after="0"/>
              <w:rPr>
                <w:sz w:val="12"/>
                <w:szCs w:val="12"/>
                <w:color w:val="auto"/>
              </w:rPr>
            </w:pPr>
          </w:p>
        </w:tc>
        <w:tc>
          <w:tcPr>
            <w:tcW w:w="1500" w:type="dxa"/>
            <w:vAlign w:val="bottom"/>
            <w:tcBorders>
              <w:bottom w:val="single" w:sz="8" w:color="auto"/>
              <w:right w:val="single" w:sz="8" w:color="auto"/>
            </w:tcBorders>
          </w:tcPr>
          <w:p>
            <w:pPr>
              <w:spacing w:after="0"/>
              <w:rPr>
                <w:sz w:val="12"/>
                <w:szCs w:val="12"/>
                <w:color w:val="auto"/>
              </w:rPr>
            </w:pPr>
          </w:p>
        </w:tc>
        <w:tc>
          <w:tcPr>
            <w:tcW w:w="1700" w:type="dxa"/>
            <w:vAlign w:val="bottom"/>
            <w:tcBorders>
              <w:bottom w:val="single" w:sz="8" w:color="auto"/>
              <w:right w:val="single" w:sz="8" w:color="auto"/>
            </w:tcBorders>
          </w:tcPr>
          <w:p>
            <w:pPr>
              <w:spacing w:after="0"/>
              <w:rPr>
                <w:sz w:val="12"/>
                <w:szCs w:val="12"/>
                <w:color w:val="auto"/>
              </w:rPr>
            </w:pPr>
          </w:p>
        </w:tc>
        <w:tc>
          <w:tcPr>
            <w:tcW w:w="3980" w:type="dxa"/>
            <w:vAlign w:val="bottom"/>
            <w:tcBorders>
              <w:bottom w:val="single" w:sz="8" w:color="auto"/>
              <w:right w:val="single" w:sz="8" w:color="auto"/>
            </w:tcBorders>
          </w:tcPr>
          <w:p>
            <w:pPr>
              <w:spacing w:after="0"/>
              <w:rPr>
                <w:sz w:val="12"/>
                <w:szCs w:val="12"/>
                <w:color w:val="auto"/>
              </w:rPr>
            </w:pPr>
          </w:p>
        </w:tc>
      </w:tr>
      <w:tr>
        <w:trPr>
          <w:trHeight w:val="258"/>
        </w:trPr>
        <w:tc>
          <w:tcPr>
            <w:tcW w:w="1180" w:type="dxa"/>
            <w:vAlign w:val="bottom"/>
            <w:tcBorders>
              <w:left w:val="single" w:sz="8" w:color="auto"/>
              <w:right w:val="single" w:sz="8" w:color="auto"/>
            </w:tcBorders>
          </w:tcPr>
          <w:p>
            <w:pPr>
              <w:jc w:val="right"/>
              <w:ind w:right="820"/>
              <w:spacing w:after="0" w:line="258" w:lineRule="exact"/>
              <w:rPr>
                <w:sz w:val="20"/>
                <w:szCs w:val="20"/>
                <w:color w:val="auto"/>
              </w:rPr>
            </w:pPr>
            <w:r>
              <w:rPr>
                <w:rFonts w:ascii="Times New Roman" w:cs="Times New Roman" w:eastAsia="Times New Roman" w:hAnsi="Times New Roman"/>
                <w:sz w:val="24"/>
                <w:szCs w:val="24"/>
                <w:color w:val="auto"/>
              </w:rPr>
              <w:t>6</w:t>
            </w:r>
          </w:p>
        </w:tc>
        <w:tc>
          <w:tcPr>
            <w:tcW w:w="134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120</w:t>
            </w:r>
          </w:p>
        </w:tc>
        <w:tc>
          <w:tcPr>
            <w:tcW w:w="15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20,000</w:t>
            </w:r>
          </w:p>
        </w:tc>
        <w:tc>
          <w:tcPr>
            <w:tcW w:w="17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24,00,000</w:t>
            </w:r>
          </w:p>
        </w:tc>
        <w:tc>
          <w:tcPr>
            <w:tcW w:w="398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17,500</w:t>
            </w:r>
          </w:p>
        </w:tc>
      </w:tr>
      <w:tr>
        <w:trPr>
          <w:trHeight w:val="147"/>
        </w:trPr>
        <w:tc>
          <w:tcPr>
            <w:tcW w:w="1180" w:type="dxa"/>
            <w:vAlign w:val="bottom"/>
            <w:tcBorders>
              <w:left w:val="single" w:sz="8" w:color="auto"/>
              <w:bottom w:val="single" w:sz="8" w:color="auto"/>
              <w:right w:val="single" w:sz="8" w:color="auto"/>
            </w:tcBorders>
          </w:tcPr>
          <w:p>
            <w:pPr>
              <w:spacing w:after="0"/>
              <w:rPr>
                <w:sz w:val="12"/>
                <w:szCs w:val="12"/>
                <w:color w:val="auto"/>
              </w:rPr>
            </w:pPr>
          </w:p>
        </w:tc>
        <w:tc>
          <w:tcPr>
            <w:tcW w:w="1340" w:type="dxa"/>
            <w:vAlign w:val="bottom"/>
            <w:tcBorders>
              <w:bottom w:val="single" w:sz="8" w:color="auto"/>
              <w:right w:val="single" w:sz="8" w:color="auto"/>
            </w:tcBorders>
          </w:tcPr>
          <w:p>
            <w:pPr>
              <w:spacing w:after="0"/>
              <w:rPr>
                <w:sz w:val="12"/>
                <w:szCs w:val="12"/>
                <w:color w:val="auto"/>
              </w:rPr>
            </w:pPr>
          </w:p>
        </w:tc>
        <w:tc>
          <w:tcPr>
            <w:tcW w:w="1500" w:type="dxa"/>
            <w:vAlign w:val="bottom"/>
            <w:tcBorders>
              <w:bottom w:val="single" w:sz="8" w:color="auto"/>
              <w:right w:val="single" w:sz="8" w:color="auto"/>
            </w:tcBorders>
          </w:tcPr>
          <w:p>
            <w:pPr>
              <w:spacing w:after="0"/>
              <w:rPr>
                <w:sz w:val="12"/>
                <w:szCs w:val="12"/>
                <w:color w:val="auto"/>
              </w:rPr>
            </w:pPr>
          </w:p>
        </w:tc>
        <w:tc>
          <w:tcPr>
            <w:tcW w:w="1700" w:type="dxa"/>
            <w:vAlign w:val="bottom"/>
            <w:tcBorders>
              <w:bottom w:val="single" w:sz="8" w:color="auto"/>
              <w:right w:val="single" w:sz="8" w:color="auto"/>
            </w:tcBorders>
          </w:tcPr>
          <w:p>
            <w:pPr>
              <w:spacing w:after="0"/>
              <w:rPr>
                <w:sz w:val="12"/>
                <w:szCs w:val="12"/>
                <w:color w:val="auto"/>
              </w:rPr>
            </w:pPr>
          </w:p>
        </w:tc>
        <w:tc>
          <w:tcPr>
            <w:tcW w:w="3980" w:type="dxa"/>
            <w:vAlign w:val="bottom"/>
            <w:tcBorders>
              <w:bottom w:val="single" w:sz="8" w:color="auto"/>
              <w:right w:val="single" w:sz="8" w:color="auto"/>
            </w:tcBorders>
          </w:tcPr>
          <w:p>
            <w:pPr>
              <w:spacing w:after="0"/>
              <w:rPr>
                <w:sz w:val="12"/>
                <w:szCs w:val="12"/>
                <w:color w:val="auto"/>
              </w:rPr>
            </w:pPr>
          </w:p>
        </w:tc>
      </w:tr>
      <w:tr>
        <w:trPr>
          <w:trHeight w:val="258"/>
        </w:trPr>
        <w:tc>
          <w:tcPr>
            <w:tcW w:w="1180" w:type="dxa"/>
            <w:vAlign w:val="bottom"/>
            <w:tcBorders>
              <w:left w:val="single" w:sz="8" w:color="auto"/>
              <w:right w:val="single" w:sz="8" w:color="auto"/>
            </w:tcBorders>
          </w:tcPr>
          <w:p>
            <w:pPr>
              <w:jc w:val="right"/>
              <w:ind w:right="820"/>
              <w:spacing w:after="0" w:line="258" w:lineRule="exact"/>
              <w:rPr>
                <w:sz w:val="20"/>
                <w:szCs w:val="20"/>
                <w:color w:val="auto"/>
              </w:rPr>
            </w:pPr>
            <w:r>
              <w:rPr>
                <w:rFonts w:ascii="Times New Roman" w:cs="Times New Roman" w:eastAsia="Times New Roman" w:hAnsi="Times New Roman"/>
                <w:sz w:val="24"/>
                <w:szCs w:val="24"/>
                <w:color w:val="auto"/>
              </w:rPr>
              <w:t>7</w:t>
            </w:r>
          </w:p>
        </w:tc>
        <w:tc>
          <w:tcPr>
            <w:tcW w:w="134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140</w:t>
            </w:r>
          </w:p>
        </w:tc>
        <w:tc>
          <w:tcPr>
            <w:tcW w:w="15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15,000</w:t>
            </w:r>
          </w:p>
        </w:tc>
        <w:tc>
          <w:tcPr>
            <w:tcW w:w="17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21,00,000</w:t>
            </w:r>
          </w:p>
        </w:tc>
        <w:tc>
          <w:tcPr>
            <w:tcW w:w="398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13,125</w:t>
            </w:r>
          </w:p>
        </w:tc>
      </w:tr>
      <w:tr>
        <w:trPr>
          <w:trHeight w:val="147"/>
        </w:trPr>
        <w:tc>
          <w:tcPr>
            <w:tcW w:w="1180" w:type="dxa"/>
            <w:vAlign w:val="bottom"/>
            <w:tcBorders>
              <w:left w:val="single" w:sz="8" w:color="auto"/>
              <w:bottom w:val="single" w:sz="8" w:color="auto"/>
              <w:right w:val="single" w:sz="8" w:color="auto"/>
            </w:tcBorders>
          </w:tcPr>
          <w:p>
            <w:pPr>
              <w:spacing w:after="0"/>
              <w:rPr>
                <w:sz w:val="12"/>
                <w:szCs w:val="12"/>
                <w:color w:val="auto"/>
              </w:rPr>
            </w:pPr>
          </w:p>
        </w:tc>
        <w:tc>
          <w:tcPr>
            <w:tcW w:w="1340" w:type="dxa"/>
            <w:vAlign w:val="bottom"/>
            <w:tcBorders>
              <w:bottom w:val="single" w:sz="8" w:color="auto"/>
              <w:right w:val="single" w:sz="8" w:color="auto"/>
            </w:tcBorders>
          </w:tcPr>
          <w:p>
            <w:pPr>
              <w:spacing w:after="0"/>
              <w:rPr>
                <w:sz w:val="12"/>
                <w:szCs w:val="12"/>
                <w:color w:val="auto"/>
              </w:rPr>
            </w:pPr>
          </w:p>
        </w:tc>
        <w:tc>
          <w:tcPr>
            <w:tcW w:w="1500" w:type="dxa"/>
            <w:vAlign w:val="bottom"/>
            <w:tcBorders>
              <w:bottom w:val="single" w:sz="8" w:color="auto"/>
              <w:right w:val="single" w:sz="8" w:color="auto"/>
            </w:tcBorders>
          </w:tcPr>
          <w:p>
            <w:pPr>
              <w:spacing w:after="0"/>
              <w:rPr>
                <w:sz w:val="12"/>
                <w:szCs w:val="12"/>
                <w:color w:val="auto"/>
              </w:rPr>
            </w:pPr>
          </w:p>
        </w:tc>
        <w:tc>
          <w:tcPr>
            <w:tcW w:w="1700" w:type="dxa"/>
            <w:vAlign w:val="bottom"/>
            <w:tcBorders>
              <w:bottom w:val="single" w:sz="8" w:color="auto"/>
              <w:right w:val="single" w:sz="8" w:color="auto"/>
            </w:tcBorders>
          </w:tcPr>
          <w:p>
            <w:pPr>
              <w:spacing w:after="0"/>
              <w:rPr>
                <w:sz w:val="12"/>
                <w:szCs w:val="12"/>
                <w:color w:val="auto"/>
              </w:rPr>
            </w:pPr>
          </w:p>
        </w:tc>
        <w:tc>
          <w:tcPr>
            <w:tcW w:w="3980" w:type="dxa"/>
            <w:vAlign w:val="bottom"/>
            <w:tcBorders>
              <w:bottom w:val="single" w:sz="8" w:color="auto"/>
              <w:right w:val="single" w:sz="8" w:color="auto"/>
            </w:tcBorders>
          </w:tcPr>
          <w:p>
            <w:pPr>
              <w:spacing w:after="0"/>
              <w:rPr>
                <w:sz w:val="12"/>
                <w:szCs w:val="12"/>
                <w:color w:val="auto"/>
              </w:rPr>
            </w:pPr>
          </w:p>
        </w:tc>
      </w:tr>
      <w:tr>
        <w:trPr>
          <w:trHeight w:val="258"/>
        </w:trPr>
        <w:tc>
          <w:tcPr>
            <w:tcW w:w="1180" w:type="dxa"/>
            <w:vAlign w:val="bottom"/>
            <w:tcBorders>
              <w:left w:val="single" w:sz="8" w:color="auto"/>
              <w:right w:val="single" w:sz="8" w:color="auto"/>
            </w:tcBorders>
          </w:tcPr>
          <w:p>
            <w:pPr>
              <w:jc w:val="right"/>
              <w:ind w:right="820"/>
              <w:spacing w:after="0" w:line="258" w:lineRule="exact"/>
              <w:rPr>
                <w:sz w:val="20"/>
                <w:szCs w:val="20"/>
                <w:color w:val="auto"/>
              </w:rPr>
            </w:pPr>
            <w:r>
              <w:rPr>
                <w:rFonts w:ascii="Times New Roman" w:cs="Times New Roman" w:eastAsia="Times New Roman" w:hAnsi="Times New Roman"/>
                <w:sz w:val="24"/>
                <w:szCs w:val="24"/>
                <w:color w:val="auto"/>
              </w:rPr>
              <w:t>8</w:t>
            </w:r>
          </w:p>
        </w:tc>
        <w:tc>
          <w:tcPr>
            <w:tcW w:w="134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160</w:t>
            </w:r>
          </w:p>
        </w:tc>
        <w:tc>
          <w:tcPr>
            <w:tcW w:w="15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20,000</w:t>
            </w:r>
          </w:p>
        </w:tc>
        <w:tc>
          <w:tcPr>
            <w:tcW w:w="17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32,00,000</w:t>
            </w:r>
          </w:p>
        </w:tc>
        <w:tc>
          <w:tcPr>
            <w:tcW w:w="398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17,500</w:t>
            </w:r>
          </w:p>
        </w:tc>
      </w:tr>
      <w:tr>
        <w:trPr>
          <w:trHeight w:val="144"/>
        </w:trPr>
        <w:tc>
          <w:tcPr>
            <w:tcW w:w="1180" w:type="dxa"/>
            <w:vAlign w:val="bottom"/>
            <w:tcBorders>
              <w:left w:val="single" w:sz="8" w:color="auto"/>
              <w:bottom w:val="single" w:sz="8" w:color="auto"/>
              <w:right w:val="single" w:sz="8" w:color="auto"/>
            </w:tcBorders>
          </w:tcPr>
          <w:p>
            <w:pPr>
              <w:spacing w:after="0"/>
              <w:rPr>
                <w:sz w:val="12"/>
                <w:szCs w:val="12"/>
                <w:color w:val="auto"/>
              </w:rPr>
            </w:pPr>
          </w:p>
        </w:tc>
        <w:tc>
          <w:tcPr>
            <w:tcW w:w="1340" w:type="dxa"/>
            <w:vAlign w:val="bottom"/>
            <w:tcBorders>
              <w:bottom w:val="single" w:sz="8" w:color="auto"/>
              <w:right w:val="single" w:sz="8" w:color="auto"/>
            </w:tcBorders>
          </w:tcPr>
          <w:p>
            <w:pPr>
              <w:spacing w:after="0"/>
              <w:rPr>
                <w:sz w:val="12"/>
                <w:szCs w:val="12"/>
                <w:color w:val="auto"/>
              </w:rPr>
            </w:pPr>
          </w:p>
        </w:tc>
        <w:tc>
          <w:tcPr>
            <w:tcW w:w="1500" w:type="dxa"/>
            <w:vAlign w:val="bottom"/>
            <w:tcBorders>
              <w:bottom w:val="single" w:sz="8" w:color="auto"/>
              <w:right w:val="single" w:sz="8" w:color="auto"/>
            </w:tcBorders>
          </w:tcPr>
          <w:p>
            <w:pPr>
              <w:spacing w:after="0"/>
              <w:rPr>
                <w:sz w:val="12"/>
                <w:szCs w:val="12"/>
                <w:color w:val="auto"/>
              </w:rPr>
            </w:pPr>
          </w:p>
        </w:tc>
        <w:tc>
          <w:tcPr>
            <w:tcW w:w="1700" w:type="dxa"/>
            <w:vAlign w:val="bottom"/>
            <w:tcBorders>
              <w:bottom w:val="single" w:sz="8" w:color="auto"/>
              <w:right w:val="single" w:sz="8" w:color="auto"/>
            </w:tcBorders>
          </w:tcPr>
          <w:p>
            <w:pPr>
              <w:spacing w:after="0"/>
              <w:rPr>
                <w:sz w:val="12"/>
                <w:szCs w:val="12"/>
                <w:color w:val="auto"/>
              </w:rPr>
            </w:pPr>
          </w:p>
        </w:tc>
        <w:tc>
          <w:tcPr>
            <w:tcW w:w="3980" w:type="dxa"/>
            <w:vAlign w:val="bottom"/>
            <w:tcBorders>
              <w:bottom w:val="single" w:sz="8" w:color="auto"/>
              <w:right w:val="single" w:sz="8" w:color="auto"/>
            </w:tcBorders>
          </w:tcPr>
          <w:p>
            <w:pPr>
              <w:spacing w:after="0"/>
              <w:rPr>
                <w:sz w:val="12"/>
                <w:szCs w:val="12"/>
                <w:color w:val="auto"/>
              </w:rPr>
            </w:pPr>
          </w:p>
        </w:tc>
      </w:tr>
      <w:tr>
        <w:trPr>
          <w:trHeight w:val="820"/>
        </w:trPr>
        <w:tc>
          <w:tcPr>
            <w:tcW w:w="1180" w:type="dxa"/>
            <w:vAlign w:val="bottom"/>
          </w:tcPr>
          <w:p>
            <w:pPr>
              <w:spacing w:after="0"/>
              <w:rPr>
                <w:sz w:val="24"/>
                <w:szCs w:val="24"/>
                <w:color w:val="auto"/>
              </w:rPr>
            </w:pPr>
          </w:p>
        </w:tc>
        <w:tc>
          <w:tcPr>
            <w:tcW w:w="1340" w:type="dxa"/>
            <w:vAlign w:val="bottom"/>
          </w:tcPr>
          <w:p>
            <w:pPr>
              <w:spacing w:after="0"/>
              <w:rPr>
                <w:sz w:val="24"/>
                <w:szCs w:val="24"/>
                <w:color w:val="auto"/>
              </w:rPr>
            </w:pPr>
          </w:p>
        </w:tc>
        <w:tc>
          <w:tcPr>
            <w:tcW w:w="1500" w:type="dxa"/>
            <w:vAlign w:val="bottom"/>
          </w:tcPr>
          <w:p>
            <w:pPr>
              <w:spacing w:after="0"/>
              <w:rPr>
                <w:sz w:val="24"/>
                <w:szCs w:val="24"/>
                <w:color w:val="auto"/>
              </w:rPr>
            </w:pPr>
          </w:p>
        </w:tc>
        <w:tc>
          <w:tcPr>
            <w:tcW w:w="1700" w:type="dxa"/>
            <w:vAlign w:val="bottom"/>
          </w:tcPr>
          <w:p>
            <w:pPr>
              <w:jc w:val="center"/>
              <w:spacing w:after="0"/>
              <w:rPr>
                <w:sz w:val="20"/>
                <w:szCs w:val="20"/>
                <w:color w:val="auto"/>
              </w:rPr>
            </w:pPr>
            <w:r>
              <w:rPr>
                <w:rFonts w:ascii="Times New Roman" w:cs="Times New Roman" w:eastAsia="Times New Roman" w:hAnsi="Times New Roman"/>
                <w:sz w:val="24"/>
                <w:szCs w:val="24"/>
                <w:color w:val="auto"/>
                <w:w w:val="99"/>
              </w:rPr>
              <w:t>404</w:t>
            </w:r>
          </w:p>
        </w:tc>
        <w:tc>
          <w:tcPr>
            <w:tcW w:w="3980" w:type="dxa"/>
            <w:vAlign w:val="bottom"/>
          </w:tcPr>
          <w:p>
            <w:pPr>
              <w:spacing w:after="0"/>
              <w:rPr>
                <w:sz w:val="24"/>
                <w:szCs w:val="24"/>
                <w:color w:val="auto"/>
              </w:rPr>
            </w:pPr>
          </w:p>
        </w:tc>
      </w:tr>
    </w:tbl>
    <w:p>
      <w:pPr>
        <w:sectPr>
          <w:pgSz w:w="11900" w:h="16836" w:orient="portrait"/>
          <w:cols w:equalWidth="0" w:num="1">
            <w:col w:w="9700"/>
          </w:cols>
          <w:pgMar w:left="1040" w:top="1440" w:right="1164" w:bottom="103" w:gutter="0" w:footer="0" w:header="0"/>
        </w:sectPr>
      </w:pPr>
    </w:p>
    <w:bookmarkStart w:id="404" w:name="page405"/>
    <w:bookmarkEnd w:id="404"/>
    <w:p>
      <w:pPr>
        <w:spacing w:after="0" w:line="1" w:lineRule="exact"/>
        <w:rPr>
          <w:sz w:val="20"/>
          <w:szCs w:val="20"/>
          <w:color w:val="auto"/>
        </w:rPr>
      </w:pPr>
    </w:p>
    <w:tbl>
      <w:tblPr>
        <w:tblLayout w:type="fixed"/>
        <w:tblInd w:w="10" w:type="dxa"/>
        <w:tblCellMar>
          <w:top w:w="0" w:type="dxa"/>
          <w:left w:w="0" w:type="dxa"/>
          <w:bottom w:w="0" w:type="dxa"/>
          <w:right w:w="0" w:type="dxa"/>
        </w:tblCellMar>
      </w:tblPr>
      <w:tr>
        <w:trPr>
          <w:trHeight w:val="278"/>
        </w:trPr>
        <w:tc>
          <w:tcPr>
            <w:tcW w:w="1180" w:type="dxa"/>
            <w:vAlign w:val="bottom"/>
            <w:tcBorders>
              <w:top w:val="single" w:sz="8" w:color="auto"/>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9</w:t>
            </w:r>
          </w:p>
        </w:tc>
        <w:tc>
          <w:tcPr>
            <w:tcW w:w="1340" w:type="dxa"/>
            <w:vAlign w:val="bottom"/>
            <w:tcBorders>
              <w:top w:val="single" w:sz="8" w:color="auto"/>
              <w:right w:val="single" w:sz="8" w:color="auto"/>
            </w:tcBorders>
          </w:tcPr>
          <w:p>
            <w:pPr>
              <w:jc w:val="right"/>
              <w:spacing w:after="0"/>
              <w:rPr>
                <w:sz w:val="20"/>
                <w:szCs w:val="20"/>
                <w:color w:val="auto"/>
              </w:rPr>
            </w:pPr>
            <w:r>
              <w:rPr>
                <w:rFonts w:ascii="Times New Roman" w:cs="Times New Roman" w:eastAsia="Times New Roman" w:hAnsi="Times New Roman"/>
                <w:sz w:val="24"/>
                <w:szCs w:val="24"/>
                <w:color w:val="auto"/>
              </w:rPr>
              <w:t>180</w:t>
            </w:r>
          </w:p>
        </w:tc>
        <w:tc>
          <w:tcPr>
            <w:tcW w:w="1500" w:type="dxa"/>
            <w:vAlign w:val="bottom"/>
            <w:tcBorders>
              <w:top w:val="single" w:sz="8" w:color="auto"/>
              <w:right w:val="single" w:sz="8" w:color="auto"/>
            </w:tcBorders>
          </w:tcPr>
          <w:p>
            <w:pPr>
              <w:jc w:val="right"/>
              <w:spacing w:after="0"/>
              <w:rPr>
                <w:sz w:val="20"/>
                <w:szCs w:val="20"/>
                <w:color w:val="auto"/>
              </w:rPr>
            </w:pPr>
            <w:r>
              <w:rPr>
                <w:rFonts w:ascii="Times New Roman" w:cs="Times New Roman" w:eastAsia="Times New Roman" w:hAnsi="Times New Roman"/>
                <w:sz w:val="24"/>
                <w:szCs w:val="24"/>
                <w:color w:val="auto"/>
              </w:rPr>
              <w:t>10,000</w:t>
            </w:r>
          </w:p>
        </w:tc>
        <w:tc>
          <w:tcPr>
            <w:tcW w:w="1700" w:type="dxa"/>
            <w:vAlign w:val="bottom"/>
            <w:tcBorders>
              <w:top w:val="single" w:sz="8" w:color="auto"/>
              <w:right w:val="single" w:sz="8" w:color="auto"/>
            </w:tcBorders>
          </w:tcPr>
          <w:p>
            <w:pPr>
              <w:jc w:val="right"/>
              <w:spacing w:after="0"/>
              <w:rPr>
                <w:sz w:val="20"/>
                <w:szCs w:val="20"/>
                <w:color w:val="auto"/>
              </w:rPr>
            </w:pPr>
            <w:r>
              <w:rPr>
                <w:rFonts w:ascii="Times New Roman" w:cs="Times New Roman" w:eastAsia="Times New Roman" w:hAnsi="Times New Roman"/>
                <w:sz w:val="24"/>
                <w:szCs w:val="24"/>
                <w:color w:val="auto"/>
              </w:rPr>
              <w:t>18,00,000</w:t>
            </w:r>
          </w:p>
        </w:tc>
        <w:tc>
          <w:tcPr>
            <w:tcW w:w="3980" w:type="dxa"/>
            <w:vAlign w:val="bottom"/>
            <w:tcBorders>
              <w:top w:val="single" w:sz="8" w:color="auto"/>
              <w:right w:val="single" w:sz="8" w:color="auto"/>
            </w:tcBorders>
          </w:tcPr>
          <w:p>
            <w:pPr>
              <w:jc w:val="right"/>
              <w:spacing w:after="0"/>
              <w:rPr>
                <w:sz w:val="20"/>
                <w:szCs w:val="20"/>
                <w:color w:val="auto"/>
              </w:rPr>
            </w:pPr>
            <w:r>
              <w:rPr>
                <w:rFonts w:ascii="Times New Roman" w:cs="Times New Roman" w:eastAsia="Times New Roman" w:hAnsi="Times New Roman"/>
                <w:sz w:val="24"/>
                <w:szCs w:val="24"/>
                <w:color w:val="auto"/>
              </w:rPr>
              <w:t>8,750</w:t>
            </w:r>
          </w:p>
        </w:tc>
      </w:tr>
      <w:tr>
        <w:trPr>
          <w:trHeight w:val="147"/>
        </w:trPr>
        <w:tc>
          <w:tcPr>
            <w:tcW w:w="1180" w:type="dxa"/>
            <w:vAlign w:val="bottom"/>
            <w:tcBorders>
              <w:left w:val="single" w:sz="8" w:color="auto"/>
              <w:bottom w:val="single" w:sz="8" w:color="auto"/>
              <w:right w:val="single" w:sz="8" w:color="auto"/>
            </w:tcBorders>
          </w:tcPr>
          <w:p>
            <w:pPr>
              <w:spacing w:after="0"/>
              <w:rPr>
                <w:sz w:val="12"/>
                <w:szCs w:val="12"/>
                <w:color w:val="auto"/>
              </w:rPr>
            </w:pPr>
          </w:p>
        </w:tc>
        <w:tc>
          <w:tcPr>
            <w:tcW w:w="1340" w:type="dxa"/>
            <w:vAlign w:val="bottom"/>
            <w:tcBorders>
              <w:bottom w:val="single" w:sz="8" w:color="auto"/>
              <w:right w:val="single" w:sz="8" w:color="auto"/>
            </w:tcBorders>
          </w:tcPr>
          <w:p>
            <w:pPr>
              <w:spacing w:after="0"/>
              <w:rPr>
                <w:sz w:val="12"/>
                <w:szCs w:val="12"/>
                <w:color w:val="auto"/>
              </w:rPr>
            </w:pPr>
          </w:p>
        </w:tc>
        <w:tc>
          <w:tcPr>
            <w:tcW w:w="1500" w:type="dxa"/>
            <w:vAlign w:val="bottom"/>
            <w:tcBorders>
              <w:bottom w:val="single" w:sz="8" w:color="auto"/>
              <w:right w:val="single" w:sz="8" w:color="auto"/>
            </w:tcBorders>
          </w:tcPr>
          <w:p>
            <w:pPr>
              <w:spacing w:after="0"/>
              <w:rPr>
                <w:sz w:val="12"/>
                <w:szCs w:val="12"/>
                <w:color w:val="auto"/>
              </w:rPr>
            </w:pPr>
          </w:p>
        </w:tc>
        <w:tc>
          <w:tcPr>
            <w:tcW w:w="1700" w:type="dxa"/>
            <w:vAlign w:val="bottom"/>
            <w:tcBorders>
              <w:bottom w:val="single" w:sz="8" w:color="auto"/>
              <w:right w:val="single" w:sz="8" w:color="auto"/>
            </w:tcBorders>
          </w:tcPr>
          <w:p>
            <w:pPr>
              <w:spacing w:after="0"/>
              <w:rPr>
                <w:sz w:val="12"/>
                <w:szCs w:val="12"/>
                <w:color w:val="auto"/>
              </w:rPr>
            </w:pPr>
          </w:p>
        </w:tc>
        <w:tc>
          <w:tcPr>
            <w:tcW w:w="3980" w:type="dxa"/>
            <w:vAlign w:val="bottom"/>
            <w:tcBorders>
              <w:bottom w:val="single" w:sz="8" w:color="auto"/>
              <w:right w:val="single" w:sz="8" w:color="auto"/>
            </w:tcBorders>
          </w:tcPr>
          <w:p>
            <w:pPr>
              <w:spacing w:after="0"/>
              <w:rPr>
                <w:sz w:val="12"/>
                <w:szCs w:val="12"/>
                <w:color w:val="auto"/>
              </w:rPr>
            </w:pPr>
          </w:p>
        </w:tc>
      </w:tr>
      <w:tr>
        <w:trPr>
          <w:trHeight w:val="258"/>
        </w:trPr>
        <w:tc>
          <w:tcPr>
            <w:tcW w:w="1180" w:type="dxa"/>
            <w:vAlign w:val="bottom"/>
            <w:tcBorders>
              <w:left w:val="single" w:sz="8" w:color="auto"/>
              <w:right w:val="single" w:sz="8" w:color="auto"/>
            </w:tcBorders>
          </w:tcPr>
          <w:p>
            <w:pPr>
              <w:ind w:left="120"/>
              <w:spacing w:after="0" w:line="258" w:lineRule="exact"/>
              <w:rPr>
                <w:sz w:val="20"/>
                <w:szCs w:val="20"/>
                <w:color w:val="auto"/>
              </w:rPr>
            </w:pPr>
            <w:r>
              <w:rPr>
                <w:rFonts w:ascii="Times New Roman" w:cs="Times New Roman" w:eastAsia="Times New Roman" w:hAnsi="Times New Roman"/>
                <w:sz w:val="24"/>
                <w:szCs w:val="24"/>
                <w:color w:val="auto"/>
              </w:rPr>
              <w:t>10</w:t>
            </w:r>
          </w:p>
        </w:tc>
        <w:tc>
          <w:tcPr>
            <w:tcW w:w="134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200</w:t>
            </w:r>
          </w:p>
        </w:tc>
        <w:tc>
          <w:tcPr>
            <w:tcW w:w="15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15,000</w:t>
            </w:r>
          </w:p>
        </w:tc>
        <w:tc>
          <w:tcPr>
            <w:tcW w:w="17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30,00,000</w:t>
            </w:r>
          </w:p>
        </w:tc>
        <w:tc>
          <w:tcPr>
            <w:tcW w:w="398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13,125</w:t>
            </w:r>
          </w:p>
        </w:tc>
      </w:tr>
      <w:tr>
        <w:trPr>
          <w:trHeight w:val="144"/>
        </w:trPr>
        <w:tc>
          <w:tcPr>
            <w:tcW w:w="1180" w:type="dxa"/>
            <w:vAlign w:val="bottom"/>
            <w:tcBorders>
              <w:left w:val="single" w:sz="8" w:color="auto"/>
              <w:bottom w:val="single" w:sz="8" w:color="auto"/>
              <w:right w:val="single" w:sz="8" w:color="auto"/>
            </w:tcBorders>
          </w:tcPr>
          <w:p>
            <w:pPr>
              <w:spacing w:after="0"/>
              <w:rPr>
                <w:sz w:val="12"/>
                <w:szCs w:val="12"/>
                <w:color w:val="auto"/>
              </w:rPr>
            </w:pPr>
          </w:p>
        </w:tc>
        <w:tc>
          <w:tcPr>
            <w:tcW w:w="1340" w:type="dxa"/>
            <w:vAlign w:val="bottom"/>
            <w:tcBorders>
              <w:bottom w:val="single" w:sz="8" w:color="auto"/>
              <w:right w:val="single" w:sz="8" w:color="auto"/>
            </w:tcBorders>
          </w:tcPr>
          <w:p>
            <w:pPr>
              <w:spacing w:after="0"/>
              <w:rPr>
                <w:sz w:val="12"/>
                <w:szCs w:val="12"/>
                <w:color w:val="auto"/>
              </w:rPr>
            </w:pPr>
          </w:p>
        </w:tc>
        <w:tc>
          <w:tcPr>
            <w:tcW w:w="1500" w:type="dxa"/>
            <w:vAlign w:val="bottom"/>
            <w:tcBorders>
              <w:bottom w:val="single" w:sz="8" w:color="auto"/>
              <w:right w:val="single" w:sz="8" w:color="auto"/>
            </w:tcBorders>
          </w:tcPr>
          <w:p>
            <w:pPr>
              <w:spacing w:after="0"/>
              <w:rPr>
                <w:sz w:val="12"/>
                <w:szCs w:val="12"/>
                <w:color w:val="auto"/>
              </w:rPr>
            </w:pPr>
          </w:p>
        </w:tc>
        <w:tc>
          <w:tcPr>
            <w:tcW w:w="1700" w:type="dxa"/>
            <w:vAlign w:val="bottom"/>
            <w:tcBorders>
              <w:bottom w:val="single" w:sz="8" w:color="auto"/>
              <w:right w:val="single" w:sz="8" w:color="auto"/>
            </w:tcBorders>
          </w:tcPr>
          <w:p>
            <w:pPr>
              <w:spacing w:after="0"/>
              <w:rPr>
                <w:sz w:val="12"/>
                <w:szCs w:val="12"/>
                <w:color w:val="auto"/>
              </w:rPr>
            </w:pPr>
          </w:p>
        </w:tc>
        <w:tc>
          <w:tcPr>
            <w:tcW w:w="3980" w:type="dxa"/>
            <w:vAlign w:val="bottom"/>
            <w:tcBorders>
              <w:bottom w:val="single" w:sz="8" w:color="auto"/>
              <w:right w:val="single" w:sz="8" w:color="auto"/>
            </w:tcBorders>
          </w:tcPr>
          <w:p>
            <w:pPr>
              <w:spacing w:after="0"/>
              <w:rPr>
                <w:sz w:val="12"/>
                <w:szCs w:val="12"/>
                <w:color w:val="auto"/>
              </w:rPr>
            </w:pPr>
          </w:p>
        </w:tc>
      </w:tr>
      <w:tr>
        <w:trPr>
          <w:trHeight w:val="258"/>
        </w:trPr>
        <w:tc>
          <w:tcPr>
            <w:tcW w:w="1180" w:type="dxa"/>
            <w:vAlign w:val="bottom"/>
            <w:tcBorders>
              <w:left w:val="single" w:sz="8" w:color="auto"/>
              <w:right w:val="single" w:sz="8" w:color="auto"/>
            </w:tcBorders>
          </w:tcPr>
          <w:p>
            <w:pPr>
              <w:ind w:left="120"/>
              <w:spacing w:after="0" w:line="258" w:lineRule="exact"/>
              <w:rPr>
                <w:sz w:val="20"/>
                <w:szCs w:val="20"/>
                <w:color w:val="auto"/>
              </w:rPr>
            </w:pPr>
            <w:r>
              <w:rPr>
                <w:rFonts w:ascii="Times New Roman" w:cs="Times New Roman" w:eastAsia="Times New Roman" w:hAnsi="Times New Roman"/>
                <w:sz w:val="24"/>
                <w:szCs w:val="24"/>
                <w:color w:val="auto"/>
              </w:rPr>
              <w:t>11</w:t>
            </w:r>
          </w:p>
        </w:tc>
        <w:tc>
          <w:tcPr>
            <w:tcW w:w="134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220</w:t>
            </w:r>
          </w:p>
        </w:tc>
        <w:tc>
          <w:tcPr>
            <w:tcW w:w="15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10,000</w:t>
            </w:r>
          </w:p>
        </w:tc>
        <w:tc>
          <w:tcPr>
            <w:tcW w:w="17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22,00,000</w:t>
            </w:r>
          </w:p>
        </w:tc>
        <w:tc>
          <w:tcPr>
            <w:tcW w:w="398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8,750</w:t>
            </w:r>
          </w:p>
        </w:tc>
      </w:tr>
      <w:tr>
        <w:trPr>
          <w:trHeight w:val="147"/>
        </w:trPr>
        <w:tc>
          <w:tcPr>
            <w:tcW w:w="1180" w:type="dxa"/>
            <w:vAlign w:val="bottom"/>
            <w:tcBorders>
              <w:left w:val="single" w:sz="8" w:color="auto"/>
              <w:bottom w:val="single" w:sz="8" w:color="auto"/>
              <w:right w:val="single" w:sz="8" w:color="auto"/>
            </w:tcBorders>
          </w:tcPr>
          <w:p>
            <w:pPr>
              <w:spacing w:after="0"/>
              <w:rPr>
                <w:sz w:val="12"/>
                <w:szCs w:val="12"/>
                <w:color w:val="auto"/>
              </w:rPr>
            </w:pPr>
          </w:p>
        </w:tc>
        <w:tc>
          <w:tcPr>
            <w:tcW w:w="1340" w:type="dxa"/>
            <w:vAlign w:val="bottom"/>
            <w:tcBorders>
              <w:bottom w:val="single" w:sz="8" w:color="auto"/>
              <w:right w:val="single" w:sz="8" w:color="auto"/>
            </w:tcBorders>
          </w:tcPr>
          <w:p>
            <w:pPr>
              <w:spacing w:after="0"/>
              <w:rPr>
                <w:sz w:val="12"/>
                <w:szCs w:val="12"/>
                <w:color w:val="auto"/>
              </w:rPr>
            </w:pPr>
          </w:p>
        </w:tc>
        <w:tc>
          <w:tcPr>
            <w:tcW w:w="1500" w:type="dxa"/>
            <w:vAlign w:val="bottom"/>
            <w:tcBorders>
              <w:bottom w:val="single" w:sz="8" w:color="auto"/>
              <w:right w:val="single" w:sz="8" w:color="auto"/>
            </w:tcBorders>
          </w:tcPr>
          <w:p>
            <w:pPr>
              <w:spacing w:after="0"/>
              <w:rPr>
                <w:sz w:val="12"/>
                <w:szCs w:val="12"/>
                <w:color w:val="auto"/>
              </w:rPr>
            </w:pPr>
          </w:p>
        </w:tc>
        <w:tc>
          <w:tcPr>
            <w:tcW w:w="1700" w:type="dxa"/>
            <w:vAlign w:val="bottom"/>
            <w:tcBorders>
              <w:bottom w:val="single" w:sz="8" w:color="auto"/>
              <w:right w:val="single" w:sz="8" w:color="auto"/>
            </w:tcBorders>
          </w:tcPr>
          <w:p>
            <w:pPr>
              <w:spacing w:after="0"/>
              <w:rPr>
                <w:sz w:val="12"/>
                <w:szCs w:val="12"/>
                <w:color w:val="auto"/>
              </w:rPr>
            </w:pPr>
          </w:p>
        </w:tc>
        <w:tc>
          <w:tcPr>
            <w:tcW w:w="3980" w:type="dxa"/>
            <w:vAlign w:val="bottom"/>
            <w:tcBorders>
              <w:bottom w:val="single" w:sz="8" w:color="auto"/>
              <w:right w:val="single" w:sz="8" w:color="auto"/>
            </w:tcBorders>
          </w:tcPr>
          <w:p>
            <w:pPr>
              <w:spacing w:after="0"/>
              <w:rPr>
                <w:sz w:val="12"/>
                <w:szCs w:val="12"/>
                <w:color w:val="auto"/>
              </w:rPr>
            </w:pPr>
          </w:p>
        </w:tc>
      </w:tr>
      <w:tr>
        <w:trPr>
          <w:trHeight w:val="258"/>
        </w:trPr>
        <w:tc>
          <w:tcPr>
            <w:tcW w:w="1180" w:type="dxa"/>
            <w:vAlign w:val="bottom"/>
            <w:tcBorders>
              <w:left w:val="single" w:sz="8" w:color="auto"/>
              <w:right w:val="single" w:sz="8" w:color="auto"/>
            </w:tcBorders>
          </w:tcPr>
          <w:p>
            <w:pPr>
              <w:ind w:left="120"/>
              <w:spacing w:after="0" w:line="258" w:lineRule="exact"/>
              <w:rPr>
                <w:sz w:val="20"/>
                <w:szCs w:val="20"/>
                <w:color w:val="auto"/>
              </w:rPr>
            </w:pPr>
            <w:r>
              <w:rPr>
                <w:rFonts w:ascii="Times New Roman" w:cs="Times New Roman" w:eastAsia="Times New Roman" w:hAnsi="Times New Roman"/>
                <w:sz w:val="24"/>
                <w:szCs w:val="24"/>
                <w:color w:val="auto"/>
              </w:rPr>
              <w:t>12</w:t>
            </w:r>
          </w:p>
        </w:tc>
        <w:tc>
          <w:tcPr>
            <w:tcW w:w="134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240</w:t>
            </w:r>
          </w:p>
        </w:tc>
        <w:tc>
          <w:tcPr>
            <w:tcW w:w="15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10,000</w:t>
            </w:r>
          </w:p>
        </w:tc>
        <w:tc>
          <w:tcPr>
            <w:tcW w:w="17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24,00,000</w:t>
            </w:r>
          </w:p>
        </w:tc>
        <w:tc>
          <w:tcPr>
            <w:tcW w:w="398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8,750</w:t>
            </w:r>
          </w:p>
        </w:tc>
      </w:tr>
      <w:tr>
        <w:trPr>
          <w:trHeight w:val="147"/>
        </w:trPr>
        <w:tc>
          <w:tcPr>
            <w:tcW w:w="1180" w:type="dxa"/>
            <w:vAlign w:val="bottom"/>
            <w:tcBorders>
              <w:left w:val="single" w:sz="8" w:color="auto"/>
              <w:bottom w:val="single" w:sz="8" w:color="auto"/>
              <w:right w:val="single" w:sz="8" w:color="auto"/>
            </w:tcBorders>
          </w:tcPr>
          <w:p>
            <w:pPr>
              <w:spacing w:after="0"/>
              <w:rPr>
                <w:sz w:val="12"/>
                <w:szCs w:val="12"/>
                <w:color w:val="auto"/>
              </w:rPr>
            </w:pPr>
          </w:p>
        </w:tc>
        <w:tc>
          <w:tcPr>
            <w:tcW w:w="1340" w:type="dxa"/>
            <w:vAlign w:val="bottom"/>
            <w:tcBorders>
              <w:bottom w:val="single" w:sz="8" w:color="auto"/>
              <w:right w:val="single" w:sz="8" w:color="auto"/>
            </w:tcBorders>
          </w:tcPr>
          <w:p>
            <w:pPr>
              <w:spacing w:after="0"/>
              <w:rPr>
                <w:sz w:val="12"/>
                <w:szCs w:val="12"/>
                <w:color w:val="auto"/>
              </w:rPr>
            </w:pPr>
          </w:p>
        </w:tc>
        <w:tc>
          <w:tcPr>
            <w:tcW w:w="1500" w:type="dxa"/>
            <w:vAlign w:val="bottom"/>
            <w:tcBorders>
              <w:bottom w:val="single" w:sz="8" w:color="auto"/>
              <w:right w:val="single" w:sz="8" w:color="auto"/>
            </w:tcBorders>
          </w:tcPr>
          <w:p>
            <w:pPr>
              <w:spacing w:after="0"/>
              <w:rPr>
                <w:sz w:val="12"/>
                <w:szCs w:val="12"/>
                <w:color w:val="auto"/>
              </w:rPr>
            </w:pPr>
          </w:p>
        </w:tc>
        <w:tc>
          <w:tcPr>
            <w:tcW w:w="1700" w:type="dxa"/>
            <w:vAlign w:val="bottom"/>
            <w:tcBorders>
              <w:bottom w:val="single" w:sz="8" w:color="auto"/>
              <w:right w:val="single" w:sz="8" w:color="auto"/>
            </w:tcBorders>
          </w:tcPr>
          <w:p>
            <w:pPr>
              <w:spacing w:after="0"/>
              <w:rPr>
                <w:sz w:val="12"/>
                <w:szCs w:val="12"/>
                <w:color w:val="auto"/>
              </w:rPr>
            </w:pPr>
          </w:p>
        </w:tc>
        <w:tc>
          <w:tcPr>
            <w:tcW w:w="3980" w:type="dxa"/>
            <w:vAlign w:val="bottom"/>
            <w:tcBorders>
              <w:bottom w:val="single" w:sz="8" w:color="auto"/>
              <w:right w:val="single" w:sz="8" w:color="auto"/>
            </w:tcBorders>
          </w:tcPr>
          <w:p>
            <w:pPr>
              <w:spacing w:after="0"/>
              <w:rPr>
                <w:sz w:val="12"/>
                <w:szCs w:val="12"/>
                <w:color w:val="auto"/>
              </w:rPr>
            </w:pPr>
          </w:p>
        </w:tc>
      </w:tr>
      <w:tr>
        <w:trPr>
          <w:trHeight w:val="258"/>
        </w:trPr>
        <w:tc>
          <w:tcPr>
            <w:tcW w:w="1180" w:type="dxa"/>
            <w:vAlign w:val="bottom"/>
            <w:tcBorders>
              <w:left w:val="single" w:sz="8" w:color="auto"/>
              <w:right w:val="single" w:sz="8" w:color="auto"/>
            </w:tcBorders>
          </w:tcPr>
          <w:p>
            <w:pPr>
              <w:ind w:left="120"/>
              <w:spacing w:after="0" w:line="258" w:lineRule="exact"/>
              <w:rPr>
                <w:sz w:val="20"/>
                <w:szCs w:val="20"/>
                <w:color w:val="auto"/>
              </w:rPr>
            </w:pPr>
            <w:r>
              <w:rPr>
                <w:rFonts w:ascii="Times New Roman" w:cs="Times New Roman" w:eastAsia="Times New Roman" w:hAnsi="Times New Roman"/>
                <w:sz w:val="24"/>
                <w:szCs w:val="24"/>
                <w:color w:val="auto"/>
              </w:rPr>
              <w:t>13</w:t>
            </w:r>
          </w:p>
        </w:tc>
        <w:tc>
          <w:tcPr>
            <w:tcW w:w="134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260</w:t>
            </w:r>
          </w:p>
        </w:tc>
        <w:tc>
          <w:tcPr>
            <w:tcW w:w="15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10,000</w:t>
            </w:r>
          </w:p>
        </w:tc>
        <w:tc>
          <w:tcPr>
            <w:tcW w:w="17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26,00,000</w:t>
            </w:r>
          </w:p>
        </w:tc>
        <w:tc>
          <w:tcPr>
            <w:tcW w:w="398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8,750</w:t>
            </w:r>
          </w:p>
        </w:tc>
      </w:tr>
      <w:tr>
        <w:trPr>
          <w:trHeight w:val="144"/>
        </w:trPr>
        <w:tc>
          <w:tcPr>
            <w:tcW w:w="1180" w:type="dxa"/>
            <w:vAlign w:val="bottom"/>
            <w:tcBorders>
              <w:left w:val="single" w:sz="8" w:color="auto"/>
              <w:bottom w:val="single" w:sz="8" w:color="auto"/>
              <w:right w:val="single" w:sz="8" w:color="auto"/>
            </w:tcBorders>
          </w:tcPr>
          <w:p>
            <w:pPr>
              <w:spacing w:after="0"/>
              <w:rPr>
                <w:sz w:val="12"/>
                <w:szCs w:val="12"/>
                <w:color w:val="auto"/>
              </w:rPr>
            </w:pPr>
          </w:p>
        </w:tc>
        <w:tc>
          <w:tcPr>
            <w:tcW w:w="1340" w:type="dxa"/>
            <w:vAlign w:val="bottom"/>
            <w:tcBorders>
              <w:bottom w:val="single" w:sz="8" w:color="auto"/>
              <w:right w:val="single" w:sz="8" w:color="auto"/>
            </w:tcBorders>
          </w:tcPr>
          <w:p>
            <w:pPr>
              <w:spacing w:after="0"/>
              <w:rPr>
                <w:sz w:val="12"/>
                <w:szCs w:val="12"/>
                <w:color w:val="auto"/>
              </w:rPr>
            </w:pPr>
          </w:p>
        </w:tc>
        <w:tc>
          <w:tcPr>
            <w:tcW w:w="1500" w:type="dxa"/>
            <w:vAlign w:val="bottom"/>
            <w:tcBorders>
              <w:bottom w:val="single" w:sz="8" w:color="auto"/>
              <w:right w:val="single" w:sz="8" w:color="auto"/>
            </w:tcBorders>
          </w:tcPr>
          <w:p>
            <w:pPr>
              <w:spacing w:after="0"/>
              <w:rPr>
                <w:sz w:val="12"/>
                <w:szCs w:val="12"/>
                <w:color w:val="auto"/>
              </w:rPr>
            </w:pPr>
          </w:p>
        </w:tc>
        <w:tc>
          <w:tcPr>
            <w:tcW w:w="1700" w:type="dxa"/>
            <w:vAlign w:val="bottom"/>
            <w:tcBorders>
              <w:bottom w:val="single" w:sz="8" w:color="auto"/>
              <w:right w:val="single" w:sz="8" w:color="auto"/>
            </w:tcBorders>
          </w:tcPr>
          <w:p>
            <w:pPr>
              <w:spacing w:after="0"/>
              <w:rPr>
                <w:sz w:val="12"/>
                <w:szCs w:val="12"/>
                <w:color w:val="auto"/>
              </w:rPr>
            </w:pPr>
          </w:p>
        </w:tc>
        <w:tc>
          <w:tcPr>
            <w:tcW w:w="3980" w:type="dxa"/>
            <w:vAlign w:val="bottom"/>
            <w:tcBorders>
              <w:bottom w:val="single" w:sz="8" w:color="auto"/>
              <w:right w:val="single" w:sz="8" w:color="auto"/>
            </w:tcBorders>
          </w:tcPr>
          <w:p>
            <w:pPr>
              <w:spacing w:after="0"/>
              <w:rPr>
                <w:sz w:val="12"/>
                <w:szCs w:val="12"/>
                <w:color w:val="auto"/>
              </w:rPr>
            </w:pPr>
          </w:p>
        </w:tc>
      </w:tr>
      <w:tr>
        <w:trPr>
          <w:trHeight w:val="258"/>
        </w:trPr>
        <w:tc>
          <w:tcPr>
            <w:tcW w:w="1180" w:type="dxa"/>
            <w:vAlign w:val="bottom"/>
            <w:tcBorders>
              <w:left w:val="single" w:sz="8" w:color="auto"/>
              <w:right w:val="single" w:sz="8" w:color="auto"/>
            </w:tcBorders>
          </w:tcPr>
          <w:p>
            <w:pPr>
              <w:ind w:left="120"/>
              <w:spacing w:after="0" w:line="258" w:lineRule="exact"/>
              <w:rPr>
                <w:sz w:val="20"/>
                <w:szCs w:val="20"/>
                <w:color w:val="auto"/>
              </w:rPr>
            </w:pPr>
            <w:r>
              <w:rPr>
                <w:rFonts w:ascii="Times New Roman" w:cs="Times New Roman" w:eastAsia="Times New Roman" w:hAnsi="Times New Roman"/>
                <w:sz w:val="24"/>
                <w:szCs w:val="24"/>
                <w:color w:val="auto"/>
              </w:rPr>
              <w:t>14</w:t>
            </w:r>
          </w:p>
        </w:tc>
        <w:tc>
          <w:tcPr>
            <w:tcW w:w="134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280</w:t>
            </w:r>
          </w:p>
        </w:tc>
        <w:tc>
          <w:tcPr>
            <w:tcW w:w="15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5,000</w:t>
            </w:r>
          </w:p>
        </w:tc>
        <w:tc>
          <w:tcPr>
            <w:tcW w:w="17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14,00,000</w:t>
            </w:r>
          </w:p>
        </w:tc>
        <w:tc>
          <w:tcPr>
            <w:tcW w:w="398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4,375</w:t>
            </w:r>
          </w:p>
        </w:tc>
      </w:tr>
      <w:tr>
        <w:trPr>
          <w:trHeight w:val="147"/>
        </w:trPr>
        <w:tc>
          <w:tcPr>
            <w:tcW w:w="1180" w:type="dxa"/>
            <w:vAlign w:val="bottom"/>
            <w:tcBorders>
              <w:left w:val="single" w:sz="8" w:color="auto"/>
              <w:bottom w:val="single" w:sz="8" w:color="auto"/>
              <w:right w:val="single" w:sz="8" w:color="auto"/>
            </w:tcBorders>
          </w:tcPr>
          <w:p>
            <w:pPr>
              <w:spacing w:after="0"/>
              <w:rPr>
                <w:sz w:val="12"/>
                <w:szCs w:val="12"/>
                <w:color w:val="auto"/>
              </w:rPr>
            </w:pPr>
          </w:p>
        </w:tc>
        <w:tc>
          <w:tcPr>
            <w:tcW w:w="1340" w:type="dxa"/>
            <w:vAlign w:val="bottom"/>
            <w:tcBorders>
              <w:bottom w:val="single" w:sz="8" w:color="auto"/>
              <w:right w:val="single" w:sz="8" w:color="auto"/>
            </w:tcBorders>
          </w:tcPr>
          <w:p>
            <w:pPr>
              <w:spacing w:after="0"/>
              <w:rPr>
                <w:sz w:val="12"/>
                <w:szCs w:val="12"/>
                <w:color w:val="auto"/>
              </w:rPr>
            </w:pPr>
          </w:p>
        </w:tc>
        <w:tc>
          <w:tcPr>
            <w:tcW w:w="1500" w:type="dxa"/>
            <w:vAlign w:val="bottom"/>
            <w:tcBorders>
              <w:bottom w:val="single" w:sz="8" w:color="auto"/>
              <w:right w:val="single" w:sz="8" w:color="auto"/>
            </w:tcBorders>
          </w:tcPr>
          <w:p>
            <w:pPr>
              <w:spacing w:after="0"/>
              <w:rPr>
                <w:sz w:val="12"/>
                <w:szCs w:val="12"/>
                <w:color w:val="auto"/>
              </w:rPr>
            </w:pPr>
          </w:p>
        </w:tc>
        <w:tc>
          <w:tcPr>
            <w:tcW w:w="1700" w:type="dxa"/>
            <w:vAlign w:val="bottom"/>
            <w:tcBorders>
              <w:bottom w:val="single" w:sz="8" w:color="auto"/>
              <w:right w:val="single" w:sz="8" w:color="auto"/>
            </w:tcBorders>
          </w:tcPr>
          <w:p>
            <w:pPr>
              <w:spacing w:after="0"/>
              <w:rPr>
                <w:sz w:val="12"/>
                <w:szCs w:val="12"/>
                <w:color w:val="auto"/>
              </w:rPr>
            </w:pPr>
          </w:p>
        </w:tc>
        <w:tc>
          <w:tcPr>
            <w:tcW w:w="3980" w:type="dxa"/>
            <w:vAlign w:val="bottom"/>
            <w:tcBorders>
              <w:bottom w:val="single" w:sz="8" w:color="auto"/>
              <w:right w:val="single" w:sz="8" w:color="auto"/>
            </w:tcBorders>
          </w:tcPr>
          <w:p>
            <w:pPr>
              <w:spacing w:after="0"/>
              <w:rPr>
                <w:sz w:val="12"/>
                <w:szCs w:val="12"/>
                <w:color w:val="auto"/>
              </w:rPr>
            </w:pPr>
          </w:p>
        </w:tc>
      </w:tr>
      <w:tr>
        <w:trPr>
          <w:trHeight w:val="258"/>
        </w:trPr>
        <w:tc>
          <w:tcPr>
            <w:tcW w:w="1180" w:type="dxa"/>
            <w:vAlign w:val="bottom"/>
            <w:tcBorders>
              <w:left w:val="single" w:sz="8" w:color="auto"/>
              <w:right w:val="single" w:sz="8" w:color="auto"/>
            </w:tcBorders>
          </w:tcPr>
          <w:p>
            <w:pPr>
              <w:ind w:left="120"/>
              <w:spacing w:after="0" w:line="258" w:lineRule="exact"/>
              <w:rPr>
                <w:sz w:val="20"/>
                <w:szCs w:val="20"/>
                <w:color w:val="auto"/>
              </w:rPr>
            </w:pPr>
            <w:r>
              <w:rPr>
                <w:rFonts w:ascii="Times New Roman" w:cs="Times New Roman" w:eastAsia="Times New Roman" w:hAnsi="Times New Roman"/>
                <w:sz w:val="24"/>
                <w:szCs w:val="24"/>
                <w:color w:val="auto"/>
              </w:rPr>
              <w:t>15</w:t>
            </w:r>
          </w:p>
        </w:tc>
        <w:tc>
          <w:tcPr>
            <w:tcW w:w="134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300</w:t>
            </w:r>
          </w:p>
        </w:tc>
        <w:tc>
          <w:tcPr>
            <w:tcW w:w="15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15,000</w:t>
            </w:r>
          </w:p>
        </w:tc>
        <w:tc>
          <w:tcPr>
            <w:tcW w:w="17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45,00,000</w:t>
            </w:r>
          </w:p>
        </w:tc>
        <w:tc>
          <w:tcPr>
            <w:tcW w:w="398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13,125</w:t>
            </w:r>
          </w:p>
        </w:tc>
      </w:tr>
      <w:tr>
        <w:trPr>
          <w:trHeight w:val="147"/>
        </w:trPr>
        <w:tc>
          <w:tcPr>
            <w:tcW w:w="1180" w:type="dxa"/>
            <w:vAlign w:val="bottom"/>
            <w:tcBorders>
              <w:left w:val="single" w:sz="8" w:color="auto"/>
              <w:bottom w:val="single" w:sz="8" w:color="auto"/>
              <w:right w:val="single" w:sz="8" w:color="auto"/>
            </w:tcBorders>
          </w:tcPr>
          <w:p>
            <w:pPr>
              <w:spacing w:after="0"/>
              <w:rPr>
                <w:sz w:val="12"/>
                <w:szCs w:val="12"/>
                <w:color w:val="auto"/>
              </w:rPr>
            </w:pPr>
          </w:p>
        </w:tc>
        <w:tc>
          <w:tcPr>
            <w:tcW w:w="1340" w:type="dxa"/>
            <w:vAlign w:val="bottom"/>
            <w:tcBorders>
              <w:bottom w:val="single" w:sz="8" w:color="auto"/>
              <w:right w:val="single" w:sz="8" w:color="auto"/>
            </w:tcBorders>
          </w:tcPr>
          <w:p>
            <w:pPr>
              <w:spacing w:after="0"/>
              <w:rPr>
                <w:sz w:val="12"/>
                <w:szCs w:val="12"/>
                <w:color w:val="auto"/>
              </w:rPr>
            </w:pPr>
          </w:p>
        </w:tc>
        <w:tc>
          <w:tcPr>
            <w:tcW w:w="1500" w:type="dxa"/>
            <w:vAlign w:val="bottom"/>
            <w:tcBorders>
              <w:bottom w:val="single" w:sz="8" w:color="auto"/>
              <w:right w:val="single" w:sz="8" w:color="auto"/>
            </w:tcBorders>
          </w:tcPr>
          <w:p>
            <w:pPr>
              <w:spacing w:after="0"/>
              <w:rPr>
                <w:sz w:val="12"/>
                <w:szCs w:val="12"/>
                <w:color w:val="auto"/>
              </w:rPr>
            </w:pPr>
          </w:p>
        </w:tc>
        <w:tc>
          <w:tcPr>
            <w:tcW w:w="1700" w:type="dxa"/>
            <w:vAlign w:val="bottom"/>
            <w:tcBorders>
              <w:bottom w:val="single" w:sz="8" w:color="auto"/>
              <w:right w:val="single" w:sz="8" w:color="auto"/>
            </w:tcBorders>
          </w:tcPr>
          <w:p>
            <w:pPr>
              <w:spacing w:after="0"/>
              <w:rPr>
                <w:sz w:val="12"/>
                <w:szCs w:val="12"/>
                <w:color w:val="auto"/>
              </w:rPr>
            </w:pPr>
          </w:p>
        </w:tc>
        <w:tc>
          <w:tcPr>
            <w:tcW w:w="3980" w:type="dxa"/>
            <w:vAlign w:val="bottom"/>
            <w:tcBorders>
              <w:bottom w:val="single" w:sz="8" w:color="auto"/>
              <w:right w:val="single" w:sz="8" w:color="auto"/>
            </w:tcBorders>
          </w:tcPr>
          <w:p>
            <w:pPr>
              <w:spacing w:after="0"/>
              <w:rPr>
                <w:sz w:val="12"/>
                <w:szCs w:val="12"/>
                <w:color w:val="auto"/>
              </w:rPr>
            </w:pPr>
          </w:p>
        </w:tc>
      </w:tr>
      <w:tr>
        <w:trPr>
          <w:trHeight w:val="258"/>
        </w:trPr>
        <w:tc>
          <w:tcPr>
            <w:tcW w:w="1180" w:type="dxa"/>
            <w:vAlign w:val="bottom"/>
            <w:tcBorders>
              <w:left w:val="single" w:sz="8" w:color="auto"/>
              <w:right w:val="single" w:sz="8" w:color="auto"/>
            </w:tcBorders>
          </w:tcPr>
          <w:p>
            <w:pPr>
              <w:ind w:left="120"/>
              <w:spacing w:after="0" w:line="258" w:lineRule="exact"/>
              <w:rPr>
                <w:sz w:val="20"/>
                <w:szCs w:val="20"/>
                <w:color w:val="auto"/>
              </w:rPr>
            </w:pPr>
            <w:r>
              <w:rPr>
                <w:rFonts w:ascii="Times New Roman" w:cs="Times New Roman" w:eastAsia="Times New Roman" w:hAnsi="Times New Roman"/>
                <w:sz w:val="24"/>
                <w:szCs w:val="24"/>
                <w:color w:val="auto"/>
              </w:rPr>
              <w:t>16</w:t>
            </w:r>
          </w:p>
        </w:tc>
        <w:tc>
          <w:tcPr>
            <w:tcW w:w="134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320</w:t>
            </w:r>
          </w:p>
        </w:tc>
        <w:tc>
          <w:tcPr>
            <w:tcW w:w="15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10,000</w:t>
            </w:r>
          </w:p>
        </w:tc>
        <w:tc>
          <w:tcPr>
            <w:tcW w:w="170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32,00,000</w:t>
            </w:r>
          </w:p>
        </w:tc>
        <w:tc>
          <w:tcPr>
            <w:tcW w:w="398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8,750</w:t>
            </w:r>
          </w:p>
        </w:tc>
      </w:tr>
      <w:tr>
        <w:trPr>
          <w:trHeight w:val="144"/>
        </w:trPr>
        <w:tc>
          <w:tcPr>
            <w:tcW w:w="1180" w:type="dxa"/>
            <w:vAlign w:val="bottom"/>
            <w:tcBorders>
              <w:left w:val="single" w:sz="8" w:color="auto"/>
              <w:bottom w:val="single" w:sz="8" w:color="auto"/>
              <w:right w:val="single" w:sz="8" w:color="auto"/>
            </w:tcBorders>
          </w:tcPr>
          <w:p>
            <w:pPr>
              <w:spacing w:after="0"/>
              <w:rPr>
                <w:sz w:val="12"/>
                <w:szCs w:val="12"/>
                <w:color w:val="auto"/>
              </w:rPr>
            </w:pPr>
          </w:p>
        </w:tc>
        <w:tc>
          <w:tcPr>
            <w:tcW w:w="1340" w:type="dxa"/>
            <w:vAlign w:val="bottom"/>
            <w:tcBorders>
              <w:bottom w:val="single" w:sz="8" w:color="auto"/>
              <w:right w:val="single" w:sz="8" w:color="auto"/>
            </w:tcBorders>
          </w:tcPr>
          <w:p>
            <w:pPr>
              <w:spacing w:after="0"/>
              <w:rPr>
                <w:sz w:val="12"/>
                <w:szCs w:val="12"/>
                <w:color w:val="auto"/>
              </w:rPr>
            </w:pPr>
          </w:p>
        </w:tc>
        <w:tc>
          <w:tcPr>
            <w:tcW w:w="1500" w:type="dxa"/>
            <w:vAlign w:val="bottom"/>
            <w:tcBorders>
              <w:bottom w:val="single" w:sz="8" w:color="auto"/>
              <w:right w:val="single" w:sz="8" w:color="auto"/>
            </w:tcBorders>
          </w:tcPr>
          <w:p>
            <w:pPr>
              <w:spacing w:after="0"/>
              <w:rPr>
                <w:sz w:val="12"/>
                <w:szCs w:val="12"/>
                <w:color w:val="auto"/>
              </w:rPr>
            </w:pPr>
          </w:p>
        </w:tc>
        <w:tc>
          <w:tcPr>
            <w:tcW w:w="1700" w:type="dxa"/>
            <w:vAlign w:val="bottom"/>
            <w:tcBorders>
              <w:bottom w:val="single" w:sz="8" w:color="auto"/>
              <w:right w:val="single" w:sz="8" w:color="auto"/>
            </w:tcBorders>
          </w:tcPr>
          <w:p>
            <w:pPr>
              <w:spacing w:after="0"/>
              <w:rPr>
                <w:sz w:val="12"/>
                <w:szCs w:val="12"/>
                <w:color w:val="auto"/>
              </w:rPr>
            </w:pPr>
          </w:p>
        </w:tc>
        <w:tc>
          <w:tcPr>
            <w:tcW w:w="3980" w:type="dxa"/>
            <w:vAlign w:val="bottom"/>
            <w:tcBorders>
              <w:bottom w:val="single" w:sz="8" w:color="auto"/>
              <w:right w:val="single" w:sz="8" w:color="auto"/>
            </w:tcBorders>
          </w:tcPr>
          <w:p>
            <w:pPr>
              <w:spacing w:after="0"/>
              <w:rPr>
                <w:sz w:val="12"/>
                <w:szCs w:val="12"/>
                <w:color w:val="auto"/>
              </w:rPr>
            </w:pPr>
          </w:p>
        </w:tc>
      </w:tr>
      <w:tr>
        <w:trPr>
          <w:trHeight w:val="263"/>
        </w:trPr>
        <w:tc>
          <w:tcPr>
            <w:tcW w:w="1180" w:type="dxa"/>
            <w:vAlign w:val="bottom"/>
            <w:tcBorders>
              <w:left w:val="single" w:sz="8" w:color="auto"/>
              <w:right w:val="single" w:sz="8" w:color="auto"/>
            </w:tcBorders>
          </w:tcPr>
          <w:p>
            <w:pPr>
              <w:ind w:left="120"/>
              <w:spacing w:after="0" w:line="264" w:lineRule="exact"/>
              <w:rPr>
                <w:sz w:val="20"/>
                <w:szCs w:val="20"/>
                <w:color w:val="auto"/>
              </w:rPr>
            </w:pPr>
            <w:r>
              <w:rPr>
                <w:rFonts w:ascii="Times New Roman" w:cs="Times New Roman" w:eastAsia="Times New Roman" w:hAnsi="Times New Roman"/>
                <w:sz w:val="24"/>
                <w:szCs w:val="24"/>
                <w:b w:val="1"/>
                <w:bCs w:val="1"/>
                <w:color w:val="auto"/>
              </w:rPr>
              <w:t>Total</w:t>
            </w:r>
          </w:p>
        </w:tc>
        <w:tc>
          <w:tcPr>
            <w:tcW w:w="1340" w:type="dxa"/>
            <w:vAlign w:val="bottom"/>
            <w:tcBorders>
              <w:right w:val="single" w:sz="8" w:color="auto"/>
            </w:tcBorders>
          </w:tcPr>
          <w:p>
            <w:pPr>
              <w:spacing w:after="0"/>
              <w:rPr>
                <w:sz w:val="22"/>
                <w:szCs w:val="22"/>
                <w:color w:val="auto"/>
              </w:rPr>
            </w:pPr>
          </w:p>
        </w:tc>
        <w:tc>
          <w:tcPr>
            <w:tcW w:w="1500" w:type="dxa"/>
            <w:vAlign w:val="bottom"/>
            <w:tcBorders>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b w:val="1"/>
                <w:bCs w:val="1"/>
                <w:color w:val="auto"/>
              </w:rPr>
              <w:t>2,00,000</w:t>
            </w:r>
          </w:p>
        </w:tc>
        <w:tc>
          <w:tcPr>
            <w:tcW w:w="1700" w:type="dxa"/>
            <w:vAlign w:val="bottom"/>
            <w:tcBorders>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b w:val="1"/>
                <w:bCs w:val="1"/>
                <w:color w:val="auto"/>
              </w:rPr>
              <w:t>328,00,000</w:t>
            </w:r>
          </w:p>
        </w:tc>
        <w:tc>
          <w:tcPr>
            <w:tcW w:w="3980" w:type="dxa"/>
            <w:vAlign w:val="bottom"/>
            <w:tcBorders>
              <w:right w:val="single" w:sz="8" w:color="auto"/>
            </w:tcBorders>
          </w:tcPr>
          <w:p>
            <w:pPr>
              <w:jc w:val="right"/>
              <w:spacing w:after="0" w:line="264" w:lineRule="exact"/>
              <w:rPr>
                <w:sz w:val="20"/>
                <w:szCs w:val="20"/>
                <w:color w:val="auto"/>
              </w:rPr>
            </w:pPr>
            <w:r>
              <w:rPr>
                <w:rFonts w:ascii="Times New Roman" w:cs="Times New Roman" w:eastAsia="Times New Roman" w:hAnsi="Times New Roman"/>
                <w:sz w:val="24"/>
                <w:szCs w:val="24"/>
                <w:b w:val="1"/>
                <w:bCs w:val="1"/>
                <w:color w:val="auto"/>
              </w:rPr>
              <w:t>1,75,000</w:t>
            </w:r>
          </w:p>
        </w:tc>
      </w:tr>
      <w:tr>
        <w:trPr>
          <w:trHeight w:val="142"/>
        </w:trPr>
        <w:tc>
          <w:tcPr>
            <w:tcW w:w="1180" w:type="dxa"/>
            <w:vAlign w:val="bottom"/>
            <w:tcBorders>
              <w:left w:val="single" w:sz="8" w:color="auto"/>
              <w:bottom w:val="single" w:sz="8" w:color="auto"/>
              <w:right w:val="single" w:sz="8" w:color="auto"/>
            </w:tcBorders>
          </w:tcPr>
          <w:p>
            <w:pPr>
              <w:spacing w:after="0"/>
              <w:rPr>
                <w:sz w:val="12"/>
                <w:szCs w:val="12"/>
                <w:color w:val="auto"/>
              </w:rPr>
            </w:pPr>
          </w:p>
        </w:tc>
        <w:tc>
          <w:tcPr>
            <w:tcW w:w="1340" w:type="dxa"/>
            <w:vAlign w:val="bottom"/>
            <w:tcBorders>
              <w:bottom w:val="single" w:sz="8" w:color="auto"/>
              <w:right w:val="single" w:sz="8" w:color="auto"/>
            </w:tcBorders>
          </w:tcPr>
          <w:p>
            <w:pPr>
              <w:spacing w:after="0"/>
              <w:rPr>
                <w:sz w:val="12"/>
                <w:szCs w:val="12"/>
                <w:color w:val="auto"/>
              </w:rPr>
            </w:pPr>
          </w:p>
        </w:tc>
        <w:tc>
          <w:tcPr>
            <w:tcW w:w="1500" w:type="dxa"/>
            <w:vAlign w:val="bottom"/>
            <w:tcBorders>
              <w:bottom w:val="single" w:sz="8" w:color="auto"/>
              <w:right w:val="single" w:sz="8" w:color="auto"/>
            </w:tcBorders>
          </w:tcPr>
          <w:p>
            <w:pPr>
              <w:spacing w:after="0"/>
              <w:rPr>
                <w:sz w:val="12"/>
                <w:szCs w:val="12"/>
                <w:color w:val="auto"/>
              </w:rPr>
            </w:pPr>
          </w:p>
        </w:tc>
        <w:tc>
          <w:tcPr>
            <w:tcW w:w="1700" w:type="dxa"/>
            <w:vAlign w:val="bottom"/>
            <w:tcBorders>
              <w:bottom w:val="single" w:sz="8" w:color="auto"/>
              <w:right w:val="single" w:sz="8" w:color="auto"/>
            </w:tcBorders>
          </w:tcPr>
          <w:p>
            <w:pPr>
              <w:spacing w:after="0"/>
              <w:rPr>
                <w:sz w:val="12"/>
                <w:szCs w:val="12"/>
                <w:color w:val="auto"/>
              </w:rPr>
            </w:pPr>
          </w:p>
        </w:tc>
        <w:tc>
          <w:tcPr>
            <w:tcW w:w="3980" w:type="dxa"/>
            <w:vAlign w:val="bottom"/>
            <w:tcBorders>
              <w:bottom w:val="single" w:sz="8" w:color="auto"/>
              <w:right w:val="single" w:sz="8" w:color="auto"/>
            </w:tcBorders>
          </w:tcPr>
          <w:p>
            <w:pPr>
              <w:spacing w:after="0"/>
              <w:rPr>
                <w:sz w:val="12"/>
                <w:szCs w:val="12"/>
                <w:color w:val="auto"/>
              </w:rPr>
            </w:pPr>
          </w:p>
        </w:tc>
      </w:tr>
      <w:tr>
        <w:trPr>
          <w:trHeight w:val="405"/>
        </w:trPr>
        <w:tc>
          <w:tcPr>
            <w:tcW w:w="1180" w:type="dxa"/>
            <w:vAlign w:val="bottom"/>
            <w:tcBorders>
              <w:left w:val="single" w:sz="8" w:color="auto"/>
              <w:bottom w:val="single" w:sz="8" w:color="auto"/>
              <w:right w:val="single" w:sz="8" w:color="auto"/>
            </w:tcBorders>
          </w:tcPr>
          <w:p>
            <w:pPr>
              <w:spacing w:after="0"/>
              <w:rPr>
                <w:sz w:val="24"/>
                <w:szCs w:val="24"/>
                <w:color w:val="auto"/>
              </w:rPr>
            </w:pPr>
          </w:p>
        </w:tc>
        <w:tc>
          <w:tcPr>
            <w:tcW w:w="1340" w:type="dxa"/>
            <w:vAlign w:val="bottom"/>
            <w:tcBorders>
              <w:bottom w:val="single" w:sz="8" w:color="auto"/>
              <w:right w:val="single" w:sz="8" w:color="auto"/>
            </w:tcBorders>
          </w:tcPr>
          <w:p>
            <w:pPr>
              <w:spacing w:after="0"/>
              <w:rPr>
                <w:sz w:val="24"/>
                <w:szCs w:val="24"/>
                <w:color w:val="auto"/>
              </w:rPr>
            </w:pPr>
          </w:p>
        </w:tc>
        <w:tc>
          <w:tcPr>
            <w:tcW w:w="1500" w:type="dxa"/>
            <w:vAlign w:val="bottom"/>
            <w:tcBorders>
              <w:bottom w:val="single" w:sz="8" w:color="auto"/>
              <w:right w:val="single" w:sz="8" w:color="auto"/>
            </w:tcBorders>
          </w:tcPr>
          <w:p>
            <w:pPr>
              <w:spacing w:after="0"/>
              <w:rPr>
                <w:sz w:val="24"/>
                <w:szCs w:val="24"/>
                <w:color w:val="auto"/>
              </w:rPr>
            </w:pPr>
          </w:p>
        </w:tc>
        <w:tc>
          <w:tcPr>
            <w:tcW w:w="1700" w:type="dxa"/>
            <w:vAlign w:val="bottom"/>
            <w:tcBorders>
              <w:bottom w:val="single" w:sz="8" w:color="auto"/>
              <w:right w:val="single" w:sz="8" w:color="auto"/>
            </w:tcBorders>
          </w:tcPr>
          <w:p>
            <w:pPr>
              <w:spacing w:after="0"/>
              <w:rPr>
                <w:sz w:val="24"/>
                <w:szCs w:val="24"/>
                <w:color w:val="auto"/>
              </w:rPr>
            </w:pPr>
          </w:p>
        </w:tc>
        <w:tc>
          <w:tcPr>
            <w:tcW w:w="3980" w:type="dxa"/>
            <w:vAlign w:val="bottom"/>
            <w:tcBorders>
              <w:bottom w:val="single" w:sz="8" w:color="auto"/>
              <w:right w:val="single" w:sz="8" w:color="auto"/>
            </w:tcBorders>
          </w:tcPr>
          <w:p>
            <w:pPr>
              <w:spacing w:after="0"/>
              <w:rPr>
                <w:sz w:val="24"/>
                <w:szCs w:val="24"/>
                <w:color w:val="auto"/>
              </w:rPr>
            </w:pPr>
          </w:p>
        </w:tc>
      </w:tr>
      <w:tr>
        <w:trPr>
          <w:trHeight w:val="402"/>
        </w:trPr>
        <w:tc>
          <w:tcPr>
            <w:tcW w:w="1180" w:type="dxa"/>
            <w:vAlign w:val="bottom"/>
            <w:tcBorders>
              <w:left w:val="single" w:sz="8" w:color="auto"/>
              <w:bottom w:val="single" w:sz="8" w:color="auto"/>
              <w:right w:val="single" w:sz="8" w:color="auto"/>
            </w:tcBorders>
          </w:tcPr>
          <w:p>
            <w:pPr>
              <w:spacing w:after="0"/>
              <w:rPr>
                <w:sz w:val="24"/>
                <w:szCs w:val="24"/>
                <w:color w:val="auto"/>
              </w:rPr>
            </w:pPr>
          </w:p>
        </w:tc>
        <w:tc>
          <w:tcPr>
            <w:tcW w:w="1340" w:type="dxa"/>
            <w:vAlign w:val="bottom"/>
            <w:tcBorders>
              <w:bottom w:val="single" w:sz="8" w:color="auto"/>
              <w:right w:val="single" w:sz="8" w:color="auto"/>
            </w:tcBorders>
          </w:tcPr>
          <w:p>
            <w:pPr>
              <w:spacing w:after="0"/>
              <w:rPr>
                <w:sz w:val="24"/>
                <w:szCs w:val="24"/>
                <w:color w:val="auto"/>
              </w:rPr>
            </w:pPr>
          </w:p>
        </w:tc>
        <w:tc>
          <w:tcPr>
            <w:tcW w:w="1500" w:type="dxa"/>
            <w:vAlign w:val="bottom"/>
            <w:tcBorders>
              <w:bottom w:val="single" w:sz="8" w:color="auto"/>
              <w:right w:val="single" w:sz="8" w:color="auto"/>
            </w:tcBorders>
          </w:tcPr>
          <w:p>
            <w:pPr>
              <w:spacing w:after="0"/>
              <w:rPr>
                <w:sz w:val="24"/>
                <w:szCs w:val="24"/>
                <w:color w:val="auto"/>
              </w:rPr>
            </w:pPr>
          </w:p>
        </w:tc>
        <w:tc>
          <w:tcPr>
            <w:tcW w:w="1700" w:type="dxa"/>
            <w:vAlign w:val="bottom"/>
            <w:tcBorders>
              <w:bottom w:val="single" w:sz="8" w:color="auto"/>
              <w:right w:val="single" w:sz="8" w:color="auto"/>
            </w:tcBorders>
          </w:tcPr>
          <w:p>
            <w:pPr>
              <w:spacing w:after="0"/>
              <w:rPr>
                <w:sz w:val="24"/>
                <w:szCs w:val="24"/>
                <w:color w:val="auto"/>
              </w:rPr>
            </w:pPr>
          </w:p>
        </w:tc>
        <w:tc>
          <w:tcPr>
            <w:tcW w:w="3980" w:type="dxa"/>
            <w:vAlign w:val="bottom"/>
            <w:tcBorders>
              <w:bottom w:val="single" w:sz="8" w:color="auto"/>
              <w:right w:val="single" w:sz="8" w:color="auto"/>
            </w:tcBorders>
          </w:tcPr>
          <w:p>
            <w:pPr>
              <w:spacing w:after="0"/>
              <w:rPr>
                <w:sz w:val="24"/>
                <w:szCs w:val="24"/>
                <w:color w:val="auto"/>
              </w:rPr>
            </w:pPr>
          </w:p>
        </w:tc>
      </w:tr>
    </w:tbl>
    <w:p>
      <w:pPr>
        <w:spacing w:after="0" w:line="200" w:lineRule="exact"/>
        <w:rPr>
          <w:sz w:val="20"/>
          <w:szCs w:val="20"/>
          <w:color w:val="auto"/>
        </w:rPr>
      </w:pPr>
    </w:p>
    <w:p>
      <w:pPr>
        <w:spacing w:after="0" w:line="208"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4"/>
          <w:szCs w:val="24"/>
          <w:b w:val="1"/>
          <w:bCs w:val="1"/>
          <w:color w:val="auto"/>
        </w:rPr>
        <w:t xml:space="preserve">Note: </w:t>
      </w:r>
      <w:r>
        <w:rPr>
          <w:rFonts w:ascii="Times New Roman" w:cs="Times New Roman" w:eastAsia="Times New Roman" w:hAnsi="Times New Roman"/>
          <w:sz w:val="24"/>
          <w:szCs w:val="24"/>
          <w:color w:val="auto"/>
        </w:rPr>
        <w:t>For IDRs, the minimum application size shall be twenty thousand rupees.</w:t>
      </w:r>
    </w:p>
    <w:p>
      <w:pPr>
        <w:spacing w:after="0" w:line="142"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4"/>
          <w:szCs w:val="24"/>
          <w:b w:val="1"/>
          <w:bCs w:val="1"/>
          <w:color w:val="auto"/>
        </w:rPr>
        <w:t>Part B - Illustration explaining minimum application size</w:t>
      </w:r>
    </w:p>
    <w:p>
      <w:pPr>
        <w:spacing w:after="0" w:line="200" w:lineRule="exact"/>
        <w:rPr>
          <w:sz w:val="20"/>
          <w:szCs w:val="20"/>
          <w:color w:val="auto"/>
        </w:rPr>
      </w:pPr>
    </w:p>
    <w:p>
      <w:pPr>
        <w:spacing w:after="0" w:line="359" w:lineRule="exact"/>
        <w:rPr>
          <w:sz w:val="20"/>
          <w:szCs w:val="20"/>
          <w:color w:val="auto"/>
        </w:rPr>
      </w:pPr>
    </w:p>
    <w:p>
      <w:pPr>
        <w:jc w:val="both"/>
        <w:ind w:left="120" w:right="120"/>
        <w:spacing w:after="0" w:line="350" w:lineRule="auto"/>
        <w:rPr>
          <w:sz w:val="20"/>
          <w:szCs w:val="20"/>
          <w:color w:val="auto"/>
        </w:rPr>
      </w:pPr>
      <w:r>
        <w:rPr>
          <w:rFonts w:ascii="Times New Roman" w:cs="Times New Roman" w:eastAsia="Times New Roman" w:hAnsi="Times New Roman"/>
          <w:sz w:val="24"/>
          <w:szCs w:val="24"/>
          <w:color w:val="auto"/>
        </w:rPr>
        <w:t>For inviting applications in multiples of the minimum value as referred to in sub-regulation (2) of regulation 49, the procedure is clarified by following example:</w:t>
      </w:r>
    </w:p>
    <w:p>
      <w:pPr>
        <w:spacing w:after="0" w:line="200" w:lineRule="exact"/>
        <w:rPr>
          <w:sz w:val="20"/>
          <w:szCs w:val="20"/>
          <w:color w:val="auto"/>
        </w:rPr>
      </w:pPr>
    </w:p>
    <w:p>
      <w:pPr>
        <w:spacing w:after="0" w:line="239" w:lineRule="exact"/>
        <w:rPr>
          <w:sz w:val="20"/>
          <w:szCs w:val="20"/>
          <w:color w:val="auto"/>
        </w:rPr>
      </w:pPr>
    </w:p>
    <w:p>
      <w:pPr>
        <w:jc w:val="both"/>
        <w:ind w:left="120" w:right="120"/>
        <w:spacing w:after="0" w:line="356" w:lineRule="auto"/>
        <w:rPr>
          <w:sz w:val="20"/>
          <w:szCs w:val="20"/>
          <w:color w:val="auto"/>
        </w:rPr>
      </w:pPr>
      <w:r>
        <w:rPr>
          <w:rFonts w:ascii="Times New Roman" w:cs="Times New Roman" w:eastAsia="Times New Roman" w:hAnsi="Times New Roman"/>
          <w:sz w:val="24"/>
          <w:szCs w:val="24"/>
          <w:color w:val="auto"/>
        </w:rPr>
        <w:t>Assuming an issue is being made at a price of ` 900 per equity share. In this case, the issuer in consultation with the lead merchant banker can determine the minimum application lot within the range of 12 – 16 equity shares (in value terms between Rs.10,000- Rs.15,000), as explained hereunder:</w:t>
      </w:r>
    </w:p>
    <w:p>
      <w:pPr>
        <w:spacing w:after="0" w:line="200" w:lineRule="exact"/>
        <w:rPr>
          <w:sz w:val="20"/>
          <w:szCs w:val="20"/>
          <w:color w:val="auto"/>
        </w:rPr>
      </w:pPr>
    </w:p>
    <w:p>
      <w:pPr>
        <w:spacing w:after="0" w:line="207" w:lineRule="exact"/>
        <w:rPr>
          <w:sz w:val="20"/>
          <w:szCs w:val="20"/>
          <w:color w:val="auto"/>
        </w:rPr>
      </w:pPr>
    </w:p>
    <w:tbl>
      <w:tblPr>
        <w:tblLayout w:type="fixed"/>
        <w:tblInd w:w="110" w:type="dxa"/>
        <w:tblCellMar>
          <w:top w:w="0" w:type="dxa"/>
          <w:left w:w="0" w:type="dxa"/>
          <w:bottom w:w="0" w:type="dxa"/>
          <w:right w:w="0" w:type="dxa"/>
        </w:tblCellMar>
      </w:tblPr>
      <w:tr>
        <w:trPr>
          <w:trHeight w:val="283"/>
        </w:trPr>
        <w:tc>
          <w:tcPr>
            <w:tcW w:w="4080" w:type="dxa"/>
            <w:vAlign w:val="bottom"/>
            <w:tcBorders>
              <w:top w:val="single" w:sz="8" w:color="auto"/>
              <w:left w:val="single" w:sz="8" w:color="auto"/>
              <w:right w:val="single" w:sz="8" w:color="auto"/>
            </w:tcBorders>
          </w:tcPr>
          <w:p>
            <w:pPr>
              <w:ind w:left="840"/>
              <w:spacing w:after="0"/>
              <w:rPr>
                <w:sz w:val="20"/>
                <w:szCs w:val="20"/>
                <w:color w:val="auto"/>
              </w:rPr>
            </w:pPr>
            <w:r>
              <w:rPr>
                <w:rFonts w:ascii="Times New Roman" w:cs="Times New Roman" w:eastAsia="Times New Roman" w:hAnsi="Times New Roman"/>
                <w:sz w:val="24"/>
                <w:szCs w:val="24"/>
                <w:b w:val="1"/>
                <w:bCs w:val="1"/>
                <w:color w:val="auto"/>
              </w:rPr>
              <w:t>Options</w:t>
            </w:r>
          </w:p>
        </w:tc>
        <w:tc>
          <w:tcPr>
            <w:tcW w:w="1140" w:type="dxa"/>
            <w:vAlign w:val="bottom"/>
            <w:tcBorders>
              <w:top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b w:val="1"/>
                <w:bCs w:val="1"/>
                <w:color w:val="auto"/>
              </w:rPr>
              <w:t>I</w:t>
            </w:r>
          </w:p>
        </w:tc>
        <w:tc>
          <w:tcPr>
            <w:tcW w:w="1020" w:type="dxa"/>
            <w:vAlign w:val="bottom"/>
            <w:tcBorders>
              <w:top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4"/>
                <w:szCs w:val="24"/>
                <w:b w:val="1"/>
                <w:bCs w:val="1"/>
                <w:color w:val="auto"/>
              </w:rPr>
              <w:t>II</w:t>
            </w:r>
          </w:p>
        </w:tc>
        <w:tc>
          <w:tcPr>
            <w:tcW w:w="1080" w:type="dxa"/>
            <w:vAlign w:val="bottom"/>
            <w:tcBorders>
              <w:top w:val="single" w:sz="8" w:color="auto"/>
              <w:right w:val="single" w:sz="8" w:color="auto"/>
            </w:tcBorders>
          </w:tcPr>
          <w:p>
            <w:pPr>
              <w:ind w:left="220"/>
              <w:spacing w:after="0"/>
              <w:rPr>
                <w:sz w:val="20"/>
                <w:szCs w:val="20"/>
                <w:color w:val="auto"/>
              </w:rPr>
            </w:pPr>
            <w:r>
              <w:rPr>
                <w:rFonts w:ascii="Times New Roman" w:cs="Times New Roman" w:eastAsia="Times New Roman" w:hAnsi="Times New Roman"/>
                <w:sz w:val="24"/>
                <w:szCs w:val="24"/>
                <w:b w:val="1"/>
                <w:bCs w:val="1"/>
                <w:color w:val="auto"/>
              </w:rPr>
              <w:t>III</w:t>
            </w:r>
          </w:p>
        </w:tc>
        <w:tc>
          <w:tcPr>
            <w:tcW w:w="1160" w:type="dxa"/>
            <w:vAlign w:val="bottom"/>
            <w:tcBorders>
              <w:top w:val="single" w:sz="8" w:color="auto"/>
              <w:right w:val="single" w:sz="8" w:color="auto"/>
            </w:tcBorders>
          </w:tcPr>
          <w:p>
            <w:pPr>
              <w:ind w:left="280"/>
              <w:spacing w:after="0"/>
              <w:rPr>
                <w:sz w:val="20"/>
                <w:szCs w:val="20"/>
                <w:color w:val="auto"/>
              </w:rPr>
            </w:pPr>
            <w:r>
              <w:rPr>
                <w:rFonts w:ascii="Times New Roman" w:cs="Times New Roman" w:eastAsia="Times New Roman" w:hAnsi="Times New Roman"/>
                <w:sz w:val="24"/>
                <w:szCs w:val="24"/>
                <w:b w:val="1"/>
                <w:bCs w:val="1"/>
                <w:color w:val="auto"/>
              </w:rPr>
              <w:t>IV</w:t>
            </w:r>
          </w:p>
        </w:tc>
        <w:tc>
          <w:tcPr>
            <w:tcW w:w="1060" w:type="dxa"/>
            <w:vAlign w:val="bottom"/>
            <w:tcBorders>
              <w:top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4"/>
                <w:szCs w:val="24"/>
                <w:b w:val="1"/>
                <w:bCs w:val="1"/>
                <w:color w:val="auto"/>
              </w:rPr>
              <w:t>V</w:t>
            </w:r>
          </w:p>
        </w:tc>
      </w:tr>
      <w:tr>
        <w:trPr>
          <w:trHeight w:val="142"/>
        </w:trPr>
        <w:tc>
          <w:tcPr>
            <w:tcW w:w="4080" w:type="dxa"/>
            <w:vAlign w:val="bottom"/>
            <w:tcBorders>
              <w:left w:val="single" w:sz="8" w:color="auto"/>
              <w:bottom w:val="single" w:sz="8" w:color="auto"/>
              <w:right w:val="single" w:sz="8" w:color="auto"/>
            </w:tcBorders>
          </w:tcPr>
          <w:p>
            <w:pPr>
              <w:spacing w:after="0"/>
              <w:rPr>
                <w:sz w:val="12"/>
                <w:szCs w:val="12"/>
                <w:color w:val="auto"/>
              </w:rPr>
            </w:pPr>
          </w:p>
        </w:tc>
        <w:tc>
          <w:tcPr>
            <w:tcW w:w="1140" w:type="dxa"/>
            <w:vAlign w:val="bottom"/>
            <w:tcBorders>
              <w:bottom w:val="single" w:sz="8" w:color="auto"/>
              <w:right w:val="single" w:sz="8" w:color="auto"/>
            </w:tcBorders>
          </w:tcPr>
          <w:p>
            <w:pPr>
              <w:spacing w:after="0"/>
              <w:rPr>
                <w:sz w:val="12"/>
                <w:szCs w:val="12"/>
                <w:color w:val="auto"/>
              </w:rPr>
            </w:pPr>
          </w:p>
        </w:tc>
        <w:tc>
          <w:tcPr>
            <w:tcW w:w="1020" w:type="dxa"/>
            <w:vAlign w:val="bottom"/>
            <w:tcBorders>
              <w:bottom w:val="single" w:sz="8" w:color="auto"/>
              <w:right w:val="single" w:sz="8" w:color="auto"/>
            </w:tcBorders>
          </w:tcPr>
          <w:p>
            <w:pPr>
              <w:spacing w:after="0"/>
              <w:rPr>
                <w:sz w:val="12"/>
                <w:szCs w:val="12"/>
                <w:color w:val="auto"/>
              </w:rPr>
            </w:pPr>
          </w:p>
        </w:tc>
        <w:tc>
          <w:tcPr>
            <w:tcW w:w="1080" w:type="dxa"/>
            <w:vAlign w:val="bottom"/>
            <w:tcBorders>
              <w:bottom w:val="single" w:sz="8" w:color="auto"/>
              <w:right w:val="single" w:sz="8" w:color="auto"/>
            </w:tcBorders>
          </w:tcPr>
          <w:p>
            <w:pPr>
              <w:spacing w:after="0"/>
              <w:rPr>
                <w:sz w:val="12"/>
                <w:szCs w:val="12"/>
                <w:color w:val="auto"/>
              </w:rPr>
            </w:pPr>
          </w:p>
        </w:tc>
        <w:tc>
          <w:tcPr>
            <w:tcW w:w="1160" w:type="dxa"/>
            <w:vAlign w:val="bottom"/>
            <w:tcBorders>
              <w:bottom w:val="single" w:sz="8" w:color="auto"/>
              <w:right w:val="single" w:sz="8" w:color="auto"/>
            </w:tcBorders>
          </w:tcPr>
          <w:p>
            <w:pPr>
              <w:spacing w:after="0"/>
              <w:rPr>
                <w:sz w:val="12"/>
                <w:szCs w:val="12"/>
                <w:color w:val="auto"/>
              </w:rPr>
            </w:pPr>
          </w:p>
        </w:tc>
        <w:tc>
          <w:tcPr>
            <w:tcW w:w="1060" w:type="dxa"/>
            <w:vAlign w:val="bottom"/>
            <w:tcBorders>
              <w:bottom w:val="single" w:sz="8" w:color="auto"/>
              <w:right w:val="single" w:sz="8" w:color="auto"/>
            </w:tcBorders>
          </w:tcPr>
          <w:p>
            <w:pPr>
              <w:spacing w:after="0"/>
              <w:rPr>
                <w:sz w:val="12"/>
                <w:szCs w:val="12"/>
                <w:color w:val="auto"/>
              </w:rPr>
            </w:pPr>
          </w:p>
        </w:tc>
      </w:tr>
      <w:tr>
        <w:trPr>
          <w:trHeight w:val="258"/>
        </w:trPr>
        <w:tc>
          <w:tcPr>
            <w:tcW w:w="4080" w:type="dxa"/>
            <w:vAlign w:val="bottom"/>
            <w:tcBorders>
              <w:left w:val="single" w:sz="8" w:color="auto"/>
              <w:right w:val="single" w:sz="8" w:color="auto"/>
            </w:tcBorders>
          </w:tcPr>
          <w:p>
            <w:pPr>
              <w:spacing w:after="0"/>
              <w:rPr>
                <w:sz w:val="22"/>
                <w:szCs w:val="22"/>
                <w:color w:val="auto"/>
              </w:rPr>
            </w:pPr>
          </w:p>
        </w:tc>
        <w:tc>
          <w:tcPr>
            <w:tcW w:w="1140" w:type="dxa"/>
            <w:vAlign w:val="bottom"/>
            <w:tcBorders>
              <w:right w:val="single" w:sz="8" w:color="auto"/>
            </w:tcBorders>
          </w:tcPr>
          <w:p>
            <w:pPr>
              <w:ind w:left="120"/>
              <w:spacing w:after="0" w:line="258" w:lineRule="exact"/>
              <w:rPr>
                <w:sz w:val="20"/>
                <w:szCs w:val="20"/>
                <w:color w:val="auto"/>
              </w:rPr>
            </w:pPr>
            <w:r>
              <w:rPr>
                <w:rFonts w:ascii="Times New Roman" w:cs="Times New Roman" w:eastAsia="Times New Roman" w:hAnsi="Times New Roman"/>
                <w:sz w:val="24"/>
                <w:szCs w:val="24"/>
                <w:color w:val="auto"/>
              </w:rPr>
              <w:t>12</w:t>
            </w:r>
          </w:p>
        </w:tc>
        <w:tc>
          <w:tcPr>
            <w:tcW w:w="1020" w:type="dxa"/>
            <w:vAlign w:val="bottom"/>
            <w:tcBorders>
              <w:right w:val="single" w:sz="8" w:color="auto"/>
            </w:tcBorders>
          </w:tcPr>
          <w:p>
            <w:pPr>
              <w:ind w:left="160"/>
              <w:spacing w:after="0" w:line="258" w:lineRule="exact"/>
              <w:rPr>
                <w:sz w:val="20"/>
                <w:szCs w:val="20"/>
                <w:color w:val="auto"/>
              </w:rPr>
            </w:pPr>
            <w:r>
              <w:rPr>
                <w:rFonts w:ascii="Times New Roman" w:cs="Times New Roman" w:eastAsia="Times New Roman" w:hAnsi="Times New Roman"/>
                <w:sz w:val="24"/>
                <w:szCs w:val="24"/>
                <w:color w:val="auto"/>
              </w:rPr>
              <w:t>13</w:t>
            </w:r>
          </w:p>
        </w:tc>
        <w:tc>
          <w:tcPr>
            <w:tcW w:w="1080" w:type="dxa"/>
            <w:vAlign w:val="bottom"/>
            <w:tcBorders>
              <w:right w:val="single" w:sz="8" w:color="auto"/>
            </w:tcBorders>
          </w:tcPr>
          <w:p>
            <w:pPr>
              <w:ind w:left="220"/>
              <w:spacing w:after="0" w:line="258" w:lineRule="exact"/>
              <w:rPr>
                <w:sz w:val="20"/>
                <w:szCs w:val="20"/>
                <w:color w:val="auto"/>
              </w:rPr>
            </w:pPr>
            <w:r>
              <w:rPr>
                <w:rFonts w:ascii="Times New Roman" w:cs="Times New Roman" w:eastAsia="Times New Roman" w:hAnsi="Times New Roman"/>
                <w:sz w:val="24"/>
                <w:szCs w:val="24"/>
                <w:color w:val="auto"/>
              </w:rPr>
              <w:t>14</w:t>
            </w:r>
          </w:p>
        </w:tc>
        <w:tc>
          <w:tcPr>
            <w:tcW w:w="1160" w:type="dxa"/>
            <w:vAlign w:val="bottom"/>
            <w:tcBorders>
              <w:right w:val="single" w:sz="8" w:color="auto"/>
            </w:tcBorders>
          </w:tcPr>
          <w:p>
            <w:pPr>
              <w:ind w:left="280"/>
              <w:spacing w:after="0" w:line="258" w:lineRule="exact"/>
              <w:rPr>
                <w:sz w:val="20"/>
                <w:szCs w:val="20"/>
                <w:color w:val="auto"/>
              </w:rPr>
            </w:pPr>
            <w:r>
              <w:rPr>
                <w:rFonts w:ascii="Times New Roman" w:cs="Times New Roman" w:eastAsia="Times New Roman" w:hAnsi="Times New Roman"/>
                <w:sz w:val="24"/>
                <w:szCs w:val="24"/>
                <w:color w:val="auto"/>
              </w:rPr>
              <w:t>15</w:t>
            </w:r>
          </w:p>
        </w:tc>
        <w:tc>
          <w:tcPr>
            <w:tcW w:w="1060" w:type="dxa"/>
            <w:vAlign w:val="bottom"/>
            <w:tcBorders>
              <w:right w:val="single" w:sz="8" w:color="auto"/>
            </w:tcBorders>
          </w:tcPr>
          <w:p>
            <w:pPr>
              <w:ind w:left="160"/>
              <w:spacing w:after="0" w:line="258" w:lineRule="exact"/>
              <w:rPr>
                <w:sz w:val="20"/>
                <w:szCs w:val="20"/>
                <w:color w:val="auto"/>
              </w:rPr>
            </w:pPr>
            <w:r>
              <w:rPr>
                <w:rFonts w:ascii="Times New Roman" w:cs="Times New Roman" w:eastAsia="Times New Roman" w:hAnsi="Times New Roman"/>
                <w:sz w:val="24"/>
                <w:szCs w:val="24"/>
                <w:color w:val="auto"/>
              </w:rPr>
              <w:t>16</w:t>
            </w:r>
          </w:p>
        </w:tc>
      </w:tr>
      <w:tr>
        <w:trPr>
          <w:trHeight w:val="413"/>
        </w:trPr>
        <w:tc>
          <w:tcPr>
            <w:tcW w:w="4080" w:type="dxa"/>
            <w:vAlign w:val="bottom"/>
            <w:tcBorders>
              <w:left w:val="single" w:sz="8" w:color="auto"/>
              <w:right w:val="single" w:sz="8" w:color="auto"/>
            </w:tcBorders>
          </w:tcPr>
          <w:p>
            <w:pPr>
              <w:ind w:left="280"/>
              <w:spacing w:after="0"/>
              <w:rPr>
                <w:sz w:val="20"/>
                <w:szCs w:val="20"/>
                <w:color w:val="auto"/>
              </w:rPr>
            </w:pPr>
            <w:r>
              <w:rPr>
                <w:rFonts w:ascii="Times New Roman" w:cs="Times New Roman" w:eastAsia="Times New Roman" w:hAnsi="Times New Roman"/>
                <w:sz w:val="24"/>
                <w:szCs w:val="24"/>
                <w:color w:val="auto"/>
              </w:rPr>
              <w:t>Lot Size @ `.900/- per share</w:t>
            </w:r>
          </w:p>
        </w:tc>
        <w:tc>
          <w:tcPr>
            <w:tcW w:w="1140" w:type="dxa"/>
            <w:vAlign w:val="bottom"/>
            <w:tcBorders>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shares</w:t>
            </w:r>
          </w:p>
        </w:tc>
        <w:tc>
          <w:tcPr>
            <w:tcW w:w="1020" w:type="dxa"/>
            <w:vAlign w:val="bottom"/>
            <w:tcBorders>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shares</w:t>
            </w:r>
          </w:p>
        </w:tc>
        <w:tc>
          <w:tcPr>
            <w:tcW w:w="1080" w:type="dxa"/>
            <w:vAlign w:val="bottom"/>
            <w:tcBorders>
              <w:right w:val="single" w:sz="8" w:color="auto"/>
            </w:tcBorders>
          </w:tcPr>
          <w:p>
            <w:pPr>
              <w:ind w:left="220"/>
              <w:spacing w:after="0"/>
              <w:rPr>
                <w:sz w:val="20"/>
                <w:szCs w:val="20"/>
                <w:color w:val="auto"/>
              </w:rPr>
            </w:pPr>
            <w:r>
              <w:rPr>
                <w:rFonts w:ascii="Times New Roman" w:cs="Times New Roman" w:eastAsia="Times New Roman" w:hAnsi="Times New Roman"/>
                <w:sz w:val="24"/>
                <w:szCs w:val="24"/>
                <w:color w:val="auto"/>
              </w:rPr>
              <w:t>shares</w:t>
            </w:r>
          </w:p>
        </w:tc>
        <w:tc>
          <w:tcPr>
            <w:tcW w:w="1160" w:type="dxa"/>
            <w:vAlign w:val="bottom"/>
            <w:tcBorders>
              <w:right w:val="single" w:sz="8" w:color="auto"/>
            </w:tcBorders>
          </w:tcPr>
          <w:p>
            <w:pPr>
              <w:ind w:left="280"/>
              <w:spacing w:after="0"/>
              <w:rPr>
                <w:sz w:val="20"/>
                <w:szCs w:val="20"/>
                <w:color w:val="auto"/>
              </w:rPr>
            </w:pPr>
            <w:r>
              <w:rPr>
                <w:rFonts w:ascii="Times New Roman" w:cs="Times New Roman" w:eastAsia="Times New Roman" w:hAnsi="Times New Roman"/>
                <w:sz w:val="24"/>
                <w:szCs w:val="24"/>
                <w:color w:val="auto"/>
              </w:rPr>
              <w:t>shares</w:t>
            </w:r>
          </w:p>
        </w:tc>
        <w:tc>
          <w:tcPr>
            <w:tcW w:w="1060" w:type="dxa"/>
            <w:vAlign w:val="bottom"/>
            <w:tcBorders>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shares</w:t>
            </w:r>
          </w:p>
        </w:tc>
      </w:tr>
      <w:tr>
        <w:trPr>
          <w:trHeight w:val="147"/>
        </w:trPr>
        <w:tc>
          <w:tcPr>
            <w:tcW w:w="4080" w:type="dxa"/>
            <w:vAlign w:val="bottom"/>
            <w:tcBorders>
              <w:left w:val="single" w:sz="8" w:color="auto"/>
              <w:bottom w:val="single" w:sz="8" w:color="auto"/>
              <w:right w:val="single" w:sz="8" w:color="auto"/>
            </w:tcBorders>
          </w:tcPr>
          <w:p>
            <w:pPr>
              <w:spacing w:after="0"/>
              <w:rPr>
                <w:sz w:val="12"/>
                <w:szCs w:val="12"/>
                <w:color w:val="auto"/>
              </w:rPr>
            </w:pPr>
          </w:p>
        </w:tc>
        <w:tc>
          <w:tcPr>
            <w:tcW w:w="1140" w:type="dxa"/>
            <w:vAlign w:val="bottom"/>
            <w:tcBorders>
              <w:bottom w:val="single" w:sz="8" w:color="auto"/>
              <w:right w:val="single" w:sz="8" w:color="auto"/>
            </w:tcBorders>
          </w:tcPr>
          <w:p>
            <w:pPr>
              <w:spacing w:after="0"/>
              <w:rPr>
                <w:sz w:val="12"/>
                <w:szCs w:val="12"/>
                <w:color w:val="auto"/>
              </w:rPr>
            </w:pPr>
          </w:p>
        </w:tc>
        <w:tc>
          <w:tcPr>
            <w:tcW w:w="1020" w:type="dxa"/>
            <w:vAlign w:val="bottom"/>
            <w:tcBorders>
              <w:bottom w:val="single" w:sz="8" w:color="auto"/>
              <w:right w:val="single" w:sz="8" w:color="auto"/>
            </w:tcBorders>
          </w:tcPr>
          <w:p>
            <w:pPr>
              <w:spacing w:after="0"/>
              <w:rPr>
                <w:sz w:val="12"/>
                <w:szCs w:val="12"/>
                <w:color w:val="auto"/>
              </w:rPr>
            </w:pPr>
          </w:p>
        </w:tc>
        <w:tc>
          <w:tcPr>
            <w:tcW w:w="1080" w:type="dxa"/>
            <w:vAlign w:val="bottom"/>
            <w:tcBorders>
              <w:bottom w:val="single" w:sz="8" w:color="auto"/>
              <w:right w:val="single" w:sz="8" w:color="auto"/>
            </w:tcBorders>
          </w:tcPr>
          <w:p>
            <w:pPr>
              <w:spacing w:after="0"/>
              <w:rPr>
                <w:sz w:val="12"/>
                <w:szCs w:val="12"/>
                <w:color w:val="auto"/>
              </w:rPr>
            </w:pPr>
          </w:p>
        </w:tc>
        <w:tc>
          <w:tcPr>
            <w:tcW w:w="1160" w:type="dxa"/>
            <w:vAlign w:val="bottom"/>
            <w:tcBorders>
              <w:bottom w:val="single" w:sz="8" w:color="auto"/>
              <w:right w:val="single" w:sz="8" w:color="auto"/>
            </w:tcBorders>
          </w:tcPr>
          <w:p>
            <w:pPr>
              <w:spacing w:after="0"/>
              <w:rPr>
                <w:sz w:val="12"/>
                <w:szCs w:val="12"/>
                <w:color w:val="auto"/>
              </w:rPr>
            </w:pPr>
          </w:p>
        </w:tc>
        <w:tc>
          <w:tcPr>
            <w:tcW w:w="1060" w:type="dxa"/>
            <w:vAlign w:val="bottom"/>
            <w:tcBorders>
              <w:bottom w:val="single" w:sz="8" w:color="auto"/>
              <w:right w:val="single" w:sz="8" w:color="auto"/>
            </w:tcBorders>
          </w:tcPr>
          <w:p>
            <w:pPr>
              <w:spacing w:after="0"/>
              <w:rPr>
                <w:sz w:val="12"/>
                <w:szCs w:val="12"/>
                <w:color w:val="auto"/>
              </w:rPr>
            </w:pPr>
          </w:p>
        </w:tc>
      </w:tr>
      <w:tr>
        <w:trPr>
          <w:trHeight w:val="258"/>
        </w:trPr>
        <w:tc>
          <w:tcPr>
            <w:tcW w:w="4080" w:type="dxa"/>
            <w:vAlign w:val="bottom"/>
            <w:tcBorders>
              <w:left w:val="single" w:sz="8" w:color="auto"/>
              <w:right w:val="single" w:sz="8" w:color="auto"/>
            </w:tcBorders>
          </w:tcPr>
          <w:p>
            <w:pPr>
              <w:ind w:left="280"/>
              <w:spacing w:after="0" w:line="258" w:lineRule="exact"/>
              <w:rPr>
                <w:sz w:val="20"/>
                <w:szCs w:val="20"/>
                <w:color w:val="auto"/>
              </w:rPr>
            </w:pPr>
            <w:r>
              <w:rPr>
                <w:rFonts w:ascii="Times New Roman" w:cs="Times New Roman" w:eastAsia="Times New Roman" w:hAnsi="Times New Roman"/>
                <w:sz w:val="24"/>
                <w:szCs w:val="24"/>
                <w:color w:val="auto"/>
              </w:rPr>
              <w:t>Application / Bid amount for 1 lots</w:t>
            </w:r>
          </w:p>
        </w:tc>
        <w:tc>
          <w:tcPr>
            <w:tcW w:w="1140" w:type="dxa"/>
            <w:vAlign w:val="bottom"/>
            <w:tcBorders>
              <w:right w:val="single" w:sz="8" w:color="auto"/>
            </w:tcBorders>
          </w:tcPr>
          <w:p>
            <w:pPr>
              <w:jc w:val="right"/>
              <w:ind w:right="20"/>
              <w:spacing w:after="0" w:line="258" w:lineRule="exact"/>
              <w:rPr>
                <w:sz w:val="20"/>
                <w:szCs w:val="20"/>
                <w:color w:val="auto"/>
              </w:rPr>
            </w:pPr>
            <w:r>
              <w:rPr>
                <w:rFonts w:ascii="Times New Roman" w:cs="Times New Roman" w:eastAsia="Times New Roman" w:hAnsi="Times New Roman"/>
                <w:sz w:val="24"/>
                <w:szCs w:val="24"/>
                <w:color w:val="auto"/>
              </w:rPr>
              <w:t>10800</w:t>
            </w:r>
          </w:p>
        </w:tc>
        <w:tc>
          <w:tcPr>
            <w:tcW w:w="102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11700</w:t>
            </w:r>
          </w:p>
        </w:tc>
        <w:tc>
          <w:tcPr>
            <w:tcW w:w="108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12600</w:t>
            </w:r>
          </w:p>
        </w:tc>
        <w:tc>
          <w:tcPr>
            <w:tcW w:w="116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13500</w:t>
            </w:r>
          </w:p>
        </w:tc>
        <w:tc>
          <w:tcPr>
            <w:tcW w:w="1060" w:type="dxa"/>
            <w:vAlign w:val="bottom"/>
            <w:tcBorders>
              <w:right w:val="single" w:sz="8" w:color="auto"/>
            </w:tcBorders>
          </w:tcPr>
          <w:p>
            <w:pPr>
              <w:jc w:val="right"/>
              <w:ind w:right="20"/>
              <w:spacing w:after="0" w:line="258" w:lineRule="exact"/>
              <w:rPr>
                <w:sz w:val="20"/>
                <w:szCs w:val="20"/>
                <w:color w:val="auto"/>
              </w:rPr>
            </w:pPr>
            <w:r>
              <w:rPr>
                <w:rFonts w:ascii="Times New Roman" w:cs="Times New Roman" w:eastAsia="Times New Roman" w:hAnsi="Times New Roman"/>
                <w:sz w:val="24"/>
                <w:szCs w:val="24"/>
                <w:color w:val="auto"/>
              </w:rPr>
              <w:t>14400</w:t>
            </w:r>
          </w:p>
        </w:tc>
      </w:tr>
      <w:tr>
        <w:trPr>
          <w:trHeight w:val="147"/>
        </w:trPr>
        <w:tc>
          <w:tcPr>
            <w:tcW w:w="4080" w:type="dxa"/>
            <w:vAlign w:val="bottom"/>
            <w:tcBorders>
              <w:left w:val="single" w:sz="8" w:color="auto"/>
              <w:bottom w:val="single" w:sz="8" w:color="auto"/>
              <w:right w:val="single" w:sz="8" w:color="auto"/>
            </w:tcBorders>
          </w:tcPr>
          <w:p>
            <w:pPr>
              <w:spacing w:after="0"/>
              <w:rPr>
                <w:sz w:val="12"/>
                <w:szCs w:val="12"/>
                <w:color w:val="auto"/>
              </w:rPr>
            </w:pPr>
          </w:p>
        </w:tc>
        <w:tc>
          <w:tcPr>
            <w:tcW w:w="1140" w:type="dxa"/>
            <w:vAlign w:val="bottom"/>
            <w:tcBorders>
              <w:bottom w:val="single" w:sz="8" w:color="auto"/>
              <w:right w:val="single" w:sz="8" w:color="auto"/>
            </w:tcBorders>
          </w:tcPr>
          <w:p>
            <w:pPr>
              <w:spacing w:after="0"/>
              <w:rPr>
                <w:sz w:val="12"/>
                <w:szCs w:val="12"/>
                <w:color w:val="auto"/>
              </w:rPr>
            </w:pPr>
          </w:p>
        </w:tc>
        <w:tc>
          <w:tcPr>
            <w:tcW w:w="1020" w:type="dxa"/>
            <w:vAlign w:val="bottom"/>
            <w:tcBorders>
              <w:bottom w:val="single" w:sz="8" w:color="auto"/>
              <w:right w:val="single" w:sz="8" w:color="auto"/>
            </w:tcBorders>
          </w:tcPr>
          <w:p>
            <w:pPr>
              <w:spacing w:after="0"/>
              <w:rPr>
                <w:sz w:val="12"/>
                <w:szCs w:val="12"/>
                <w:color w:val="auto"/>
              </w:rPr>
            </w:pPr>
          </w:p>
        </w:tc>
        <w:tc>
          <w:tcPr>
            <w:tcW w:w="1080" w:type="dxa"/>
            <w:vAlign w:val="bottom"/>
            <w:tcBorders>
              <w:bottom w:val="single" w:sz="8" w:color="auto"/>
              <w:right w:val="single" w:sz="8" w:color="auto"/>
            </w:tcBorders>
          </w:tcPr>
          <w:p>
            <w:pPr>
              <w:spacing w:after="0"/>
              <w:rPr>
                <w:sz w:val="12"/>
                <w:szCs w:val="12"/>
                <w:color w:val="auto"/>
              </w:rPr>
            </w:pPr>
          </w:p>
        </w:tc>
        <w:tc>
          <w:tcPr>
            <w:tcW w:w="1160" w:type="dxa"/>
            <w:vAlign w:val="bottom"/>
            <w:tcBorders>
              <w:bottom w:val="single" w:sz="8" w:color="auto"/>
              <w:right w:val="single" w:sz="8" w:color="auto"/>
            </w:tcBorders>
          </w:tcPr>
          <w:p>
            <w:pPr>
              <w:spacing w:after="0"/>
              <w:rPr>
                <w:sz w:val="12"/>
                <w:szCs w:val="12"/>
                <w:color w:val="auto"/>
              </w:rPr>
            </w:pPr>
          </w:p>
        </w:tc>
        <w:tc>
          <w:tcPr>
            <w:tcW w:w="1060" w:type="dxa"/>
            <w:vAlign w:val="bottom"/>
            <w:tcBorders>
              <w:bottom w:val="single" w:sz="8" w:color="auto"/>
              <w:right w:val="single" w:sz="8" w:color="auto"/>
            </w:tcBorders>
          </w:tcPr>
          <w:p>
            <w:pPr>
              <w:spacing w:after="0"/>
              <w:rPr>
                <w:sz w:val="12"/>
                <w:szCs w:val="12"/>
                <w:color w:val="auto"/>
              </w:rPr>
            </w:pPr>
          </w:p>
        </w:tc>
      </w:tr>
      <w:tr>
        <w:trPr>
          <w:trHeight w:val="258"/>
        </w:trPr>
        <w:tc>
          <w:tcPr>
            <w:tcW w:w="4080" w:type="dxa"/>
            <w:vAlign w:val="bottom"/>
            <w:tcBorders>
              <w:left w:val="single" w:sz="8" w:color="auto"/>
              <w:right w:val="single" w:sz="8" w:color="auto"/>
            </w:tcBorders>
          </w:tcPr>
          <w:p>
            <w:pPr>
              <w:ind w:left="280"/>
              <w:spacing w:after="0" w:line="258" w:lineRule="exact"/>
              <w:rPr>
                <w:sz w:val="20"/>
                <w:szCs w:val="20"/>
                <w:color w:val="auto"/>
              </w:rPr>
            </w:pPr>
            <w:r>
              <w:rPr>
                <w:rFonts w:ascii="Times New Roman" w:cs="Times New Roman" w:eastAsia="Times New Roman" w:hAnsi="Times New Roman"/>
                <w:sz w:val="24"/>
                <w:szCs w:val="24"/>
                <w:color w:val="auto"/>
              </w:rPr>
              <w:t>Application / Bid amount for 2 lots</w:t>
            </w:r>
          </w:p>
        </w:tc>
        <w:tc>
          <w:tcPr>
            <w:tcW w:w="1140" w:type="dxa"/>
            <w:vAlign w:val="bottom"/>
            <w:tcBorders>
              <w:right w:val="single" w:sz="8" w:color="auto"/>
            </w:tcBorders>
          </w:tcPr>
          <w:p>
            <w:pPr>
              <w:jc w:val="right"/>
              <w:ind w:right="20"/>
              <w:spacing w:after="0" w:line="258" w:lineRule="exact"/>
              <w:rPr>
                <w:sz w:val="20"/>
                <w:szCs w:val="20"/>
                <w:color w:val="auto"/>
              </w:rPr>
            </w:pPr>
            <w:r>
              <w:rPr>
                <w:rFonts w:ascii="Times New Roman" w:cs="Times New Roman" w:eastAsia="Times New Roman" w:hAnsi="Times New Roman"/>
                <w:sz w:val="24"/>
                <w:szCs w:val="24"/>
                <w:color w:val="auto"/>
              </w:rPr>
              <w:t>21600</w:t>
            </w:r>
          </w:p>
        </w:tc>
        <w:tc>
          <w:tcPr>
            <w:tcW w:w="102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23400</w:t>
            </w:r>
          </w:p>
        </w:tc>
        <w:tc>
          <w:tcPr>
            <w:tcW w:w="108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25200</w:t>
            </w:r>
          </w:p>
        </w:tc>
        <w:tc>
          <w:tcPr>
            <w:tcW w:w="116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27000</w:t>
            </w:r>
          </w:p>
        </w:tc>
        <w:tc>
          <w:tcPr>
            <w:tcW w:w="1060" w:type="dxa"/>
            <w:vAlign w:val="bottom"/>
            <w:tcBorders>
              <w:right w:val="single" w:sz="8" w:color="auto"/>
            </w:tcBorders>
          </w:tcPr>
          <w:p>
            <w:pPr>
              <w:jc w:val="right"/>
              <w:ind w:right="20"/>
              <w:spacing w:after="0" w:line="258" w:lineRule="exact"/>
              <w:rPr>
                <w:sz w:val="20"/>
                <w:szCs w:val="20"/>
                <w:color w:val="auto"/>
              </w:rPr>
            </w:pPr>
            <w:r>
              <w:rPr>
                <w:rFonts w:ascii="Times New Roman" w:cs="Times New Roman" w:eastAsia="Times New Roman" w:hAnsi="Times New Roman"/>
                <w:sz w:val="24"/>
                <w:szCs w:val="24"/>
                <w:color w:val="auto"/>
              </w:rPr>
              <w:t>28800</w:t>
            </w:r>
          </w:p>
        </w:tc>
      </w:tr>
      <w:tr>
        <w:trPr>
          <w:trHeight w:val="144"/>
        </w:trPr>
        <w:tc>
          <w:tcPr>
            <w:tcW w:w="4080" w:type="dxa"/>
            <w:vAlign w:val="bottom"/>
            <w:tcBorders>
              <w:left w:val="single" w:sz="8" w:color="auto"/>
              <w:bottom w:val="single" w:sz="8" w:color="auto"/>
              <w:right w:val="single" w:sz="8" w:color="auto"/>
            </w:tcBorders>
          </w:tcPr>
          <w:p>
            <w:pPr>
              <w:spacing w:after="0"/>
              <w:rPr>
                <w:sz w:val="12"/>
                <w:szCs w:val="12"/>
                <w:color w:val="auto"/>
              </w:rPr>
            </w:pPr>
          </w:p>
        </w:tc>
        <w:tc>
          <w:tcPr>
            <w:tcW w:w="1140" w:type="dxa"/>
            <w:vAlign w:val="bottom"/>
            <w:tcBorders>
              <w:bottom w:val="single" w:sz="8" w:color="auto"/>
              <w:right w:val="single" w:sz="8" w:color="auto"/>
            </w:tcBorders>
          </w:tcPr>
          <w:p>
            <w:pPr>
              <w:spacing w:after="0"/>
              <w:rPr>
                <w:sz w:val="12"/>
                <w:szCs w:val="12"/>
                <w:color w:val="auto"/>
              </w:rPr>
            </w:pPr>
          </w:p>
        </w:tc>
        <w:tc>
          <w:tcPr>
            <w:tcW w:w="1020" w:type="dxa"/>
            <w:vAlign w:val="bottom"/>
            <w:tcBorders>
              <w:bottom w:val="single" w:sz="8" w:color="auto"/>
              <w:right w:val="single" w:sz="8" w:color="auto"/>
            </w:tcBorders>
          </w:tcPr>
          <w:p>
            <w:pPr>
              <w:spacing w:after="0"/>
              <w:rPr>
                <w:sz w:val="12"/>
                <w:szCs w:val="12"/>
                <w:color w:val="auto"/>
              </w:rPr>
            </w:pPr>
          </w:p>
        </w:tc>
        <w:tc>
          <w:tcPr>
            <w:tcW w:w="1080" w:type="dxa"/>
            <w:vAlign w:val="bottom"/>
            <w:tcBorders>
              <w:bottom w:val="single" w:sz="8" w:color="auto"/>
              <w:right w:val="single" w:sz="8" w:color="auto"/>
            </w:tcBorders>
          </w:tcPr>
          <w:p>
            <w:pPr>
              <w:spacing w:after="0"/>
              <w:rPr>
                <w:sz w:val="12"/>
                <w:szCs w:val="12"/>
                <w:color w:val="auto"/>
              </w:rPr>
            </w:pPr>
          </w:p>
        </w:tc>
        <w:tc>
          <w:tcPr>
            <w:tcW w:w="1160" w:type="dxa"/>
            <w:vAlign w:val="bottom"/>
            <w:tcBorders>
              <w:bottom w:val="single" w:sz="8" w:color="auto"/>
              <w:right w:val="single" w:sz="8" w:color="auto"/>
            </w:tcBorders>
          </w:tcPr>
          <w:p>
            <w:pPr>
              <w:spacing w:after="0"/>
              <w:rPr>
                <w:sz w:val="12"/>
                <w:szCs w:val="12"/>
                <w:color w:val="auto"/>
              </w:rPr>
            </w:pPr>
          </w:p>
        </w:tc>
        <w:tc>
          <w:tcPr>
            <w:tcW w:w="1060" w:type="dxa"/>
            <w:vAlign w:val="bottom"/>
            <w:tcBorders>
              <w:bottom w:val="single" w:sz="8" w:color="auto"/>
              <w:right w:val="single" w:sz="8" w:color="auto"/>
            </w:tcBorders>
          </w:tcPr>
          <w:p>
            <w:pPr>
              <w:spacing w:after="0"/>
              <w:rPr>
                <w:sz w:val="12"/>
                <w:szCs w:val="12"/>
                <w:color w:val="auto"/>
              </w:rPr>
            </w:pPr>
          </w:p>
        </w:tc>
      </w:tr>
      <w:tr>
        <w:trPr>
          <w:trHeight w:val="258"/>
        </w:trPr>
        <w:tc>
          <w:tcPr>
            <w:tcW w:w="4080" w:type="dxa"/>
            <w:vAlign w:val="bottom"/>
            <w:tcBorders>
              <w:left w:val="single" w:sz="8" w:color="auto"/>
              <w:right w:val="single" w:sz="8" w:color="auto"/>
            </w:tcBorders>
          </w:tcPr>
          <w:p>
            <w:pPr>
              <w:ind w:left="280"/>
              <w:spacing w:after="0" w:line="258" w:lineRule="exact"/>
              <w:rPr>
                <w:sz w:val="20"/>
                <w:szCs w:val="20"/>
                <w:color w:val="auto"/>
              </w:rPr>
            </w:pPr>
            <w:r>
              <w:rPr>
                <w:rFonts w:ascii="Times New Roman" w:cs="Times New Roman" w:eastAsia="Times New Roman" w:hAnsi="Times New Roman"/>
                <w:sz w:val="24"/>
                <w:szCs w:val="24"/>
                <w:color w:val="auto"/>
              </w:rPr>
              <w:t>Application / Bid amount for 4 lots</w:t>
            </w:r>
          </w:p>
        </w:tc>
        <w:tc>
          <w:tcPr>
            <w:tcW w:w="1140" w:type="dxa"/>
            <w:vAlign w:val="bottom"/>
            <w:tcBorders>
              <w:right w:val="single" w:sz="8" w:color="auto"/>
            </w:tcBorders>
          </w:tcPr>
          <w:p>
            <w:pPr>
              <w:jc w:val="right"/>
              <w:ind w:right="20"/>
              <w:spacing w:after="0" w:line="258" w:lineRule="exact"/>
              <w:rPr>
                <w:sz w:val="20"/>
                <w:szCs w:val="20"/>
                <w:color w:val="auto"/>
              </w:rPr>
            </w:pPr>
            <w:r>
              <w:rPr>
                <w:rFonts w:ascii="Times New Roman" w:cs="Times New Roman" w:eastAsia="Times New Roman" w:hAnsi="Times New Roman"/>
                <w:sz w:val="24"/>
                <w:szCs w:val="24"/>
                <w:color w:val="auto"/>
              </w:rPr>
              <w:t>43200</w:t>
            </w:r>
          </w:p>
        </w:tc>
        <w:tc>
          <w:tcPr>
            <w:tcW w:w="102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46800</w:t>
            </w:r>
          </w:p>
        </w:tc>
        <w:tc>
          <w:tcPr>
            <w:tcW w:w="108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50400</w:t>
            </w:r>
          </w:p>
        </w:tc>
        <w:tc>
          <w:tcPr>
            <w:tcW w:w="116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54000</w:t>
            </w:r>
          </w:p>
        </w:tc>
        <w:tc>
          <w:tcPr>
            <w:tcW w:w="1060" w:type="dxa"/>
            <w:vAlign w:val="bottom"/>
            <w:tcBorders>
              <w:right w:val="single" w:sz="8" w:color="auto"/>
            </w:tcBorders>
          </w:tcPr>
          <w:p>
            <w:pPr>
              <w:jc w:val="right"/>
              <w:ind w:right="20"/>
              <w:spacing w:after="0" w:line="258" w:lineRule="exact"/>
              <w:rPr>
                <w:sz w:val="20"/>
                <w:szCs w:val="20"/>
                <w:color w:val="auto"/>
              </w:rPr>
            </w:pPr>
            <w:r>
              <w:rPr>
                <w:rFonts w:ascii="Times New Roman" w:cs="Times New Roman" w:eastAsia="Times New Roman" w:hAnsi="Times New Roman"/>
                <w:sz w:val="24"/>
                <w:szCs w:val="24"/>
                <w:color w:val="auto"/>
              </w:rPr>
              <w:t>57600</w:t>
            </w:r>
          </w:p>
        </w:tc>
      </w:tr>
      <w:tr>
        <w:trPr>
          <w:trHeight w:val="147"/>
        </w:trPr>
        <w:tc>
          <w:tcPr>
            <w:tcW w:w="4080" w:type="dxa"/>
            <w:vAlign w:val="bottom"/>
            <w:tcBorders>
              <w:left w:val="single" w:sz="8" w:color="auto"/>
              <w:bottom w:val="single" w:sz="8" w:color="auto"/>
              <w:right w:val="single" w:sz="8" w:color="auto"/>
            </w:tcBorders>
          </w:tcPr>
          <w:p>
            <w:pPr>
              <w:spacing w:after="0"/>
              <w:rPr>
                <w:sz w:val="12"/>
                <w:szCs w:val="12"/>
                <w:color w:val="auto"/>
              </w:rPr>
            </w:pPr>
          </w:p>
        </w:tc>
        <w:tc>
          <w:tcPr>
            <w:tcW w:w="1140" w:type="dxa"/>
            <w:vAlign w:val="bottom"/>
            <w:tcBorders>
              <w:bottom w:val="single" w:sz="8" w:color="auto"/>
              <w:right w:val="single" w:sz="8" w:color="auto"/>
            </w:tcBorders>
          </w:tcPr>
          <w:p>
            <w:pPr>
              <w:spacing w:after="0"/>
              <w:rPr>
                <w:sz w:val="12"/>
                <w:szCs w:val="12"/>
                <w:color w:val="auto"/>
              </w:rPr>
            </w:pPr>
          </w:p>
        </w:tc>
        <w:tc>
          <w:tcPr>
            <w:tcW w:w="1020" w:type="dxa"/>
            <w:vAlign w:val="bottom"/>
            <w:tcBorders>
              <w:bottom w:val="single" w:sz="8" w:color="auto"/>
              <w:right w:val="single" w:sz="8" w:color="auto"/>
            </w:tcBorders>
          </w:tcPr>
          <w:p>
            <w:pPr>
              <w:spacing w:after="0"/>
              <w:rPr>
                <w:sz w:val="12"/>
                <w:szCs w:val="12"/>
                <w:color w:val="auto"/>
              </w:rPr>
            </w:pPr>
          </w:p>
        </w:tc>
        <w:tc>
          <w:tcPr>
            <w:tcW w:w="1080" w:type="dxa"/>
            <w:vAlign w:val="bottom"/>
            <w:tcBorders>
              <w:bottom w:val="single" w:sz="8" w:color="auto"/>
              <w:right w:val="single" w:sz="8" w:color="auto"/>
            </w:tcBorders>
          </w:tcPr>
          <w:p>
            <w:pPr>
              <w:spacing w:after="0"/>
              <w:rPr>
                <w:sz w:val="12"/>
                <w:szCs w:val="12"/>
                <w:color w:val="auto"/>
              </w:rPr>
            </w:pPr>
          </w:p>
        </w:tc>
        <w:tc>
          <w:tcPr>
            <w:tcW w:w="1160" w:type="dxa"/>
            <w:vAlign w:val="bottom"/>
            <w:tcBorders>
              <w:bottom w:val="single" w:sz="8" w:color="auto"/>
              <w:right w:val="single" w:sz="8" w:color="auto"/>
            </w:tcBorders>
          </w:tcPr>
          <w:p>
            <w:pPr>
              <w:spacing w:after="0"/>
              <w:rPr>
                <w:sz w:val="12"/>
                <w:szCs w:val="12"/>
                <w:color w:val="auto"/>
              </w:rPr>
            </w:pPr>
          </w:p>
        </w:tc>
        <w:tc>
          <w:tcPr>
            <w:tcW w:w="1060" w:type="dxa"/>
            <w:vAlign w:val="bottom"/>
            <w:tcBorders>
              <w:bottom w:val="single" w:sz="8" w:color="auto"/>
              <w:right w:val="single" w:sz="8" w:color="auto"/>
            </w:tcBorders>
          </w:tcPr>
          <w:p>
            <w:pPr>
              <w:spacing w:after="0"/>
              <w:rPr>
                <w:sz w:val="12"/>
                <w:szCs w:val="12"/>
                <w:color w:val="auto"/>
              </w:rPr>
            </w:pPr>
          </w:p>
        </w:tc>
      </w:tr>
      <w:tr>
        <w:trPr>
          <w:trHeight w:val="258"/>
        </w:trPr>
        <w:tc>
          <w:tcPr>
            <w:tcW w:w="4080" w:type="dxa"/>
            <w:vAlign w:val="bottom"/>
            <w:tcBorders>
              <w:left w:val="single" w:sz="8" w:color="auto"/>
              <w:right w:val="single" w:sz="8" w:color="auto"/>
            </w:tcBorders>
          </w:tcPr>
          <w:p>
            <w:pPr>
              <w:ind w:left="280"/>
              <w:spacing w:after="0" w:line="258" w:lineRule="exact"/>
              <w:rPr>
                <w:sz w:val="20"/>
                <w:szCs w:val="20"/>
                <w:color w:val="auto"/>
              </w:rPr>
            </w:pPr>
            <w:r>
              <w:rPr>
                <w:rFonts w:ascii="Times New Roman" w:cs="Times New Roman" w:eastAsia="Times New Roman" w:hAnsi="Times New Roman"/>
                <w:sz w:val="24"/>
                <w:szCs w:val="24"/>
                <w:color w:val="auto"/>
              </w:rPr>
              <w:t>Application / Bid amount for 8 lots</w:t>
            </w:r>
          </w:p>
        </w:tc>
        <w:tc>
          <w:tcPr>
            <w:tcW w:w="1140" w:type="dxa"/>
            <w:vAlign w:val="bottom"/>
            <w:tcBorders>
              <w:right w:val="single" w:sz="8" w:color="auto"/>
            </w:tcBorders>
          </w:tcPr>
          <w:p>
            <w:pPr>
              <w:jc w:val="right"/>
              <w:ind w:right="20"/>
              <w:spacing w:after="0" w:line="258" w:lineRule="exact"/>
              <w:rPr>
                <w:sz w:val="20"/>
                <w:szCs w:val="20"/>
                <w:color w:val="auto"/>
              </w:rPr>
            </w:pPr>
            <w:r>
              <w:rPr>
                <w:rFonts w:ascii="Times New Roman" w:cs="Times New Roman" w:eastAsia="Times New Roman" w:hAnsi="Times New Roman"/>
                <w:sz w:val="24"/>
                <w:szCs w:val="24"/>
                <w:color w:val="auto"/>
              </w:rPr>
              <w:t>86400</w:t>
            </w:r>
          </w:p>
        </w:tc>
        <w:tc>
          <w:tcPr>
            <w:tcW w:w="102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93600</w:t>
            </w:r>
          </w:p>
        </w:tc>
        <w:tc>
          <w:tcPr>
            <w:tcW w:w="108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100800</w:t>
            </w:r>
          </w:p>
        </w:tc>
        <w:tc>
          <w:tcPr>
            <w:tcW w:w="116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108000</w:t>
            </w:r>
          </w:p>
        </w:tc>
        <w:tc>
          <w:tcPr>
            <w:tcW w:w="1060" w:type="dxa"/>
            <w:vAlign w:val="bottom"/>
            <w:tcBorders>
              <w:right w:val="single" w:sz="8" w:color="auto"/>
            </w:tcBorders>
          </w:tcPr>
          <w:p>
            <w:pPr>
              <w:jc w:val="right"/>
              <w:ind w:right="20"/>
              <w:spacing w:after="0" w:line="258" w:lineRule="exact"/>
              <w:rPr>
                <w:sz w:val="20"/>
                <w:szCs w:val="20"/>
                <w:color w:val="auto"/>
              </w:rPr>
            </w:pPr>
            <w:r>
              <w:rPr>
                <w:rFonts w:ascii="Times New Roman" w:cs="Times New Roman" w:eastAsia="Times New Roman" w:hAnsi="Times New Roman"/>
                <w:sz w:val="24"/>
                <w:szCs w:val="24"/>
                <w:color w:val="auto"/>
              </w:rPr>
              <w:t>115200</w:t>
            </w:r>
          </w:p>
        </w:tc>
      </w:tr>
      <w:tr>
        <w:trPr>
          <w:trHeight w:val="147"/>
        </w:trPr>
        <w:tc>
          <w:tcPr>
            <w:tcW w:w="4080" w:type="dxa"/>
            <w:vAlign w:val="bottom"/>
            <w:tcBorders>
              <w:left w:val="single" w:sz="8" w:color="auto"/>
              <w:bottom w:val="single" w:sz="8" w:color="auto"/>
              <w:right w:val="single" w:sz="8" w:color="auto"/>
            </w:tcBorders>
          </w:tcPr>
          <w:p>
            <w:pPr>
              <w:spacing w:after="0"/>
              <w:rPr>
                <w:sz w:val="12"/>
                <w:szCs w:val="12"/>
                <w:color w:val="auto"/>
              </w:rPr>
            </w:pPr>
          </w:p>
        </w:tc>
        <w:tc>
          <w:tcPr>
            <w:tcW w:w="1140" w:type="dxa"/>
            <w:vAlign w:val="bottom"/>
            <w:tcBorders>
              <w:bottom w:val="single" w:sz="8" w:color="auto"/>
              <w:right w:val="single" w:sz="8" w:color="auto"/>
            </w:tcBorders>
          </w:tcPr>
          <w:p>
            <w:pPr>
              <w:spacing w:after="0"/>
              <w:rPr>
                <w:sz w:val="12"/>
                <w:szCs w:val="12"/>
                <w:color w:val="auto"/>
              </w:rPr>
            </w:pPr>
          </w:p>
        </w:tc>
        <w:tc>
          <w:tcPr>
            <w:tcW w:w="1020" w:type="dxa"/>
            <w:vAlign w:val="bottom"/>
            <w:tcBorders>
              <w:bottom w:val="single" w:sz="8" w:color="auto"/>
              <w:right w:val="single" w:sz="8" w:color="auto"/>
            </w:tcBorders>
          </w:tcPr>
          <w:p>
            <w:pPr>
              <w:spacing w:after="0"/>
              <w:rPr>
                <w:sz w:val="12"/>
                <w:szCs w:val="12"/>
                <w:color w:val="auto"/>
              </w:rPr>
            </w:pPr>
          </w:p>
        </w:tc>
        <w:tc>
          <w:tcPr>
            <w:tcW w:w="1080" w:type="dxa"/>
            <w:vAlign w:val="bottom"/>
            <w:tcBorders>
              <w:bottom w:val="single" w:sz="8" w:color="auto"/>
              <w:right w:val="single" w:sz="8" w:color="auto"/>
            </w:tcBorders>
          </w:tcPr>
          <w:p>
            <w:pPr>
              <w:spacing w:after="0"/>
              <w:rPr>
                <w:sz w:val="12"/>
                <w:szCs w:val="12"/>
                <w:color w:val="auto"/>
              </w:rPr>
            </w:pPr>
          </w:p>
        </w:tc>
        <w:tc>
          <w:tcPr>
            <w:tcW w:w="1160" w:type="dxa"/>
            <w:vAlign w:val="bottom"/>
            <w:tcBorders>
              <w:bottom w:val="single" w:sz="8" w:color="auto"/>
              <w:right w:val="single" w:sz="8" w:color="auto"/>
            </w:tcBorders>
          </w:tcPr>
          <w:p>
            <w:pPr>
              <w:spacing w:after="0"/>
              <w:rPr>
                <w:sz w:val="12"/>
                <w:szCs w:val="12"/>
                <w:color w:val="auto"/>
              </w:rPr>
            </w:pPr>
          </w:p>
        </w:tc>
        <w:tc>
          <w:tcPr>
            <w:tcW w:w="1060" w:type="dxa"/>
            <w:vAlign w:val="bottom"/>
            <w:tcBorders>
              <w:bottom w:val="single" w:sz="8" w:color="auto"/>
              <w:right w:val="single" w:sz="8" w:color="auto"/>
            </w:tcBorders>
          </w:tcPr>
          <w:p>
            <w:pPr>
              <w:spacing w:after="0"/>
              <w:rPr>
                <w:sz w:val="12"/>
                <w:szCs w:val="12"/>
                <w:color w:val="auto"/>
              </w:rPr>
            </w:pPr>
          </w:p>
        </w:tc>
      </w:tr>
      <w:tr>
        <w:trPr>
          <w:trHeight w:val="258"/>
        </w:trPr>
        <w:tc>
          <w:tcPr>
            <w:tcW w:w="4080" w:type="dxa"/>
            <w:vAlign w:val="bottom"/>
            <w:tcBorders>
              <w:left w:val="single" w:sz="8" w:color="auto"/>
              <w:right w:val="single" w:sz="8" w:color="auto"/>
            </w:tcBorders>
          </w:tcPr>
          <w:p>
            <w:pPr>
              <w:ind w:left="280"/>
              <w:spacing w:after="0" w:line="258" w:lineRule="exact"/>
              <w:rPr>
                <w:sz w:val="20"/>
                <w:szCs w:val="20"/>
                <w:color w:val="auto"/>
              </w:rPr>
            </w:pPr>
            <w:r>
              <w:rPr>
                <w:rFonts w:ascii="Times New Roman" w:cs="Times New Roman" w:eastAsia="Times New Roman" w:hAnsi="Times New Roman"/>
                <w:sz w:val="24"/>
                <w:szCs w:val="24"/>
                <w:color w:val="auto"/>
              </w:rPr>
              <w:t>Application / Bid amount for 16 lots</w:t>
            </w:r>
          </w:p>
        </w:tc>
        <w:tc>
          <w:tcPr>
            <w:tcW w:w="1140" w:type="dxa"/>
            <w:vAlign w:val="bottom"/>
            <w:tcBorders>
              <w:right w:val="single" w:sz="8" w:color="auto"/>
            </w:tcBorders>
          </w:tcPr>
          <w:p>
            <w:pPr>
              <w:jc w:val="right"/>
              <w:ind w:right="20"/>
              <w:spacing w:after="0" w:line="258" w:lineRule="exact"/>
              <w:rPr>
                <w:sz w:val="20"/>
                <w:szCs w:val="20"/>
                <w:color w:val="auto"/>
              </w:rPr>
            </w:pPr>
            <w:r>
              <w:rPr>
                <w:rFonts w:ascii="Times New Roman" w:cs="Times New Roman" w:eastAsia="Times New Roman" w:hAnsi="Times New Roman"/>
                <w:sz w:val="24"/>
                <w:szCs w:val="24"/>
                <w:color w:val="auto"/>
              </w:rPr>
              <w:t>172800</w:t>
            </w:r>
          </w:p>
        </w:tc>
        <w:tc>
          <w:tcPr>
            <w:tcW w:w="102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187200</w:t>
            </w:r>
          </w:p>
        </w:tc>
        <w:tc>
          <w:tcPr>
            <w:tcW w:w="108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w:t>
            </w:r>
          </w:p>
        </w:tc>
        <w:tc>
          <w:tcPr>
            <w:tcW w:w="116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w:t>
            </w:r>
          </w:p>
        </w:tc>
        <w:tc>
          <w:tcPr>
            <w:tcW w:w="1060" w:type="dxa"/>
            <w:vAlign w:val="bottom"/>
            <w:tcBorders>
              <w:right w:val="single" w:sz="8" w:color="auto"/>
            </w:tcBorders>
          </w:tcPr>
          <w:p>
            <w:pPr>
              <w:jc w:val="right"/>
              <w:ind w:right="20"/>
              <w:spacing w:after="0" w:line="258" w:lineRule="exact"/>
              <w:rPr>
                <w:sz w:val="20"/>
                <w:szCs w:val="20"/>
                <w:color w:val="auto"/>
              </w:rPr>
            </w:pPr>
            <w:r>
              <w:rPr>
                <w:rFonts w:ascii="Times New Roman" w:cs="Times New Roman" w:eastAsia="Times New Roman" w:hAnsi="Times New Roman"/>
                <w:sz w:val="24"/>
                <w:szCs w:val="24"/>
                <w:color w:val="auto"/>
              </w:rPr>
              <w:t>--</w:t>
            </w:r>
          </w:p>
        </w:tc>
      </w:tr>
      <w:tr>
        <w:trPr>
          <w:trHeight w:val="145"/>
        </w:trPr>
        <w:tc>
          <w:tcPr>
            <w:tcW w:w="4080" w:type="dxa"/>
            <w:vAlign w:val="bottom"/>
            <w:tcBorders>
              <w:left w:val="single" w:sz="8" w:color="auto"/>
              <w:bottom w:val="single" w:sz="8" w:color="auto"/>
              <w:right w:val="single" w:sz="8" w:color="auto"/>
            </w:tcBorders>
          </w:tcPr>
          <w:p>
            <w:pPr>
              <w:spacing w:after="0"/>
              <w:rPr>
                <w:sz w:val="12"/>
                <w:szCs w:val="12"/>
                <w:color w:val="auto"/>
              </w:rPr>
            </w:pPr>
          </w:p>
        </w:tc>
        <w:tc>
          <w:tcPr>
            <w:tcW w:w="1140" w:type="dxa"/>
            <w:vAlign w:val="bottom"/>
            <w:tcBorders>
              <w:bottom w:val="single" w:sz="8" w:color="auto"/>
              <w:right w:val="single" w:sz="8" w:color="auto"/>
            </w:tcBorders>
          </w:tcPr>
          <w:p>
            <w:pPr>
              <w:spacing w:after="0"/>
              <w:rPr>
                <w:sz w:val="12"/>
                <w:szCs w:val="12"/>
                <w:color w:val="auto"/>
              </w:rPr>
            </w:pPr>
          </w:p>
        </w:tc>
        <w:tc>
          <w:tcPr>
            <w:tcW w:w="1020" w:type="dxa"/>
            <w:vAlign w:val="bottom"/>
            <w:tcBorders>
              <w:bottom w:val="single" w:sz="8" w:color="auto"/>
              <w:right w:val="single" w:sz="8" w:color="auto"/>
            </w:tcBorders>
          </w:tcPr>
          <w:p>
            <w:pPr>
              <w:spacing w:after="0"/>
              <w:rPr>
                <w:sz w:val="12"/>
                <w:szCs w:val="12"/>
                <w:color w:val="auto"/>
              </w:rPr>
            </w:pPr>
          </w:p>
        </w:tc>
        <w:tc>
          <w:tcPr>
            <w:tcW w:w="1080" w:type="dxa"/>
            <w:vAlign w:val="bottom"/>
            <w:tcBorders>
              <w:bottom w:val="single" w:sz="8" w:color="auto"/>
              <w:right w:val="single" w:sz="8" w:color="auto"/>
            </w:tcBorders>
          </w:tcPr>
          <w:p>
            <w:pPr>
              <w:spacing w:after="0"/>
              <w:rPr>
                <w:sz w:val="12"/>
                <w:szCs w:val="12"/>
                <w:color w:val="auto"/>
              </w:rPr>
            </w:pPr>
          </w:p>
        </w:tc>
        <w:tc>
          <w:tcPr>
            <w:tcW w:w="1160" w:type="dxa"/>
            <w:vAlign w:val="bottom"/>
            <w:tcBorders>
              <w:bottom w:val="single" w:sz="8" w:color="auto"/>
              <w:right w:val="single" w:sz="8" w:color="auto"/>
            </w:tcBorders>
          </w:tcPr>
          <w:p>
            <w:pPr>
              <w:spacing w:after="0"/>
              <w:rPr>
                <w:sz w:val="12"/>
                <w:szCs w:val="12"/>
                <w:color w:val="auto"/>
              </w:rPr>
            </w:pPr>
          </w:p>
        </w:tc>
        <w:tc>
          <w:tcPr>
            <w:tcW w:w="1060" w:type="dxa"/>
            <w:vAlign w:val="bottom"/>
            <w:tcBorders>
              <w:bottom w:val="single" w:sz="8" w:color="auto"/>
              <w:right w:val="single" w:sz="8" w:color="auto"/>
            </w:tcBorders>
          </w:tcPr>
          <w:p>
            <w:pPr>
              <w:spacing w:after="0"/>
              <w:rPr>
                <w:sz w:val="12"/>
                <w:szCs w:val="12"/>
                <w:color w:val="auto"/>
              </w:rPr>
            </w:pPr>
          </w:p>
        </w:tc>
      </w:tr>
      <w:tr>
        <w:trPr>
          <w:trHeight w:val="258"/>
        </w:trPr>
        <w:tc>
          <w:tcPr>
            <w:tcW w:w="4080" w:type="dxa"/>
            <w:vAlign w:val="bottom"/>
            <w:tcBorders>
              <w:left w:val="single" w:sz="8" w:color="auto"/>
              <w:right w:val="single" w:sz="8" w:color="auto"/>
            </w:tcBorders>
          </w:tcPr>
          <w:p>
            <w:pPr>
              <w:ind w:left="280"/>
              <w:spacing w:after="0" w:line="258" w:lineRule="exact"/>
              <w:rPr>
                <w:sz w:val="20"/>
                <w:szCs w:val="20"/>
                <w:color w:val="auto"/>
              </w:rPr>
            </w:pPr>
            <w:r>
              <w:rPr>
                <w:rFonts w:ascii="Times New Roman" w:cs="Times New Roman" w:eastAsia="Times New Roman" w:hAnsi="Times New Roman"/>
                <w:sz w:val="24"/>
                <w:szCs w:val="24"/>
                <w:color w:val="auto"/>
              </w:rPr>
              <w:t>Application / Bid amount for 18 lots</w:t>
            </w:r>
          </w:p>
        </w:tc>
        <w:tc>
          <w:tcPr>
            <w:tcW w:w="1140" w:type="dxa"/>
            <w:vAlign w:val="bottom"/>
            <w:tcBorders>
              <w:right w:val="single" w:sz="8" w:color="auto"/>
            </w:tcBorders>
          </w:tcPr>
          <w:p>
            <w:pPr>
              <w:jc w:val="right"/>
              <w:ind w:right="20"/>
              <w:spacing w:after="0" w:line="258" w:lineRule="exact"/>
              <w:rPr>
                <w:sz w:val="20"/>
                <w:szCs w:val="20"/>
                <w:color w:val="auto"/>
              </w:rPr>
            </w:pPr>
            <w:r>
              <w:rPr>
                <w:rFonts w:ascii="Times New Roman" w:cs="Times New Roman" w:eastAsia="Times New Roman" w:hAnsi="Times New Roman"/>
                <w:sz w:val="24"/>
                <w:szCs w:val="24"/>
                <w:color w:val="auto"/>
              </w:rPr>
              <w:t>194400</w:t>
            </w:r>
          </w:p>
        </w:tc>
        <w:tc>
          <w:tcPr>
            <w:tcW w:w="102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w:t>
            </w:r>
          </w:p>
        </w:tc>
        <w:tc>
          <w:tcPr>
            <w:tcW w:w="108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w:t>
            </w:r>
          </w:p>
        </w:tc>
        <w:tc>
          <w:tcPr>
            <w:tcW w:w="1160" w:type="dxa"/>
            <w:vAlign w:val="bottom"/>
            <w:tcBorders>
              <w:right w:val="single" w:sz="8" w:color="auto"/>
            </w:tcBorders>
          </w:tcPr>
          <w:p>
            <w:pPr>
              <w:jc w:val="right"/>
              <w:spacing w:after="0" w:line="258" w:lineRule="exact"/>
              <w:rPr>
                <w:sz w:val="20"/>
                <w:szCs w:val="20"/>
                <w:color w:val="auto"/>
              </w:rPr>
            </w:pPr>
            <w:r>
              <w:rPr>
                <w:rFonts w:ascii="Times New Roman" w:cs="Times New Roman" w:eastAsia="Times New Roman" w:hAnsi="Times New Roman"/>
                <w:sz w:val="24"/>
                <w:szCs w:val="24"/>
                <w:color w:val="auto"/>
              </w:rPr>
              <w:t>--</w:t>
            </w:r>
          </w:p>
        </w:tc>
        <w:tc>
          <w:tcPr>
            <w:tcW w:w="1060" w:type="dxa"/>
            <w:vAlign w:val="bottom"/>
            <w:tcBorders>
              <w:right w:val="single" w:sz="8" w:color="auto"/>
            </w:tcBorders>
          </w:tcPr>
          <w:p>
            <w:pPr>
              <w:jc w:val="right"/>
              <w:ind w:right="20"/>
              <w:spacing w:after="0" w:line="258" w:lineRule="exact"/>
              <w:rPr>
                <w:sz w:val="20"/>
                <w:szCs w:val="20"/>
                <w:color w:val="auto"/>
              </w:rPr>
            </w:pPr>
            <w:r>
              <w:rPr>
                <w:rFonts w:ascii="Times New Roman" w:cs="Times New Roman" w:eastAsia="Times New Roman" w:hAnsi="Times New Roman"/>
                <w:sz w:val="24"/>
                <w:szCs w:val="24"/>
                <w:color w:val="auto"/>
              </w:rPr>
              <w:t>--</w:t>
            </w:r>
          </w:p>
        </w:tc>
      </w:tr>
      <w:tr>
        <w:trPr>
          <w:trHeight w:val="147"/>
        </w:trPr>
        <w:tc>
          <w:tcPr>
            <w:tcW w:w="4080" w:type="dxa"/>
            <w:vAlign w:val="bottom"/>
            <w:tcBorders>
              <w:left w:val="single" w:sz="8" w:color="auto"/>
              <w:bottom w:val="single" w:sz="8" w:color="auto"/>
              <w:right w:val="single" w:sz="8" w:color="auto"/>
            </w:tcBorders>
          </w:tcPr>
          <w:p>
            <w:pPr>
              <w:spacing w:after="0"/>
              <w:rPr>
                <w:sz w:val="12"/>
                <w:szCs w:val="12"/>
                <w:color w:val="auto"/>
              </w:rPr>
            </w:pPr>
          </w:p>
        </w:tc>
        <w:tc>
          <w:tcPr>
            <w:tcW w:w="1140" w:type="dxa"/>
            <w:vAlign w:val="bottom"/>
            <w:tcBorders>
              <w:bottom w:val="single" w:sz="8" w:color="auto"/>
              <w:right w:val="single" w:sz="8" w:color="auto"/>
            </w:tcBorders>
          </w:tcPr>
          <w:p>
            <w:pPr>
              <w:spacing w:after="0"/>
              <w:rPr>
                <w:sz w:val="12"/>
                <w:szCs w:val="12"/>
                <w:color w:val="auto"/>
              </w:rPr>
            </w:pPr>
          </w:p>
        </w:tc>
        <w:tc>
          <w:tcPr>
            <w:tcW w:w="1020" w:type="dxa"/>
            <w:vAlign w:val="bottom"/>
            <w:tcBorders>
              <w:bottom w:val="single" w:sz="8" w:color="auto"/>
              <w:right w:val="single" w:sz="8" w:color="auto"/>
            </w:tcBorders>
          </w:tcPr>
          <w:p>
            <w:pPr>
              <w:spacing w:after="0"/>
              <w:rPr>
                <w:sz w:val="12"/>
                <w:szCs w:val="12"/>
                <w:color w:val="auto"/>
              </w:rPr>
            </w:pPr>
          </w:p>
        </w:tc>
        <w:tc>
          <w:tcPr>
            <w:tcW w:w="1080" w:type="dxa"/>
            <w:vAlign w:val="bottom"/>
            <w:tcBorders>
              <w:bottom w:val="single" w:sz="8" w:color="auto"/>
              <w:right w:val="single" w:sz="8" w:color="auto"/>
            </w:tcBorders>
          </w:tcPr>
          <w:p>
            <w:pPr>
              <w:spacing w:after="0"/>
              <w:rPr>
                <w:sz w:val="12"/>
                <w:szCs w:val="12"/>
                <w:color w:val="auto"/>
              </w:rPr>
            </w:pPr>
          </w:p>
        </w:tc>
        <w:tc>
          <w:tcPr>
            <w:tcW w:w="1160" w:type="dxa"/>
            <w:vAlign w:val="bottom"/>
            <w:tcBorders>
              <w:bottom w:val="single" w:sz="8" w:color="auto"/>
              <w:right w:val="single" w:sz="8" w:color="auto"/>
            </w:tcBorders>
          </w:tcPr>
          <w:p>
            <w:pPr>
              <w:spacing w:after="0"/>
              <w:rPr>
                <w:sz w:val="12"/>
                <w:szCs w:val="12"/>
                <w:color w:val="auto"/>
              </w:rPr>
            </w:pPr>
          </w:p>
        </w:tc>
        <w:tc>
          <w:tcPr>
            <w:tcW w:w="1060" w:type="dxa"/>
            <w:vAlign w:val="bottom"/>
            <w:tcBorders>
              <w:bottom w:val="single" w:sz="8" w:color="auto"/>
              <w:right w:val="single" w:sz="8" w:color="auto"/>
            </w:tcBorders>
          </w:tcPr>
          <w:p>
            <w:pPr>
              <w:spacing w:after="0"/>
              <w:rPr>
                <w:sz w:val="12"/>
                <w:szCs w:val="12"/>
                <w:color w:val="auto"/>
              </w:rPr>
            </w:pPr>
          </w:p>
        </w:tc>
      </w:tr>
    </w:tbl>
    <w:p>
      <w:pPr>
        <w:spacing w:after="0" w:line="200" w:lineRule="exact"/>
        <w:rPr>
          <w:sz w:val="20"/>
          <w:szCs w:val="20"/>
          <w:color w:val="auto"/>
        </w:rPr>
      </w:pPr>
    </w:p>
    <w:p>
      <w:pPr>
        <w:spacing w:after="0" w:line="208"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4"/>
          <w:szCs w:val="24"/>
          <w:color w:val="auto"/>
        </w:rPr>
        <w:t>The options given above are only illustrative and not exhaustive.</w:t>
      </w:r>
    </w:p>
    <w:p>
      <w:pPr>
        <w:spacing w:after="0" w:line="200" w:lineRule="exact"/>
        <w:rPr>
          <w:sz w:val="20"/>
          <w:szCs w:val="20"/>
          <w:color w:val="auto"/>
        </w:rPr>
      </w:pPr>
    </w:p>
    <w:p>
      <w:pPr>
        <w:spacing w:after="0" w:line="39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auto"/>
        </w:rPr>
        <w:t>405</w:t>
      </w:r>
    </w:p>
    <w:p>
      <w:pPr>
        <w:sectPr>
          <w:pgSz w:w="11900" w:h="16836" w:orient="portrait"/>
          <w:cols w:equalWidth="0" w:num="1">
            <w:col w:w="9700"/>
          </w:cols>
          <w:pgMar w:left="1040" w:top="1132" w:right="1164" w:bottom="103" w:gutter="0" w:footer="0" w:header="0"/>
        </w:sectPr>
      </w:pPr>
    </w:p>
    <w:bookmarkStart w:id="405" w:name="page406"/>
    <w:bookmarkEnd w:id="405"/>
    <w:p>
      <w:pPr>
        <w:spacing w:after="0" w:line="130" w:lineRule="exact"/>
        <w:rPr>
          <w:sz w:val="20"/>
          <w:szCs w:val="20"/>
          <w:color w:val="auto"/>
        </w:rPr>
      </w:pPr>
    </w:p>
    <w:p>
      <w:pPr>
        <w:ind w:left="8" w:right="240"/>
        <w:spacing w:after="0" w:line="375" w:lineRule="auto"/>
        <w:rPr>
          <w:sz w:val="20"/>
          <w:szCs w:val="20"/>
          <w:color w:val="auto"/>
        </w:rPr>
      </w:pPr>
      <w:r>
        <w:rPr>
          <w:rFonts w:ascii="Times New Roman" w:cs="Times New Roman" w:eastAsia="Times New Roman" w:hAnsi="Times New Roman"/>
          <w:sz w:val="23"/>
          <w:szCs w:val="23"/>
          <w:color w:val="auto"/>
        </w:rPr>
        <w:t>Where the issuer in consultation with the lead merchant banker decides to fix the minimum application / bid size as 14 (Option III), necessary disclosures to the effect that the applicant can make an application for 14 shares and in multiples thereof shall be made in the offer document.]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jc w:val="center"/>
        <w:ind w:left="1160" w:right="900"/>
        <w:spacing w:after="0" w:line="348" w:lineRule="auto"/>
        <w:rPr>
          <w:sz w:val="20"/>
          <w:szCs w:val="20"/>
          <w:color w:val="auto"/>
        </w:rPr>
      </w:pPr>
      <w:r>
        <w:rPr>
          <w:rFonts w:ascii="Times New Roman" w:cs="Times New Roman" w:eastAsia="Times New Roman" w:hAnsi="Times New Roman"/>
          <w:sz w:val="24"/>
          <w:szCs w:val="24"/>
          <w:b w:val="1"/>
          <w:bCs w:val="1"/>
          <w:color w:val="auto"/>
        </w:rPr>
        <w:t>SCHEDULE XV - FORMAT OF REPORT FOR GREEN SHOE OPTION [See regulation 57(10), 153(10) and 279(10)]</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ind w:left="568" w:hanging="568"/>
        <w:spacing w:after="0"/>
        <w:tabs>
          <w:tab w:leader="none" w:pos="568" w:val="left"/>
        </w:tabs>
        <w:numPr>
          <w:ilvl w:val="0"/>
          <w:numId w:val="12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 of the issuer:</w:t>
      </w:r>
    </w:p>
    <w:p>
      <w:pPr>
        <w:spacing w:after="0" w:line="136"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2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 of the Stabilising Agent (Registration No. as a merchant banker with SEBI):</w:t>
      </w:r>
    </w:p>
    <w:p>
      <w:pPr>
        <w:spacing w:after="0" w:line="139"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2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Issue size (No. of securities):</w:t>
      </w:r>
    </w:p>
    <w:p>
      <w:pPr>
        <w:spacing w:after="0" w:line="136"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2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Issue opened on:</w:t>
      </w:r>
    </w:p>
    <w:p>
      <w:pPr>
        <w:spacing w:after="0" w:line="139"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2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Issue closed on:</w:t>
      </w:r>
    </w:p>
    <w:p>
      <w:pPr>
        <w:spacing w:after="0" w:line="136"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2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Over-allotment in the issue (per cent):</w:t>
      </w:r>
    </w:p>
    <w:p>
      <w:pPr>
        <w:spacing w:after="0" w:line="139"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2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Date of commencement of trading:</w:t>
      </w:r>
    </w:p>
    <w:p>
      <w:pPr>
        <w:spacing w:after="0" w:line="136"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2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Amount in the ‘Green Shoe Option Bank Account’ (in rupees):</w:t>
      </w:r>
    </w:p>
    <w:p>
      <w:pPr>
        <w:spacing w:after="0" w:line="139"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2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 of the promoter and number of the shares borrowed:</w:t>
      </w:r>
    </w:p>
    <w:p>
      <w:pPr>
        <w:spacing w:after="0" w:line="136"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2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Date on which the stabilisation period ended:</w:t>
      </w:r>
    </w:p>
    <w:p>
      <w:pPr>
        <w:spacing w:after="0" w:line="139"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2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Number of shares bought during the stabilization period:</w:t>
      </w:r>
    </w:p>
    <w:p>
      <w:pPr>
        <w:spacing w:after="0" w:line="136"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2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Date on which the issuer allotted further shares to the extent of the shortfall:</w:t>
      </w:r>
    </w:p>
    <w:p>
      <w:pPr>
        <w:spacing w:after="0" w:line="151" w:lineRule="exact"/>
        <w:rPr>
          <w:rFonts w:ascii="Times New Roman" w:cs="Times New Roman" w:eastAsia="Times New Roman" w:hAnsi="Times New Roman"/>
          <w:sz w:val="24"/>
          <w:szCs w:val="24"/>
          <w:color w:val="auto"/>
        </w:rPr>
      </w:pPr>
    </w:p>
    <w:p>
      <w:pPr>
        <w:ind w:left="568" w:hanging="568"/>
        <w:spacing w:after="0" w:line="348" w:lineRule="auto"/>
        <w:tabs>
          <w:tab w:leader="none" w:pos="568" w:val="left"/>
        </w:tabs>
        <w:numPr>
          <w:ilvl w:val="0"/>
          <w:numId w:val="12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Date when the shares in the Green Shoe Option Demat Account were returned to the promoter(s):</w:t>
      </w:r>
    </w:p>
    <w:p>
      <w:pPr>
        <w:spacing w:after="0" w:line="16"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2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Date when the money in the Green Shoe Option Bank Account was remitted to the issuer:</w:t>
      </w:r>
    </w:p>
    <w:p>
      <w:pPr>
        <w:spacing w:after="0" w:line="149" w:lineRule="exact"/>
        <w:rPr>
          <w:rFonts w:ascii="Times New Roman" w:cs="Times New Roman" w:eastAsia="Times New Roman" w:hAnsi="Times New Roman"/>
          <w:sz w:val="24"/>
          <w:szCs w:val="24"/>
          <w:color w:val="auto"/>
        </w:rPr>
      </w:pPr>
    </w:p>
    <w:p>
      <w:pPr>
        <w:ind w:left="568" w:hanging="568"/>
        <w:spacing w:after="0" w:line="350" w:lineRule="auto"/>
        <w:tabs>
          <w:tab w:leader="none" w:pos="568" w:val="left"/>
        </w:tabs>
        <w:numPr>
          <w:ilvl w:val="0"/>
          <w:numId w:val="12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the Depository account (Special account for Green Shoe Option securities) where shares purchased from the market were kept inter-alia the following:</w:t>
      </w:r>
    </w:p>
    <w:p>
      <w:pPr>
        <w:spacing w:after="0" w:line="10"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2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Depository Participant</w:t>
      </w:r>
    </w:p>
    <w:p>
      <w:pPr>
        <w:spacing w:after="0" w:line="139"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2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Account No.</w:t>
      </w:r>
    </w:p>
    <w:p>
      <w:pPr>
        <w:spacing w:after="0" w:line="136"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2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Number of shares purchased, date wise.</w:t>
      </w:r>
    </w:p>
    <w:p>
      <w:pPr>
        <w:spacing w:after="0" w:line="139"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2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Number of shares taken out, date wise.</w:t>
      </w:r>
    </w:p>
    <w:p>
      <w:pPr>
        <w:spacing w:after="0" w:line="137" w:lineRule="exact"/>
        <w:rPr>
          <w:rFonts w:ascii="Times New Roman" w:cs="Times New Roman" w:eastAsia="Times New Roman" w:hAnsi="Times New Roman"/>
          <w:sz w:val="24"/>
          <w:szCs w:val="24"/>
          <w:color w:val="auto"/>
        </w:rPr>
      </w:pPr>
    </w:p>
    <w:p>
      <w:pPr>
        <w:ind w:left="568" w:hanging="568"/>
        <w:spacing w:after="0"/>
        <w:tabs>
          <w:tab w:leader="none" w:pos="568" w:val="left"/>
        </w:tabs>
        <w:numPr>
          <w:ilvl w:val="0"/>
          <w:numId w:val="121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Details of amount transferred to the Investor Protection and Education Fund established by</w:t>
      </w:r>
    </w:p>
    <w:p>
      <w:pPr>
        <w:spacing w:after="0" w:line="139" w:lineRule="exact"/>
        <w:rPr>
          <w:sz w:val="20"/>
          <w:szCs w:val="20"/>
          <w:color w:val="auto"/>
        </w:rPr>
      </w:pPr>
    </w:p>
    <w:p>
      <w:pPr>
        <w:ind w:left="568"/>
        <w:spacing w:after="0"/>
        <w:rPr>
          <w:sz w:val="20"/>
          <w:szCs w:val="20"/>
          <w:color w:val="auto"/>
        </w:rPr>
      </w:pPr>
      <w:r>
        <w:rPr>
          <w:rFonts w:ascii="Times New Roman" w:cs="Times New Roman" w:eastAsia="Times New Roman" w:hAnsi="Times New Roman"/>
          <w:sz w:val="24"/>
          <w:szCs w:val="24"/>
          <w:color w:val="auto"/>
        </w:rPr>
        <w:t>the Board:</w:t>
      </w:r>
    </w:p>
    <w:p>
      <w:pPr>
        <w:spacing w:after="0" w:line="137" w:lineRule="exact"/>
        <w:rPr>
          <w:sz w:val="20"/>
          <w:szCs w:val="20"/>
          <w:color w:val="auto"/>
        </w:rPr>
      </w:pPr>
    </w:p>
    <w:p>
      <w:pPr>
        <w:ind w:left="648"/>
        <w:spacing w:after="0"/>
        <w:tabs>
          <w:tab w:leader="none" w:pos="3967" w:val="left"/>
        </w:tabs>
        <w:rPr>
          <w:sz w:val="20"/>
          <w:szCs w:val="20"/>
          <w:color w:val="auto"/>
        </w:rPr>
      </w:pPr>
      <w:r>
        <w:rPr>
          <w:rFonts w:ascii="Times New Roman" w:cs="Times New Roman" w:eastAsia="Times New Roman" w:hAnsi="Times New Roman"/>
          <w:sz w:val="24"/>
          <w:szCs w:val="24"/>
          <w:color w:val="auto"/>
        </w:rPr>
        <w:t>Amount (in rupees)</w:t>
      </w:r>
      <w:r>
        <w:rPr>
          <w:sz w:val="20"/>
          <w:szCs w:val="20"/>
          <w:color w:val="auto"/>
        </w:rPr>
        <w:tab/>
      </w:r>
      <w:r>
        <w:rPr>
          <w:rFonts w:ascii="Times New Roman" w:cs="Times New Roman" w:eastAsia="Times New Roman" w:hAnsi="Times New Roman"/>
          <w:sz w:val="23"/>
          <w:szCs w:val="23"/>
          <w:color w:val="auto"/>
        </w:rPr>
        <w:t>Cheque/Pay Order details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406</w:t>
      </w:r>
    </w:p>
    <w:p>
      <w:pPr>
        <w:sectPr>
          <w:pgSz w:w="11900" w:h="16836" w:orient="portrait"/>
          <w:cols w:equalWidth="0" w:num="1">
            <w:col w:w="9468"/>
          </w:cols>
          <w:pgMar w:left="1152" w:top="1440" w:right="1284" w:bottom="103" w:gutter="0" w:footer="0" w:header="0"/>
        </w:sectPr>
      </w:pPr>
    </w:p>
    <w:bookmarkStart w:id="406" w:name="page407"/>
    <w:bookmarkEnd w:id="40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2"/>
          <w:szCs w:val="22"/>
          <w:b w:val="1"/>
          <w:bCs w:val="1"/>
          <w:color w:val="auto"/>
        </w:rPr>
        <w:t>Place:</w:t>
      </w:r>
    </w:p>
    <w:p>
      <w:pPr>
        <w:spacing w:after="0" w:line="150"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Date: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b w:val="1"/>
          <w:bCs w:val="1"/>
          <w:color w:val="auto"/>
        </w:rPr>
        <w:t>Stabilising Agent with Official Seal</w:t>
      </w:r>
    </w:p>
    <w:p>
      <w:pPr>
        <w:spacing w:after="0" w:line="615" w:lineRule="exact"/>
        <w:rPr>
          <w:sz w:val="20"/>
          <w:szCs w:val="20"/>
          <w:color w:val="auto"/>
        </w:rPr>
      </w:pPr>
    </w:p>
    <w:p>
      <w:pPr>
        <w:sectPr>
          <w:pgSz w:w="11900" w:h="16836" w:orient="portrait"/>
          <w:cols w:equalWidth="0" w:num="2">
            <w:col w:w="4428" w:space="720"/>
            <w:col w:w="4320"/>
          </w:cols>
          <w:pgMar w:left="1152" w:top="1440" w:right="1284" w:bottom="103" w:gutter="0" w:footer="0" w:header="0"/>
        </w:sectPr>
      </w:pPr>
    </w:p>
    <w:p>
      <w:pPr>
        <w:spacing w:after="0" w:line="352"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SCHEDULE XVI - NATURE OF CHANGES IN THE OFFER DOCUMENT REQUIRING</w:t>
      </w:r>
    </w:p>
    <w:p>
      <w:pPr>
        <w:spacing w:after="0" w:line="137"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FILING OF UPDATED OFFER DOCUMENT</w:t>
      </w:r>
    </w:p>
    <w:p>
      <w:pPr>
        <w:spacing w:after="0" w:line="140"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[See regulation 25(6), 71(6), 123(6) and 186(5)]</w:t>
      </w:r>
    </w:p>
    <w:p>
      <w:pPr>
        <w:spacing w:after="0" w:line="200" w:lineRule="exact"/>
        <w:rPr>
          <w:sz w:val="20"/>
          <w:szCs w:val="20"/>
          <w:color w:val="auto"/>
        </w:rPr>
      </w:pPr>
    </w:p>
    <w:p>
      <w:pPr>
        <w:spacing w:after="0" w:line="364" w:lineRule="exact"/>
        <w:rPr>
          <w:sz w:val="20"/>
          <w:szCs w:val="20"/>
          <w:color w:val="auto"/>
        </w:rPr>
      </w:pPr>
    </w:p>
    <w:p>
      <w:pPr>
        <w:ind w:left="568" w:hanging="568"/>
        <w:spacing w:after="0" w:line="348" w:lineRule="auto"/>
        <w:tabs>
          <w:tab w:leader="none" w:pos="568" w:val="left"/>
        </w:tabs>
        <w:numPr>
          <w:ilvl w:val="0"/>
          <w:numId w:val="12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Changes which require fresh filing of the draft offer document with the Board, along with fees:</w:t>
      </w:r>
    </w:p>
    <w:p>
      <w:pPr>
        <w:spacing w:after="0" w:line="22" w:lineRule="exact"/>
        <w:rPr>
          <w:rFonts w:ascii="Times New Roman" w:cs="Times New Roman" w:eastAsia="Times New Roman" w:hAnsi="Times New Roman"/>
          <w:sz w:val="24"/>
          <w:szCs w:val="24"/>
          <w:color w:val="auto"/>
        </w:rPr>
      </w:pPr>
    </w:p>
    <w:p>
      <w:pPr>
        <w:jc w:val="both"/>
        <w:ind w:left="568"/>
        <w:spacing w:after="0" w:line="35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changes are made in the offer document with respect to any of the following, the issuer shall file fresh draft offer document with the Board in terms of applicable provisions of these regulations, along with the fees as specified Schedule IV:</w:t>
      </w:r>
    </w:p>
    <w:p>
      <w:pPr>
        <w:spacing w:after="0" w:line="7"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2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Change in promoter of the issuer.</w:t>
      </w:r>
    </w:p>
    <w:p>
      <w:pPr>
        <w:spacing w:after="0" w:line="139"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2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Change in more than half of the board of directors of the issuer.</w:t>
      </w:r>
    </w:p>
    <w:p>
      <w:pPr>
        <w:spacing w:after="0" w:line="136"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2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Change in main object clause of the issuer.</w:t>
      </w:r>
    </w:p>
    <w:p>
      <w:pPr>
        <w:spacing w:after="0" w:line="151" w:lineRule="exact"/>
        <w:rPr>
          <w:rFonts w:ascii="Times New Roman" w:cs="Times New Roman" w:eastAsia="Times New Roman" w:hAnsi="Times New Roman"/>
          <w:sz w:val="24"/>
          <w:szCs w:val="24"/>
          <w:color w:val="auto"/>
        </w:rPr>
      </w:pPr>
    </w:p>
    <w:p>
      <w:pPr>
        <w:ind w:left="1148" w:hanging="572"/>
        <w:spacing w:after="0" w:line="348" w:lineRule="auto"/>
        <w:tabs>
          <w:tab w:leader="none" w:pos="1148" w:val="left"/>
        </w:tabs>
        <w:numPr>
          <w:ilvl w:val="1"/>
          <w:numId w:val="12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addition to objects of the issue resulting in an increase in the estimated issue size or estimated means of finance by more than twenty per cent.</w:t>
      </w:r>
    </w:p>
    <w:p>
      <w:pPr>
        <w:spacing w:after="0" w:line="27" w:lineRule="exact"/>
        <w:rPr>
          <w:rFonts w:ascii="Times New Roman" w:cs="Times New Roman" w:eastAsia="Times New Roman" w:hAnsi="Times New Roman"/>
          <w:sz w:val="24"/>
          <w:szCs w:val="24"/>
          <w:color w:val="auto"/>
        </w:rPr>
      </w:pPr>
    </w:p>
    <w:p>
      <w:pPr>
        <w:ind w:left="1148" w:hanging="572"/>
        <w:spacing w:after="0" w:line="348" w:lineRule="auto"/>
        <w:tabs>
          <w:tab w:leader="none" w:pos="1148" w:val="left"/>
        </w:tabs>
        <w:numPr>
          <w:ilvl w:val="1"/>
          <w:numId w:val="12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there are grounds to believe that there is an exacerbation of risk on account of deletion of an object resulting in a decrease in issue size by more than twenty per cent</w:t>
      </w:r>
    </w:p>
    <w:p>
      <w:pPr>
        <w:spacing w:after="0" w:line="7" w:lineRule="exact"/>
        <w:rPr>
          <w:rFonts w:ascii="Times New Roman" w:cs="Times New Roman" w:eastAsia="Times New Roman" w:hAnsi="Times New Roman"/>
          <w:sz w:val="24"/>
          <w:szCs w:val="24"/>
          <w:color w:val="auto"/>
        </w:rPr>
      </w:pPr>
    </w:p>
    <w:p>
      <w:pPr>
        <w:ind w:left="1148" w:hanging="572"/>
        <w:spacing w:after="0"/>
        <w:tabs>
          <w:tab w:leader="none" w:pos="1148" w:val="left"/>
        </w:tabs>
        <w:numPr>
          <w:ilvl w:val="1"/>
          <w:numId w:val="1218"/>
        </w:numPr>
        <w:rPr>
          <w:rFonts w:ascii="Times New Roman" w:cs="Times New Roman" w:eastAsia="Times New Roman" w:hAnsi="Times New Roman"/>
          <w:sz w:val="24"/>
          <w:szCs w:val="24"/>
          <w:color w:val="auto"/>
        </w:rPr>
      </w:pPr>
      <w:r>
        <w:rPr>
          <w:rFonts w:ascii="Times New Roman" w:cs="Times New Roman" w:eastAsia="Times New Roman" w:hAnsi="Times New Roman"/>
          <w:sz w:val="32"/>
          <w:szCs w:val="32"/>
          <w:color w:val="auto"/>
          <w:vertAlign w:val="superscript"/>
        </w:rPr>
        <w:t>122</w:t>
      </w:r>
      <w:r>
        <w:rPr>
          <w:rFonts w:ascii="Times New Roman" w:cs="Times New Roman" w:eastAsia="Times New Roman" w:hAnsi="Times New Roman"/>
          <w:sz w:val="24"/>
          <w:szCs w:val="24"/>
          <w:color w:val="auto"/>
        </w:rPr>
        <w:t>[ Any Increase or Decrease:</w:t>
      </w:r>
    </w:p>
    <w:p>
      <w:pPr>
        <w:spacing w:after="0" w:line="65" w:lineRule="exact"/>
        <w:rPr>
          <w:rFonts w:ascii="Times New Roman" w:cs="Times New Roman" w:eastAsia="Times New Roman" w:hAnsi="Times New Roman"/>
          <w:sz w:val="24"/>
          <w:szCs w:val="24"/>
          <w:color w:val="auto"/>
        </w:rPr>
      </w:pPr>
    </w:p>
    <w:p>
      <w:pPr>
        <w:ind w:left="1988" w:hanging="368"/>
        <w:spacing w:after="0" w:line="350" w:lineRule="auto"/>
        <w:tabs>
          <w:tab w:leader="none" w:pos="2007" w:val="left"/>
        </w:tabs>
        <w:numPr>
          <w:ilvl w:val="2"/>
          <w:numId w:val="12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In case of a fresh issue</w:t>
      </w:r>
      <w:r>
        <w:rPr>
          <w:rFonts w:ascii="Times New Roman" w:cs="Times New Roman" w:eastAsia="Times New Roman" w:hAnsi="Times New Roman"/>
          <w:sz w:val="24"/>
          <w:szCs w:val="24"/>
          <w:color w:val="auto"/>
        </w:rPr>
        <w:t>: any increase or decrease in estimated issue size by</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more than twenty per cent. of the estimated issue size; or</w:t>
      </w:r>
    </w:p>
    <w:p>
      <w:pPr>
        <w:spacing w:after="0" w:line="200" w:lineRule="exact"/>
        <w:rPr>
          <w:rFonts w:ascii="Times New Roman" w:cs="Times New Roman" w:eastAsia="Times New Roman" w:hAnsi="Times New Roman"/>
          <w:sz w:val="24"/>
          <w:szCs w:val="24"/>
          <w:color w:val="auto"/>
        </w:rPr>
      </w:pPr>
    </w:p>
    <w:p>
      <w:pPr>
        <w:spacing w:after="0" w:line="238" w:lineRule="exact"/>
        <w:rPr>
          <w:rFonts w:ascii="Times New Roman" w:cs="Times New Roman" w:eastAsia="Times New Roman" w:hAnsi="Times New Roman"/>
          <w:sz w:val="24"/>
          <w:szCs w:val="24"/>
          <w:color w:val="auto"/>
        </w:rPr>
      </w:pPr>
    </w:p>
    <w:p>
      <w:pPr>
        <w:jc w:val="both"/>
        <w:ind w:left="1988" w:hanging="368"/>
        <w:spacing w:after="0" w:line="354" w:lineRule="auto"/>
        <w:tabs>
          <w:tab w:leader="none" w:pos="1988" w:val="left"/>
        </w:tabs>
        <w:numPr>
          <w:ilvl w:val="2"/>
          <w:numId w:val="12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In case of an offer for sale</w:t>
      </w:r>
      <w:r>
        <w:rPr>
          <w:rFonts w:ascii="Times New Roman" w:cs="Times New Roman" w:eastAsia="Times New Roman" w:hAnsi="Times New Roman"/>
          <w:sz w:val="24"/>
          <w:szCs w:val="24"/>
          <w:color w:val="auto"/>
        </w:rPr>
        <w:t>: any increase or decrease in either the number of</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shares offered for sale or the estimated issue size, by more than fifty per cent.; or</w:t>
      </w:r>
    </w:p>
    <w:p>
      <w:pPr>
        <w:spacing w:after="0" w:line="200" w:lineRule="exact"/>
        <w:rPr>
          <w:rFonts w:ascii="Times New Roman" w:cs="Times New Roman" w:eastAsia="Times New Roman" w:hAnsi="Times New Roman"/>
          <w:sz w:val="24"/>
          <w:szCs w:val="24"/>
          <w:color w:val="auto"/>
        </w:rPr>
      </w:pPr>
    </w:p>
    <w:p>
      <w:pPr>
        <w:spacing w:after="0" w:line="234" w:lineRule="exact"/>
        <w:rPr>
          <w:rFonts w:ascii="Times New Roman" w:cs="Times New Roman" w:eastAsia="Times New Roman" w:hAnsi="Times New Roman"/>
          <w:sz w:val="24"/>
          <w:szCs w:val="24"/>
          <w:color w:val="auto"/>
        </w:rPr>
      </w:pPr>
    </w:p>
    <w:p>
      <w:pPr>
        <w:ind w:left="1988" w:hanging="368"/>
        <w:spacing w:after="0" w:line="348" w:lineRule="auto"/>
        <w:tabs>
          <w:tab w:leader="none" w:pos="2062" w:val="left"/>
        </w:tabs>
        <w:numPr>
          <w:ilvl w:val="2"/>
          <w:numId w:val="12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In case of an issue comprising of both fresh issue and offer for sale</w:t>
      </w:r>
      <w:r>
        <w:rPr>
          <w:rFonts w:ascii="Times New Roman" w:cs="Times New Roman" w:eastAsia="Times New Roman" w:hAnsi="Times New Roman"/>
          <w:sz w:val="24"/>
          <w:szCs w:val="24"/>
          <w:color w:val="auto"/>
        </w:rPr>
        <w:t>: the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respective limits as above shall apply.]</w:t>
      </w:r>
    </w:p>
    <w:p>
      <w:pPr>
        <w:spacing w:after="0" w:line="200" w:lineRule="exact"/>
        <w:rPr>
          <w:sz w:val="20"/>
          <w:szCs w:val="20"/>
          <w:color w:val="auto"/>
        </w:rPr>
      </w:pPr>
    </w:p>
    <w:p>
      <w:pPr>
        <w:spacing w:after="0" w:line="329" w:lineRule="exact"/>
        <w:rPr>
          <w:sz w:val="20"/>
          <w:szCs w:val="20"/>
          <w:color w:val="auto"/>
        </w:rPr>
      </w:pPr>
    </w:p>
    <w:p>
      <w:pPr>
        <w:ind w:left="8"/>
        <w:spacing w:after="0" w:line="211" w:lineRule="auto"/>
        <w:rPr>
          <w:sz w:val="20"/>
          <w:szCs w:val="20"/>
          <w:color w:val="auto"/>
        </w:rPr>
      </w:pPr>
      <w:r>
        <w:rPr>
          <w:rFonts w:ascii="Times New Roman" w:cs="Times New Roman" w:eastAsia="Times New Roman" w:hAnsi="Times New Roman"/>
          <w:sz w:val="25"/>
          <w:szCs w:val="25"/>
          <w:color w:val="auto"/>
          <w:vertAlign w:val="superscript"/>
        </w:rPr>
        <w:t>122</w:t>
      </w:r>
      <w:r>
        <w:rPr>
          <w:rFonts w:ascii="Times New Roman" w:cs="Times New Roman" w:eastAsia="Times New Roman" w:hAnsi="Times New Roman"/>
          <w:sz w:val="20"/>
          <w:szCs w:val="20"/>
          <w:color w:val="auto"/>
        </w:rPr>
        <w:t xml:space="preserve"> Substituted by the Securities and Exchange Board of India (Issue of Capital and Disclosure Requirements) (Amendment) Regulations, 2018 w-e-f- 31.12.2018. Prior to its substitution, sub-clause (f) read as follows,-</w:t>
      </w:r>
    </w:p>
    <w:p>
      <w:pPr>
        <w:spacing w:after="0" w:line="2" w:lineRule="exact"/>
        <w:rPr>
          <w:sz w:val="20"/>
          <w:szCs w:val="20"/>
          <w:color w:val="auto"/>
        </w:rPr>
      </w:pPr>
    </w:p>
    <w:p>
      <w:pPr>
        <w:ind w:left="1148"/>
        <w:spacing w:after="0"/>
        <w:rPr>
          <w:sz w:val="20"/>
          <w:szCs w:val="20"/>
          <w:color w:val="auto"/>
        </w:rPr>
      </w:pPr>
      <w:r>
        <w:rPr>
          <w:rFonts w:ascii="Times New Roman" w:cs="Times New Roman" w:eastAsia="Times New Roman" w:hAnsi="Times New Roman"/>
          <w:sz w:val="20"/>
          <w:szCs w:val="20"/>
          <w:color w:val="auto"/>
        </w:rPr>
        <w:t>“(f) Any increase or decrease in estimated issue size by more than twenty per cent.”</w:t>
      </w:r>
    </w:p>
    <w:p>
      <w:pPr>
        <w:spacing w:after="0" w:line="298"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407</w:t>
      </w:r>
    </w:p>
    <w:p>
      <w:pPr>
        <w:sectPr>
          <w:pgSz w:w="11900" w:h="16836" w:orient="portrait"/>
          <w:cols w:equalWidth="0" w:num="1">
            <w:col w:w="9468"/>
          </w:cols>
          <w:pgMar w:left="1152" w:top="1440" w:right="1284" w:bottom="103" w:gutter="0" w:footer="0" w:header="0"/>
          <w:type w:val="continuous"/>
        </w:sectPr>
      </w:pPr>
    </w:p>
    <w:bookmarkStart w:id="407" w:name="page408"/>
    <w:bookmarkEnd w:id="407"/>
    <w:p>
      <w:pPr>
        <w:ind w:left="1148" w:hanging="572"/>
        <w:spacing w:after="0" w:line="348" w:lineRule="auto"/>
        <w:tabs>
          <w:tab w:leader="none" w:pos="1148" w:val="left"/>
        </w:tabs>
        <w:numPr>
          <w:ilvl w:val="0"/>
          <w:numId w:val="121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Any increase in estimated deployment in any of the objects of the issue by more than twenty per cent.</w:t>
      </w:r>
    </w:p>
    <w:p>
      <w:pPr>
        <w:spacing w:after="0" w:line="200" w:lineRule="exact"/>
        <w:rPr>
          <w:sz w:val="20"/>
          <w:szCs w:val="20"/>
          <w:color w:val="auto"/>
        </w:rPr>
      </w:pPr>
    </w:p>
    <w:p>
      <w:pPr>
        <w:spacing w:after="0" w:line="241" w:lineRule="exact"/>
        <w:rPr>
          <w:sz w:val="20"/>
          <w:szCs w:val="20"/>
          <w:color w:val="auto"/>
        </w:rPr>
      </w:pPr>
    </w:p>
    <w:p>
      <w:pPr>
        <w:jc w:val="both"/>
        <w:ind w:left="8"/>
        <w:spacing w:after="0" w:line="354" w:lineRule="auto"/>
        <w:rPr>
          <w:sz w:val="20"/>
          <w:szCs w:val="20"/>
          <w:color w:val="auto"/>
        </w:rPr>
      </w:pPr>
      <w:r>
        <w:rPr>
          <w:rFonts w:ascii="Times New Roman" w:cs="Times New Roman" w:eastAsia="Times New Roman" w:hAnsi="Times New Roman"/>
          <w:sz w:val="24"/>
          <w:szCs w:val="24"/>
          <w:color w:val="auto"/>
        </w:rPr>
        <w:t>Changes which may result in non-compliance with the provisions of the Securities and Exchange Board of India (Issue of Capital and Disclosure Requirements) Regulations, 2018 and the lead manager(s) or issuer do not intend to seek relaxation under regulation 303 of the said regulations.</w:t>
      </w:r>
    </w:p>
    <w:p>
      <w:pPr>
        <w:spacing w:after="0" w:line="200" w:lineRule="exact"/>
        <w:rPr>
          <w:sz w:val="20"/>
          <w:szCs w:val="20"/>
          <w:color w:val="auto"/>
        </w:rPr>
      </w:pPr>
    </w:p>
    <w:p>
      <w:pPr>
        <w:spacing w:after="0" w:line="240" w:lineRule="exact"/>
        <w:rPr>
          <w:sz w:val="20"/>
          <w:szCs w:val="20"/>
          <w:color w:val="auto"/>
        </w:rPr>
      </w:pPr>
    </w:p>
    <w:p>
      <w:pPr>
        <w:ind w:left="568" w:hanging="568"/>
        <w:spacing w:after="0" w:line="350" w:lineRule="auto"/>
        <w:tabs>
          <w:tab w:leader="none" w:pos="568" w:val="left"/>
        </w:tabs>
        <w:numPr>
          <w:ilvl w:val="0"/>
          <w:numId w:val="12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Changes which require filing of the updated offer document with the Board, along with fees:</w:t>
      </w:r>
    </w:p>
    <w:p>
      <w:pPr>
        <w:spacing w:after="0" w:line="18" w:lineRule="exact"/>
        <w:rPr>
          <w:rFonts w:ascii="Times New Roman" w:cs="Times New Roman" w:eastAsia="Times New Roman" w:hAnsi="Times New Roman"/>
          <w:sz w:val="24"/>
          <w:szCs w:val="24"/>
          <w:color w:val="auto"/>
        </w:rPr>
      </w:pPr>
    </w:p>
    <w:p>
      <w:pPr>
        <w:jc w:val="both"/>
        <w:ind w:left="1148" w:hanging="572"/>
        <w:spacing w:after="0" w:line="354" w:lineRule="auto"/>
        <w:tabs>
          <w:tab w:leader="none" w:pos="1148" w:val="left"/>
        </w:tabs>
        <w:numPr>
          <w:ilvl w:val="1"/>
          <w:numId w:val="12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If changes are made in the offer document with respect to any of the following, the issuer shall file an updated offer document with the Board , along with payment of fees as specified in Schedule IV</w:t>
      </w:r>
    </w:p>
    <w:p>
      <w:pPr>
        <w:spacing w:after="0" w:line="22" w:lineRule="exact"/>
        <w:rPr>
          <w:rFonts w:ascii="Times New Roman" w:cs="Times New Roman" w:eastAsia="Times New Roman" w:hAnsi="Times New Roman"/>
          <w:sz w:val="24"/>
          <w:szCs w:val="24"/>
          <w:color w:val="auto"/>
        </w:rPr>
      </w:pPr>
    </w:p>
    <w:p>
      <w:pPr>
        <w:ind w:left="1728" w:hanging="576"/>
        <w:spacing w:after="0" w:line="348" w:lineRule="auto"/>
        <w:tabs>
          <w:tab w:leader="none" w:pos="1728" w:val="left"/>
        </w:tabs>
        <w:numPr>
          <w:ilvl w:val="2"/>
          <w:numId w:val="12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Section 1: Risk Factors: </w:t>
      </w:r>
      <w:r>
        <w:rPr>
          <w:rFonts w:ascii="Times New Roman" w:cs="Times New Roman" w:eastAsia="Times New Roman" w:hAnsi="Times New Roman"/>
          <w:sz w:val="24"/>
          <w:szCs w:val="24"/>
          <w:color w:val="auto"/>
        </w:rPr>
        <w:t>Any material development which may result in</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potential risk and may require updation in this section</w:t>
      </w:r>
      <w:r>
        <w:rPr>
          <w:rFonts w:ascii="Times New Roman" w:cs="Times New Roman" w:eastAsia="Times New Roman" w:hAnsi="Times New Roman"/>
          <w:sz w:val="24"/>
          <w:szCs w:val="24"/>
          <w:b w:val="1"/>
          <w:bCs w:val="1"/>
          <w:color w:val="auto"/>
        </w:rPr>
        <w:t>.</w:t>
      </w:r>
    </w:p>
    <w:p>
      <w:pPr>
        <w:spacing w:after="0" w:line="27" w:lineRule="exact"/>
        <w:rPr>
          <w:rFonts w:ascii="Times New Roman" w:cs="Times New Roman" w:eastAsia="Times New Roman" w:hAnsi="Times New Roman"/>
          <w:sz w:val="24"/>
          <w:szCs w:val="24"/>
          <w:color w:val="auto"/>
        </w:rPr>
      </w:pPr>
    </w:p>
    <w:p>
      <w:pPr>
        <w:jc w:val="both"/>
        <w:ind w:left="1728" w:hanging="576"/>
        <w:spacing w:after="0" w:line="354" w:lineRule="auto"/>
        <w:tabs>
          <w:tab w:leader="none" w:pos="1728" w:val="left"/>
        </w:tabs>
        <w:numPr>
          <w:ilvl w:val="2"/>
          <w:numId w:val="12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Section 2: Capital Structure: </w:t>
      </w:r>
      <w:r>
        <w:rPr>
          <w:rFonts w:ascii="Times New Roman" w:cs="Times New Roman" w:eastAsia="Times New Roman" w:hAnsi="Times New Roman"/>
          <w:sz w:val="24"/>
          <w:szCs w:val="24"/>
          <w:color w:val="auto"/>
        </w:rPr>
        <w:t>An aggregate increase of 5 per cent. or more in</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the shareholding of the promoter or promoter group or an aggregate increase of 5 per cent. or more in the shareholding of the top ten shareholders.</w:t>
      </w:r>
    </w:p>
    <w:p>
      <w:pPr>
        <w:spacing w:after="0" w:line="20" w:lineRule="exact"/>
        <w:rPr>
          <w:rFonts w:ascii="Times New Roman" w:cs="Times New Roman" w:eastAsia="Times New Roman" w:hAnsi="Times New Roman"/>
          <w:sz w:val="24"/>
          <w:szCs w:val="24"/>
          <w:color w:val="auto"/>
        </w:rPr>
      </w:pPr>
    </w:p>
    <w:p>
      <w:pPr>
        <w:jc w:val="both"/>
        <w:ind w:left="1728" w:hanging="576"/>
        <w:spacing w:after="0" w:line="354" w:lineRule="auto"/>
        <w:tabs>
          <w:tab w:leader="none" w:pos="1728" w:val="left"/>
        </w:tabs>
        <w:numPr>
          <w:ilvl w:val="2"/>
          <w:numId w:val="12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Section 3: Issue Size: </w:t>
      </w:r>
      <w:r>
        <w:rPr>
          <w:rFonts w:ascii="Times New Roman" w:cs="Times New Roman" w:eastAsia="Times New Roman" w:hAnsi="Times New Roman"/>
          <w:sz w:val="24"/>
          <w:szCs w:val="24"/>
          <w:color w:val="auto"/>
        </w:rPr>
        <w:t>Any addition or deletion to the objects of the issue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resulting in a change in the estimated issue size or estimated means of finance by more than 10 per cent. and not exceeding 20 per cent.</w:t>
      </w:r>
    </w:p>
    <w:p>
      <w:pPr>
        <w:spacing w:after="0" w:line="9" w:lineRule="exact"/>
        <w:rPr>
          <w:rFonts w:ascii="Times New Roman" w:cs="Times New Roman" w:eastAsia="Times New Roman" w:hAnsi="Times New Roman"/>
          <w:sz w:val="24"/>
          <w:szCs w:val="24"/>
          <w:color w:val="auto"/>
        </w:rPr>
      </w:pPr>
    </w:p>
    <w:p>
      <w:pPr>
        <w:ind w:left="1728" w:hanging="576"/>
        <w:spacing w:after="0"/>
        <w:tabs>
          <w:tab w:leader="none" w:pos="1728" w:val="left"/>
        </w:tabs>
        <w:numPr>
          <w:ilvl w:val="2"/>
          <w:numId w:val="12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Section 4: Management: </w:t>
      </w:r>
      <w:r>
        <w:rPr>
          <w:rFonts w:ascii="Times New Roman" w:cs="Times New Roman" w:eastAsia="Times New Roman" w:hAnsi="Times New Roman"/>
          <w:sz w:val="24"/>
          <w:szCs w:val="24"/>
          <w:color w:val="auto"/>
        </w:rPr>
        <w:t>Appointment of any new director.</w:t>
      </w:r>
    </w:p>
    <w:p>
      <w:pPr>
        <w:spacing w:after="0" w:line="149" w:lineRule="exact"/>
        <w:rPr>
          <w:rFonts w:ascii="Times New Roman" w:cs="Times New Roman" w:eastAsia="Times New Roman" w:hAnsi="Times New Roman"/>
          <w:sz w:val="24"/>
          <w:szCs w:val="24"/>
          <w:color w:val="auto"/>
        </w:rPr>
      </w:pPr>
    </w:p>
    <w:p>
      <w:pPr>
        <w:ind w:left="1728" w:hanging="576"/>
        <w:spacing w:after="0" w:line="350" w:lineRule="auto"/>
        <w:tabs>
          <w:tab w:leader="none" w:pos="1728" w:val="left"/>
        </w:tabs>
        <w:numPr>
          <w:ilvl w:val="2"/>
          <w:numId w:val="12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Section 5: Promoter Group: </w:t>
      </w:r>
      <w:r>
        <w:rPr>
          <w:rFonts w:ascii="Times New Roman" w:cs="Times New Roman" w:eastAsia="Times New Roman" w:hAnsi="Times New Roman"/>
          <w:sz w:val="24"/>
          <w:szCs w:val="24"/>
          <w:color w:val="auto"/>
        </w:rPr>
        <w:t>Any addition to the promoter group or group</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companies.</w:t>
      </w:r>
    </w:p>
    <w:p>
      <w:pPr>
        <w:spacing w:after="0" w:line="23" w:lineRule="exact"/>
        <w:rPr>
          <w:rFonts w:ascii="Times New Roman" w:cs="Times New Roman" w:eastAsia="Times New Roman" w:hAnsi="Times New Roman"/>
          <w:sz w:val="24"/>
          <w:szCs w:val="24"/>
          <w:color w:val="auto"/>
        </w:rPr>
      </w:pPr>
    </w:p>
    <w:p>
      <w:pPr>
        <w:jc w:val="both"/>
        <w:ind w:left="1728" w:hanging="576"/>
        <w:spacing w:after="0" w:line="354" w:lineRule="auto"/>
        <w:tabs>
          <w:tab w:leader="none" w:pos="1728" w:val="left"/>
        </w:tabs>
        <w:numPr>
          <w:ilvl w:val="2"/>
          <w:numId w:val="12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Section 6: Financial Statements: </w:t>
      </w:r>
      <w:r>
        <w:rPr>
          <w:rFonts w:ascii="Times New Roman" w:cs="Times New Roman" w:eastAsia="Times New Roman" w:hAnsi="Times New Roman"/>
          <w:sz w:val="24"/>
          <w:szCs w:val="24"/>
          <w:color w:val="auto"/>
        </w:rPr>
        <w:t>Any variation in net profit after tax or net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loss and/ or extraordinary items in excess of 10 per cent. over the last updated financials included in the draft offer document.</w:t>
      </w:r>
    </w:p>
    <w:p>
      <w:pPr>
        <w:spacing w:after="0" w:line="22" w:lineRule="exact"/>
        <w:rPr>
          <w:rFonts w:ascii="Times New Roman" w:cs="Times New Roman" w:eastAsia="Times New Roman" w:hAnsi="Times New Roman"/>
          <w:sz w:val="24"/>
          <w:szCs w:val="24"/>
          <w:color w:val="auto"/>
        </w:rPr>
      </w:pPr>
    </w:p>
    <w:p>
      <w:pPr>
        <w:jc w:val="both"/>
        <w:ind w:left="1728" w:hanging="576"/>
        <w:spacing w:after="0" w:line="354" w:lineRule="auto"/>
        <w:tabs>
          <w:tab w:leader="none" w:pos="1728" w:val="left"/>
        </w:tabs>
        <w:numPr>
          <w:ilvl w:val="2"/>
          <w:numId w:val="12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Section 7: Legal and other information: </w:t>
      </w:r>
      <w:r>
        <w:rPr>
          <w:rFonts w:ascii="Times New Roman" w:cs="Times New Roman" w:eastAsia="Times New Roman" w:hAnsi="Times New Roman"/>
          <w:sz w:val="24"/>
          <w:szCs w:val="24"/>
          <w:color w:val="auto"/>
        </w:rPr>
        <w:t>Any new litigation or any</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development about a pending litigation which is considered material by the lead manager(s).</w:t>
      </w:r>
    </w:p>
    <w:p>
      <w:pPr>
        <w:spacing w:after="0" w:line="200" w:lineRule="exact"/>
        <w:rPr>
          <w:sz w:val="20"/>
          <w:szCs w:val="20"/>
          <w:color w:val="auto"/>
        </w:rPr>
      </w:pPr>
    </w:p>
    <w:p>
      <w:pPr>
        <w:spacing w:after="0" w:line="235" w:lineRule="exact"/>
        <w:rPr>
          <w:sz w:val="20"/>
          <w:szCs w:val="20"/>
          <w:color w:val="auto"/>
        </w:rPr>
      </w:pPr>
    </w:p>
    <w:p>
      <w:pPr>
        <w:ind w:left="1148" w:hanging="572"/>
        <w:spacing w:after="0" w:line="348" w:lineRule="auto"/>
        <w:tabs>
          <w:tab w:leader="none" w:pos="1148" w:val="left"/>
        </w:tabs>
        <w:numPr>
          <w:ilvl w:val="1"/>
          <w:numId w:val="12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After filing the updated offer document with the Board, the issuer may proceed with the issue after receiving a confirmation to this effect from the Board.</w:t>
      </w:r>
    </w:p>
    <w:p>
      <w:pPr>
        <w:spacing w:after="0" w:line="200" w:lineRule="exact"/>
        <w:rPr>
          <w:rFonts w:ascii="Times New Roman" w:cs="Times New Roman" w:eastAsia="Times New Roman" w:hAnsi="Times New Roman"/>
          <w:sz w:val="24"/>
          <w:szCs w:val="24"/>
          <w:color w:val="auto"/>
        </w:rPr>
      </w:pPr>
    </w:p>
    <w:p>
      <w:pPr>
        <w:spacing w:after="0" w:line="245" w:lineRule="exact"/>
        <w:rPr>
          <w:rFonts w:ascii="Times New Roman" w:cs="Times New Roman" w:eastAsia="Times New Roman" w:hAnsi="Times New Roman"/>
          <w:sz w:val="24"/>
          <w:szCs w:val="24"/>
          <w:color w:val="auto"/>
        </w:rPr>
      </w:pPr>
    </w:p>
    <w:p>
      <w:pPr>
        <w:ind w:left="568" w:hanging="568"/>
        <w:spacing w:after="0" w:line="350" w:lineRule="auto"/>
        <w:tabs>
          <w:tab w:leader="none" w:pos="568" w:val="left"/>
        </w:tabs>
        <w:numPr>
          <w:ilvl w:val="0"/>
          <w:numId w:val="12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Changes which require filing of the updated offer document with the Board, without fees:</w:t>
      </w:r>
    </w:p>
    <w:p>
      <w:pPr>
        <w:spacing w:after="0" w:line="263"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408</w:t>
      </w:r>
    </w:p>
    <w:p>
      <w:pPr>
        <w:sectPr>
          <w:pgSz w:w="11900" w:h="16836" w:orient="portrait"/>
          <w:cols w:equalWidth="0" w:num="1">
            <w:col w:w="9468"/>
          </w:cols>
          <w:pgMar w:left="1152" w:top="1156" w:right="1284" w:bottom="103" w:gutter="0" w:footer="0" w:header="0"/>
        </w:sectPr>
      </w:pPr>
    </w:p>
    <w:bookmarkStart w:id="408" w:name="page409"/>
    <w:bookmarkEnd w:id="408"/>
    <w:p>
      <w:pPr>
        <w:jc w:val="both"/>
        <w:ind w:left="568"/>
        <w:spacing w:after="0" w:line="354" w:lineRule="auto"/>
        <w:rPr>
          <w:sz w:val="20"/>
          <w:szCs w:val="20"/>
          <w:color w:val="auto"/>
        </w:rPr>
      </w:pPr>
      <w:r>
        <w:rPr>
          <w:rFonts w:ascii="Times New Roman" w:cs="Times New Roman" w:eastAsia="Times New Roman" w:hAnsi="Times New Roman"/>
          <w:sz w:val="24"/>
          <w:szCs w:val="24"/>
          <w:color w:val="auto"/>
        </w:rPr>
        <w:t>All other changes or updations in the offer document which are not covered under paras (1) and (2) above shall be carried out in the offer document and the updated offer document shall be filed with the Board, without any fees.</w:t>
      </w:r>
    </w:p>
    <w:p>
      <w:pPr>
        <w:spacing w:after="0" w:line="200" w:lineRule="exact"/>
        <w:rPr>
          <w:sz w:val="20"/>
          <w:szCs w:val="20"/>
          <w:color w:val="auto"/>
        </w:rPr>
      </w:pPr>
    </w:p>
    <w:p>
      <w:pPr>
        <w:spacing w:after="0" w:line="240" w:lineRule="exact"/>
        <w:rPr>
          <w:sz w:val="20"/>
          <w:szCs w:val="20"/>
          <w:color w:val="auto"/>
        </w:rPr>
      </w:pPr>
    </w:p>
    <w:p>
      <w:pPr>
        <w:jc w:val="center"/>
        <w:ind w:right="12"/>
        <w:spacing w:after="0" w:line="354" w:lineRule="auto"/>
        <w:rPr>
          <w:sz w:val="20"/>
          <w:szCs w:val="20"/>
          <w:color w:val="auto"/>
        </w:rPr>
      </w:pPr>
      <w:r>
        <w:rPr>
          <w:rFonts w:ascii="Times New Roman" w:cs="Times New Roman" w:eastAsia="Times New Roman" w:hAnsi="Times New Roman"/>
          <w:sz w:val="24"/>
          <w:szCs w:val="24"/>
          <w:b w:val="1"/>
          <w:bCs w:val="1"/>
          <w:color w:val="auto"/>
        </w:rPr>
        <w:t>SCHEDULE XVII - FORMATS OF POST-ISSUE REPORTS Part A - Format of final post-issue report for a public issue [See regulations 55, 151, 210 and 273]</w:t>
      </w:r>
    </w:p>
    <w:p>
      <w:pPr>
        <w:spacing w:after="0" w:line="200" w:lineRule="exact"/>
        <w:rPr>
          <w:sz w:val="20"/>
          <w:szCs w:val="20"/>
          <w:color w:val="auto"/>
        </w:rPr>
      </w:pPr>
    </w:p>
    <w:p>
      <w:pPr>
        <w:spacing w:after="0" w:line="223"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Subscription Status: (Subscribed / Undersubscribed)</w:t>
      </w:r>
    </w:p>
    <w:p>
      <w:pPr>
        <w:spacing w:after="0" w:line="13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Note:</w:t>
      </w:r>
    </w:p>
    <w:p>
      <w:pPr>
        <w:spacing w:after="0" w:line="147" w:lineRule="exact"/>
        <w:rPr>
          <w:sz w:val="20"/>
          <w:szCs w:val="20"/>
          <w:color w:val="auto"/>
        </w:rPr>
      </w:pPr>
    </w:p>
    <w:p>
      <w:pPr>
        <w:ind w:left="8"/>
        <w:spacing w:after="0" w:line="348" w:lineRule="auto"/>
        <w:rPr>
          <w:sz w:val="20"/>
          <w:szCs w:val="20"/>
          <w:color w:val="auto"/>
        </w:rPr>
      </w:pPr>
      <w:r>
        <w:rPr>
          <w:rFonts w:ascii="Times New Roman" w:cs="Times New Roman" w:eastAsia="Times New Roman" w:hAnsi="Times New Roman"/>
          <w:sz w:val="24"/>
          <w:szCs w:val="24"/>
          <w:color w:val="auto"/>
        </w:rPr>
        <w:t>The lead manager(s) shall provide correct information after verifying it from the issuer and the registrar to the issue.</w:t>
      </w:r>
    </w:p>
    <w:p>
      <w:pPr>
        <w:spacing w:after="0" w:line="200" w:lineRule="exact"/>
        <w:rPr>
          <w:sz w:val="20"/>
          <w:szCs w:val="20"/>
          <w:color w:val="auto"/>
        </w:rPr>
      </w:pPr>
    </w:p>
    <w:p>
      <w:pPr>
        <w:spacing w:after="0" w:line="233" w:lineRule="exact"/>
        <w:rPr>
          <w:sz w:val="20"/>
          <w:szCs w:val="20"/>
          <w:color w:val="auto"/>
        </w:rPr>
      </w:pPr>
    </w:p>
    <w:p>
      <w:pPr>
        <w:ind w:left="568" w:hanging="568"/>
        <w:spacing w:after="0"/>
        <w:tabs>
          <w:tab w:leader="none" w:pos="568" w:val="left"/>
        </w:tabs>
        <w:numPr>
          <w:ilvl w:val="0"/>
          <w:numId w:val="12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IN CASE OF A SUBSCRIBED ISSUE:</w:t>
      </w:r>
    </w:p>
    <w:p>
      <w:pPr>
        <w:spacing w:after="0" w:line="200" w:lineRule="exact"/>
        <w:rPr>
          <w:sz w:val="20"/>
          <w:szCs w:val="20"/>
          <w:color w:val="auto"/>
        </w:rPr>
      </w:pPr>
    </w:p>
    <w:p>
      <w:pPr>
        <w:spacing w:after="0" w:line="347" w:lineRule="exact"/>
        <w:rPr>
          <w:sz w:val="20"/>
          <w:szCs w:val="20"/>
          <w:color w:val="auto"/>
        </w:rPr>
      </w:pPr>
    </w:p>
    <w:tbl>
      <w:tblPr>
        <w:tblLayout w:type="fixed"/>
        <w:tblInd w:w="8" w:type="dxa"/>
        <w:tblCellMar>
          <w:top w:w="0" w:type="dxa"/>
          <w:left w:w="0" w:type="dxa"/>
          <w:bottom w:w="0" w:type="dxa"/>
          <w:right w:w="0" w:type="dxa"/>
        </w:tblCellMar>
      </w:tblPr>
      <w:tr>
        <w:trPr>
          <w:trHeight w:val="276"/>
        </w:trPr>
        <w:tc>
          <w:tcPr>
            <w:tcW w:w="42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w w:val="85"/>
              </w:rPr>
              <w:t>(1)</w:t>
            </w:r>
          </w:p>
        </w:tc>
        <w:tc>
          <w:tcPr>
            <w:tcW w:w="2200" w:type="dxa"/>
            <w:vAlign w:val="bottom"/>
          </w:tcPr>
          <w:p>
            <w:pPr>
              <w:ind w:left="140"/>
              <w:spacing w:after="0"/>
              <w:rPr>
                <w:sz w:val="20"/>
                <w:szCs w:val="20"/>
                <w:color w:val="auto"/>
              </w:rPr>
            </w:pPr>
            <w:r>
              <w:rPr>
                <w:rFonts w:ascii="Times New Roman" w:cs="Times New Roman" w:eastAsia="Times New Roman" w:hAnsi="Times New Roman"/>
                <w:sz w:val="24"/>
                <w:szCs w:val="24"/>
                <w:color w:val="auto"/>
              </w:rPr>
              <w:t>Name of the issuer</w:t>
            </w:r>
          </w:p>
        </w:tc>
        <w:tc>
          <w:tcPr>
            <w:tcW w:w="32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w:t>
            </w:r>
          </w:p>
        </w:tc>
      </w:tr>
      <w:tr>
        <w:trPr>
          <w:trHeight w:val="416"/>
        </w:trPr>
        <w:tc>
          <w:tcPr>
            <w:tcW w:w="42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w w:val="85"/>
              </w:rPr>
              <w:t>(2)</w:t>
            </w:r>
          </w:p>
        </w:tc>
        <w:tc>
          <w:tcPr>
            <w:tcW w:w="2200" w:type="dxa"/>
            <w:vAlign w:val="bottom"/>
          </w:tcPr>
          <w:p>
            <w:pPr>
              <w:ind w:left="140"/>
              <w:spacing w:after="0"/>
              <w:rPr>
                <w:sz w:val="20"/>
                <w:szCs w:val="20"/>
                <w:color w:val="auto"/>
              </w:rPr>
            </w:pPr>
            <w:r>
              <w:rPr>
                <w:rFonts w:ascii="Times New Roman" w:cs="Times New Roman" w:eastAsia="Times New Roman" w:hAnsi="Times New Roman"/>
                <w:sz w:val="24"/>
                <w:szCs w:val="24"/>
                <w:color w:val="auto"/>
              </w:rPr>
              <w:t>Issue opening date</w:t>
            </w:r>
          </w:p>
        </w:tc>
        <w:tc>
          <w:tcPr>
            <w:tcW w:w="32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w:t>
            </w:r>
          </w:p>
        </w:tc>
      </w:tr>
      <w:tr>
        <w:trPr>
          <w:trHeight w:val="413"/>
        </w:trPr>
        <w:tc>
          <w:tcPr>
            <w:tcW w:w="42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w w:val="85"/>
              </w:rPr>
              <w:t>(3)</w:t>
            </w:r>
          </w:p>
        </w:tc>
        <w:tc>
          <w:tcPr>
            <w:tcW w:w="2200" w:type="dxa"/>
            <w:vAlign w:val="bottom"/>
          </w:tcPr>
          <w:p>
            <w:pPr>
              <w:ind w:left="140"/>
              <w:spacing w:after="0"/>
              <w:rPr>
                <w:sz w:val="20"/>
                <w:szCs w:val="20"/>
                <w:color w:val="auto"/>
              </w:rPr>
            </w:pPr>
            <w:r>
              <w:rPr>
                <w:rFonts w:ascii="Times New Roman" w:cs="Times New Roman" w:eastAsia="Times New Roman" w:hAnsi="Times New Roman"/>
                <w:sz w:val="24"/>
                <w:szCs w:val="24"/>
                <w:color w:val="auto"/>
              </w:rPr>
              <w:t>Actual closing date</w:t>
            </w:r>
          </w:p>
        </w:tc>
        <w:tc>
          <w:tcPr>
            <w:tcW w:w="32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w:t>
            </w:r>
          </w:p>
        </w:tc>
      </w:tr>
    </w:tbl>
    <w:p>
      <w:pPr>
        <w:spacing w:after="0" w:line="139" w:lineRule="exact"/>
        <w:rPr>
          <w:sz w:val="20"/>
          <w:szCs w:val="20"/>
          <w:color w:val="auto"/>
        </w:rPr>
      </w:pPr>
    </w:p>
    <w:tbl>
      <w:tblPr>
        <w:tblLayout w:type="fixed"/>
        <w:tblInd w:w="8" w:type="dxa"/>
        <w:tblCellMar>
          <w:top w:w="0" w:type="dxa"/>
          <w:left w:w="0" w:type="dxa"/>
          <w:bottom w:w="0" w:type="dxa"/>
          <w:right w:w="0" w:type="dxa"/>
        </w:tblCellMar>
      </w:tblPr>
      <w:tr>
        <w:trPr>
          <w:trHeight w:val="276"/>
        </w:trPr>
        <w:tc>
          <w:tcPr>
            <w:tcW w:w="42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w w:val="85"/>
              </w:rPr>
              <w:t>(4)</w:t>
            </w:r>
          </w:p>
        </w:tc>
        <w:tc>
          <w:tcPr>
            <w:tcW w:w="3700" w:type="dxa"/>
            <w:vAlign w:val="bottom"/>
            <w:gridSpan w:val="2"/>
          </w:tcPr>
          <w:p>
            <w:pPr>
              <w:ind w:left="140"/>
              <w:spacing w:after="0"/>
              <w:rPr>
                <w:sz w:val="20"/>
                <w:szCs w:val="20"/>
                <w:color w:val="auto"/>
              </w:rPr>
            </w:pPr>
            <w:r>
              <w:rPr>
                <w:rFonts w:ascii="Times New Roman" w:cs="Times New Roman" w:eastAsia="Times New Roman" w:hAnsi="Times New Roman"/>
                <w:sz w:val="24"/>
                <w:szCs w:val="24"/>
                <w:color w:val="auto"/>
              </w:rPr>
              <w:t>Issue Details (as per the prospectus)</w:t>
            </w:r>
          </w:p>
        </w:tc>
        <w:tc>
          <w:tcPr>
            <w:tcW w:w="1080" w:type="dxa"/>
            <w:vAlign w:val="bottom"/>
          </w:tcPr>
          <w:p>
            <w:pPr>
              <w:jc w:val="right"/>
              <w:ind w:right="700"/>
              <w:spacing w:after="0"/>
              <w:rPr>
                <w:sz w:val="20"/>
                <w:szCs w:val="20"/>
                <w:color w:val="auto"/>
              </w:rPr>
            </w:pPr>
            <w:r>
              <w:rPr>
                <w:rFonts w:ascii="Times New Roman" w:cs="Times New Roman" w:eastAsia="Times New Roman" w:hAnsi="Times New Roman"/>
                <w:sz w:val="24"/>
                <w:szCs w:val="24"/>
                <w:color w:val="auto"/>
              </w:rPr>
              <w:t>:</w:t>
            </w:r>
          </w:p>
        </w:tc>
        <w:tc>
          <w:tcPr>
            <w:tcW w:w="3500" w:type="dxa"/>
            <w:vAlign w:val="bottom"/>
          </w:tcPr>
          <w:p>
            <w:pPr>
              <w:spacing w:after="0"/>
              <w:rPr>
                <w:sz w:val="23"/>
                <w:szCs w:val="23"/>
                <w:color w:val="auto"/>
              </w:rPr>
            </w:pPr>
          </w:p>
        </w:tc>
      </w:tr>
      <w:tr>
        <w:trPr>
          <w:trHeight w:val="413"/>
        </w:trPr>
        <w:tc>
          <w:tcPr>
            <w:tcW w:w="420" w:type="dxa"/>
            <w:vAlign w:val="bottom"/>
          </w:tcPr>
          <w:p>
            <w:pPr>
              <w:spacing w:after="0"/>
              <w:rPr>
                <w:sz w:val="24"/>
                <w:szCs w:val="24"/>
                <w:color w:val="auto"/>
              </w:rPr>
            </w:pPr>
          </w:p>
        </w:tc>
        <w:tc>
          <w:tcPr>
            <w:tcW w:w="600" w:type="dxa"/>
            <w:vAlign w:val="bottom"/>
          </w:tcPr>
          <w:p>
            <w:pPr>
              <w:ind w:left="220"/>
              <w:spacing w:after="0"/>
              <w:rPr>
                <w:sz w:val="20"/>
                <w:szCs w:val="20"/>
                <w:color w:val="auto"/>
              </w:rPr>
            </w:pPr>
            <w:r>
              <w:rPr>
                <w:rFonts w:ascii="Times New Roman" w:cs="Times New Roman" w:eastAsia="Times New Roman" w:hAnsi="Times New Roman"/>
                <w:sz w:val="24"/>
                <w:szCs w:val="24"/>
                <w:color w:val="auto"/>
              </w:rPr>
              <w:t>(a)</w:t>
            </w:r>
          </w:p>
        </w:tc>
        <w:tc>
          <w:tcPr>
            <w:tcW w:w="4180" w:type="dxa"/>
            <w:vAlign w:val="bottom"/>
            <w:gridSpan w:val="2"/>
          </w:tcPr>
          <w:p>
            <w:pPr>
              <w:ind w:left="100"/>
              <w:spacing w:after="0"/>
              <w:rPr>
                <w:sz w:val="20"/>
                <w:szCs w:val="20"/>
                <w:color w:val="auto"/>
              </w:rPr>
            </w:pPr>
            <w:r>
              <w:rPr>
                <w:rFonts w:ascii="Times New Roman" w:cs="Times New Roman" w:eastAsia="Times New Roman" w:hAnsi="Times New Roman"/>
                <w:sz w:val="24"/>
                <w:szCs w:val="24"/>
                <w:color w:val="auto"/>
              </w:rPr>
              <w:t>Nature of specified securities (equity</w:t>
            </w:r>
          </w:p>
        </w:tc>
        <w:tc>
          <w:tcPr>
            <w:tcW w:w="3500" w:type="dxa"/>
            <w:vAlign w:val="bottom"/>
          </w:tcPr>
          <w:p>
            <w:pPr>
              <w:jc w:val="right"/>
              <w:ind w:right="3080"/>
              <w:spacing w:after="0"/>
              <w:rPr>
                <w:sz w:val="20"/>
                <w:szCs w:val="20"/>
                <w:color w:val="auto"/>
              </w:rPr>
            </w:pPr>
            <w:r>
              <w:rPr>
                <w:rFonts w:ascii="Times New Roman" w:cs="Times New Roman" w:eastAsia="Times New Roman" w:hAnsi="Times New Roman"/>
                <w:sz w:val="24"/>
                <w:szCs w:val="24"/>
                <w:color w:val="auto"/>
              </w:rPr>
              <w:t>:</w:t>
            </w:r>
          </w:p>
        </w:tc>
      </w:tr>
      <w:tr>
        <w:trPr>
          <w:trHeight w:val="415"/>
        </w:trPr>
        <w:tc>
          <w:tcPr>
            <w:tcW w:w="42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180" w:type="dxa"/>
            <w:vAlign w:val="bottom"/>
            <w:gridSpan w:val="2"/>
          </w:tcPr>
          <w:p>
            <w:pPr>
              <w:ind w:left="100"/>
              <w:spacing w:after="0"/>
              <w:rPr>
                <w:sz w:val="20"/>
                <w:szCs w:val="20"/>
                <w:color w:val="auto"/>
              </w:rPr>
            </w:pPr>
            <w:r>
              <w:rPr>
                <w:rFonts w:ascii="Times New Roman" w:cs="Times New Roman" w:eastAsia="Times New Roman" w:hAnsi="Times New Roman"/>
                <w:sz w:val="24"/>
                <w:szCs w:val="24"/>
                <w:color w:val="auto"/>
              </w:rPr>
              <w:t>shares/fully convertible debentures/partly</w:t>
            </w:r>
          </w:p>
        </w:tc>
        <w:tc>
          <w:tcPr>
            <w:tcW w:w="3500" w:type="dxa"/>
            <w:vAlign w:val="bottom"/>
          </w:tcPr>
          <w:p>
            <w:pPr>
              <w:spacing w:after="0"/>
              <w:rPr>
                <w:sz w:val="24"/>
                <w:szCs w:val="24"/>
                <w:color w:val="auto"/>
              </w:rPr>
            </w:pPr>
          </w:p>
        </w:tc>
      </w:tr>
      <w:tr>
        <w:trPr>
          <w:trHeight w:val="413"/>
        </w:trPr>
        <w:tc>
          <w:tcPr>
            <w:tcW w:w="42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310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convertible debentures, etc.)</w:t>
            </w:r>
          </w:p>
        </w:tc>
        <w:tc>
          <w:tcPr>
            <w:tcW w:w="1080" w:type="dxa"/>
            <w:vAlign w:val="bottom"/>
          </w:tcPr>
          <w:p>
            <w:pPr>
              <w:spacing w:after="0"/>
              <w:rPr>
                <w:sz w:val="24"/>
                <w:szCs w:val="24"/>
                <w:color w:val="auto"/>
              </w:rPr>
            </w:pPr>
          </w:p>
        </w:tc>
        <w:tc>
          <w:tcPr>
            <w:tcW w:w="3500" w:type="dxa"/>
            <w:vAlign w:val="bottom"/>
          </w:tcPr>
          <w:p>
            <w:pPr>
              <w:spacing w:after="0"/>
              <w:rPr>
                <w:sz w:val="24"/>
                <w:szCs w:val="24"/>
                <w:color w:val="auto"/>
              </w:rPr>
            </w:pPr>
          </w:p>
        </w:tc>
      </w:tr>
      <w:tr>
        <w:trPr>
          <w:trHeight w:val="415"/>
        </w:trPr>
        <w:tc>
          <w:tcPr>
            <w:tcW w:w="420" w:type="dxa"/>
            <w:vAlign w:val="bottom"/>
          </w:tcPr>
          <w:p>
            <w:pPr>
              <w:spacing w:after="0"/>
              <w:rPr>
                <w:sz w:val="24"/>
                <w:szCs w:val="24"/>
                <w:color w:val="auto"/>
              </w:rPr>
            </w:pPr>
          </w:p>
        </w:tc>
        <w:tc>
          <w:tcPr>
            <w:tcW w:w="600" w:type="dxa"/>
            <w:vAlign w:val="bottom"/>
          </w:tcPr>
          <w:p>
            <w:pPr>
              <w:ind w:left="220"/>
              <w:spacing w:after="0"/>
              <w:rPr>
                <w:sz w:val="20"/>
                <w:szCs w:val="20"/>
                <w:color w:val="auto"/>
              </w:rPr>
            </w:pPr>
            <w:r>
              <w:rPr>
                <w:rFonts w:ascii="Times New Roman" w:cs="Times New Roman" w:eastAsia="Times New Roman" w:hAnsi="Times New Roman"/>
                <w:sz w:val="24"/>
                <w:szCs w:val="24"/>
                <w:color w:val="auto"/>
              </w:rPr>
              <w:t>(b)</w:t>
            </w:r>
          </w:p>
        </w:tc>
        <w:tc>
          <w:tcPr>
            <w:tcW w:w="310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Offer price per instrument</w:t>
            </w:r>
          </w:p>
        </w:tc>
        <w:tc>
          <w:tcPr>
            <w:tcW w:w="1080" w:type="dxa"/>
            <w:vAlign w:val="bottom"/>
          </w:tcPr>
          <w:p>
            <w:pPr>
              <w:spacing w:after="0"/>
              <w:rPr>
                <w:sz w:val="24"/>
                <w:szCs w:val="24"/>
                <w:color w:val="auto"/>
              </w:rPr>
            </w:pPr>
          </w:p>
        </w:tc>
        <w:tc>
          <w:tcPr>
            <w:tcW w:w="3500" w:type="dxa"/>
            <w:vAlign w:val="bottom"/>
          </w:tcPr>
          <w:p>
            <w:pPr>
              <w:jc w:val="right"/>
              <w:ind w:right="3080"/>
              <w:spacing w:after="0"/>
              <w:rPr>
                <w:sz w:val="20"/>
                <w:szCs w:val="20"/>
                <w:color w:val="auto"/>
              </w:rPr>
            </w:pPr>
            <w:r>
              <w:rPr>
                <w:rFonts w:ascii="Times New Roman" w:cs="Times New Roman" w:eastAsia="Times New Roman" w:hAnsi="Times New Roman"/>
                <w:sz w:val="24"/>
                <w:szCs w:val="24"/>
                <w:color w:val="auto"/>
              </w:rPr>
              <w:t>:</w:t>
            </w:r>
          </w:p>
        </w:tc>
      </w:tr>
      <w:tr>
        <w:trPr>
          <w:trHeight w:val="413"/>
        </w:trPr>
        <w:tc>
          <w:tcPr>
            <w:tcW w:w="420" w:type="dxa"/>
            <w:vAlign w:val="bottom"/>
          </w:tcPr>
          <w:p>
            <w:pPr>
              <w:spacing w:after="0"/>
              <w:rPr>
                <w:sz w:val="24"/>
                <w:szCs w:val="24"/>
                <w:color w:val="auto"/>
              </w:rPr>
            </w:pPr>
          </w:p>
        </w:tc>
        <w:tc>
          <w:tcPr>
            <w:tcW w:w="600" w:type="dxa"/>
            <w:vAlign w:val="bottom"/>
          </w:tcPr>
          <w:p>
            <w:pPr>
              <w:ind w:left="220"/>
              <w:spacing w:after="0"/>
              <w:rPr>
                <w:sz w:val="20"/>
                <w:szCs w:val="20"/>
                <w:color w:val="auto"/>
              </w:rPr>
            </w:pPr>
            <w:r>
              <w:rPr>
                <w:rFonts w:ascii="Times New Roman" w:cs="Times New Roman" w:eastAsia="Times New Roman" w:hAnsi="Times New Roman"/>
                <w:sz w:val="24"/>
                <w:szCs w:val="24"/>
                <w:color w:val="auto"/>
              </w:rPr>
              <w:t>(c)</w:t>
            </w:r>
          </w:p>
        </w:tc>
        <w:tc>
          <w:tcPr>
            <w:tcW w:w="4180" w:type="dxa"/>
            <w:vAlign w:val="bottom"/>
            <w:gridSpan w:val="2"/>
          </w:tcPr>
          <w:p>
            <w:pPr>
              <w:ind w:left="100"/>
              <w:spacing w:after="0"/>
              <w:rPr>
                <w:sz w:val="20"/>
                <w:szCs w:val="20"/>
                <w:color w:val="auto"/>
              </w:rPr>
            </w:pPr>
            <w:r>
              <w:rPr>
                <w:rFonts w:ascii="Times New Roman" w:cs="Times New Roman" w:eastAsia="Times New Roman" w:hAnsi="Times New Roman"/>
                <w:sz w:val="24"/>
                <w:szCs w:val="24"/>
                <w:color w:val="auto"/>
              </w:rPr>
              <w:t>Amount per instrument on application</w:t>
            </w:r>
          </w:p>
        </w:tc>
        <w:tc>
          <w:tcPr>
            <w:tcW w:w="3500" w:type="dxa"/>
            <w:vAlign w:val="bottom"/>
          </w:tcPr>
          <w:p>
            <w:pPr>
              <w:jc w:val="right"/>
              <w:ind w:right="3080"/>
              <w:spacing w:after="0"/>
              <w:rPr>
                <w:sz w:val="20"/>
                <w:szCs w:val="20"/>
                <w:color w:val="auto"/>
              </w:rPr>
            </w:pPr>
            <w:r>
              <w:rPr>
                <w:rFonts w:ascii="Times New Roman" w:cs="Times New Roman" w:eastAsia="Times New Roman" w:hAnsi="Times New Roman"/>
                <w:sz w:val="24"/>
                <w:szCs w:val="24"/>
                <w:color w:val="auto"/>
              </w:rPr>
              <w:t>:</w:t>
            </w:r>
          </w:p>
        </w:tc>
      </w:tr>
      <w:tr>
        <w:trPr>
          <w:trHeight w:val="415"/>
        </w:trPr>
        <w:tc>
          <w:tcPr>
            <w:tcW w:w="420" w:type="dxa"/>
            <w:vAlign w:val="bottom"/>
          </w:tcPr>
          <w:p>
            <w:pPr>
              <w:spacing w:after="0"/>
              <w:rPr>
                <w:sz w:val="24"/>
                <w:szCs w:val="24"/>
                <w:color w:val="auto"/>
              </w:rPr>
            </w:pPr>
          </w:p>
        </w:tc>
        <w:tc>
          <w:tcPr>
            <w:tcW w:w="600" w:type="dxa"/>
            <w:vAlign w:val="bottom"/>
          </w:tcPr>
          <w:p>
            <w:pPr>
              <w:ind w:left="220"/>
              <w:spacing w:after="0"/>
              <w:rPr>
                <w:sz w:val="20"/>
                <w:szCs w:val="20"/>
                <w:color w:val="auto"/>
              </w:rPr>
            </w:pPr>
            <w:r>
              <w:rPr>
                <w:rFonts w:ascii="Times New Roman" w:cs="Times New Roman" w:eastAsia="Times New Roman" w:hAnsi="Times New Roman"/>
                <w:sz w:val="24"/>
                <w:szCs w:val="24"/>
                <w:color w:val="auto"/>
              </w:rPr>
              <w:t>(d)</w:t>
            </w:r>
          </w:p>
        </w:tc>
        <w:tc>
          <w:tcPr>
            <w:tcW w:w="310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Issue size (` lakhs)</w:t>
            </w:r>
          </w:p>
        </w:tc>
        <w:tc>
          <w:tcPr>
            <w:tcW w:w="1080" w:type="dxa"/>
            <w:vAlign w:val="bottom"/>
          </w:tcPr>
          <w:p>
            <w:pPr>
              <w:spacing w:after="0"/>
              <w:rPr>
                <w:sz w:val="24"/>
                <w:szCs w:val="24"/>
                <w:color w:val="auto"/>
              </w:rPr>
            </w:pPr>
          </w:p>
        </w:tc>
        <w:tc>
          <w:tcPr>
            <w:tcW w:w="3500" w:type="dxa"/>
            <w:vAlign w:val="bottom"/>
          </w:tcPr>
          <w:p>
            <w:pPr>
              <w:jc w:val="right"/>
              <w:ind w:right="3080"/>
              <w:spacing w:after="0"/>
              <w:rPr>
                <w:sz w:val="20"/>
                <w:szCs w:val="20"/>
                <w:color w:val="auto"/>
              </w:rPr>
            </w:pPr>
            <w:r>
              <w:rPr>
                <w:rFonts w:ascii="Times New Roman" w:cs="Times New Roman" w:eastAsia="Times New Roman" w:hAnsi="Times New Roman"/>
                <w:sz w:val="24"/>
                <w:szCs w:val="24"/>
                <w:color w:val="auto"/>
              </w:rPr>
              <w:t>:</w:t>
            </w:r>
          </w:p>
        </w:tc>
      </w:tr>
      <w:tr>
        <w:trPr>
          <w:trHeight w:val="413"/>
        </w:trPr>
        <w:tc>
          <w:tcPr>
            <w:tcW w:w="42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w w:val="85"/>
              </w:rPr>
              <w:t>(5)</w:t>
            </w:r>
          </w:p>
        </w:tc>
        <w:tc>
          <w:tcPr>
            <w:tcW w:w="3700" w:type="dxa"/>
            <w:vAlign w:val="bottom"/>
            <w:gridSpan w:val="2"/>
          </w:tcPr>
          <w:p>
            <w:pPr>
              <w:ind w:left="140"/>
              <w:spacing w:after="0"/>
              <w:rPr>
                <w:sz w:val="20"/>
                <w:szCs w:val="20"/>
                <w:color w:val="auto"/>
              </w:rPr>
            </w:pPr>
            <w:r>
              <w:rPr>
                <w:rFonts w:ascii="Times New Roman" w:cs="Times New Roman" w:eastAsia="Times New Roman" w:hAnsi="Times New Roman"/>
                <w:sz w:val="24"/>
                <w:szCs w:val="24"/>
                <w:color w:val="auto"/>
              </w:rPr>
              <w:t>Number of collecting banks</w:t>
            </w:r>
          </w:p>
        </w:tc>
        <w:tc>
          <w:tcPr>
            <w:tcW w:w="1080" w:type="dxa"/>
            <w:vAlign w:val="bottom"/>
          </w:tcPr>
          <w:p>
            <w:pPr>
              <w:spacing w:after="0"/>
              <w:rPr>
                <w:sz w:val="24"/>
                <w:szCs w:val="24"/>
                <w:color w:val="auto"/>
              </w:rPr>
            </w:pPr>
          </w:p>
        </w:tc>
        <w:tc>
          <w:tcPr>
            <w:tcW w:w="35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w:t>
            </w:r>
          </w:p>
        </w:tc>
      </w:tr>
      <w:tr>
        <w:trPr>
          <w:trHeight w:val="415"/>
        </w:trPr>
        <w:tc>
          <w:tcPr>
            <w:tcW w:w="420" w:type="dxa"/>
            <w:vAlign w:val="bottom"/>
          </w:tcPr>
          <w:p>
            <w:pPr>
              <w:spacing w:after="0"/>
              <w:rPr>
                <w:sz w:val="24"/>
                <w:szCs w:val="24"/>
                <w:color w:val="auto"/>
              </w:rPr>
            </w:pPr>
          </w:p>
        </w:tc>
        <w:tc>
          <w:tcPr>
            <w:tcW w:w="4780" w:type="dxa"/>
            <w:vAlign w:val="bottom"/>
            <w:gridSpan w:val="3"/>
          </w:tcPr>
          <w:p>
            <w:pPr>
              <w:ind w:left="300"/>
              <w:spacing w:after="0"/>
              <w:rPr>
                <w:sz w:val="20"/>
                <w:szCs w:val="20"/>
                <w:color w:val="auto"/>
              </w:rPr>
            </w:pPr>
            <w:r>
              <w:rPr>
                <w:rFonts w:ascii="Times New Roman" w:cs="Times New Roman" w:eastAsia="Times New Roman" w:hAnsi="Times New Roman"/>
                <w:sz w:val="24"/>
                <w:szCs w:val="24"/>
                <w:color w:val="auto"/>
              </w:rPr>
              <w:t>(Also specify number of bank branches)</w:t>
            </w:r>
          </w:p>
        </w:tc>
        <w:tc>
          <w:tcPr>
            <w:tcW w:w="3500" w:type="dxa"/>
            <w:vAlign w:val="bottom"/>
          </w:tcPr>
          <w:p>
            <w:pPr>
              <w:spacing w:after="0"/>
              <w:rPr>
                <w:sz w:val="24"/>
                <w:szCs w:val="24"/>
                <w:color w:val="auto"/>
              </w:rPr>
            </w:pPr>
          </w:p>
        </w:tc>
      </w:tr>
    </w:tbl>
    <w:p>
      <w:pPr>
        <w:spacing w:after="0" w:line="148" w:lineRule="exact"/>
        <w:rPr>
          <w:sz w:val="20"/>
          <w:szCs w:val="20"/>
          <w:color w:val="auto"/>
        </w:rPr>
      </w:pPr>
    </w:p>
    <w:p>
      <w:pPr>
        <w:ind w:left="568" w:hanging="568"/>
        <w:spacing w:after="0"/>
        <w:tabs>
          <w:tab w:leader="none" w:pos="568" w:val="left"/>
        </w:tabs>
        <w:numPr>
          <w:ilvl w:val="0"/>
          <w:numId w:val="1224"/>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Bank-wise names of branches which did not submit final consolidated certificates on the date</w:t>
      </w:r>
    </w:p>
    <w:p>
      <w:pPr>
        <w:spacing w:after="0" w:line="139" w:lineRule="exact"/>
        <w:rPr>
          <w:sz w:val="20"/>
          <w:szCs w:val="20"/>
          <w:color w:val="auto"/>
        </w:rPr>
      </w:pPr>
    </w:p>
    <w:p>
      <w:pPr>
        <w:ind w:left="728"/>
        <w:spacing w:after="0"/>
        <w:tabs>
          <w:tab w:leader="none" w:pos="7907" w:val="left"/>
        </w:tabs>
        <w:rPr>
          <w:sz w:val="20"/>
          <w:szCs w:val="20"/>
          <w:color w:val="auto"/>
        </w:rPr>
      </w:pPr>
      <w:r>
        <w:rPr>
          <w:rFonts w:ascii="Times New Roman" w:cs="Times New Roman" w:eastAsia="Times New Roman" w:hAnsi="Times New Roman"/>
          <w:sz w:val="24"/>
          <w:szCs w:val="24"/>
          <w:color w:val="auto"/>
        </w:rPr>
        <w:t>of closure of the issue and the dates when they actually submitted the same</w:t>
      </w:r>
      <w:r>
        <w:rPr>
          <w:sz w:val="20"/>
          <w:szCs w:val="20"/>
          <w:color w:val="auto"/>
        </w:rPr>
        <w:tab/>
      </w:r>
      <w:r>
        <w:rPr>
          <w:rFonts w:ascii="Times New Roman" w:cs="Times New Roman" w:eastAsia="Times New Roman" w:hAnsi="Times New Roman"/>
          <w:sz w:val="21"/>
          <w:szCs w:val="21"/>
          <w:color w:val="auto"/>
        </w:rPr>
        <w:t>:</w:t>
      </w:r>
    </w:p>
    <w:p>
      <w:pPr>
        <w:spacing w:after="0" w:line="137" w:lineRule="exact"/>
        <w:rPr>
          <w:sz w:val="20"/>
          <w:szCs w:val="20"/>
          <w:color w:val="auto"/>
        </w:rPr>
      </w:pPr>
    </w:p>
    <w:p>
      <w:pPr>
        <w:ind w:left="568" w:hanging="568"/>
        <w:spacing w:after="0"/>
        <w:tabs>
          <w:tab w:leader="none" w:pos="568" w:val="left"/>
        </w:tabs>
        <w:numPr>
          <w:ilvl w:val="0"/>
          <w:numId w:val="122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Subscription Details:</w:t>
      </w:r>
    </w:p>
    <w:p>
      <w:pPr>
        <w:spacing w:after="0" w:line="151" w:lineRule="exact"/>
        <w:rPr>
          <w:sz w:val="20"/>
          <w:szCs w:val="20"/>
          <w:color w:val="auto"/>
        </w:rPr>
      </w:pPr>
    </w:p>
    <w:p>
      <w:pPr>
        <w:ind w:left="1148" w:hanging="572"/>
        <w:spacing w:after="0" w:line="348" w:lineRule="auto"/>
        <w:tabs>
          <w:tab w:leader="none" w:pos="1148" w:val="left"/>
        </w:tabs>
        <w:numPr>
          <w:ilvl w:val="0"/>
          <w:numId w:val="122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Public Offer (Net) (including unsubscribed portion of the reserved category added back to the net public offer)</w:t>
      </w:r>
    </w:p>
    <w:p>
      <w:pPr>
        <w:spacing w:after="0" w:line="9" w:lineRule="exact"/>
        <w:rPr>
          <w:sz w:val="20"/>
          <w:szCs w:val="20"/>
          <w:color w:val="auto"/>
        </w:rPr>
      </w:pPr>
    </w:p>
    <w:p>
      <w:pPr>
        <w:ind w:left="1148"/>
        <w:spacing w:after="0"/>
        <w:tabs>
          <w:tab w:leader="none" w:pos="1707" w:val="left"/>
          <w:tab w:leader="none" w:pos="5747" w:val="left"/>
        </w:tabs>
        <w:rPr>
          <w:sz w:val="20"/>
          <w:szCs w:val="20"/>
          <w:color w:val="auto"/>
        </w:rPr>
      </w:pPr>
      <w:r>
        <w:rPr>
          <w:rFonts w:ascii="Calibri" w:cs="Calibri" w:eastAsia="Calibri" w:hAnsi="Calibri"/>
          <w:sz w:val="22"/>
          <w:szCs w:val="22"/>
          <w:color w:val="auto"/>
        </w:rPr>
        <w:t>(i)</w:t>
      </w:r>
      <w:r>
        <w:rPr>
          <w:sz w:val="20"/>
          <w:szCs w:val="20"/>
          <w:color w:val="auto"/>
        </w:rPr>
        <w:tab/>
      </w:r>
      <w:r>
        <w:rPr>
          <w:rFonts w:ascii="Times New Roman" w:cs="Times New Roman" w:eastAsia="Times New Roman" w:hAnsi="Times New Roman"/>
          <w:sz w:val="24"/>
          <w:szCs w:val="24"/>
          <w:color w:val="auto"/>
        </w:rPr>
        <w:t>No. of applications received</w:t>
      </w:r>
      <w:r>
        <w:rPr>
          <w:sz w:val="20"/>
          <w:szCs w:val="20"/>
          <w:color w:val="auto"/>
        </w:rPr>
        <w:tab/>
      </w:r>
      <w:r>
        <w:rPr>
          <w:rFonts w:ascii="Times New Roman" w:cs="Times New Roman" w:eastAsia="Times New Roman" w:hAnsi="Times New Roman"/>
          <w:sz w:val="21"/>
          <w:szCs w:val="21"/>
          <w:color w:val="auto"/>
        </w:rPr>
        <w:t>:</w:t>
      </w:r>
    </w:p>
    <w:p>
      <w:pPr>
        <w:spacing w:after="0" w:line="130" w:lineRule="exact"/>
        <w:rPr>
          <w:sz w:val="20"/>
          <w:szCs w:val="20"/>
          <w:color w:val="auto"/>
        </w:rPr>
      </w:pPr>
    </w:p>
    <w:p>
      <w:pPr>
        <w:ind w:left="1148"/>
        <w:spacing w:after="0"/>
        <w:tabs>
          <w:tab w:leader="none" w:pos="1707" w:val="left"/>
          <w:tab w:leader="none" w:pos="5747" w:val="left"/>
        </w:tabs>
        <w:rPr>
          <w:sz w:val="20"/>
          <w:szCs w:val="20"/>
          <w:color w:val="auto"/>
        </w:rPr>
      </w:pPr>
      <w:r>
        <w:rPr>
          <w:rFonts w:ascii="Calibri" w:cs="Calibri" w:eastAsia="Calibri" w:hAnsi="Calibri"/>
          <w:sz w:val="22"/>
          <w:szCs w:val="22"/>
          <w:color w:val="auto"/>
        </w:rPr>
        <w:t>(ii)</w:t>
      </w:r>
      <w:r>
        <w:rPr>
          <w:sz w:val="20"/>
          <w:szCs w:val="20"/>
          <w:color w:val="auto"/>
        </w:rPr>
        <w:tab/>
      </w:r>
      <w:r>
        <w:rPr>
          <w:rFonts w:ascii="Times New Roman" w:cs="Times New Roman" w:eastAsia="Times New Roman" w:hAnsi="Times New Roman"/>
          <w:sz w:val="24"/>
          <w:szCs w:val="24"/>
          <w:color w:val="auto"/>
        </w:rPr>
        <w:t>No. of instruments applied for</w:t>
      </w:r>
      <w:r>
        <w:rPr>
          <w:sz w:val="20"/>
          <w:szCs w:val="20"/>
          <w:color w:val="auto"/>
        </w:rPr>
        <w:tab/>
      </w:r>
      <w:r>
        <w:rPr>
          <w:rFonts w:ascii="Times New Roman" w:cs="Times New Roman" w:eastAsia="Times New Roman" w:hAnsi="Times New Roman"/>
          <w:sz w:val="21"/>
          <w:szCs w:val="21"/>
          <w:color w:val="auto"/>
        </w:rPr>
        <w:t>:</w:t>
      </w:r>
    </w:p>
    <w:p>
      <w:pPr>
        <w:spacing w:after="0" w:line="151" w:lineRule="exact"/>
        <w:rPr>
          <w:sz w:val="20"/>
          <w:szCs w:val="20"/>
          <w:color w:val="auto"/>
        </w:rPr>
      </w:pPr>
    </w:p>
    <w:p>
      <w:pPr>
        <w:ind w:left="4548" w:right="3640" w:hanging="3396"/>
        <w:spacing w:after="0" w:line="565" w:lineRule="auto"/>
        <w:tabs>
          <w:tab w:leader="none" w:pos="1722" w:val="left"/>
        </w:tabs>
        <w:numPr>
          <w:ilvl w:val="0"/>
          <w:numId w:val="1227"/>
        </w:numPr>
        <w:rPr>
          <w:rFonts w:ascii="Calibri" w:cs="Calibri" w:eastAsia="Calibri" w:hAnsi="Calibri"/>
          <w:sz w:val="22"/>
          <w:szCs w:val="22"/>
          <w:color w:val="auto"/>
        </w:rPr>
      </w:pPr>
      <w:r>
        <w:rPr>
          <w:rFonts w:ascii="Times New Roman" w:cs="Times New Roman" w:eastAsia="Times New Roman" w:hAnsi="Times New Roman"/>
          <w:sz w:val="24"/>
          <w:szCs w:val="24"/>
          <w:color w:val="auto"/>
        </w:rPr>
        <w:t>Amount of subscription received (` lakhs) : 409</w:t>
      </w:r>
    </w:p>
    <w:p>
      <w:pPr>
        <w:sectPr>
          <w:pgSz w:w="11900" w:h="16836" w:orient="portrait"/>
          <w:cols w:equalWidth="0" w:num="1">
            <w:col w:w="9468"/>
          </w:cols>
          <w:pgMar w:left="1152" w:top="1156" w:right="1284" w:bottom="0" w:gutter="0" w:footer="0" w:header="0"/>
        </w:sectPr>
      </w:pPr>
    </w:p>
    <w:bookmarkStart w:id="409" w:name="page410"/>
    <w:bookmarkEnd w:id="409"/>
    <w:p>
      <w:pPr>
        <w:ind w:left="1148"/>
        <w:spacing w:after="0"/>
        <w:tabs>
          <w:tab w:leader="none" w:pos="1707" w:val="left"/>
          <w:tab w:leader="none" w:pos="5747" w:val="left"/>
        </w:tabs>
        <w:rPr>
          <w:sz w:val="20"/>
          <w:szCs w:val="20"/>
          <w:color w:val="auto"/>
        </w:rPr>
      </w:pPr>
      <w:r>
        <w:rPr>
          <w:rFonts w:ascii="Calibri" w:cs="Calibri" w:eastAsia="Calibri" w:hAnsi="Calibri"/>
          <w:sz w:val="22"/>
          <w:szCs w:val="22"/>
          <w:color w:val="auto"/>
        </w:rPr>
        <w:t>(iv)</w:t>
      </w:r>
      <w:r>
        <w:rPr>
          <w:sz w:val="20"/>
          <w:szCs w:val="20"/>
          <w:color w:val="auto"/>
        </w:rPr>
        <w:tab/>
      </w:r>
      <w:r>
        <w:rPr>
          <w:rFonts w:ascii="Times New Roman" w:cs="Times New Roman" w:eastAsia="Times New Roman" w:hAnsi="Times New Roman"/>
          <w:sz w:val="24"/>
          <w:szCs w:val="24"/>
          <w:color w:val="auto"/>
        </w:rPr>
        <w:t>No. of times issue subscribed</w:t>
      </w:r>
      <w:r>
        <w:rPr>
          <w:sz w:val="20"/>
          <w:szCs w:val="20"/>
          <w:color w:val="auto"/>
        </w:rPr>
        <w:tab/>
      </w:r>
      <w:r>
        <w:rPr>
          <w:rFonts w:ascii="Times New Roman" w:cs="Times New Roman" w:eastAsia="Times New Roman" w:hAnsi="Times New Roman"/>
          <w:sz w:val="21"/>
          <w:szCs w:val="21"/>
          <w:color w:val="auto"/>
        </w:rPr>
        <w:t>:</w:t>
      </w:r>
    </w:p>
    <w:p>
      <w:pPr>
        <w:spacing w:after="0" w:line="137" w:lineRule="exact"/>
        <w:rPr>
          <w:sz w:val="20"/>
          <w:szCs w:val="20"/>
          <w:color w:val="auto"/>
        </w:rPr>
      </w:pPr>
    </w:p>
    <w:p>
      <w:pPr>
        <w:ind w:left="1148" w:hanging="572"/>
        <w:spacing w:after="0"/>
        <w:tabs>
          <w:tab w:leader="none" w:pos="1148" w:val="left"/>
        </w:tabs>
        <w:numPr>
          <w:ilvl w:val="0"/>
          <w:numId w:val="122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Information relating to reserved categories</w:t>
      </w:r>
    </w:p>
    <w:p>
      <w:pPr>
        <w:spacing w:after="0" w:line="142" w:lineRule="exact"/>
        <w:rPr>
          <w:sz w:val="20"/>
          <w:szCs w:val="20"/>
          <w:color w:val="auto"/>
        </w:rPr>
      </w:pPr>
    </w:p>
    <w:tbl>
      <w:tblPr>
        <w:tblLayout w:type="fixed"/>
        <w:tblInd w:w="8" w:type="dxa"/>
        <w:tblCellMar>
          <w:top w:w="0" w:type="dxa"/>
          <w:left w:w="0" w:type="dxa"/>
          <w:bottom w:w="0" w:type="dxa"/>
          <w:right w:w="0" w:type="dxa"/>
        </w:tblCellMar>
      </w:tblPr>
      <w:tr>
        <w:trPr>
          <w:trHeight w:val="276"/>
        </w:trPr>
        <w:tc>
          <w:tcPr>
            <w:tcW w:w="420" w:type="dxa"/>
            <w:vAlign w:val="bottom"/>
          </w:tcPr>
          <w:p>
            <w:pPr>
              <w:spacing w:after="0"/>
              <w:rPr>
                <w:sz w:val="23"/>
                <w:szCs w:val="23"/>
                <w:color w:val="auto"/>
              </w:rPr>
            </w:pPr>
          </w:p>
        </w:tc>
        <w:tc>
          <w:tcPr>
            <w:tcW w:w="580" w:type="dxa"/>
            <w:vAlign w:val="bottom"/>
          </w:tcPr>
          <w:p>
            <w:pPr>
              <w:spacing w:after="0"/>
              <w:rPr>
                <w:sz w:val="23"/>
                <w:szCs w:val="23"/>
                <w:color w:val="auto"/>
              </w:rPr>
            </w:pPr>
          </w:p>
        </w:tc>
        <w:tc>
          <w:tcPr>
            <w:tcW w:w="400" w:type="dxa"/>
            <w:vAlign w:val="bottom"/>
          </w:tcPr>
          <w:p>
            <w:pPr>
              <w:spacing w:after="0"/>
              <w:rPr>
                <w:sz w:val="23"/>
                <w:szCs w:val="23"/>
                <w:color w:val="auto"/>
              </w:rPr>
            </w:pPr>
          </w:p>
        </w:tc>
        <w:tc>
          <w:tcPr>
            <w:tcW w:w="1720" w:type="dxa"/>
            <w:vAlign w:val="bottom"/>
          </w:tcPr>
          <w:p>
            <w:pPr>
              <w:ind w:left="40"/>
              <w:spacing w:after="0"/>
              <w:rPr>
                <w:sz w:val="20"/>
                <w:szCs w:val="20"/>
                <w:color w:val="auto"/>
              </w:rPr>
            </w:pPr>
            <w:r>
              <w:rPr>
                <w:rFonts w:ascii="Times New Roman" w:cs="Times New Roman" w:eastAsia="Times New Roman" w:hAnsi="Times New Roman"/>
                <w:sz w:val="24"/>
                <w:szCs w:val="24"/>
                <w:color w:val="auto"/>
              </w:rPr>
              <w:t>Reservations</w:t>
            </w:r>
          </w:p>
        </w:tc>
        <w:tc>
          <w:tcPr>
            <w:tcW w:w="5360" w:type="dxa"/>
            <w:vAlign w:val="bottom"/>
            <w:gridSpan w:val="2"/>
          </w:tcPr>
          <w:p>
            <w:pPr>
              <w:jc w:val="right"/>
              <w:ind w:right="40"/>
              <w:spacing w:after="0"/>
              <w:rPr>
                <w:sz w:val="20"/>
                <w:szCs w:val="20"/>
                <w:color w:val="auto"/>
              </w:rPr>
            </w:pPr>
            <w:r>
              <w:rPr>
                <w:rFonts w:ascii="Times New Roman" w:cs="Times New Roman" w:eastAsia="Times New Roman" w:hAnsi="Times New Roman"/>
                <w:sz w:val="24"/>
                <w:szCs w:val="24"/>
                <w:color w:val="auto"/>
              </w:rPr>
              <w:t>No. of applications No. of instruments    Amount</w:t>
            </w:r>
          </w:p>
        </w:tc>
        <w:tc>
          <w:tcPr>
            <w:tcW w:w="1020" w:type="dxa"/>
            <w:vAlign w:val="bottom"/>
          </w:tcPr>
          <w:p>
            <w:pPr>
              <w:spacing w:after="0"/>
              <w:rPr>
                <w:sz w:val="23"/>
                <w:szCs w:val="23"/>
                <w:color w:val="auto"/>
              </w:rPr>
            </w:pPr>
          </w:p>
        </w:tc>
      </w:tr>
      <w:tr>
        <w:trPr>
          <w:trHeight w:val="164"/>
        </w:trPr>
        <w:tc>
          <w:tcPr>
            <w:tcW w:w="420" w:type="dxa"/>
            <w:vAlign w:val="bottom"/>
          </w:tcPr>
          <w:p>
            <w:pPr>
              <w:spacing w:after="0"/>
              <w:rPr>
                <w:sz w:val="14"/>
                <w:szCs w:val="14"/>
                <w:color w:val="auto"/>
              </w:rPr>
            </w:pPr>
          </w:p>
        </w:tc>
        <w:tc>
          <w:tcPr>
            <w:tcW w:w="580" w:type="dxa"/>
            <w:vAlign w:val="bottom"/>
          </w:tcPr>
          <w:p>
            <w:pPr>
              <w:spacing w:after="0"/>
              <w:rPr>
                <w:sz w:val="14"/>
                <w:szCs w:val="14"/>
                <w:color w:val="auto"/>
              </w:rPr>
            </w:pPr>
          </w:p>
        </w:tc>
        <w:tc>
          <w:tcPr>
            <w:tcW w:w="400" w:type="dxa"/>
            <w:vAlign w:val="bottom"/>
          </w:tcPr>
          <w:p>
            <w:pPr>
              <w:spacing w:after="0"/>
              <w:rPr>
                <w:sz w:val="14"/>
                <w:szCs w:val="14"/>
                <w:color w:val="auto"/>
              </w:rPr>
            </w:pPr>
          </w:p>
        </w:tc>
        <w:tc>
          <w:tcPr>
            <w:tcW w:w="1720" w:type="dxa"/>
            <w:vAlign w:val="bottom"/>
            <w:tcBorders>
              <w:bottom w:val="single" w:sz="8" w:color="auto"/>
            </w:tcBorders>
          </w:tcPr>
          <w:p>
            <w:pPr>
              <w:spacing w:after="0"/>
              <w:rPr>
                <w:sz w:val="14"/>
                <w:szCs w:val="14"/>
                <w:color w:val="auto"/>
              </w:rPr>
            </w:pPr>
          </w:p>
        </w:tc>
        <w:tc>
          <w:tcPr>
            <w:tcW w:w="920" w:type="dxa"/>
            <w:vAlign w:val="bottom"/>
            <w:tcBorders>
              <w:bottom w:val="single" w:sz="8" w:color="auto"/>
            </w:tcBorders>
          </w:tcPr>
          <w:p>
            <w:pPr>
              <w:spacing w:after="0"/>
              <w:rPr>
                <w:sz w:val="14"/>
                <w:szCs w:val="14"/>
                <w:color w:val="auto"/>
              </w:rPr>
            </w:pPr>
          </w:p>
        </w:tc>
        <w:tc>
          <w:tcPr>
            <w:tcW w:w="4440" w:type="dxa"/>
            <w:vAlign w:val="bottom"/>
            <w:tcBorders>
              <w:bottom w:val="single" w:sz="8" w:color="auto"/>
            </w:tcBorders>
          </w:tcPr>
          <w:p>
            <w:pPr>
              <w:spacing w:after="0"/>
              <w:rPr>
                <w:sz w:val="14"/>
                <w:szCs w:val="14"/>
                <w:color w:val="auto"/>
              </w:rPr>
            </w:pPr>
          </w:p>
        </w:tc>
        <w:tc>
          <w:tcPr>
            <w:tcW w:w="1020" w:type="dxa"/>
            <w:vAlign w:val="bottom"/>
            <w:tcBorders>
              <w:bottom w:val="single" w:sz="8" w:color="auto"/>
            </w:tcBorders>
          </w:tcPr>
          <w:p>
            <w:pPr>
              <w:spacing w:after="0"/>
              <w:rPr>
                <w:sz w:val="14"/>
                <w:szCs w:val="14"/>
                <w:color w:val="auto"/>
              </w:rPr>
            </w:pPr>
          </w:p>
        </w:tc>
      </w:tr>
      <w:tr>
        <w:trPr>
          <w:trHeight w:val="268"/>
        </w:trPr>
        <w:tc>
          <w:tcPr>
            <w:tcW w:w="420" w:type="dxa"/>
            <w:vAlign w:val="bottom"/>
          </w:tcPr>
          <w:p>
            <w:pPr>
              <w:spacing w:after="0"/>
              <w:rPr>
                <w:sz w:val="23"/>
                <w:szCs w:val="23"/>
                <w:color w:val="auto"/>
              </w:rPr>
            </w:pPr>
          </w:p>
        </w:tc>
        <w:tc>
          <w:tcPr>
            <w:tcW w:w="580" w:type="dxa"/>
            <w:vAlign w:val="bottom"/>
          </w:tcPr>
          <w:p>
            <w:pPr>
              <w:spacing w:after="0"/>
              <w:rPr>
                <w:sz w:val="23"/>
                <w:szCs w:val="23"/>
                <w:color w:val="auto"/>
              </w:rPr>
            </w:pPr>
          </w:p>
        </w:tc>
        <w:tc>
          <w:tcPr>
            <w:tcW w:w="400" w:type="dxa"/>
            <w:vAlign w:val="bottom"/>
          </w:tcPr>
          <w:p>
            <w:pPr>
              <w:spacing w:after="0"/>
              <w:rPr>
                <w:sz w:val="23"/>
                <w:szCs w:val="23"/>
                <w:color w:val="auto"/>
              </w:rPr>
            </w:pPr>
          </w:p>
        </w:tc>
        <w:tc>
          <w:tcPr>
            <w:tcW w:w="1720" w:type="dxa"/>
            <w:vAlign w:val="bottom"/>
          </w:tcPr>
          <w:p>
            <w:pPr>
              <w:ind w:left="40"/>
              <w:spacing w:after="0" w:line="267" w:lineRule="exact"/>
              <w:rPr>
                <w:sz w:val="20"/>
                <w:szCs w:val="20"/>
                <w:color w:val="auto"/>
              </w:rPr>
            </w:pPr>
            <w:r>
              <w:rPr>
                <w:rFonts w:ascii="Times New Roman" w:cs="Times New Roman" w:eastAsia="Times New Roman" w:hAnsi="Times New Roman"/>
                <w:sz w:val="24"/>
                <w:szCs w:val="24"/>
                <w:color w:val="auto"/>
              </w:rPr>
              <w:t>Employees</w:t>
            </w:r>
          </w:p>
        </w:tc>
        <w:tc>
          <w:tcPr>
            <w:tcW w:w="920" w:type="dxa"/>
            <w:vAlign w:val="bottom"/>
          </w:tcPr>
          <w:p>
            <w:pPr>
              <w:spacing w:after="0"/>
              <w:rPr>
                <w:sz w:val="23"/>
                <w:szCs w:val="23"/>
                <w:color w:val="auto"/>
              </w:rPr>
            </w:pPr>
          </w:p>
        </w:tc>
        <w:tc>
          <w:tcPr>
            <w:tcW w:w="4440" w:type="dxa"/>
            <w:vAlign w:val="bottom"/>
          </w:tcPr>
          <w:p>
            <w:pPr>
              <w:spacing w:after="0"/>
              <w:rPr>
                <w:sz w:val="23"/>
                <w:szCs w:val="23"/>
                <w:color w:val="auto"/>
              </w:rPr>
            </w:pPr>
          </w:p>
        </w:tc>
        <w:tc>
          <w:tcPr>
            <w:tcW w:w="1020" w:type="dxa"/>
            <w:vAlign w:val="bottom"/>
          </w:tcPr>
          <w:p>
            <w:pPr>
              <w:spacing w:after="0"/>
              <w:rPr>
                <w:sz w:val="23"/>
                <w:szCs w:val="23"/>
                <w:color w:val="auto"/>
              </w:rPr>
            </w:pPr>
          </w:p>
        </w:tc>
      </w:tr>
      <w:tr>
        <w:trPr>
          <w:trHeight w:val="415"/>
        </w:trPr>
        <w:tc>
          <w:tcPr>
            <w:tcW w:w="42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720" w:type="dxa"/>
            <w:vAlign w:val="bottom"/>
          </w:tcPr>
          <w:p>
            <w:pPr>
              <w:ind w:left="40"/>
              <w:spacing w:after="0"/>
              <w:rPr>
                <w:sz w:val="20"/>
                <w:szCs w:val="20"/>
                <w:color w:val="auto"/>
              </w:rPr>
            </w:pPr>
            <w:r>
              <w:rPr>
                <w:rFonts w:ascii="Times New Roman" w:cs="Times New Roman" w:eastAsia="Times New Roman" w:hAnsi="Times New Roman"/>
                <w:sz w:val="24"/>
                <w:szCs w:val="24"/>
                <w:color w:val="auto"/>
              </w:rPr>
              <w:t>Others</w:t>
            </w:r>
          </w:p>
        </w:tc>
        <w:tc>
          <w:tcPr>
            <w:tcW w:w="920" w:type="dxa"/>
            <w:vAlign w:val="bottom"/>
          </w:tcPr>
          <w:p>
            <w:pPr>
              <w:spacing w:after="0"/>
              <w:rPr>
                <w:sz w:val="24"/>
                <w:szCs w:val="24"/>
                <w:color w:val="auto"/>
              </w:rPr>
            </w:pPr>
          </w:p>
        </w:tc>
        <w:tc>
          <w:tcPr>
            <w:tcW w:w="4440" w:type="dxa"/>
            <w:vAlign w:val="bottom"/>
          </w:tcPr>
          <w:p>
            <w:pPr>
              <w:spacing w:after="0"/>
              <w:rPr>
                <w:sz w:val="24"/>
                <w:szCs w:val="24"/>
                <w:color w:val="auto"/>
              </w:rPr>
            </w:pPr>
          </w:p>
        </w:tc>
        <w:tc>
          <w:tcPr>
            <w:tcW w:w="1020" w:type="dxa"/>
            <w:vAlign w:val="bottom"/>
          </w:tcPr>
          <w:p>
            <w:pPr>
              <w:spacing w:after="0"/>
              <w:rPr>
                <w:sz w:val="24"/>
                <w:szCs w:val="24"/>
                <w:color w:val="auto"/>
              </w:rPr>
            </w:pPr>
          </w:p>
        </w:tc>
      </w:tr>
      <w:tr>
        <w:trPr>
          <w:trHeight w:val="415"/>
        </w:trPr>
        <w:tc>
          <w:tcPr>
            <w:tcW w:w="42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720" w:type="dxa"/>
            <w:vAlign w:val="bottom"/>
          </w:tcPr>
          <w:p>
            <w:pPr>
              <w:ind w:left="40"/>
              <w:spacing w:after="0"/>
              <w:rPr>
                <w:sz w:val="20"/>
                <w:szCs w:val="20"/>
                <w:color w:val="auto"/>
              </w:rPr>
            </w:pPr>
            <w:r>
              <w:rPr>
                <w:rFonts w:ascii="Times New Roman" w:cs="Times New Roman" w:eastAsia="Times New Roman" w:hAnsi="Times New Roman"/>
                <w:sz w:val="24"/>
                <w:szCs w:val="24"/>
                <w:color w:val="auto"/>
              </w:rPr>
              <w:t>(Specify)</w:t>
            </w:r>
          </w:p>
        </w:tc>
        <w:tc>
          <w:tcPr>
            <w:tcW w:w="920" w:type="dxa"/>
            <w:vAlign w:val="bottom"/>
          </w:tcPr>
          <w:p>
            <w:pPr>
              <w:spacing w:after="0"/>
              <w:rPr>
                <w:sz w:val="24"/>
                <w:szCs w:val="24"/>
                <w:color w:val="auto"/>
              </w:rPr>
            </w:pPr>
          </w:p>
        </w:tc>
        <w:tc>
          <w:tcPr>
            <w:tcW w:w="4440" w:type="dxa"/>
            <w:vAlign w:val="bottom"/>
          </w:tcPr>
          <w:p>
            <w:pPr>
              <w:spacing w:after="0"/>
              <w:rPr>
                <w:sz w:val="24"/>
                <w:szCs w:val="24"/>
                <w:color w:val="auto"/>
              </w:rPr>
            </w:pPr>
          </w:p>
        </w:tc>
        <w:tc>
          <w:tcPr>
            <w:tcW w:w="1020" w:type="dxa"/>
            <w:vAlign w:val="bottom"/>
          </w:tcPr>
          <w:p>
            <w:pPr>
              <w:spacing w:after="0"/>
              <w:rPr>
                <w:sz w:val="24"/>
                <w:szCs w:val="24"/>
                <w:color w:val="auto"/>
              </w:rPr>
            </w:pPr>
          </w:p>
        </w:tc>
      </w:tr>
      <w:tr>
        <w:trPr>
          <w:trHeight w:val="164"/>
        </w:trPr>
        <w:tc>
          <w:tcPr>
            <w:tcW w:w="420" w:type="dxa"/>
            <w:vAlign w:val="bottom"/>
          </w:tcPr>
          <w:p>
            <w:pPr>
              <w:spacing w:after="0"/>
              <w:rPr>
                <w:sz w:val="14"/>
                <w:szCs w:val="14"/>
                <w:color w:val="auto"/>
              </w:rPr>
            </w:pPr>
          </w:p>
        </w:tc>
        <w:tc>
          <w:tcPr>
            <w:tcW w:w="980" w:type="dxa"/>
            <w:vAlign w:val="bottom"/>
            <w:gridSpan w:val="2"/>
          </w:tcPr>
          <w:p>
            <w:pPr>
              <w:spacing w:after="0"/>
              <w:rPr>
                <w:sz w:val="14"/>
                <w:szCs w:val="14"/>
                <w:color w:val="auto"/>
              </w:rPr>
            </w:pPr>
          </w:p>
        </w:tc>
        <w:tc>
          <w:tcPr>
            <w:tcW w:w="7080" w:type="dxa"/>
            <w:vAlign w:val="bottom"/>
            <w:tcBorders>
              <w:bottom w:val="single" w:sz="8" w:color="auto"/>
            </w:tcBorders>
            <w:gridSpan w:val="3"/>
          </w:tcPr>
          <w:p>
            <w:pPr>
              <w:spacing w:after="0"/>
              <w:rPr>
                <w:sz w:val="14"/>
                <w:szCs w:val="14"/>
                <w:color w:val="auto"/>
              </w:rPr>
            </w:pPr>
          </w:p>
        </w:tc>
        <w:tc>
          <w:tcPr>
            <w:tcW w:w="1020" w:type="dxa"/>
            <w:vAlign w:val="bottom"/>
            <w:tcBorders>
              <w:bottom w:val="single" w:sz="8" w:color="auto"/>
            </w:tcBorders>
          </w:tcPr>
          <w:p>
            <w:pPr>
              <w:spacing w:after="0"/>
              <w:rPr>
                <w:sz w:val="14"/>
                <w:szCs w:val="14"/>
                <w:color w:val="auto"/>
              </w:rPr>
            </w:pPr>
          </w:p>
        </w:tc>
      </w:tr>
      <w:tr>
        <w:trPr>
          <w:trHeight w:val="268"/>
        </w:trPr>
        <w:tc>
          <w:tcPr>
            <w:tcW w:w="420" w:type="dxa"/>
            <w:vAlign w:val="bottom"/>
          </w:tcPr>
          <w:p>
            <w:pPr>
              <w:jc w:val="right"/>
              <w:ind w:right="40"/>
              <w:spacing w:after="0" w:line="267" w:lineRule="exact"/>
              <w:rPr>
                <w:sz w:val="20"/>
                <w:szCs w:val="20"/>
                <w:color w:val="auto"/>
              </w:rPr>
            </w:pPr>
            <w:r>
              <w:rPr>
                <w:rFonts w:ascii="Times New Roman" w:cs="Times New Roman" w:eastAsia="Times New Roman" w:hAnsi="Times New Roman"/>
                <w:sz w:val="24"/>
                <w:szCs w:val="24"/>
                <w:color w:val="auto"/>
                <w:w w:val="85"/>
              </w:rPr>
              <w:t>(8)</w:t>
            </w:r>
          </w:p>
        </w:tc>
        <w:tc>
          <w:tcPr>
            <w:tcW w:w="8060" w:type="dxa"/>
            <w:vAlign w:val="bottom"/>
            <w:gridSpan w:val="5"/>
          </w:tcPr>
          <w:p>
            <w:pPr>
              <w:ind w:left="140"/>
              <w:spacing w:after="0" w:line="267" w:lineRule="exact"/>
              <w:rPr>
                <w:sz w:val="20"/>
                <w:szCs w:val="20"/>
                <w:color w:val="auto"/>
              </w:rPr>
            </w:pPr>
            <w:r>
              <w:rPr>
                <w:rFonts w:ascii="Times New Roman" w:cs="Times New Roman" w:eastAsia="Times New Roman" w:hAnsi="Times New Roman"/>
                <w:sz w:val="24"/>
                <w:szCs w:val="24"/>
                <w:color w:val="auto"/>
                <w:w w:val="99"/>
              </w:rPr>
              <w:t>Date of finalisation of the Basis of Allotment (enclose copy of Basis of Allotment)</w:t>
            </w:r>
          </w:p>
        </w:tc>
        <w:tc>
          <w:tcPr>
            <w:tcW w:w="1020" w:type="dxa"/>
            <w:vAlign w:val="bottom"/>
          </w:tcPr>
          <w:p>
            <w:pPr>
              <w:jc w:val="right"/>
              <w:ind w:right="680"/>
              <w:spacing w:after="0" w:line="267" w:lineRule="exact"/>
              <w:rPr>
                <w:sz w:val="20"/>
                <w:szCs w:val="20"/>
                <w:color w:val="auto"/>
              </w:rPr>
            </w:pPr>
            <w:r>
              <w:rPr>
                <w:rFonts w:ascii="Times New Roman" w:cs="Times New Roman" w:eastAsia="Times New Roman" w:hAnsi="Times New Roman"/>
                <w:sz w:val="24"/>
                <w:szCs w:val="24"/>
                <w:color w:val="auto"/>
              </w:rPr>
              <w:t>:</w:t>
            </w:r>
          </w:p>
        </w:tc>
      </w:tr>
      <w:tr>
        <w:trPr>
          <w:trHeight w:val="415"/>
        </w:trPr>
        <w:tc>
          <w:tcPr>
            <w:tcW w:w="42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w w:val="85"/>
              </w:rPr>
              <w:t>(9)</w:t>
            </w:r>
          </w:p>
        </w:tc>
        <w:tc>
          <w:tcPr>
            <w:tcW w:w="2700" w:type="dxa"/>
            <w:vAlign w:val="bottom"/>
            <w:gridSpan w:val="3"/>
          </w:tcPr>
          <w:p>
            <w:pPr>
              <w:ind w:left="140"/>
              <w:spacing w:after="0"/>
              <w:rPr>
                <w:sz w:val="20"/>
                <w:szCs w:val="20"/>
                <w:color w:val="auto"/>
              </w:rPr>
            </w:pPr>
            <w:r>
              <w:rPr>
                <w:rFonts w:ascii="Times New Roman" w:cs="Times New Roman" w:eastAsia="Times New Roman" w:hAnsi="Times New Roman"/>
                <w:sz w:val="24"/>
                <w:szCs w:val="24"/>
                <w:color w:val="auto"/>
              </w:rPr>
              <w:t>Allotment Details:</w:t>
            </w:r>
          </w:p>
        </w:tc>
        <w:tc>
          <w:tcPr>
            <w:tcW w:w="920" w:type="dxa"/>
            <w:vAlign w:val="bottom"/>
          </w:tcPr>
          <w:p>
            <w:pPr>
              <w:spacing w:after="0"/>
              <w:rPr>
                <w:sz w:val="24"/>
                <w:szCs w:val="24"/>
                <w:color w:val="auto"/>
              </w:rPr>
            </w:pPr>
          </w:p>
        </w:tc>
        <w:tc>
          <w:tcPr>
            <w:tcW w:w="4440" w:type="dxa"/>
            <w:vAlign w:val="bottom"/>
          </w:tcPr>
          <w:p>
            <w:pPr>
              <w:spacing w:after="0"/>
              <w:rPr>
                <w:sz w:val="24"/>
                <w:szCs w:val="24"/>
                <w:color w:val="auto"/>
              </w:rPr>
            </w:pPr>
          </w:p>
        </w:tc>
        <w:tc>
          <w:tcPr>
            <w:tcW w:w="1020" w:type="dxa"/>
            <w:vAlign w:val="bottom"/>
          </w:tcPr>
          <w:p>
            <w:pPr>
              <w:spacing w:after="0"/>
              <w:rPr>
                <w:sz w:val="24"/>
                <w:szCs w:val="24"/>
                <w:color w:val="auto"/>
              </w:rPr>
            </w:pPr>
          </w:p>
        </w:tc>
      </w:tr>
      <w:tr>
        <w:trPr>
          <w:trHeight w:val="413"/>
        </w:trPr>
        <w:tc>
          <w:tcPr>
            <w:tcW w:w="420" w:type="dxa"/>
            <w:vAlign w:val="bottom"/>
          </w:tcPr>
          <w:p>
            <w:pPr>
              <w:spacing w:after="0"/>
              <w:rPr>
                <w:sz w:val="24"/>
                <w:szCs w:val="24"/>
                <w:color w:val="auto"/>
              </w:rPr>
            </w:pPr>
          </w:p>
        </w:tc>
        <w:tc>
          <w:tcPr>
            <w:tcW w:w="580" w:type="dxa"/>
            <w:vAlign w:val="bottom"/>
          </w:tcPr>
          <w:p>
            <w:pPr>
              <w:ind w:left="140"/>
              <w:spacing w:after="0"/>
              <w:rPr>
                <w:sz w:val="20"/>
                <w:szCs w:val="20"/>
                <w:color w:val="auto"/>
              </w:rPr>
            </w:pPr>
            <w:r>
              <w:rPr>
                <w:rFonts w:ascii="Times New Roman" w:cs="Times New Roman" w:eastAsia="Times New Roman" w:hAnsi="Times New Roman"/>
                <w:sz w:val="24"/>
                <w:szCs w:val="24"/>
                <w:color w:val="auto"/>
              </w:rPr>
              <w:t>(a)</w:t>
            </w:r>
          </w:p>
        </w:tc>
        <w:tc>
          <w:tcPr>
            <w:tcW w:w="7480" w:type="dxa"/>
            <w:vAlign w:val="bottom"/>
            <w:gridSpan w:val="4"/>
          </w:tcPr>
          <w:p>
            <w:pPr>
              <w:ind w:left="140"/>
              <w:spacing w:after="0"/>
              <w:rPr>
                <w:sz w:val="20"/>
                <w:szCs w:val="20"/>
                <w:color w:val="auto"/>
              </w:rPr>
            </w:pPr>
            <w:r>
              <w:rPr>
                <w:rFonts w:ascii="Times New Roman" w:cs="Times New Roman" w:eastAsia="Times New Roman" w:hAnsi="Times New Roman"/>
                <w:sz w:val="24"/>
                <w:szCs w:val="24"/>
                <w:color w:val="auto"/>
              </w:rPr>
              <w:t>No. of successful allottees per 1 lakh shares   :</w:t>
            </w:r>
          </w:p>
        </w:tc>
        <w:tc>
          <w:tcPr>
            <w:tcW w:w="1020" w:type="dxa"/>
            <w:vAlign w:val="bottom"/>
          </w:tcPr>
          <w:p>
            <w:pPr>
              <w:spacing w:after="0"/>
              <w:rPr>
                <w:sz w:val="24"/>
                <w:szCs w:val="24"/>
                <w:color w:val="auto"/>
              </w:rPr>
            </w:pPr>
          </w:p>
        </w:tc>
      </w:tr>
      <w:tr>
        <w:trPr>
          <w:trHeight w:val="415"/>
        </w:trPr>
        <w:tc>
          <w:tcPr>
            <w:tcW w:w="420" w:type="dxa"/>
            <w:vAlign w:val="bottom"/>
          </w:tcPr>
          <w:p>
            <w:pPr>
              <w:spacing w:after="0"/>
              <w:rPr>
                <w:sz w:val="24"/>
                <w:szCs w:val="24"/>
                <w:color w:val="auto"/>
              </w:rPr>
            </w:pPr>
          </w:p>
        </w:tc>
        <w:tc>
          <w:tcPr>
            <w:tcW w:w="580" w:type="dxa"/>
            <w:vAlign w:val="bottom"/>
          </w:tcPr>
          <w:p>
            <w:pPr>
              <w:ind w:left="140"/>
              <w:spacing w:after="0"/>
              <w:rPr>
                <w:sz w:val="20"/>
                <w:szCs w:val="20"/>
                <w:color w:val="auto"/>
              </w:rPr>
            </w:pPr>
            <w:r>
              <w:rPr>
                <w:rFonts w:ascii="Times New Roman" w:cs="Times New Roman" w:eastAsia="Times New Roman" w:hAnsi="Times New Roman"/>
                <w:sz w:val="24"/>
                <w:szCs w:val="24"/>
                <w:color w:val="auto"/>
              </w:rPr>
              <w:t>(b)</w:t>
            </w:r>
          </w:p>
        </w:tc>
        <w:tc>
          <w:tcPr>
            <w:tcW w:w="3040" w:type="dxa"/>
            <w:vAlign w:val="bottom"/>
            <w:gridSpan w:val="3"/>
          </w:tcPr>
          <w:p>
            <w:pPr>
              <w:ind w:left="140"/>
              <w:spacing w:after="0"/>
              <w:rPr>
                <w:sz w:val="20"/>
                <w:szCs w:val="20"/>
                <w:color w:val="auto"/>
              </w:rPr>
            </w:pPr>
            <w:r>
              <w:rPr>
                <w:rFonts w:ascii="Times New Roman" w:cs="Times New Roman" w:eastAsia="Times New Roman" w:hAnsi="Times New Roman"/>
                <w:sz w:val="24"/>
                <w:szCs w:val="24"/>
                <w:color w:val="auto"/>
              </w:rPr>
              <w:t>No. of unsuccessful allottees</w:t>
            </w:r>
          </w:p>
        </w:tc>
        <w:tc>
          <w:tcPr>
            <w:tcW w:w="4440" w:type="dxa"/>
            <w:vAlign w:val="bottom"/>
          </w:tcPr>
          <w:p>
            <w:pPr>
              <w:jc w:val="right"/>
              <w:ind w:right="4020"/>
              <w:spacing w:after="0"/>
              <w:rPr>
                <w:sz w:val="20"/>
                <w:szCs w:val="20"/>
                <w:color w:val="auto"/>
              </w:rPr>
            </w:pPr>
            <w:r>
              <w:rPr>
                <w:rFonts w:ascii="Times New Roman" w:cs="Times New Roman" w:eastAsia="Times New Roman" w:hAnsi="Times New Roman"/>
                <w:sz w:val="24"/>
                <w:szCs w:val="24"/>
                <w:color w:val="auto"/>
              </w:rPr>
              <w:t>:</w:t>
            </w:r>
          </w:p>
        </w:tc>
        <w:tc>
          <w:tcPr>
            <w:tcW w:w="1020" w:type="dxa"/>
            <w:vAlign w:val="bottom"/>
          </w:tcPr>
          <w:p>
            <w:pPr>
              <w:spacing w:after="0"/>
              <w:rPr>
                <w:sz w:val="24"/>
                <w:szCs w:val="24"/>
                <w:color w:val="auto"/>
              </w:rPr>
            </w:pPr>
          </w:p>
        </w:tc>
      </w:tr>
    </w:tbl>
    <w:p>
      <w:pPr>
        <w:spacing w:after="0" w:line="137" w:lineRule="exact"/>
        <w:rPr>
          <w:sz w:val="20"/>
          <w:szCs w:val="20"/>
          <w:color w:val="auto"/>
        </w:rPr>
      </w:pPr>
    </w:p>
    <w:p>
      <w:pPr>
        <w:ind w:left="568" w:hanging="568"/>
        <w:spacing w:after="0"/>
        <w:tabs>
          <w:tab w:leader="none" w:pos="568" w:val="left"/>
        </w:tabs>
        <w:numPr>
          <w:ilvl w:val="0"/>
          <w:numId w:val="122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Date of completion of:</w:t>
      </w:r>
    </w:p>
    <w:p>
      <w:pPr>
        <w:sectPr>
          <w:pgSz w:w="11900" w:h="16836" w:orient="portrait"/>
          <w:cols w:equalWidth="0" w:num="1">
            <w:col w:w="9508"/>
          </w:cols>
          <w:pgMar w:left="1152" w:top="1137" w:right="1244" w:bottom="103" w:gutter="0" w:footer="0" w:header="0"/>
        </w:sectPr>
      </w:pPr>
    </w:p>
    <w:p>
      <w:pPr>
        <w:spacing w:after="0" w:line="139" w:lineRule="exact"/>
        <w:rPr>
          <w:sz w:val="20"/>
          <w:szCs w:val="20"/>
          <w:color w:val="auto"/>
        </w:rPr>
      </w:pPr>
    </w:p>
    <w:p>
      <w:pPr>
        <w:ind w:left="568"/>
        <w:spacing w:after="0"/>
        <w:tabs>
          <w:tab w:leader="none" w:pos="1127" w:val="left"/>
          <w:tab w:leader="none" w:pos="3667" w:val="left"/>
        </w:tabs>
        <w:rPr>
          <w:sz w:val="20"/>
          <w:szCs w:val="20"/>
          <w:color w:val="auto"/>
        </w:rPr>
      </w:pPr>
      <w:r>
        <w:rPr>
          <w:rFonts w:ascii="Times New Roman" w:cs="Times New Roman" w:eastAsia="Times New Roman" w:hAnsi="Times New Roman"/>
          <w:sz w:val="24"/>
          <w:szCs w:val="24"/>
          <w:color w:val="auto"/>
        </w:rPr>
        <w:t>(a)</w:t>
      </w:r>
      <w:r>
        <w:rPr>
          <w:sz w:val="20"/>
          <w:szCs w:val="20"/>
          <w:color w:val="auto"/>
        </w:rPr>
        <w:tab/>
      </w:r>
      <w:r>
        <w:rPr>
          <w:rFonts w:ascii="Times New Roman" w:cs="Times New Roman" w:eastAsia="Times New Roman" w:hAnsi="Times New Roman"/>
          <w:sz w:val="24"/>
          <w:szCs w:val="24"/>
          <w:color w:val="auto"/>
        </w:rPr>
        <w:t>Unblocking instructions</w:t>
      </w:r>
      <w:r>
        <w:rPr>
          <w:sz w:val="20"/>
          <w:szCs w:val="20"/>
          <w:color w:val="auto"/>
        </w:rPr>
        <w:tab/>
      </w:r>
      <w:r>
        <w:rPr>
          <w:rFonts w:ascii="Times New Roman" w:cs="Times New Roman" w:eastAsia="Times New Roman" w:hAnsi="Times New Roman"/>
          <w:sz w:val="21"/>
          <w:szCs w:val="21"/>
          <w:color w:val="auto"/>
        </w:rPr>
        <w:t>:</w:t>
      </w:r>
    </w:p>
    <w:p>
      <w:pPr>
        <w:spacing w:after="0" w:line="137" w:lineRule="exact"/>
        <w:rPr>
          <w:sz w:val="20"/>
          <w:szCs w:val="20"/>
          <w:color w:val="auto"/>
        </w:rPr>
      </w:pPr>
    </w:p>
    <w:p>
      <w:pPr>
        <w:ind w:left="568"/>
        <w:spacing w:after="0"/>
        <w:tabs>
          <w:tab w:leader="none" w:pos="1127" w:val="left"/>
          <w:tab w:leader="none" w:pos="4207" w:val="left"/>
        </w:tabs>
        <w:rPr>
          <w:sz w:val="20"/>
          <w:szCs w:val="20"/>
          <w:color w:val="auto"/>
        </w:rPr>
      </w:pPr>
      <w:r>
        <w:rPr>
          <w:rFonts w:ascii="Times New Roman" w:cs="Times New Roman" w:eastAsia="Times New Roman" w:hAnsi="Times New Roman"/>
          <w:sz w:val="24"/>
          <w:szCs w:val="24"/>
          <w:color w:val="auto"/>
        </w:rPr>
        <w:t>(b)</w:t>
      </w:r>
      <w:r>
        <w:rPr>
          <w:sz w:val="20"/>
          <w:szCs w:val="20"/>
          <w:color w:val="auto"/>
        </w:rPr>
        <w:tab/>
      </w:r>
      <w:r>
        <w:rPr>
          <w:rFonts w:ascii="Times New Roman" w:cs="Times New Roman" w:eastAsia="Times New Roman" w:hAnsi="Times New Roman"/>
          <w:sz w:val="24"/>
          <w:szCs w:val="24"/>
          <w:color w:val="auto"/>
        </w:rPr>
        <w:t>Certificates/Allotment Letters</w:t>
      </w:r>
      <w:r>
        <w:rPr>
          <w:sz w:val="20"/>
          <w:szCs w:val="20"/>
          <w:color w:val="auto"/>
        </w:rPr>
        <w:tab/>
      </w:r>
      <w:r>
        <w:rPr>
          <w:rFonts w:ascii="Times New Roman" w:cs="Times New Roman" w:eastAsia="Times New Roman" w:hAnsi="Times New Roman"/>
          <w:sz w:val="21"/>
          <w:szCs w:val="21"/>
          <w:color w:val="auto"/>
        </w:rPr>
        <w:t>:</w:t>
      </w:r>
    </w:p>
    <w:p>
      <w:pPr>
        <w:sectPr>
          <w:pgSz w:w="11900" w:h="16836" w:orient="portrait"/>
          <w:cols w:equalWidth="0" w:num="1">
            <w:col w:w="9508"/>
          </w:cols>
          <w:pgMar w:left="1152" w:top="1137" w:right="1244" w:bottom="103" w:gutter="0" w:footer="0" w:header="0"/>
          <w:type w:val="continuous"/>
        </w:sectPr>
      </w:pPr>
    </w:p>
    <w:p>
      <w:pPr>
        <w:spacing w:after="0" w:line="139" w:lineRule="exact"/>
        <w:rPr>
          <w:sz w:val="20"/>
          <w:szCs w:val="20"/>
          <w:color w:val="auto"/>
        </w:rPr>
      </w:pPr>
    </w:p>
    <w:p>
      <w:pPr>
        <w:ind w:left="1148" w:hanging="572"/>
        <w:spacing w:after="0"/>
        <w:tabs>
          <w:tab w:leader="none" w:pos="1148" w:val="left"/>
        </w:tabs>
        <w:numPr>
          <w:ilvl w:val="0"/>
          <w:numId w:val="123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Reasons for delay, if any :   :</w:t>
      </w:r>
    </w:p>
    <w:p>
      <w:pPr>
        <w:spacing w:after="0" w:line="137" w:lineRule="exact"/>
        <w:rPr>
          <w:sz w:val="20"/>
          <w:szCs w:val="20"/>
          <w:color w:val="auto"/>
        </w:rPr>
      </w:pPr>
    </w:p>
    <w:p>
      <w:pPr>
        <w:ind w:left="8"/>
        <w:spacing w:after="0"/>
        <w:tabs>
          <w:tab w:leader="none" w:pos="547" w:val="left"/>
          <w:tab w:leader="none" w:pos="3207" w:val="left"/>
        </w:tabs>
        <w:rPr>
          <w:sz w:val="20"/>
          <w:szCs w:val="20"/>
          <w:color w:val="auto"/>
        </w:rPr>
      </w:pPr>
      <w:r>
        <w:rPr>
          <w:rFonts w:ascii="Times New Roman" w:cs="Times New Roman" w:eastAsia="Times New Roman" w:hAnsi="Times New Roman"/>
          <w:sz w:val="24"/>
          <w:szCs w:val="24"/>
          <w:color w:val="auto"/>
        </w:rPr>
        <w:t>(2)</w:t>
      </w:r>
      <w:r>
        <w:rPr>
          <w:sz w:val="20"/>
          <w:szCs w:val="20"/>
          <w:color w:val="auto"/>
        </w:rPr>
        <w:tab/>
      </w:r>
      <w:r>
        <w:rPr>
          <w:rFonts w:ascii="Times New Roman" w:cs="Times New Roman" w:eastAsia="Times New Roman" w:hAnsi="Times New Roman"/>
          <w:sz w:val="24"/>
          <w:szCs w:val="24"/>
          <w:color w:val="auto"/>
        </w:rPr>
        <w:t>Amount of refund due</w:t>
      </w:r>
      <w:r>
        <w:rPr>
          <w:sz w:val="20"/>
          <w:szCs w:val="20"/>
          <w:color w:val="auto"/>
        </w:rPr>
        <w:tab/>
      </w:r>
      <w:r>
        <w:rPr>
          <w:rFonts w:ascii="Times New Roman" w:cs="Times New Roman" w:eastAsia="Times New Roman" w:hAnsi="Times New Roman"/>
          <w:sz w:val="23"/>
          <w:szCs w:val="23"/>
          <w:color w:val="auto"/>
        </w:rPr>
        <w:t>: `</w:t>
      </w:r>
    </w:p>
    <w:p>
      <w:pPr>
        <w:spacing w:after="0" w:line="139" w:lineRule="exact"/>
        <w:rPr>
          <w:sz w:val="20"/>
          <w:szCs w:val="20"/>
          <w:color w:val="auto"/>
        </w:rPr>
      </w:pPr>
    </w:p>
    <w:p>
      <w:pPr>
        <w:ind w:left="568" w:hanging="568"/>
        <w:spacing w:after="0"/>
        <w:tabs>
          <w:tab w:leader="none" w:pos="568" w:val="left"/>
        </w:tabs>
        <w:numPr>
          <w:ilvl w:val="0"/>
          <w:numId w:val="123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 and address of the Refund Banker :</w:t>
      </w:r>
    </w:p>
    <w:p>
      <w:pPr>
        <w:spacing w:after="0" w:line="137" w:lineRule="exact"/>
        <w:rPr>
          <w:sz w:val="20"/>
          <w:szCs w:val="20"/>
          <w:color w:val="auto"/>
        </w:rPr>
      </w:pPr>
    </w:p>
    <w:p>
      <w:pPr>
        <w:ind w:left="8"/>
        <w:spacing w:after="0"/>
        <w:tabs>
          <w:tab w:leader="none" w:pos="547" w:val="left"/>
          <w:tab w:leader="none" w:pos="6687" w:val="left"/>
        </w:tabs>
        <w:rPr>
          <w:sz w:val="20"/>
          <w:szCs w:val="20"/>
          <w:color w:val="auto"/>
        </w:rPr>
      </w:pPr>
      <w:r>
        <w:rPr>
          <w:rFonts w:ascii="Times New Roman" w:cs="Times New Roman" w:eastAsia="Times New Roman" w:hAnsi="Times New Roman"/>
          <w:sz w:val="24"/>
          <w:szCs w:val="24"/>
          <w:color w:val="auto"/>
        </w:rPr>
        <w:t>(4)</w:t>
      </w:r>
      <w:r>
        <w:rPr>
          <w:sz w:val="20"/>
          <w:szCs w:val="20"/>
          <w:color w:val="auto"/>
        </w:rPr>
        <w:tab/>
      </w:r>
      <w:r>
        <w:rPr>
          <w:rFonts w:ascii="Times New Roman" w:cs="Times New Roman" w:eastAsia="Times New Roman" w:hAnsi="Times New Roman"/>
          <w:sz w:val="24"/>
          <w:szCs w:val="24"/>
          <w:color w:val="auto"/>
        </w:rPr>
        <w:t>Date of transfer of refund amount to the Refund Banker, if any</w:t>
      </w:r>
      <w:r>
        <w:rPr>
          <w:sz w:val="20"/>
          <w:szCs w:val="20"/>
          <w:color w:val="auto"/>
        </w:rPr>
        <w:tab/>
      </w:r>
      <w:r>
        <w:rPr>
          <w:rFonts w:ascii="Times New Roman" w:cs="Times New Roman" w:eastAsia="Times New Roman" w:hAnsi="Times New Roman"/>
          <w:sz w:val="21"/>
          <w:szCs w:val="21"/>
          <w:color w:val="auto"/>
        </w:rPr>
        <w:t>:</w:t>
      </w:r>
    </w:p>
    <w:p>
      <w:pPr>
        <w:spacing w:after="0" w:line="139" w:lineRule="exact"/>
        <w:rPr>
          <w:sz w:val="20"/>
          <w:szCs w:val="20"/>
          <w:color w:val="auto"/>
        </w:rPr>
      </w:pPr>
    </w:p>
    <w:p>
      <w:pPr>
        <w:ind w:left="568" w:hanging="568"/>
        <w:spacing w:after="0"/>
        <w:tabs>
          <w:tab w:leader="none" w:pos="568" w:val="left"/>
        </w:tabs>
        <w:numPr>
          <w:ilvl w:val="0"/>
          <w:numId w:val="123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 of the Designated Stock Exchange :</w:t>
      </w:r>
    </w:p>
    <w:p>
      <w:pPr>
        <w:spacing w:after="0" w:line="137" w:lineRule="exact"/>
        <w:rPr>
          <w:sz w:val="20"/>
          <w:szCs w:val="20"/>
          <w:color w:val="auto"/>
        </w:rPr>
      </w:pPr>
    </w:p>
    <w:tbl>
      <w:tblPr>
        <w:tblLayout w:type="fixed"/>
        <w:tblInd w:w="8" w:type="dxa"/>
        <w:tblCellMar>
          <w:top w:w="0" w:type="dxa"/>
          <w:left w:w="0" w:type="dxa"/>
          <w:bottom w:w="0" w:type="dxa"/>
          <w:right w:w="0" w:type="dxa"/>
        </w:tblCellMar>
      </w:tblPr>
      <w:tr>
        <w:trPr>
          <w:trHeight w:val="276"/>
        </w:trPr>
        <w:tc>
          <w:tcPr>
            <w:tcW w:w="42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w w:val="85"/>
              </w:rPr>
              <w:t>(6)</w:t>
            </w:r>
          </w:p>
        </w:tc>
        <w:tc>
          <w:tcPr>
            <w:tcW w:w="7420" w:type="dxa"/>
            <w:vAlign w:val="bottom"/>
          </w:tcPr>
          <w:p>
            <w:pPr>
              <w:ind w:left="140"/>
              <w:spacing w:after="0"/>
              <w:rPr>
                <w:sz w:val="20"/>
                <w:szCs w:val="20"/>
                <w:color w:val="auto"/>
              </w:rPr>
            </w:pPr>
            <w:r>
              <w:rPr>
                <w:rFonts w:ascii="Times New Roman" w:cs="Times New Roman" w:eastAsia="Times New Roman" w:hAnsi="Times New Roman"/>
                <w:sz w:val="24"/>
                <w:szCs w:val="24"/>
                <w:color w:val="auto"/>
                <w:w w:val="89"/>
              </w:rPr>
              <w:t>Names of other stock exchanges where listing sought:</w:t>
            </w:r>
          </w:p>
        </w:tc>
      </w:tr>
      <w:tr>
        <w:trPr>
          <w:trHeight w:val="415"/>
        </w:trPr>
        <w:tc>
          <w:tcPr>
            <w:tcW w:w="42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w w:val="85"/>
              </w:rPr>
              <w:t>(7)</w:t>
            </w:r>
          </w:p>
        </w:tc>
        <w:tc>
          <w:tcPr>
            <w:tcW w:w="7420" w:type="dxa"/>
            <w:vAlign w:val="bottom"/>
          </w:tcPr>
          <w:p>
            <w:pPr>
              <w:ind w:left="140"/>
              <w:spacing w:after="0"/>
              <w:rPr>
                <w:sz w:val="20"/>
                <w:szCs w:val="20"/>
                <w:color w:val="auto"/>
              </w:rPr>
            </w:pPr>
            <w:r>
              <w:rPr>
                <w:rFonts w:ascii="Times New Roman" w:cs="Times New Roman" w:eastAsia="Times New Roman" w:hAnsi="Times New Roman"/>
                <w:sz w:val="24"/>
                <w:szCs w:val="24"/>
                <w:color w:val="auto"/>
              </w:rPr>
              <w:t>Dates on which application was filed with each stock exchange for listing:</w:t>
            </w:r>
          </w:p>
        </w:tc>
      </w:tr>
    </w:tbl>
    <w:p>
      <w:pPr>
        <w:spacing w:after="0" w:line="137" w:lineRule="exact"/>
        <w:rPr>
          <w:sz w:val="20"/>
          <w:szCs w:val="20"/>
          <w:color w:val="auto"/>
        </w:rPr>
      </w:pPr>
    </w:p>
    <w:p>
      <w:pPr>
        <w:ind w:left="568" w:hanging="568"/>
        <w:spacing w:after="0"/>
        <w:tabs>
          <w:tab w:leader="none" w:pos="568" w:val="left"/>
        </w:tabs>
        <w:numPr>
          <w:ilvl w:val="0"/>
          <w:numId w:val="123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Dates on which listing and trading permission was given by each stock exchange (enclose</w:t>
      </w:r>
    </w:p>
    <w:p>
      <w:pPr>
        <w:spacing w:after="0" w:line="139" w:lineRule="exact"/>
        <w:rPr>
          <w:sz w:val="20"/>
          <w:szCs w:val="20"/>
          <w:color w:val="auto"/>
        </w:rPr>
      </w:pPr>
    </w:p>
    <w:p>
      <w:pPr>
        <w:ind w:left="568"/>
        <w:spacing w:after="0"/>
        <w:tabs>
          <w:tab w:leader="none" w:pos="5627" w:val="left"/>
        </w:tabs>
        <w:rPr>
          <w:sz w:val="20"/>
          <w:szCs w:val="20"/>
          <w:color w:val="auto"/>
        </w:rPr>
      </w:pPr>
      <w:r>
        <w:rPr>
          <w:rFonts w:ascii="Times New Roman" w:cs="Times New Roman" w:eastAsia="Times New Roman" w:hAnsi="Times New Roman"/>
          <w:sz w:val="24"/>
          <w:szCs w:val="24"/>
          <w:color w:val="auto"/>
        </w:rPr>
        <w:t>copies of permission letters of the stock exchanges)</w:t>
        <w:tab/>
        <w:t>:</w:t>
      </w:r>
    </w:p>
    <w:p>
      <w:pPr>
        <w:spacing w:after="0" w:line="137" w:lineRule="exact"/>
        <w:rPr>
          <w:sz w:val="20"/>
          <w:szCs w:val="20"/>
          <w:color w:val="auto"/>
        </w:rPr>
      </w:pPr>
    </w:p>
    <w:p>
      <w:pPr>
        <w:ind w:left="8"/>
        <w:spacing w:after="0"/>
        <w:tabs>
          <w:tab w:leader="none" w:pos="547" w:val="left"/>
          <w:tab w:leader="none" w:pos="3967" w:val="left"/>
        </w:tabs>
        <w:rPr>
          <w:sz w:val="20"/>
          <w:szCs w:val="20"/>
          <w:color w:val="auto"/>
        </w:rPr>
      </w:pPr>
      <w:r>
        <w:rPr>
          <w:rFonts w:ascii="Times New Roman" w:cs="Times New Roman" w:eastAsia="Times New Roman" w:hAnsi="Times New Roman"/>
          <w:sz w:val="24"/>
          <w:szCs w:val="24"/>
          <w:color w:val="auto"/>
        </w:rPr>
        <w:t>(9)</w:t>
      </w:r>
      <w:r>
        <w:rPr>
          <w:sz w:val="20"/>
          <w:szCs w:val="20"/>
          <w:color w:val="auto"/>
        </w:rPr>
        <w:tab/>
      </w:r>
      <w:r>
        <w:rPr>
          <w:rFonts w:ascii="Times New Roman" w:cs="Times New Roman" w:eastAsia="Times New Roman" w:hAnsi="Times New Roman"/>
          <w:sz w:val="24"/>
          <w:szCs w:val="24"/>
          <w:color w:val="auto"/>
        </w:rPr>
        <w:t>Reasons for delay in listing, if any</w:t>
        <w:tab/>
        <w:t>:</w:t>
      </w:r>
    </w:p>
    <w:p>
      <w:pPr>
        <w:spacing w:after="0" w:line="200" w:lineRule="exact"/>
        <w:rPr>
          <w:sz w:val="20"/>
          <w:szCs w:val="20"/>
          <w:color w:val="auto"/>
        </w:rPr>
      </w:pPr>
    </w:p>
    <w:p>
      <w:pPr>
        <w:spacing w:after="0" w:line="357" w:lineRule="exact"/>
        <w:rPr>
          <w:sz w:val="20"/>
          <w:szCs w:val="20"/>
          <w:color w:val="auto"/>
        </w:rPr>
      </w:pPr>
    </w:p>
    <w:p>
      <w:pPr>
        <w:ind w:left="568" w:hanging="568"/>
        <w:spacing w:after="0"/>
        <w:tabs>
          <w:tab w:leader="none" w:pos="568" w:val="left"/>
        </w:tabs>
        <w:numPr>
          <w:ilvl w:val="0"/>
          <w:numId w:val="123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IN CASE OF UNDER SUBSCRIBED ISSUE:</w:t>
      </w:r>
    </w:p>
    <w:p>
      <w:pPr>
        <w:spacing w:after="0" w:line="200" w:lineRule="exact"/>
        <w:rPr>
          <w:sz w:val="20"/>
          <w:szCs w:val="20"/>
          <w:color w:val="auto"/>
        </w:rPr>
      </w:pPr>
    </w:p>
    <w:p>
      <w:pPr>
        <w:spacing w:after="0" w:line="347" w:lineRule="exact"/>
        <w:rPr>
          <w:sz w:val="20"/>
          <w:szCs w:val="20"/>
          <w:color w:val="auto"/>
        </w:rPr>
      </w:pPr>
    </w:p>
    <w:p>
      <w:pPr>
        <w:ind w:left="8"/>
        <w:spacing w:after="0"/>
        <w:tabs>
          <w:tab w:leader="none" w:pos="547" w:val="left"/>
          <w:tab w:leader="none" w:pos="7907" w:val="left"/>
        </w:tabs>
        <w:rPr>
          <w:sz w:val="20"/>
          <w:szCs w:val="20"/>
          <w:color w:val="auto"/>
        </w:rPr>
      </w:pPr>
      <w:r>
        <w:rPr>
          <w:rFonts w:ascii="Times New Roman" w:cs="Times New Roman" w:eastAsia="Times New Roman" w:hAnsi="Times New Roman"/>
          <w:sz w:val="24"/>
          <w:szCs w:val="24"/>
          <w:color w:val="auto"/>
        </w:rPr>
        <w:t>(1)</w:t>
      </w:r>
      <w:r>
        <w:rPr>
          <w:sz w:val="20"/>
          <w:szCs w:val="20"/>
          <w:color w:val="auto"/>
        </w:rPr>
        <w:tab/>
      </w:r>
      <w:r>
        <w:rPr>
          <w:rFonts w:ascii="Times New Roman" w:cs="Times New Roman" w:eastAsia="Times New Roman" w:hAnsi="Times New Roman"/>
          <w:sz w:val="24"/>
          <w:szCs w:val="24"/>
          <w:color w:val="auto"/>
        </w:rPr>
        <w:t>If the issue is underwritten, the amount of issue underwritten</w:t>
      </w:r>
      <w:r>
        <w:rPr>
          <w:sz w:val="20"/>
          <w:szCs w:val="20"/>
          <w:color w:val="auto"/>
        </w:rPr>
        <w:tab/>
      </w:r>
      <w:r>
        <w:rPr>
          <w:rFonts w:ascii="Times New Roman" w:cs="Times New Roman" w:eastAsia="Times New Roman" w:hAnsi="Times New Roman"/>
          <w:sz w:val="21"/>
          <w:szCs w:val="21"/>
          <w:color w:val="auto"/>
        </w:rPr>
        <w:t>:</w:t>
      </w:r>
    </w:p>
    <w:p>
      <w:pPr>
        <w:spacing w:after="0" w:line="137" w:lineRule="exact"/>
        <w:rPr>
          <w:sz w:val="20"/>
          <w:szCs w:val="20"/>
          <w:color w:val="auto"/>
        </w:rPr>
      </w:pPr>
    </w:p>
    <w:p>
      <w:pPr>
        <w:ind w:left="568" w:hanging="568"/>
        <w:spacing w:after="0"/>
        <w:tabs>
          <w:tab w:leader="none" w:pos="568" w:val="left"/>
        </w:tabs>
        <w:numPr>
          <w:ilvl w:val="0"/>
          <w:numId w:val="123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Extent of under-subscription on the date of closure of the issue</w:t>
      </w:r>
    </w:p>
    <w:p>
      <w:pPr>
        <w:spacing w:after="0" w:line="139" w:lineRule="exact"/>
        <w:rPr>
          <w:sz w:val="20"/>
          <w:szCs w:val="20"/>
          <w:color w:val="auto"/>
        </w:rPr>
      </w:pPr>
    </w:p>
    <w:tbl>
      <w:tblPr>
        <w:tblLayout w:type="fixed"/>
        <w:tblInd w:w="8" w:type="dxa"/>
        <w:tblCellMar>
          <w:top w:w="0" w:type="dxa"/>
          <w:left w:w="0" w:type="dxa"/>
          <w:bottom w:w="0" w:type="dxa"/>
          <w:right w:w="0" w:type="dxa"/>
        </w:tblCellMar>
      </w:tblPr>
      <w:tr>
        <w:trPr>
          <w:trHeight w:val="276"/>
        </w:trPr>
        <w:tc>
          <w:tcPr>
            <w:tcW w:w="420" w:type="dxa"/>
            <w:vAlign w:val="bottom"/>
          </w:tcPr>
          <w:p>
            <w:pPr>
              <w:spacing w:after="0"/>
              <w:rPr>
                <w:sz w:val="23"/>
                <w:szCs w:val="23"/>
                <w:color w:val="auto"/>
              </w:rPr>
            </w:pPr>
          </w:p>
        </w:tc>
        <w:tc>
          <w:tcPr>
            <w:tcW w:w="580" w:type="dxa"/>
            <w:vAlign w:val="bottom"/>
          </w:tcPr>
          <w:p>
            <w:pPr>
              <w:ind w:left="140"/>
              <w:spacing w:after="0"/>
              <w:rPr>
                <w:sz w:val="20"/>
                <w:szCs w:val="20"/>
                <w:color w:val="auto"/>
              </w:rPr>
            </w:pPr>
            <w:r>
              <w:rPr>
                <w:rFonts w:ascii="Times New Roman" w:cs="Times New Roman" w:eastAsia="Times New Roman" w:hAnsi="Times New Roman"/>
                <w:sz w:val="24"/>
                <w:szCs w:val="24"/>
                <w:color w:val="auto"/>
              </w:rPr>
              <w:t>(a)</w:t>
            </w:r>
          </w:p>
        </w:tc>
        <w:tc>
          <w:tcPr>
            <w:tcW w:w="2460" w:type="dxa"/>
            <w:vAlign w:val="bottom"/>
          </w:tcPr>
          <w:p>
            <w:pPr>
              <w:ind w:left="140"/>
              <w:spacing w:after="0"/>
              <w:rPr>
                <w:sz w:val="20"/>
                <w:szCs w:val="20"/>
                <w:color w:val="auto"/>
              </w:rPr>
            </w:pPr>
            <w:r>
              <w:rPr>
                <w:rFonts w:ascii="Times New Roman" w:cs="Times New Roman" w:eastAsia="Times New Roman" w:hAnsi="Times New Roman"/>
                <w:sz w:val="24"/>
                <w:szCs w:val="24"/>
                <w:color w:val="auto"/>
              </w:rPr>
              <w:t>Percentage</w:t>
            </w:r>
          </w:p>
        </w:tc>
        <w:tc>
          <w:tcPr>
            <w:tcW w:w="4220" w:type="dxa"/>
            <w:vAlign w:val="bottom"/>
          </w:tcPr>
          <w:p>
            <w:pPr>
              <w:jc w:val="right"/>
              <w:ind w:right="3900"/>
              <w:spacing w:after="0"/>
              <w:rPr>
                <w:sz w:val="20"/>
                <w:szCs w:val="20"/>
                <w:color w:val="auto"/>
              </w:rPr>
            </w:pPr>
            <w:r>
              <w:rPr>
                <w:rFonts w:ascii="Times New Roman" w:cs="Times New Roman" w:eastAsia="Times New Roman" w:hAnsi="Times New Roman"/>
                <w:sz w:val="24"/>
                <w:szCs w:val="24"/>
                <w:color w:val="auto"/>
              </w:rPr>
              <w:t>:</w:t>
            </w:r>
          </w:p>
        </w:tc>
        <w:tc>
          <w:tcPr>
            <w:tcW w:w="300" w:type="dxa"/>
            <w:vAlign w:val="bottom"/>
          </w:tcPr>
          <w:p>
            <w:pPr>
              <w:spacing w:after="0"/>
              <w:rPr>
                <w:sz w:val="23"/>
                <w:szCs w:val="23"/>
                <w:color w:val="auto"/>
              </w:rPr>
            </w:pPr>
          </w:p>
        </w:tc>
      </w:tr>
      <w:tr>
        <w:trPr>
          <w:trHeight w:val="413"/>
        </w:trPr>
        <w:tc>
          <w:tcPr>
            <w:tcW w:w="420" w:type="dxa"/>
            <w:vAlign w:val="bottom"/>
          </w:tcPr>
          <w:p>
            <w:pPr>
              <w:spacing w:after="0"/>
              <w:rPr>
                <w:sz w:val="24"/>
                <w:szCs w:val="24"/>
                <w:color w:val="auto"/>
              </w:rPr>
            </w:pPr>
          </w:p>
        </w:tc>
        <w:tc>
          <w:tcPr>
            <w:tcW w:w="580" w:type="dxa"/>
            <w:vAlign w:val="bottom"/>
          </w:tcPr>
          <w:p>
            <w:pPr>
              <w:ind w:left="140"/>
              <w:spacing w:after="0"/>
              <w:rPr>
                <w:sz w:val="20"/>
                <w:szCs w:val="20"/>
                <w:color w:val="auto"/>
              </w:rPr>
            </w:pPr>
            <w:r>
              <w:rPr>
                <w:rFonts w:ascii="Times New Roman" w:cs="Times New Roman" w:eastAsia="Times New Roman" w:hAnsi="Times New Roman"/>
                <w:sz w:val="24"/>
                <w:szCs w:val="24"/>
                <w:color w:val="auto"/>
              </w:rPr>
              <w:t>(b)</w:t>
            </w:r>
          </w:p>
        </w:tc>
        <w:tc>
          <w:tcPr>
            <w:tcW w:w="2460" w:type="dxa"/>
            <w:vAlign w:val="bottom"/>
          </w:tcPr>
          <w:p>
            <w:pPr>
              <w:ind w:left="140"/>
              <w:spacing w:after="0"/>
              <w:rPr>
                <w:sz w:val="20"/>
                <w:szCs w:val="20"/>
                <w:color w:val="auto"/>
              </w:rPr>
            </w:pPr>
            <w:r>
              <w:rPr>
                <w:rFonts w:ascii="Times New Roman" w:cs="Times New Roman" w:eastAsia="Times New Roman" w:hAnsi="Times New Roman"/>
                <w:sz w:val="24"/>
                <w:szCs w:val="24"/>
                <w:color w:val="auto"/>
              </w:rPr>
              <w:t>Amount</w:t>
            </w:r>
          </w:p>
        </w:tc>
        <w:tc>
          <w:tcPr>
            <w:tcW w:w="4220" w:type="dxa"/>
            <w:vAlign w:val="bottom"/>
          </w:tcPr>
          <w:p>
            <w:pPr>
              <w:jc w:val="right"/>
              <w:ind w:right="3900"/>
              <w:spacing w:after="0"/>
              <w:rPr>
                <w:sz w:val="20"/>
                <w:szCs w:val="20"/>
                <w:color w:val="auto"/>
              </w:rPr>
            </w:pPr>
            <w:r>
              <w:rPr>
                <w:rFonts w:ascii="Times New Roman" w:cs="Times New Roman" w:eastAsia="Times New Roman" w:hAnsi="Times New Roman"/>
                <w:sz w:val="24"/>
                <w:szCs w:val="24"/>
                <w:color w:val="auto"/>
              </w:rPr>
              <w:t>:</w:t>
            </w:r>
          </w:p>
        </w:tc>
        <w:tc>
          <w:tcPr>
            <w:tcW w:w="300" w:type="dxa"/>
            <w:vAlign w:val="bottom"/>
          </w:tcPr>
          <w:p>
            <w:pPr>
              <w:spacing w:after="0"/>
              <w:rPr>
                <w:sz w:val="24"/>
                <w:szCs w:val="24"/>
                <w:color w:val="auto"/>
              </w:rPr>
            </w:pPr>
          </w:p>
        </w:tc>
      </w:tr>
      <w:tr>
        <w:trPr>
          <w:trHeight w:val="415"/>
        </w:trPr>
        <w:tc>
          <w:tcPr>
            <w:tcW w:w="42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w w:val="85"/>
              </w:rPr>
              <w:t>(3)</w:t>
            </w:r>
          </w:p>
        </w:tc>
        <w:tc>
          <w:tcPr>
            <w:tcW w:w="3040" w:type="dxa"/>
            <w:vAlign w:val="bottom"/>
            <w:gridSpan w:val="2"/>
          </w:tcPr>
          <w:p>
            <w:pPr>
              <w:ind w:left="140"/>
              <w:spacing w:after="0"/>
              <w:rPr>
                <w:sz w:val="20"/>
                <w:szCs w:val="20"/>
                <w:color w:val="auto"/>
              </w:rPr>
            </w:pPr>
            <w:r>
              <w:rPr>
                <w:rFonts w:ascii="Times New Roman" w:cs="Times New Roman" w:eastAsia="Times New Roman" w:hAnsi="Times New Roman"/>
                <w:sz w:val="24"/>
                <w:szCs w:val="24"/>
                <w:color w:val="auto"/>
              </w:rPr>
              <w:t>Total number of underwriters</w:t>
            </w:r>
          </w:p>
        </w:tc>
        <w:tc>
          <w:tcPr>
            <w:tcW w:w="4220" w:type="dxa"/>
            <w:vAlign w:val="bottom"/>
          </w:tcPr>
          <w:p>
            <w:pPr>
              <w:spacing w:after="0"/>
              <w:rPr>
                <w:sz w:val="24"/>
                <w:szCs w:val="24"/>
                <w:color w:val="auto"/>
              </w:rPr>
            </w:pPr>
          </w:p>
        </w:tc>
        <w:tc>
          <w:tcPr>
            <w:tcW w:w="3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w:t>
            </w:r>
          </w:p>
        </w:tc>
      </w:tr>
      <w:tr>
        <w:trPr>
          <w:trHeight w:val="413"/>
        </w:trPr>
        <w:tc>
          <w:tcPr>
            <w:tcW w:w="42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w w:val="85"/>
              </w:rPr>
              <w:t>(4)</w:t>
            </w:r>
          </w:p>
        </w:tc>
        <w:tc>
          <w:tcPr>
            <w:tcW w:w="7260" w:type="dxa"/>
            <w:vAlign w:val="bottom"/>
            <w:gridSpan w:val="3"/>
          </w:tcPr>
          <w:p>
            <w:pPr>
              <w:ind w:left="140"/>
              <w:spacing w:after="0"/>
              <w:rPr>
                <w:sz w:val="20"/>
                <w:szCs w:val="20"/>
                <w:color w:val="auto"/>
              </w:rPr>
            </w:pPr>
            <w:r>
              <w:rPr>
                <w:rFonts w:ascii="Times New Roman" w:cs="Times New Roman" w:eastAsia="Times New Roman" w:hAnsi="Times New Roman"/>
                <w:sz w:val="24"/>
                <w:szCs w:val="24"/>
                <w:color w:val="auto"/>
              </w:rPr>
              <w:t>If the devolvement notices had not been issued, how was the shortfall met</w:t>
            </w:r>
          </w:p>
        </w:tc>
        <w:tc>
          <w:tcPr>
            <w:tcW w:w="3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w:t>
            </w:r>
          </w:p>
        </w:tc>
      </w:tr>
      <w:tr>
        <w:trPr>
          <w:trHeight w:val="415"/>
        </w:trPr>
        <w:tc>
          <w:tcPr>
            <w:tcW w:w="42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w w:val="85"/>
              </w:rPr>
              <w:t>(5)</w:t>
            </w:r>
          </w:p>
        </w:tc>
        <w:tc>
          <w:tcPr>
            <w:tcW w:w="7260" w:type="dxa"/>
            <w:vAlign w:val="bottom"/>
            <w:gridSpan w:val="3"/>
          </w:tcPr>
          <w:p>
            <w:pPr>
              <w:ind w:left="140"/>
              <w:spacing w:after="0"/>
              <w:rPr>
                <w:sz w:val="20"/>
                <w:szCs w:val="20"/>
                <w:color w:val="auto"/>
              </w:rPr>
            </w:pPr>
            <w:r>
              <w:rPr>
                <w:rFonts w:ascii="Times New Roman" w:cs="Times New Roman" w:eastAsia="Times New Roman" w:hAnsi="Times New Roman"/>
                <w:sz w:val="24"/>
                <w:szCs w:val="24"/>
                <w:color w:val="auto"/>
              </w:rPr>
              <w:t>Number of underwriters to whom devolvement notices had been issued</w:t>
            </w:r>
          </w:p>
        </w:tc>
        <w:tc>
          <w:tcPr>
            <w:tcW w:w="3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w:t>
            </w:r>
          </w:p>
        </w:tc>
      </w:tr>
      <w:tr>
        <w:trPr>
          <w:trHeight w:val="413"/>
        </w:trPr>
        <w:tc>
          <w:tcPr>
            <w:tcW w:w="42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w w:val="85"/>
              </w:rPr>
              <w:t>(6)</w:t>
            </w:r>
          </w:p>
        </w:tc>
        <w:tc>
          <w:tcPr>
            <w:tcW w:w="7260" w:type="dxa"/>
            <w:vAlign w:val="bottom"/>
            <w:gridSpan w:val="3"/>
          </w:tcPr>
          <w:p>
            <w:pPr>
              <w:ind w:left="140"/>
              <w:spacing w:after="0"/>
              <w:rPr>
                <w:sz w:val="20"/>
                <w:szCs w:val="20"/>
                <w:color w:val="auto"/>
              </w:rPr>
            </w:pPr>
            <w:r>
              <w:rPr>
                <w:rFonts w:ascii="Times New Roman" w:cs="Times New Roman" w:eastAsia="Times New Roman" w:hAnsi="Times New Roman"/>
                <w:sz w:val="24"/>
                <w:szCs w:val="24"/>
                <w:color w:val="auto"/>
              </w:rPr>
              <w:t>Date of issue of devolvement notices</w:t>
            </w:r>
          </w:p>
        </w:tc>
        <w:tc>
          <w:tcPr>
            <w:tcW w:w="3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w:t>
            </w:r>
          </w:p>
        </w:tc>
      </w:tr>
    </w:tbl>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jc w:val="center"/>
        <w:ind w:right="32"/>
        <w:spacing w:after="0"/>
        <w:rPr>
          <w:sz w:val="20"/>
          <w:szCs w:val="20"/>
          <w:color w:val="auto"/>
        </w:rPr>
      </w:pPr>
      <w:r>
        <w:rPr>
          <w:rFonts w:ascii="Times New Roman" w:cs="Times New Roman" w:eastAsia="Times New Roman" w:hAnsi="Times New Roman"/>
          <w:sz w:val="24"/>
          <w:szCs w:val="24"/>
          <w:color w:val="auto"/>
        </w:rPr>
        <w:t>410</w:t>
      </w:r>
    </w:p>
    <w:p>
      <w:pPr>
        <w:sectPr>
          <w:pgSz w:w="11900" w:h="16836" w:orient="portrait"/>
          <w:cols w:equalWidth="0" w:num="1">
            <w:col w:w="9508"/>
          </w:cols>
          <w:pgMar w:left="1152" w:top="1137" w:right="1244" w:bottom="103" w:gutter="0" w:footer="0" w:header="0"/>
          <w:type w:val="continuous"/>
        </w:sectPr>
      </w:pPr>
    </w:p>
    <w:bookmarkStart w:id="410" w:name="page411"/>
    <w:bookmarkEnd w:id="410"/>
    <w:p>
      <w:pPr>
        <w:ind w:left="568" w:hanging="568"/>
        <w:spacing w:after="0"/>
        <w:tabs>
          <w:tab w:leader="none" w:pos="568" w:val="left"/>
        </w:tabs>
        <w:numPr>
          <w:ilvl w:val="0"/>
          <w:numId w:val="123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Number of underwriters who did not honour the devolvement (Names, amount underwritten</w:t>
      </w:r>
    </w:p>
    <w:p>
      <w:pPr>
        <w:spacing w:after="0" w:line="137" w:lineRule="exact"/>
        <w:rPr>
          <w:sz w:val="20"/>
          <w:szCs w:val="20"/>
          <w:color w:val="auto"/>
        </w:rPr>
      </w:pPr>
    </w:p>
    <w:tbl>
      <w:tblPr>
        <w:tblLayout w:type="fixed"/>
        <w:tblInd w:w="8" w:type="dxa"/>
        <w:tblCellMar>
          <w:top w:w="0" w:type="dxa"/>
          <w:left w:w="0" w:type="dxa"/>
          <w:bottom w:w="0" w:type="dxa"/>
          <w:right w:w="0" w:type="dxa"/>
        </w:tblCellMar>
      </w:tblPr>
      <w:tr>
        <w:trPr>
          <w:trHeight w:val="276"/>
        </w:trPr>
        <w:tc>
          <w:tcPr>
            <w:tcW w:w="420" w:type="dxa"/>
            <w:vAlign w:val="bottom"/>
          </w:tcPr>
          <w:p>
            <w:pPr>
              <w:spacing w:after="0"/>
              <w:rPr>
                <w:sz w:val="23"/>
                <w:szCs w:val="23"/>
                <w:color w:val="auto"/>
              </w:rPr>
            </w:pPr>
          </w:p>
        </w:tc>
        <w:tc>
          <w:tcPr>
            <w:tcW w:w="3100" w:type="dxa"/>
            <w:vAlign w:val="bottom"/>
            <w:gridSpan w:val="2"/>
          </w:tcPr>
          <w:p>
            <w:pPr>
              <w:ind w:left="140"/>
              <w:spacing w:after="0"/>
              <w:rPr>
                <w:sz w:val="20"/>
                <w:szCs w:val="20"/>
                <w:color w:val="auto"/>
              </w:rPr>
            </w:pPr>
            <w:r>
              <w:rPr>
                <w:rFonts w:ascii="Times New Roman" w:cs="Times New Roman" w:eastAsia="Times New Roman" w:hAnsi="Times New Roman"/>
                <w:sz w:val="24"/>
                <w:szCs w:val="24"/>
                <w:color w:val="auto"/>
                <w:w w:val="99"/>
              </w:rPr>
              <w:t>and reasons for not honouring)</w:t>
            </w:r>
          </w:p>
        </w:tc>
        <w:tc>
          <w:tcPr>
            <w:tcW w:w="4280" w:type="dxa"/>
            <w:vAlign w:val="bottom"/>
          </w:tcPr>
          <w:p>
            <w:pPr>
              <w:spacing w:after="0"/>
              <w:rPr>
                <w:sz w:val="23"/>
                <w:szCs w:val="23"/>
                <w:color w:val="auto"/>
              </w:rPr>
            </w:pPr>
          </w:p>
        </w:tc>
        <w:tc>
          <w:tcPr>
            <w:tcW w:w="1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w:t>
            </w:r>
          </w:p>
        </w:tc>
      </w:tr>
      <w:tr>
        <w:trPr>
          <w:trHeight w:val="415"/>
        </w:trPr>
        <w:tc>
          <w:tcPr>
            <w:tcW w:w="42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w w:val="85"/>
              </w:rPr>
              <w:t>(8)</w:t>
            </w:r>
          </w:p>
        </w:tc>
        <w:tc>
          <w:tcPr>
            <w:tcW w:w="7380" w:type="dxa"/>
            <w:vAlign w:val="bottom"/>
            <w:gridSpan w:val="3"/>
          </w:tcPr>
          <w:p>
            <w:pPr>
              <w:ind w:left="140"/>
              <w:spacing w:after="0"/>
              <w:rPr>
                <w:sz w:val="20"/>
                <w:szCs w:val="20"/>
                <w:color w:val="auto"/>
              </w:rPr>
            </w:pPr>
            <w:r>
              <w:rPr>
                <w:rFonts w:ascii="Times New Roman" w:cs="Times New Roman" w:eastAsia="Times New Roman" w:hAnsi="Times New Roman"/>
                <w:sz w:val="24"/>
                <w:szCs w:val="24"/>
                <w:color w:val="auto"/>
              </w:rPr>
              <w:t>In case of default by the underwriters, how was the shortfall was met</w:t>
            </w:r>
          </w:p>
        </w:tc>
        <w:tc>
          <w:tcPr>
            <w:tcW w:w="1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w:t>
            </w:r>
          </w:p>
        </w:tc>
      </w:tr>
      <w:tr>
        <w:trPr>
          <w:trHeight w:val="413"/>
        </w:trPr>
        <w:tc>
          <w:tcPr>
            <w:tcW w:w="42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w w:val="85"/>
              </w:rPr>
              <w:t>(9)</w:t>
            </w:r>
          </w:p>
        </w:tc>
        <w:tc>
          <w:tcPr>
            <w:tcW w:w="7380" w:type="dxa"/>
            <w:vAlign w:val="bottom"/>
            <w:gridSpan w:val="3"/>
          </w:tcPr>
          <w:p>
            <w:pPr>
              <w:ind w:left="140"/>
              <w:spacing w:after="0"/>
              <w:rPr>
                <w:sz w:val="20"/>
                <w:szCs w:val="20"/>
                <w:color w:val="auto"/>
              </w:rPr>
            </w:pPr>
            <w:r>
              <w:rPr>
                <w:rFonts w:ascii="Times New Roman" w:cs="Times New Roman" w:eastAsia="Times New Roman" w:hAnsi="Times New Roman"/>
                <w:sz w:val="24"/>
                <w:szCs w:val="24"/>
                <w:color w:val="auto"/>
                <w:w w:val="98"/>
              </w:rPr>
              <w:t>In case QIBs have subscribed to make up the shortfall, not as an underwriter</w:t>
            </w:r>
          </w:p>
        </w:tc>
        <w:tc>
          <w:tcPr>
            <w:tcW w:w="1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w:t>
            </w:r>
          </w:p>
        </w:tc>
      </w:tr>
      <w:tr>
        <w:trPr>
          <w:trHeight w:val="415"/>
        </w:trPr>
        <w:tc>
          <w:tcPr>
            <w:tcW w:w="420" w:type="dxa"/>
            <w:vAlign w:val="bottom"/>
          </w:tcPr>
          <w:p>
            <w:pPr>
              <w:spacing w:after="0"/>
              <w:rPr>
                <w:sz w:val="24"/>
                <w:szCs w:val="24"/>
                <w:color w:val="auto"/>
              </w:rPr>
            </w:pPr>
          </w:p>
        </w:tc>
        <w:tc>
          <w:tcPr>
            <w:tcW w:w="580" w:type="dxa"/>
            <w:vAlign w:val="bottom"/>
          </w:tcPr>
          <w:p>
            <w:pPr>
              <w:ind w:left="140"/>
              <w:spacing w:after="0"/>
              <w:rPr>
                <w:sz w:val="20"/>
                <w:szCs w:val="20"/>
                <w:color w:val="auto"/>
              </w:rPr>
            </w:pPr>
            <w:r>
              <w:rPr>
                <w:rFonts w:ascii="Times New Roman" w:cs="Times New Roman" w:eastAsia="Times New Roman" w:hAnsi="Times New Roman"/>
                <w:sz w:val="24"/>
                <w:szCs w:val="24"/>
                <w:color w:val="auto"/>
              </w:rPr>
              <w:t>(a)</w:t>
            </w:r>
          </w:p>
        </w:tc>
        <w:tc>
          <w:tcPr>
            <w:tcW w:w="2520" w:type="dxa"/>
            <w:vAlign w:val="bottom"/>
          </w:tcPr>
          <w:p>
            <w:pPr>
              <w:ind w:left="140"/>
              <w:spacing w:after="0"/>
              <w:rPr>
                <w:sz w:val="20"/>
                <w:szCs w:val="20"/>
                <w:color w:val="auto"/>
              </w:rPr>
            </w:pPr>
            <w:r>
              <w:rPr>
                <w:rFonts w:ascii="Times New Roman" w:cs="Times New Roman" w:eastAsia="Times New Roman" w:hAnsi="Times New Roman"/>
                <w:sz w:val="24"/>
                <w:szCs w:val="24"/>
                <w:color w:val="auto"/>
              </w:rPr>
              <w:t>Names of the QIBs</w:t>
            </w:r>
          </w:p>
        </w:tc>
        <w:tc>
          <w:tcPr>
            <w:tcW w:w="4280" w:type="dxa"/>
            <w:vAlign w:val="bottom"/>
          </w:tcPr>
          <w:p>
            <w:pPr>
              <w:jc w:val="right"/>
              <w:ind w:right="4020"/>
              <w:spacing w:after="0"/>
              <w:rPr>
                <w:sz w:val="20"/>
                <w:szCs w:val="20"/>
                <w:color w:val="auto"/>
              </w:rPr>
            </w:pPr>
            <w:r>
              <w:rPr>
                <w:rFonts w:ascii="Times New Roman" w:cs="Times New Roman" w:eastAsia="Times New Roman" w:hAnsi="Times New Roman"/>
                <w:sz w:val="24"/>
                <w:szCs w:val="24"/>
                <w:color w:val="auto"/>
              </w:rPr>
              <w:t>:</w:t>
            </w:r>
          </w:p>
        </w:tc>
        <w:tc>
          <w:tcPr>
            <w:tcW w:w="180" w:type="dxa"/>
            <w:vAlign w:val="bottom"/>
          </w:tcPr>
          <w:p>
            <w:pPr>
              <w:spacing w:after="0"/>
              <w:rPr>
                <w:sz w:val="24"/>
                <w:szCs w:val="24"/>
                <w:color w:val="auto"/>
              </w:rPr>
            </w:pPr>
          </w:p>
        </w:tc>
      </w:tr>
      <w:tr>
        <w:trPr>
          <w:trHeight w:val="413"/>
        </w:trPr>
        <w:tc>
          <w:tcPr>
            <w:tcW w:w="420" w:type="dxa"/>
            <w:vAlign w:val="bottom"/>
          </w:tcPr>
          <w:p>
            <w:pPr>
              <w:spacing w:after="0"/>
              <w:rPr>
                <w:sz w:val="24"/>
                <w:szCs w:val="24"/>
                <w:color w:val="auto"/>
              </w:rPr>
            </w:pPr>
          </w:p>
        </w:tc>
        <w:tc>
          <w:tcPr>
            <w:tcW w:w="580" w:type="dxa"/>
            <w:vAlign w:val="bottom"/>
          </w:tcPr>
          <w:p>
            <w:pPr>
              <w:ind w:left="140"/>
              <w:spacing w:after="0"/>
              <w:rPr>
                <w:sz w:val="20"/>
                <w:szCs w:val="20"/>
                <w:color w:val="auto"/>
              </w:rPr>
            </w:pPr>
            <w:r>
              <w:rPr>
                <w:rFonts w:ascii="Times New Roman" w:cs="Times New Roman" w:eastAsia="Times New Roman" w:hAnsi="Times New Roman"/>
                <w:sz w:val="24"/>
                <w:szCs w:val="24"/>
                <w:color w:val="auto"/>
              </w:rPr>
              <w:t>(b)</w:t>
            </w:r>
          </w:p>
        </w:tc>
        <w:tc>
          <w:tcPr>
            <w:tcW w:w="6800" w:type="dxa"/>
            <w:vAlign w:val="bottom"/>
            <w:gridSpan w:val="2"/>
          </w:tcPr>
          <w:p>
            <w:pPr>
              <w:ind w:left="140"/>
              <w:spacing w:after="0"/>
              <w:rPr>
                <w:sz w:val="20"/>
                <w:szCs w:val="20"/>
                <w:color w:val="auto"/>
              </w:rPr>
            </w:pPr>
            <w:r>
              <w:rPr>
                <w:rFonts w:ascii="Times New Roman" w:cs="Times New Roman" w:eastAsia="Times New Roman" w:hAnsi="Times New Roman"/>
                <w:sz w:val="24"/>
                <w:szCs w:val="24"/>
                <w:color w:val="auto"/>
              </w:rPr>
              <w:t>Number of securities applied for   :</w:t>
            </w:r>
          </w:p>
        </w:tc>
        <w:tc>
          <w:tcPr>
            <w:tcW w:w="180" w:type="dxa"/>
            <w:vAlign w:val="bottom"/>
          </w:tcPr>
          <w:p>
            <w:pPr>
              <w:spacing w:after="0"/>
              <w:rPr>
                <w:sz w:val="24"/>
                <w:szCs w:val="24"/>
                <w:color w:val="auto"/>
              </w:rPr>
            </w:pPr>
          </w:p>
        </w:tc>
      </w:tr>
      <w:tr>
        <w:trPr>
          <w:trHeight w:val="415"/>
        </w:trPr>
        <w:tc>
          <w:tcPr>
            <w:tcW w:w="420" w:type="dxa"/>
            <w:vAlign w:val="bottom"/>
          </w:tcPr>
          <w:p>
            <w:pPr>
              <w:spacing w:after="0"/>
              <w:rPr>
                <w:sz w:val="24"/>
                <w:szCs w:val="24"/>
                <w:color w:val="auto"/>
              </w:rPr>
            </w:pPr>
          </w:p>
        </w:tc>
        <w:tc>
          <w:tcPr>
            <w:tcW w:w="580" w:type="dxa"/>
            <w:vAlign w:val="bottom"/>
          </w:tcPr>
          <w:p>
            <w:pPr>
              <w:ind w:left="140"/>
              <w:spacing w:after="0"/>
              <w:rPr>
                <w:sz w:val="20"/>
                <w:szCs w:val="20"/>
                <w:color w:val="auto"/>
              </w:rPr>
            </w:pPr>
            <w:r>
              <w:rPr>
                <w:rFonts w:ascii="Times New Roman" w:cs="Times New Roman" w:eastAsia="Times New Roman" w:hAnsi="Times New Roman"/>
                <w:sz w:val="24"/>
                <w:szCs w:val="24"/>
                <w:color w:val="auto"/>
              </w:rPr>
              <w:t>(c)</w:t>
            </w:r>
          </w:p>
        </w:tc>
        <w:tc>
          <w:tcPr>
            <w:tcW w:w="2520" w:type="dxa"/>
            <w:vAlign w:val="bottom"/>
          </w:tcPr>
          <w:p>
            <w:pPr>
              <w:ind w:left="140"/>
              <w:spacing w:after="0"/>
              <w:rPr>
                <w:sz w:val="20"/>
                <w:szCs w:val="20"/>
                <w:color w:val="auto"/>
              </w:rPr>
            </w:pPr>
            <w:r>
              <w:rPr>
                <w:rFonts w:ascii="Times New Roman" w:cs="Times New Roman" w:eastAsia="Times New Roman" w:hAnsi="Times New Roman"/>
                <w:sz w:val="24"/>
                <w:szCs w:val="24"/>
                <w:color w:val="auto"/>
              </w:rPr>
              <w:t>Amount received</w:t>
            </w:r>
          </w:p>
        </w:tc>
        <w:tc>
          <w:tcPr>
            <w:tcW w:w="4280" w:type="dxa"/>
            <w:vAlign w:val="bottom"/>
          </w:tcPr>
          <w:p>
            <w:pPr>
              <w:jc w:val="right"/>
              <w:ind w:right="4020"/>
              <w:spacing w:after="0"/>
              <w:rPr>
                <w:sz w:val="20"/>
                <w:szCs w:val="20"/>
                <w:color w:val="auto"/>
              </w:rPr>
            </w:pPr>
            <w:r>
              <w:rPr>
                <w:rFonts w:ascii="Times New Roman" w:cs="Times New Roman" w:eastAsia="Times New Roman" w:hAnsi="Times New Roman"/>
                <w:sz w:val="24"/>
                <w:szCs w:val="24"/>
                <w:color w:val="auto"/>
              </w:rPr>
              <w:t>:</w:t>
            </w:r>
          </w:p>
        </w:tc>
        <w:tc>
          <w:tcPr>
            <w:tcW w:w="180" w:type="dxa"/>
            <w:vAlign w:val="bottom"/>
          </w:tcPr>
          <w:p>
            <w:pPr>
              <w:spacing w:after="0"/>
              <w:rPr>
                <w:sz w:val="24"/>
                <w:szCs w:val="24"/>
                <w:color w:val="auto"/>
              </w:rPr>
            </w:pPr>
          </w:p>
        </w:tc>
      </w:tr>
    </w:tbl>
    <w:p>
      <w:pPr>
        <w:spacing w:after="0" w:line="200" w:lineRule="exact"/>
        <w:rPr>
          <w:sz w:val="20"/>
          <w:szCs w:val="20"/>
          <w:color w:val="auto"/>
        </w:rPr>
      </w:pPr>
    </w:p>
    <w:p>
      <w:pPr>
        <w:spacing w:after="0" w:line="365" w:lineRule="exact"/>
        <w:rPr>
          <w:sz w:val="20"/>
          <w:szCs w:val="20"/>
          <w:color w:val="auto"/>
        </w:rPr>
      </w:pPr>
    </w:p>
    <w:p>
      <w:pPr>
        <w:ind w:left="8"/>
        <w:spacing w:after="0" w:line="348" w:lineRule="auto"/>
        <w:rPr>
          <w:sz w:val="20"/>
          <w:szCs w:val="20"/>
          <w:color w:val="auto"/>
        </w:rPr>
      </w:pPr>
      <w:r>
        <w:rPr>
          <w:rFonts w:ascii="Times New Roman" w:cs="Times New Roman" w:eastAsia="Times New Roman" w:hAnsi="Times New Roman"/>
          <w:sz w:val="24"/>
          <w:szCs w:val="24"/>
          <w:color w:val="auto"/>
        </w:rPr>
        <w:t>Certified that the information given above and also in the enclosures are true to the best of our knowledge and no unblocking or demat credits are pending.</w:t>
      </w:r>
    </w:p>
    <w:p>
      <w:pPr>
        <w:spacing w:after="0" w:line="200" w:lineRule="exact"/>
        <w:rPr>
          <w:sz w:val="20"/>
          <w:szCs w:val="20"/>
          <w:color w:val="auto"/>
        </w:rPr>
      </w:pPr>
    </w:p>
    <w:p>
      <w:pPr>
        <w:spacing w:after="0" w:line="22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Certified that the specified securities to be locked-in are duly inscribed with the words “specified</w:t>
      </w:r>
    </w:p>
    <w:p>
      <w:pPr>
        <w:spacing w:after="0" w:line="151" w:lineRule="exact"/>
        <w:rPr>
          <w:sz w:val="20"/>
          <w:szCs w:val="20"/>
          <w:color w:val="auto"/>
        </w:rPr>
      </w:pPr>
    </w:p>
    <w:p>
      <w:pPr>
        <w:jc w:val="both"/>
        <w:ind w:left="8"/>
        <w:spacing w:after="0" w:line="348" w:lineRule="auto"/>
        <w:rPr>
          <w:sz w:val="20"/>
          <w:szCs w:val="20"/>
          <w:color w:val="auto"/>
        </w:rPr>
      </w:pPr>
      <w:r>
        <w:rPr>
          <w:rFonts w:ascii="Times New Roman" w:cs="Times New Roman" w:eastAsia="Times New Roman" w:hAnsi="Times New Roman"/>
          <w:sz w:val="24"/>
          <w:szCs w:val="24"/>
          <w:color w:val="auto"/>
        </w:rPr>
        <w:t>securities cannot be hypothecated / transferred / sold till .........” or necessary instructions to this effect have been sent to the depositories.</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Signed by</w:t>
      </w:r>
    </w:p>
    <w:p>
      <w:pPr>
        <w:spacing w:after="0" w:line="200" w:lineRule="exact"/>
        <w:rPr>
          <w:sz w:val="20"/>
          <w:szCs w:val="20"/>
          <w:color w:val="auto"/>
        </w:rPr>
      </w:pPr>
    </w:p>
    <w:p>
      <w:pPr>
        <w:spacing w:after="0" w:line="352" w:lineRule="exact"/>
        <w:rPr>
          <w:sz w:val="20"/>
          <w:szCs w:val="20"/>
          <w:color w:val="auto"/>
        </w:rPr>
      </w:pPr>
    </w:p>
    <w:p>
      <w:pPr>
        <w:ind w:left="8"/>
        <w:spacing w:after="0"/>
        <w:tabs>
          <w:tab w:leader="none" w:pos="3927" w:val="left"/>
          <w:tab w:leader="none" w:pos="6427" w:val="left"/>
        </w:tabs>
        <w:rPr>
          <w:sz w:val="20"/>
          <w:szCs w:val="20"/>
          <w:color w:val="auto"/>
        </w:rPr>
      </w:pPr>
      <w:r>
        <w:rPr>
          <w:rFonts w:ascii="Times New Roman" w:cs="Times New Roman" w:eastAsia="Times New Roman" w:hAnsi="Times New Roman"/>
          <w:sz w:val="24"/>
          <w:szCs w:val="24"/>
          <w:b w:val="1"/>
          <w:bCs w:val="1"/>
          <w:color w:val="auto"/>
        </w:rPr>
        <w:t>Registrars to the issue</w:t>
      </w:r>
      <w:r>
        <w:rPr>
          <w:sz w:val="20"/>
          <w:szCs w:val="20"/>
          <w:color w:val="auto"/>
        </w:rPr>
        <w:tab/>
      </w:r>
      <w:r>
        <w:rPr>
          <w:rFonts w:ascii="Times New Roman" w:cs="Times New Roman" w:eastAsia="Times New Roman" w:hAnsi="Times New Roman"/>
          <w:sz w:val="24"/>
          <w:szCs w:val="24"/>
          <w:b w:val="1"/>
          <w:bCs w:val="1"/>
          <w:color w:val="auto"/>
        </w:rPr>
        <w:t>Issuer</w:t>
      </w:r>
      <w:r>
        <w:rPr>
          <w:sz w:val="20"/>
          <w:szCs w:val="20"/>
          <w:color w:val="auto"/>
        </w:rPr>
        <w:tab/>
      </w:r>
      <w:r>
        <w:rPr>
          <w:rFonts w:ascii="Times New Roman" w:cs="Times New Roman" w:eastAsia="Times New Roman" w:hAnsi="Times New Roman"/>
          <w:sz w:val="23"/>
          <w:szCs w:val="23"/>
          <w:b w:val="1"/>
          <w:bCs w:val="1"/>
          <w:color w:val="auto"/>
        </w:rPr>
        <w:t>Lead manager(s)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Place:</w:t>
      </w:r>
    </w:p>
    <w:p>
      <w:pPr>
        <w:spacing w:after="0" w:line="13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Date:</w:t>
      </w:r>
    </w:p>
    <w:p>
      <w:pPr>
        <w:spacing w:after="0" w:line="200" w:lineRule="exact"/>
        <w:rPr>
          <w:sz w:val="20"/>
          <w:szCs w:val="20"/>
          <w:color w:val="auto"/>
        </w:rPr>
      </w:pPr>
    </w:p>
    <w:p>
      <w:pPr>
        <w:spacing w:after="0" w:line="353"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Part B - Format of initial post-issue report for a rights issue</w:t>
      </w:r>
    </w:p>
    <w:p>
      <w:pPr>
        <w:spacing w:after="0" w:line="13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[See regulation 96(a)]</w:t>
      </w:r>
    </w:p>
    <w:p>
      <w:pPr>
        <w:spacing w:after="0" w:line="200" w:lineRule="exact"/>
        <w:rPr>
          <w:sz w:val="20"/>
          <w:szCs w:val="20"/>
          <w:color w:val="auto"/>
        </w:rPr>
      </w:pPr>
    </w:p>
    <w:p>
      <w:pPr>
        <w:spacing w:after="0" w:line="352"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Subscription Status: (Subscribed / Undersubscribed)</w:t>
      </w:r>
    </w:p>
    <w:p>
      <w:pPr>
        <w:spacing w:after="0" w:line="200" w:lineRule="exact"/>
        <w:rPr>
          <w:sz w:val="20"/>
          <w:szCs w:val="20"/>
          <w:color w:val="auto"/>
        </w:rPr>
      </w:pPr>
    </w:p>
    <w:p>
      <w:pPr>
        <w:spacing w:after="0" w:line="359" w:lineRule="exact"/>
        <w:rPr>
          <w:sz w:val="20"/>
          <w:szCs w:val="20"/>
          <w:color w:val="auto"/>
        </w:rPr>
      </w:pPr>
    </w:p>
    <w:p>
      <w:pPr>
        <w:jc w:val="both"/>
        <w:ind w:left="8"/>
        <w:spacing w:after="0" w:line="348" w:lineRule="auto"/>
        <w:rPr>
          <w:sz w:val="20"/>
          <w:szCs w:val="20"/>
          <w:color w:val="auto"/>
        </w:rPr>
      </w:pPr>
      <w:r>
        <w:rPr>
          <w:rFonts w:ascii="Times New Roman" w:cs="Times New Roman" w:eastAsia="Times New Roman" w:hAnsi="Times New Roman"/>
          <w:sz w:val="24"/>
          <w:szCs w:val="24"/>
          <w:b w:val="1"/>
          <w:bCs w:val="1"/>
          <w:color w:val="auto"/>
        </w:rPr>
        <w:t xml:space="preserve">Note: </w:t>
      </w:r>
      <w:r>
        <w:rPr>
          <w:rFonts w:ascii="Times New Roman" w:cs="Times New Roman" w:eastAsia="Times New Roman" w:hAnsi="Times New Roman"/>
          <w:sz w:val="24"/>
          <w:szCs w:val="24"/>
          <w:color w:val="auto"/>
        </w:rPr>
        <w:t>The lead manager(s) shall provide correct information after verifying it from the issuer and the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registrar to the issue.</w:t>
      </w:r>
    </w:p>
    <w:p>
      <w:pPr>
        <w:spacing w:after="0" w:line="200" w:lineRule="exact"/>
        <w:rPr>
          <w:sz w:val="20"/>
          <w:szCs w:val="20"/>
          <w:color w:val="auto"/>
        </w:rPr>
      </w:pPr>
    </w:p>
    <w:p>
      <w:pPr>
        <w:spacing w:after="0" w:line="229" w:lineRule="exact"/>
        <w:rPr>
          <w:sz w:val="20"/>
          <w:szCs w:val="20"/>
          <w:color w:val="auto"/>
        </w:rPr>
      </w:pPr>
    </w:p>
    <w:tbl>
      <w:tblPr>
        <w:tblLayout w:type="fixed"/>
        <w:tblInd w:w="8" w:type="dxa"/>
        <w:tblCellMar>
          <w:top w:w="0" w:type="dxa"/>
          <w:left w:w="0" w:type="dxa"/>
          <w:bottom w:w="0" w:type="dxa"/>
          <w:right w:w="0" w:type="dxa"/>
        </w:tblCellMar>
      </w:tblPr>
      <w:tr>
        <w:trPr>
          <w:trHeight w:val="276"/>
        </w:trPr>
        <w:tc>
          <w:tcPr>
            <w:tcW w:w="42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w w:val="85"/>
              </w:rPr>
              <w:t>(1)</w:t>
            </w:r>
          </w:p>
        </w:tc>
        <w:tc>
          <w:tcPr>
            <w:tcW w:w="2200" w:type="dxa"/>
            <w:vAlign w:val="bottom"/>
          </w:tcPr>
          <w:p>
            <w:pPr>
              <w:ind w:left="140"/>
              <w:spacing w:after="0"/>
              <w:rPr>
                <w:sz w:val="20"/>
                <w:szCs w:val="20"/>
                <w:color w:val="auto"/>
              </w:rPr>
            </w:pPr>
            <w:r>
              <w:rPr>
                <w:rFonts w:ascii="Times New Roman" w:cs="Times New Roman" w:eastAsia="Times New Roman" w:hAnsi="Times New Roman"/>
                <w:sz w:val="24"/>
                <w:szCs w:val="24"/>
                <w:color w:val="auto"/>
              </w:rPr>
              <w:t>Name of the issuer</w:t>
            </w:r>
          </w:p>
        </w:tc>
        <w:tc>
          <w:tcPr>
            <w:tcW w:w="3660" w:type="dxa"/>
            <w:vAlign w:val="bottom"/>
          </w:tcPr>
          <w:p>
            <w:pPr>
              <w:jc w:val="right"/>
              <w:ind w:right="3220"/>
              <w:spacing w:after="0"/>
              <w:rPr>
                <w:sz w:val="20"/>
                <w:szCs w:val="20"/>
                <w:color w:val="auto"/>
              </w:rPr>
            </w:pPr>
            <w:r>
              <w:rPr>
                <w:rFonts w:ascii="Times New Roman" w:cs="Times New Roman" w:eastAsia="Times New Roman" w:hAnsi="Times New Roman"/>
                <w:sz w:val="24"/>
                <w:szCs w:val="24"/>
                <w:color w:val="auto"/>
              </w:rPr>
              <w:t>:</w:t>
            </w:r>
          </w:p>
        </w:tc>
        <w:tc>
          <w:tcPr>
            <w:tcW w:w="260" w:type="dxa"/>
            <w:vAlign w:val="bottom"/>
          </w:tcPr>
          <w:p>
            <w:pPr>
              <w:spacing w:after="0"/>
              <w:rPr>
                <w:sz w:val="23"/>
                <w:szCs w:val="23"/>
                <w:color w:val="auto"/>
              </w:rPr>
            </w:pPr>
          </w:p>
        </w:tc>
      </w:tr>
      <w:tr>
        <w:trPr>
          <w:trHeight w:val="415"/>
        </w:trPr>
        <w:tc>
          <w:tcPr>
            <w:tcW w:w="42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w w:val="85"/>
              </w:rPr>
              <w:t>(2)</w:t>
            </w:r>
          </w:p>
        </w:tc>
        <w:tc>
          <w:tcPr>
            <w:tcW w:w="2200" w:type="dxa"/>
            <w:vAlign w:val="bottom"/>
          </w:tcPr>
          <w:p>
            <w:pPr>
              <w:ind w:left="140"/>
              <w:spacing w:after="0"/>
              <w:rPr>
                <w:sz w:val="20"/>
                <w:szCs w:val="20"/>
                <w:color w:val="auto"/>
              </w:rPr>
            </w:pPr>
            <w:r>
              <w:rPr>
                <w:rFonts w:ascii="Times New Roman" w:cs="Times New Roman" w:eastAsia="Times New Roman" w:hAnsi="Times New Roman"/>
                <w:sz w:val="24"/>
                <w:szCs w:val="24"/>
                <w:color w:val="auto"/>
              </w:rPr>
              <w:t>Issue opening date</w:t>
            </w:r>
          </w:p>
        </w:tc>
        <w:tc>
          <w:tcPr>
            <w:tcW w:w="3660" w:type="dxa"/>
            <w:vAlign w:val="bottom"/>
          </w:tcPr>
          <w:p>
            <w:pPr>
              <w:jc w:val="right"/>
              <w:ind w:right="3220"/>
              <w:spacing w:after="0"/>
              <w:rPr>
                <w:sz w:val="20"/>
                <w:szCs w:val="20"/>
                <w:color w:val="auto"/>
              </w:rPr>
            </w:pPr>
            <w:r>
              <w:rPr>
                <w:rFonts w:ascii="Times New Roman" w:cs="Times New Roman" w:eastAsia="Times New Roman" w:hAnsi="Times New Roman"/>
                <w:sz w:val="24"/>
                <w:szCs w:val="24"/>
                <w:color w:val="auto"/>
              </w:rPr>
              <w:t>:</w:t>
            </w:r>
          </w:p>
        </w:tc>
        <w:tc>
          <w:tcPr>
            <w:tcW w:w="260" w:type="dxa"/>
            <w:vAlign w:val="bottom"/>
          </w:tcPr>
          <w:p>
            <w:pPr>
              <w:spacing w:after="0"/>
              <w:rPr>
                <w:sz w:val="24"/>
                <w:szCs w:val="24"/>
                <w:color w:val="auto"/>
              </w:rPr>
            </w:pPr>
          </w:p>
        </w:tc>
      </w:tr>
      <w:tr>
        <w:trPr>
          <w:trHeight w:val="413"/>
        </w:trPr>
        <w:tc>
          <w:tcPr>
            <w:tcW w:w="42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w w:val="85"/>
              </w:rPr>
              <w:t>(3)</w:t>
            </w:r>
          </w:p>
        </w:tc>
        <w:tc>
          <w:tcPr>
            <w:tcW w:w="2200" w:type="dxa"/>
            <w:vAlign w:val="bottom"/>
          </w:tcPr>
          <w:p>
            <w:pPr>
              <w:ind w:left="140"/>
              <w:spacing w:after="0"/>
              <w:rPr>
                <w:sz w:val="20"/>
                <w:szCs w:val="20"/>
                <w:color w:val="auto"/>
              </w:rPr>
            </w:pPr>
            <w:r>
              <w:rPr>
                <w:rFonts w:ascii="Times New Roman" w:cs="Times New Roman" w:eastAsia="Times New Roman" w:hAnsi="Times New Roman"/>
                <w:sz w:val="24"/>
                <w:szCs w:val="24"/>
                <w:color w:val="auto"/>
              </w:rPr>
              <w:t>Actual closing date</w:t>
            </w:r>
          </w:p>
        </w:tc>
        <w:tc>
          <w:tcPr>
            <w:tcW w:w="3660" w:type="dxa"/>
            <w:vAlign w:val="bottom"/>
          </w:tcPr>
          <w:p>
            <w:pPr>
              <w:jc w:val="right"/>
              <w:ind w:right="3220"/>
              <w:spacing w:after="0"/>
              <w:rPr>
                <w:sz w:val="20"/>
                <w:szCs w:val="20"/>
                <w:color w:val="auto"/>
              </w:rPr>
            </w:pPr>
            <w:r>
              <w:rPr>
                <w:rFonts w:ascii="Times New Roman" w:cs="Times New Roman" w:eastAsia="Times New Roman" w:hAnsi="Times New Roman"/>
                <w:sz w:val="24"/>
                <w:szCs w:val="24"/>
                <w:color w:val="auto"/>
              </w:rPr>
              <w:t>:</w:t>
            </w:r>
          </w:p>
        </w:tc>
        <w:tc>
          <w:tcPr>
            <w:tcW w:w="260" w:type="dxa"/>
            <w:vAlign w:val="bottom"/>
          </w:tcPr>
          <w:p>
            <w:pPr>
              <w:spacing w:after="0"/>
              <w:rPr>
                <w:sz w:val="24"/>
                <w:szCs w:val="24"/>
                <w:color w:val="auto"/>
              </w:rPr>
            </w:pPr>
          </w:p>
        </w:tc>
      </w:tr>
      <w:tr>
        <w:trPr>
          <w:trHeight w:val="415"/>
        </w:trPr>
        <w:tc>
          <w:tcPr>
            <w:tcW w:w="42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w w:val="85"/>
              </w:rPr>
              <w:t>(4)</w:t>
            </w:r>
          </w:p>
        </w:tc>
        <w:tc>
          <w:tcPr>
            <w:tcW w:w="5860" w:type="dxa"/>
            <w:vAlign w:val="bottom"/>
            <w:gridSpan w:val="2"/>
          </w:tcPr>
          <w:p>
            <w:pPr>
              <w:ind w:left="140"/>
              <w:spacing w:after="0"/>
              <w:rPr>
                <w:sz w:val="20"/>
                <w:szCs w:val="20"/>
                <w:color w:val="auto"/>
              </w:rPr>
            </w:pPr>
            <w:r>
              <w:rPr>
                <w:rFonts w:ascii="Times New Roman" w:cs="Times New Roman" w:eastAsia="Times New Roman" w:hAnsi="Times New Roman"/>
                <w:sz w:val="24"/>
                <w:szCs w:val="24"/>
                <w:color w:val="auto"/>
                <w:w w:val="99"/>
              </w:rPr>
              <w:t>Date of filing of the letter of offer with the stock exchanges</w:t>
            </w:r>
          </w:p>
        </w:tc>
        <w:tc>
          <w:tcPr>
            <w:tcW w:w="2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w:t>
            </w:r>
          </w:p>
        </w:tc>
      </w:tr>
      <w:tr>
        <w:trPr>
          <w:trHeight w:val="670"/>
        </w:trPr>
        <w:tc>
          <w:tcPr>
            <w:tcW w:w="420" w:type="dxa"/>
            <w:vAlign w:val="bottom"/>
          </w:tcPr>
          <w:p>
            <w:pPr>
              <w:spacing w:after="0"/>
              <w:rPr>
                <w:sz w:val="24"/>
                <w:szCs w:val="24"/>
                <w:color w:val="auto"/>
              </w:rPr>
            </w:pPr>
          </w:p>
        </w:tc>
        <w:tc>
          <w:tcPr>
            <w:tcW w:w="2200" w:type="dxa"/>
            <w:vAlign w:val="bottom"/>
          </w:tcPr>
          <w:p>
            <w:pPr>
              <w:spacing w:after="0"/>
              <w:rPr>
                <w:sz w:val="24"/>
                <w:szCs w:val="24"/>
                <w:color w:val="auto"/>
              </w:rPr>
            </w:pPr>
          </w:p>
        </w:tc>
        <w:tc>
          <w:tcPr>
            <w:tcW w:w="3660" w:type="dxa"/>
            <w:vAlign w:val="bottom"/>
          </w:tcPr>
          <w:p>
            <w:pPr>
              <w:jc w:val="right"/>
              <w:ind w:right="1260"/>
              <w:spacing w:after="0"/>
              <w:rPr>
                <w:sz w:val="20"/>
                <w:szCs w:val="20"/>
                <w:color w:val="auto"/>
              </w:rPr>
            </w:pPr>
            <w:r>
              <w:rPr>
                <w:rFonts w:ascii="Times New Roman" w:cs="Times New Roman" w:eastAsia="Times New Roman" w:hAnsi="Times New Roman"/>
                <w:sz w:val="24"/>
                <w:szCs w:val="24"/>
                <w:color w:val="auto"/>
              </w:rPr>
              <w:t>411</w:t>
            </w:r>
          </w:p>
        </w:tc>
        <w:tc>
          <w:tcPr>
            <w:tcW w:w="260" w:type="dxa"/>
            <w:vAlign w:val="bottom"/>
          </w:tcPr>
          <w:p>
            <w:pPr>
              <w:spacing w:after="0"/>
              <w:rPr>
                <w:sz w:val="24"/>
                <w:szCs w:val="24"/>
                <w:color w:val="auto"/>
              </w:rPr>
            </w:pPr>
          </w:p>
        </w:tc>
      </w:tr>
    </w:tbl>
    <w:p>
      <w:pPr>
        <w:sectPr>
          <w:pgSz w:w="11900" w:h="16836" w:orient="portrait"/>
          <w:cols w:equalWidth="0" w:num="1">
            <w:col w:w="9468"/>
          </w:cols>
          <w:pgMar w:left="1152" w:top="1144" w:right="1284" w:bottom="103" w:gutter="0" w:footer="0" w:header="0"/>
        </w:sectPr>
      </w:pPr>
    </w:p>
    <w:bookmarkStart w:id="411" w:name="page412"/>
    <w:bookmarkEnd w:id="411"/>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76"/>
        </w:trPr>
        <w:tc>
          <w:tcPr>
            <w:tcW w:w="42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w w:val="85"/>
              </w:rPr>
              <w:t>(5)</w:t>
            </w:r>
          </w:p>
        </w:tc>
        <w:tc>
          <w:tcPr>
            <w:tcW w:w="4600" w:type="dxa"/>
            <w:vAlign w:val="bottom"/>
            <w:gridSpan w:val="3"/>
          </w:tcPr>
          <w:p>
            <w:pPr>
              <w:ind w:left="140"/>
              <w:spacing w:after="0"/>
              <w:rPr>
                <w:sz w:val="20"/>
                <w:szCs w:val="20"/>
                <w:color w:val="auto"/>
              </w:rPr>
            </w:pPr>
            <w:r>
              <w:rPr>
                <w:rFonts w:ascii="Times New Roman" w:cs="Times New Roman" w:eastAsia="Times New Roman" w:hAnsi="Times New Roman"/>
                <w:sz w:val="24"/>
                <w:szCs w:val="24"/>
                <w:b w:val="1"/>
                <w:bCs w:val="1"/>
                <w:color w:val="auto"/>
              </w:rPr>
              <w:t>Issue details (as per the letter of offer)</w:t>
            </w:r>
          </w:p>
        </w:tc>
        <w:tc>
          <w:tcPr>
            <w:tcW w:w="480" w:type="dxa"/>
            <w:vAlign w:val="bottom"/>
          </w:tcPr>
          <w:p>
            <w:pPr>
              <w:ind w:left="20"/>
              <w:spacing w:after="0"/>
              <w:rPr>
                <w:sz w:val="20"/>
                <w:szCs w:val="20"/>
                <w:color w:val="auto"/>
              </w:rPr>
            </w:pPr>
            <w:r>
              <w:rPr>
                <w:rFonts w:ascii="Times New Roman" w:cs="Times New Roman" w:eastAsia="Times New Roman" w:hAnsi="Times New Roman"/>
                <w:sz w:val="24"/>
                <w:szCs w:val="24"/>
                <w:b w:val="1"/>
                <w:bCs w:val="1"/>
                <w:color w:val="auto"/>
              </w:rPr>
              <w:t>:</w:t>
            </w:r>
          </w:p>
        </w:tc>
      </w:tr>
      <w:tr>
        <w:trPr>
          <w:trHeight w:val="408"/>
        </w:trPr>
        <w:tc>
          <w:tcPr>
            <w:tcW w:w="420" w:type="dxa"/>
            <w:vAlign w:val="bottom"/>
          </w:tcPr>
          <w:p>
            <w:pPr>
              <w:spacing w:after="0"/>
              <w:rPr>
                <w:sz w:val="24"/>
                <w:szCs w:val="24"/>
                <w:color w:val="auto"/>
              </w:rPr>
            </w:pPr>
          </w:p>
        </w:tc>
        <w:tc>
          <w:tcPr>
            <w:tcW w:w="600" w:type="dxa"/>
            <w:vAlign w:val="bottom"/>
          </w:tcPr>
          <w:p>
            <w:pPr>
              <w:ind w:left="220"/>
              <w:spacing w:after="0"/>
              <w:rPr>
                <w:sz w:val="20"/>
                <w:szCs w:val="20"/>
                <w:color w:val="auto"/>
              </w:rPr>
            </w:pPr>
            <w:r>
              <w:rPr>
                <w:rFonts w:ascii="Times New Roman" w:cs="Times New Roman" w:eastAsia="Times New Roman" w:hAnsi="Times New Roman"/>
                <w:sz w:val="24"/>
                <w:szCs w:val="24"/>
                <w:color w:val="auto"/>
              </w:rPr>
              <w:t>(a)</w:t>
            </w:r>
          </w:p>
        </w:tc>
        <w:tc>
          <w:tcPr>
            <w:tcW w:w="4000" w:type="dxa"/>
            <w:vAlign w:val="bottom"/>
            <w:gridSpan w:val="2"/>
          </w:tcPr>
          <w:p>
            <w:pPr>
              <w:ind w:left="100"/>
              <w:spacing w:after="0"/>
              <w:rPr>
                <w:sz w:val="20"/>
                <w:szCs w:val="20"/>
                <w:color w:val="auto"/>
              </w:rPr>
            </w:pPr>
            <w:r>
              <w:rPr>
                <w:rFonts w:ascii="Times New Roman" w:cs="Times New Roman" w:eastAsia="Times New Roman" w:hAnsi="Times New Roman"/>
                <w:sz w:val="24"/>
                <w:szCs w:val="24"/>
                <w:color w:val="auto"/>
              </w:rPr>
              <w:t>Basis of offer (ratio)</w:t>
            </w:r>
          </w:p>
        </w:tc>
        <w:tc>
          <w:tcPr>
            <w:tcW w:w="4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w:t>
            </w:r>
          </w:p>
        </w:tc>
      </w:tr>
      <w:tr>
        <w:trPr>
          <w:trHeight w:val="415"/>
        </w:trPr>
        <w:tc>
          <w:tcPr>
            <w:tcW w:w="420" w:type="dxa"/>
            <w:vAlign w:val="bottom"/>
          </w:tcPr>
          <w:p>
            <w:pPr>
              <w:spacing w:after="0"/>
              <w:rPr>
                <w:sz w:val="24"/>
                <w:szCs w:val="24"/>
                <w:color w:val="auto"/>
              </w:rPr>
            </w:pPr>
          </w:p>
        </w:tc>
        <w:tc>
          <w:tcPr>
            <w:tcW w:w="600" w:type="dxa"/>
            <w:vAlign w:val="bottom"/>
          </w:tcPr>
          <w:p>
            <w:pPr>
              <w:ind w:left="220"/>
              <w:spacing w:after="0"/>
              <w:rPr>
                <w:sz w:val="20"/>
                <w:szCs w:val="20"/>
                <w:color w:val="auto"/>
              </w:rPr>
            </w:pPr>
            <w:r>
              <w:rPr>
                <w:rFonts w:ascii="Times New Roman" w:cs="Times New Roman" w:eastAsia="Times New Roman" w:hAnsi="Times New Roman"/>
                <w:sz w:val="24"/>
                <w:szCs w:val="24"/>
                <w:color w:val="auto"/>
              </w:rPr>
              <w:t>(b)</w:t>
            </w:r>
          </w:p>
        </w:tc>
        <w:tc>
          <w:tcPr>
            <w:tcW w:w="4000" w:type="dxa"/>
            <w:vAlign w:val="bottom"/>
            <w:gridSpan w:val="2"/>
          </w:tcPr>
          <w:p>
            <w:pPr>
              <w:ind w:left="100"/>
              <w:spacing w:after="0"/>
              <w:rPr>
                <w:sz w:val="20"/>
                <w:szCs w:val="20"/>
                <w:color w:val="auto"/>
              </w:rPr>
            </w:pPr>
            <w:r>
              <w:rPr>
                <w:rFonts w:ascii="Times New Roman" w:cs="Times New Roman" w:eastAsia="Times New Roman" w:hAnsi="Times New Roman"/>
                <w:sz w:val="24"/>
                <w:szCs w:val="24"/>
                <w:color w:val="auto"/>
              </w:rPr>
              <w:t>Nature of specified securities (equity</w:t>
            </w:r>
          </w:p>
        </w:tc>
        <w:tc>
          <w:tcPr>
            <w:tcW w:w="4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w:t>
            </w:r>
          </w:p>
        </w:tc>
      </w:tr>
      <w:tr>
        <w:trPr>
          <w:trHeight w:val="413"/>
        </w:trPr>
        <w:tc>
          <w:tcPr>
            <w:tcW w:w="42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000" w:type="dxa"/>
            <w:vAlign w:val="bottom"/>
            <w:gridSpan w:val="2"/>
          </w:tcPr>
          <w:p>
            <w:pPr>
              <w:ind w:left="100"/>
              <w:spacing w:after="0"/>
              <w:rPr>
                <w:sz w:val="20"/>
                <w:szCs w:val="20"/>
                <w:color w:val="auto"/>
              </w:rPr>
            </w:pPr>
            <w:r>
              <w:rPr>
                <w:rFonts w:ascii="Times New Roman" w:cs="Times New Roman" w:eastAsia="Times New Roman" w:hAnsi="Times New Roman"/>
                <w:sz w:val="24"/>
                <w:szCs w:val="24"/>
                <w:color w:val="auto"/>
                <w:w w:val="97"/>
              </w:rPr>
              <w:t>shares/fully convertible debentures/partly</w:t>
            </w:r>
          </w:p>
        </w:tc>
        <w:tc>
          <w:tcPr>
            <w:tcW w:w="480" w:type="dxa"/>
            <w:vAlign w:val="bottom"/>
          </w:tcPr>
          <w:p>
            <w:pPr>
              <w:spacing w:after="0"/>
              <w:rPr>
                <w:sz w:val="24"/>
                <w:szCs w:val="24"/>
                <w:color w:val="auto"/>
              </w:rPr>
            </w:pPr>
          </w:p>
        </w:tc>
      </w:tr>
      <w:tr>
        <w:trPr>
          <w:trHeight w:val="415"/>
        </w:trPr>
        <w:tc>
          <w:tcPr>
            <w:tcW w:w="42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000" w:type="dxa"/>
            <w:vAlign w:val="bottom"/>
            <w:gridSpan w:val="2"/>
          </w:tcPr>
          <w:p>
            <w:pPr>
              <w:ind w:left="100"/>
              <w:spacing w:after="0"/>
              <w:rPr>
                <w:sz w:val="20"/>
                <w:szCs w:val="20"/>
                <w:color w:val="auto"/>
              </w:rPr>
            </w:pPr>
            <w:r>
              <w:rPr>
                <w:rFonts w:ascii="Times New Roman" w:cs="Times New Roman" w:eastAsia="Times New Roman" w:hAnsi="Times New Roman"/>
                <w:sz w:val="24"/>
                <w:szCs w:val="24"/>
                <w:color w:val="auto"/>
              </w:rPr>
              <w:t>convertible debentures, etc.)</w:t>
            </w:r>
          </w:p>
        </w:tc>
        <w:tc>
          <w:tcPr>
            <w:tcW w:w="480" w:type="dxa"/>
            <w:vAlign w:val="bottom"/>
          </w:tcPr>
          <w:p>
            <w:pPr>
              <w:spacing w:after="0"/>
              <w:rPr>
                <w:sz w:val="24"/>
                <w:szCs w:val="24"/>
                <w:color w:val="auto"/>
              </w:rPr>
            </w:pPr>
          </w:p>
        </w:tc>
      </w:tr>
      <w:tr>
        <w:trPr>
          <w:trHeight w:val="413"/>
        </w:trPr>
        <w:tc>
          <w:tcPr>
            <w:tcW w:w="420" w:type="dxa"/>
            <w:vAlign w:val="bottom"/>
          </w:tcPr>
          <w:p>
            <w:pPr>
              <w:spacing w:after="0"/>
              <w:rPr>
                <w:sz w:val="24"/>
                <w:szCs w:val="24"/>
                <w:color w:val="auto"/>
              </w:rPr>
            </w:pPr>
          </w:p>
        </w:tc>
        <w:tc>
          <w:tcPr>
            <w:tcW w:w="600" w:type="dxa"/>
            <w:vAlign w:val="bottom"/>
          </w:tcPr>
          <w:p>
            <w:pPr>
              <w:ind w:left="220"/>
              <w:spacing w:after="0"/>
              <w:rPr>
                <w:sz w:val="20"/>
                <w:szCs w:val="20"/>
                <w:color w:val="auto"/>
              </w:rPr>
            </w:pPr>
            <w:r>
              <w:rPr>
                <w:rFonts w:ascii="Times New Roman" w:cs="Times New Roman" w:eastAsia="Times New Roman" w:hAnsi="Times New Roman"/>
                <w:sz w:val="24"/>
                <w:szCs w:val="24"/>
                <w:color w:val="auto"/>
              </w:rPr>
              <w:t>(c)</w:t>
            </w:r>
          </w:p>
        </w:tc>
        <w:tc>
          <w:tcPr>
            <w:tcW w:w="4000" w:type="dxa"/>
            <w:vAlign w:val="bottom"/>
            <w:gridSpan w:val="2"/>
          </w:tcPr>
          <w:p>
            <w:pPr>
              <w:ind w:left="100"/>
              <w:spacing w:after="0"/>
              <w:rPr>
                <w:sz w:val="20"/>
                <w:szCs w:val="20"/>
                <w:color w:val="auto"/>
              </w:rPr>
            </w:pPr>
            <w:r>
              <w:rPr>
                <w:rFonts w:ascii="Times New Roman" w:cs="Times New Roman" w:eastAsia="Times New Roman" w:hAnsi="Times New Roman"/>
                <w:sz w:val="24"/>
                <w:szCs w:val="24"/>
                <w:color w:val="auto"/>
              </w:rPr>
              <w:t>Offer price per instrument</w:t>
            </w:r>
          </w:p>
        </w:tc>
        <w:tc>
          <w:tcPr>
            <w:tcW w:w="4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w:t>
            </w:r>
          </w:p>
        </w:tc>
      </w:tr>
      <w:tr>
        <w:trPr>
          <w:trHeight w:val="415"/>
        </w:trPr>
        <w:tc>
          <w:tcPr>
            <w:tcW w:w="420" w:type="dxa"/>
            <w:vAlign w:val="bottom"/>
          </w:tcPr>
          <w:p>
            <w:pPr>
              <w:spacing w:after="0"/>
              <w:rPr>
                <w:sz w:val="24"/>
                <w:szCs w:val="24"/>
                <w:color w:val="auto"/>
              </w:rPr>
            </w:pPr>
          </w:p>
        </w:tc>
        <w:tc>
          <w:tcPr>
            <w:tcW w:w="600" w:type="dxa"/>
            <w:vAlign w:val="bottom"/>
          </w:tcPr>
          <w:p>
            <w:pPr>
              <w:ind w:left="220"/>
              <w:spacing w:after="0"/>
              <w:rPr>
                <w:sz w:val="20"/>
                <w:szCs w:val="20"/>
                <w:color w:val="auto"/>
              </w:rPr>
            </w:pPr>
            <w:r>
              <w:rPr>
                <w:rFonts w:ascii="Times New Roman" w:cs="Times New Roman" w:eastAsia="Times New Roman" w:hAnsi="Times New Roman"/>
                <w:sz w:val="24"/>
                <w:szCs w:val="24"/>
                <w:color w:val="auto"/>
              </w:rPr>
              <w:t>(d)</w:t>
            </w:r>
          </w:p>
        </w:tc>
        <w:tc>
          <w:tcPr>
            <w:tcW w:w="4000" w:type="dxa"/>
            <w:vAlign w:val="bottom"/>
            <w:gridSpan w:val="2"/>
          </w:tcPr>
          <w:p>
            <w:pPr>
              <w:ind w:left="100"/>
              <w:spacing w:after="0"/>
              <w:rPr>
                <w:sz w:val="20"/>
                <w:szCs w:val="20"/>
                <w:color w:val="auto"/>
              </w:rPr>
            </w:pPr>
            <w:r>
              <w:rPr>
                <w:rFonts w:ascii="Times New Roman" w:cs="Times New Roman" w:eastAsia="Times New Roman" w:hAnsi="Times New Roman"/>
                <w:sz w:val="24"/>
                <w:szCs w:val="24"/>
                <w:color w:val="auto"/>
              </w:rPr>
              <w:t>Amount per instrument on application</w:t>
            </w:r>
          </w:p>
        </w:tc>
        <w:tc>
          <w:tcPr>
            <w:tcW w:w="4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w:t>
            </w:r>
          </w:p>
        </w:tc>
      </w:tr>
      <w:tr>
        <w:trPr>
          <w:trHeight w:val="413"/>
        </w:trPr>
        <w:tc>
          <w:tcPr>
            <w:tcW w:w="420" w:type="dxa"/>
            <w:vAlign w:val="bottom"/>
          </w:tcPr>
          <w:p>
            <w:pPr>
              <w:spacing w:after="0"/>
              <w:rPr>
                <w:sz w:val="24"/>
                <w:szCs w:val="24"/>
                <w:color w:val="auto"/>
              </w:rPr>
            </w:pPr>
          </w:p>
        </w:tc>
        <w:tc>
          <w:tcPr>
            <w:tcW w:w="600" w:type="dxa"/>
            <w:vAlign w:val="bottom"/>
          </w:tcPr>
          <w:p>
            <w:pPr>
              <w:ind w:left="220"/>
              <w:spacing w:after="0"/>
              <w:rPr>
                <w:sz w:val="20"/>
                <w:szCs w:val="20"/>
                <w:color w:val="auto"/>
              </w:rPr>
            </w:pPr>
            <w:r>
              <w:rPr>
                <w:rFonts w:ascii="Times New Roman" w:cs="Times New Roman" w:eastAsia="Times New Roman" w:hAnsi="Times New Roman"/>
                <w:sz w:val="24"/>
                <w:szCs w:val="24"/>
                <w:color w:val="auto"/>
              </w:rPr>
              <w:t>(e)</w:t>
            </w:r>
          </w:p>
        </w:tc>
        <w:tc>
          <w:tcPr>
            <w:tcW w:w="4000" w:type="dxa"/>
            <w:vAlign w:val="bottom"/>
            <w:gridSpan w:val="2"/>
          </w:tcPr>
          <w:p>
            <w:pPr>
              <w:ind w:left="100"/>
              <w:spacing w:after="0"/>
              <w:rPr>
                <w:sz w:val="20"/>
                <w:szCs w:val="20"/>
                <w:color w:val="auto"/>
              </w:rPr>
            </w:pPr>
            <w:r>
              <w:rPr>
                <w:rFonts w:ascii="Times New Roman" w:cs="Times New Roman" w:eastAsia="Times New Roman" w:hAnsi="Times New Roman"/>
                <w:sz w:val="24"/>
                <w:szCs w:val="24"/>
                <w:color w:val="auto"/>
              </w:rPr>
              <w:t>Issue size (` lakhs)</w:t>
            </w:r>
          </w:p>
        </w:tc>
        <w:tc>
          <w:tcPr>
            <w:tcW w:w="4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w:t>
            </w:r>
          </w:p>
        </w:tc>
      </w:tr>
      <w:tr>
        <w:trPr>
          <w:trHeight w:val="416"/>
        </w:trPr>
        <w:tc>
          <w:tcPr>
            <w:tcW w:w="42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w w:val="85"/>
              </w:rPr>
              <w:t>(6)</w:t>
            </w:r>
          </w:p>
        </w:tc>
        <w:tc>
          <w:tcPr>
            <w:tcW w:w="1500" w:type="dxa"/>
            <w:vAlign w:val="bottom"/>
            <w:gridSpan w:val="2"/>
          </w:tcPr>
          <w:p>
            <w:pPr>
              <w:ind w:left="140"/>
              <w:spacing w:after="0"/>
              <w:rPr>
                <w:sz w:val="20"/>
                <w:szCs w:val="20"/>
                <w:color w:val="auto"/>
              </w:rPr>
            </w:pPr>
            <w:r>
              <w:rPr>
                <w:rFonts w:ascii="Times New Roman" w:cs="Times New Roman" w:eastAsia="Times New Roman" w:hAnsi="Times New Roman"/>
                <w:sz w:val="24"/>
                <w:szCs w:val="24"/>
                <w:color w:val="auto"/>
              </w:rPr>
              <w:t>Record date</w:t>
            </w:r>
          </w:p>
        </w:tc>
        <w:tc>
          <w:tcPr>
            <w:tcW w:w="3100" w:type="dxa"/>
            <w:vAlign w:val="bottom"/>
          </w:tcPr>
          <w:p>
            <w:pPr>
              <w:jc w:val="right"/>
              <w:ind w:right="2680"/>
              <w:spacing w:after="0"/>
              <w:rPr>
                <w:sz w:val="20"/>
                <w:szCs w:val="20"/>
                <w:color w:val="auto"/>
              </w:rPr>
            </w:pPr>
            <w:r>
              <w:rPr>
                <w:rFonts w:ascii="Times New Roman" w:cs="Times New Roman" w:eastAsia="Times New Roman" w:hAnsi="Times New Roman"/>
                <w:sz w:val="24"/>
                <w:szCs w:val="24"/>
                <w:color w:val="auto"/>
              </w:rPr>
              <w:t>:</w:t>
            </w:r>
          </w:p>
        </w:tc>
        <w:tc>
          <w:tcPr>
            <w:tcW w:w="480" w:type="dxa"/>
            <w:vAlign w:val="bottom"/>
          </w:tcPr>
          <w:p>
            <w:pPr>
              <w:spacing w:after="0"/>
              <w:rPr>
                <w:sz w:val="24"/>
                <w:szCs w:val="24"/>
                <w:color w:val="auto"/>
              </w:rPr>
            </w:pPr>
          </w:p>
        </w:tc>
      </w:tr>
      <w:tr>
        <w:trPr>
          <w:trHeight w:val="413"/>
        </w:trPr>
        <w:tc>
          <w:tcPr>
            <w:tcW w:w="42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w w:val="85"/>
              </w:rPr>
              <w:t>(7)</w:t>
            </w:r>
          </w:p>
        </w:tc>
        <w:tc>
          <w:tcPr>
            <w:tcW w:w="4600" w:type="dxa"/>
            <w:vAlign w:val="bottom"/>
            <w:gridSpan w:val="3"/>
          </w:tcPr>
          <w:p>
            <w:pPr>
              <w:ind w:left="140"/>
              <w:spacing w:after="0"/>
              <w:rPr>
                <w:sz w:val="20"/>
                <w:szCs w:val="20"/>
                <w:color w:val="auto"/>
              </w:rPr>
            </w:pPr>
            <w:r>
              <w:rPr>
                <w:rFonts w:ascii="Times New Roman" w:cs="Times New Roman" w:eastAsia="Times New Roman" w:hAnsi="Times New Roman"/>
                <w:sz w:val="24"/>
                <w:szCs w:val="24"/>
                <w:color w:val="auto"/>
              </w:rPr>
              <w:t>Provisional subscription details of the issue</w:t>
            </w:r>
          </w:p>
        </w:tc>
        <w:tc>
          <w:tcPr>
            <w:tcW w:w="48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w:t>
            </w:r>
          </w:p>
        </w:tc>
      </w:tr>
    </w:tbl>
    <w:p>
      <w:pPr>
        <w:spacing w:after="0" w:line="151" w:lineRule="exact"/>
        <w:rPr>
          <w:sz w:val="20"/>
          <w:szCs w:val="20"/>
          <w:color w:val="auto"/>
        </w:rPr>
      </w:pPr>
    </w:p>
    <w:p>
      <w:pPr>
        <w:ind w:left="1120" w:right="3824" w:hanging="480"/>
        <w:spacing w:after="0" w:line="348" w:lineRule="auto"/>
        <w:tabs>
          <w:tab w:leader="none" w:pos="1120" w:val="left"/>
        </w:tabs>
        <w:numPr>
          <w:ilvl w:val="0"/>
          <w:numId w:val="123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Total amount that was to be collected on : application (` lakhs)</w:t>
      </w:r>
    </w:p>
    <w:p>
      <w:pPr>
        <w:spacing w:after="0" w:line="15" w:lineRule="exact"/>
        <w:rPr>
          <w:sz w:val="20"/>
          <w:szCs w:val="20"/>
          <w:color w:val="auto"/>
        </w:rPr>
      </w:pPr>
    </w:p>
    <w:tbl>
      <w:tblPr>
        <w:tblLayout w:type="fixed"/>
        <w:tblInd w:w="640" w:type="dxa"/>
        <w:tblCellMar>
          <w:top w:w="0" w:type="dxa"/>
          <w:left w:w="0" w:type="dxa"/>
          <w:bottom w:w="0" w:type="dxa"/>
          <w:right w:w="0" w:type="dxa"/>
        </w:tblCellMar>
      </w:tblPr>
      <w:tr>
        <w:trPr>
          <w:trHeight w:val="276"/>
        </w:trPr>
        <w:tc>
          <w:tcPr>
            <w:tcW w:w="380" w:type="dxa"/>
            <w:vAlign w:val="bottom"/>
          </w:tcPr>
          <w:p>
            <w:pPr>
              <w:spacing w:after="0"/>
              <w:rPr>
                <w:sz w:val="20"/>
                <w:szCs w:val="20"/>
                <w:color w:val="auto"/>
              </w:rPr>
            </w:pPr>
            <w:r>
              <w:rPr>
                <w:rFonts w:ascii="Times New Roman" w:cs="Times New Roman" w:eastAsia="Times New Roman" w:hAnsi="Times New Roman"/>
                <w:sz w:val="24"/>
                <w:szCs w:val="24"/>
                <w:color w:val="auto"/>
              </w:rPr>
              <w:t>(b)</w:t>
            </w:r>
          </w:p>
        </w:tc>
        <w:tc>
          <w:tcPr>
            <w:tcW w:w="428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Actual amount collected on application (`</w:t>
            </w:r>
          </w:p>
        </w:tc>
        <w:tc>
          <w:tcPr>
            <w:tcW w:w="1060" w:type="dxa"/>
            <w:vAlign w:val="bottom"/>
          </w:tcPr>
          <w:p>
            <w:pPr>
              <w:ind w:left="120"/>
              <w:spacing w:after="0"/>
              <w:rPr>
                <w:sz w:val="20"/>
                <w:szCs w:val="20"/>
                <w:color w:val="auto"/>
              </w:rPr>
            </w:pPr>
            <w:r>
              <w:rPr>
                <w:rFonts w:ascii="Times New Roman" w:cs="Times New Roman" w:eastAsia="Times New Roman" w:hAnsi="Times New Roman"/>
                <w:sz w:val="24"/>
                <w:szCs w:val="24"/>
                <w:color w:val="auto"/>
              </w:rPr>
              <w:t>:</w:t>
            </w:r>
          </w:p>
        </w:tc>
      </w:tr>
      <w:tr>
        <w:trPr>
          <w:trHeight w:val="413"/>
        </w:trPr>
        <w:tc>
          <w:tcPr>
            <w:tcW w:w="380" w:type="dxa"/>
            <w:vAlign w:val="bottom"/>
          </w:tcPr>
          <w:p>
            <w:pPr>
              <w:spacing w:after="0"/>
              <w:rPr>
                <w:sz w:val="24"/>
                <w:szCs w:val="24"/>
                <w:color w:val="auto"/>
              </w:rPr>
            </w:pPr>
          </w:p>
        </w:tc>
        <w:tc>
          <w:tcPr>
            <w:tcW w:w="428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lakhs)</w:t>
            </w:r>
          </w:p>
        </w:tc>
        <w:tc>
          <w:tcPr>
            <w:tcW w:w="1060" w:type="dxa"/>
            <w:vAlign w:val="bottom"/>
          </w:tcPr>
          <w:p>
            <w:pPr>
              <w:spacing w:after="0"/>
              <w:rPr>
                <w:sz w:val="24"/>
                <w:szCs w:val="24"/>
                <w:color w:val="auto"/>
              </w:rPr>
            </w:pPr>
          </w:p>
        </w:tc>
      </w:tr>
      <w:tr>
        <w:trPr>
          <w:trHeight w:val="415"/>
        </w:trPr>
        <w:tc>
          <w:tcPr>
            <w:tcW w:w="380" w:type="dxa"/>
            <w:vAlign w:val="bottom"/>
          </w:tcPr>
          <w:p>
            <w:pPr>
              <w:spacing w:after="0"/>
              <w:rPr>
                <w:sz w:val="20"/>
                <w:szCs w:val="20"/>
                <w:color w:val="auto"/>
              </w:rPr>
            </w:pPr>
            <w:r>
              <w:rPr>
                <w:rFonts w:ascii="Times New Roman" w:cs="Times New Roman" w:eastAsia="Times New Roman" w:hAnsi="Times New Roman"/>
                <w:sz w:val="24"/>
                <w:szCs w:val="24"/>
                <w:color w:val="auto"/>
              </w:rPr>
              <w:t>(c)</w:t>
            </w:r>
          </w:p>
        </w:tc>
        <w:tc>
          <w:tcPr>
            <w:tcW w:w="428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Per cent. subscribed i.e.  per cent. of (ii) to</w:t>
            </w:r>
          </w:p>
        </w:tc>
        <w:tc>
          <w:tcPr>
            <w:tcW w:w="1060" w:type="dxa"/>
            <w:vAlign w:val="bottom"/>
          </w:tcPr>
          <w:p>
            <w:pPr>
              <w:ind w:left="120"/>
              <w:spacing w:after="0"/>
              <w:rPr>
                <w:sz w:val="20"/>
                <w:szCs w:val="20"/>
                <w:color w:val="auto"/>
              </w:rPr>
            </w:pPr>
            <w:r>
              <w:rPr>
                <w:rFonts w:ascii="Times New Roman" w:cs="Times New Roman" w:eastAsia="Times New Roman" w:hAnsi="Times New Roman"/>
                <w:sz w:val="24"/>
                <w:szCs w:val="24"/>
                <w:color w:val="auto"/>
              </w:rPr>
              <w:t>:</w:t>
            </w:r>
          </w:p>
        </w:tc>
      </w:tr>
      <w:tr>
        <w:trPr>
          <w:trHeight w:val="413"/>
        </w:trPr>
        <w:tc>
          <w:tcPr>
            <w:tcW w:w="380" w:type="dxa"/>
            <w:vAlign w:val="bottom"/>
          </w:tcPr>
          <w:p>
            <w:pPr>
              <w:spacing w:after="0"/>
              <w:rPr>
                <w:sz w:val="24"/>
                <w:szCs w:val="24"/>
                <w:color w:val="auto"/>
              </w:rPr>
            </w:pPr>
          </w:p>
        </w:tc>
        <w:tc>
          <w:tcPr>
            <w:tcW w:w="428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(i)</w:t>
            </w:r>
          </w:p>
        </w:tc>
        <w:tc>
          <w:tcPr>
            <w:tcW w:w="1060" w:type="dxa"/>
            <w:vAlign w:val="bottom"/>
          </w:tcPr>
          <w:p>
            <w:pPr>
              <w:spacing w:after="0"/>
              <w:rPr>
                <w:sz w:val="24"/>
                <w:szCs w:val="24"/>
                <w:color w:val="auto"/>
              </w:rPr>
            </w:pPr>
          </w:p>
        </w:tc>
      </w:tr>
      <w:tr>
        <w:trPr>
          <w:trHeight w:val="416"/>
        </w:trPr>
        <w:tc>
          <w:tcPr>
            <w:tcW w:w="380" w:type="dxa"/>
            <w:vAlign w:val="bottom"/>
          </w:tcPr>
          <w:p>
            <w:pPr>
              <w:spacing w:after="0"/>
              <w:rPr>
                <w:sz w:val="20"/>
                <w:szCs w:val="20"/>
                <w:color w:val="auto"/>
              </w:rPr>
            </w:pPr>
            <w:r>
              <w:rPr>
                <w:rFonts w:ascii="Times New Roman" w:cs="Times New Roman" w:eastAsia="Times New Roman" w:hAnsi="Times New Roman"/>
                <w:sz w:val="24"/>
                <w:szCs w:val="24"/>
                <w:color w:val="auto"/>
              </w:rPr>
              <w:t>(d)</w:t>
            </w:r>
          </w:p>
        </w:tc>
        <w:tc>
          <w:tcPr>
            <w:tcW w:w="428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Whether 90 per cent. minimum</w:t>
            </w:r>
          </w:p>
        </w:tc>
        <w:tc>
          <w:tcPr>
            <w:tcW w:w="1060" w:type="dxa"/>
            <w:vAlign w:val="bottom"/>
          </w:tcPr>
          <w:p>
            <w:pPr>
              <w:ind w:left="120"/>
              <w:spacing w:after="0"/>
              <w:rPr>
                <w:sz w:val="20"/>
                <w:szCs w:val="20"/>
                <w:color w:val="auto"/>
              </w:rPr>
            </w:pPr>
            <w:r>
              <w:rPr>
                <w:rFonts w:ascii="Times New Roman" w:cs="Times New Roman" w:eastAsia="Times New Roman" w:hAnsi="Times New Roman"/>
                <w:sz w:val="24"/>
                <w:szCs w:val="24"/>
                <w:color w:val="auto"/>
                <w:w w:val="99"/>
              </w:rPr>
              <w:t>: Yes/ No</w:t>
            </w:r>
          </w:p>
        </w:tc>
      </w:tr>
      <w:tr>
        <w:trPr>
          <w:trHeight w:val="413"/>
        </w:trPr>
        <w:tc>
          <w:tcPr>
            <w:tcW w:w="380" w:type="dxa"/>
            <w:vAlign w:val="bottom"/>
          </w:tcPr>
          <w:p>
            <w:pPr>
              <w:spacing w:after="0"/>
              <w:rPr>
                <w:sz w:val="24"/>
                <w:szCs w:val="24"/>
                <w:color w:val="auto"/>
              </w:rPr>
            </w:pPr>
          </w:p>
        </w:tc>
        <w:tc>
          <w:tcPr>
            <w:tcW w:w="428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subscription collected</w:t>
            </w:r>
          </w:p>
        </w:tc>
        <w:tc>
          <w:tcPr>
            <w:tcW w:w="1060" w:type="dxa"/>
            <w:vAlign w:val="bottom"/>
          </w:tcPr>
          <w:p>
            <w:pPr>
              <w:spacing w:after="0"/>
              <w:rPr>
                <w:sz w:val="24"/>
                <w:szCs w:val="24"/>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Signed by</w:t>
      </w:r>
    </w:p>
    <w:p>
      <w:pPr>
        <w:spacing w:after="0" w:line="200" w:lineRule="exact"/>
        <w:rPr>
          <w:sz w:val="20"/>
          <w:szCs w:val="20"/>
          <w:color w:val="auto"/>
        </w:rPr>
      </w:pPr>
    </w:p>
    <w:p>
      <w:pPr>
        <w:spacing w:after="0" w:line="353" w:lineRule="exact"/>
        <w:rPr>
          <w:sz w:val="20"/>
          <w:szCs w:val="20"/>
          <w:color w:val="auto"/>
        </w:rPr>
      </w:pPr>
    </w:p>
    <w:p>
      <w:pPr>
        <w:spacing w:after="0"/>
        <w:tabs>
          <w:tab w:leader="none" w:pos="3580" w:val="left"/>
          <w:tab w:leader="none" w:pos="6540" w:val="left"/>
        </w:tabs>
        <w:rPr>
          <w:sz w:val="20"/>
          <w:szCs w:val="20"/>
          <w:color w:val="auto"/>
        </w:rPr>
      </w:pPr>
      <w:r>
        <w:rPr>
          <w:rFonts w:ascii="Times New Roman" w:cs="Times New Roman" w:eastAsia="Times New Roman" w:hAnsi="Times New Roman"/>
          <w:sz w:val="24"/>
          <w:szCs w:val="24"/>
          <w:b w:val="1"/>
          <w:bCs w:val="1"/>
          <w:color w:val="auto"/>
        </w:rPr>
        <w:t>Registrars to the issue</w:t>
      </w:r>
      <w:r>
        <w:rPr>
          <w:sz w:val="20"/>
          <w:szCs w:val="20"/>
          <w:color w:val="auto"/>
        </w:rPr>
        <w:tab/>
      </w:r>
      <w:r>
        <w:rPr>
          <w:rFonts w:ascii="Times New Roman" w:cs="Times New Roman" w:eastAsia="Times New Roman" w:hAnsi="Times New Roman"/>
          <w:sz w:val="24"/>
          <w:szCs w:val="24"/>
          <w:b w:val="1"/>
          <w:bCs w:val="1"/>
          <w:color w:val="auto"/>
        </w:rPr>
        <w:t>Issuer</w:t>
      </w:r>
      <w:r>
        <w:rPr>
          <w:sz w:val="20"/>
          <w:szCs w:val="20"/>
          <w:color w:val="auto"/>
        </w:rPr>
        <w:tab/>
      </w:r>
      <w:r>
        <w:rPr>
          <w:rFonts w:ascii="Times New Roman" w:cs="Times New Roman" w:eastAsia="Times New Roman" w:hAnsi="Times New Roman"/>
          <w:sz w:val="23"/>
          <w:szCs w:val="23"/>
          <w:b w:val="1"/>
          <w:bCs w:val="1"/>
          <w:color w:val="auto"/>
        </w:rPr>
        <w:t>Lead manager(s)</w:t>
      </w:r>
    </w:p>
    <w:p>
      <w:pPr>
        <w:spacing w:after="0" w:line="200" w:lineRule="exact"/>
        <w:rPr>
          <w:sz w:val="20"/>
          <w:szCs w:val="20"/>
          <w:color w:val="auto"/>
        </w:rPr>
      </w:pPr>
    </w:p>
    <w:p>
      <w:pPr>
        <w:spacing w:after="0" w:line="35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Place:</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Date:</w:t>
      </w:r>
    </w:p>
    <w:p>
      <w:pPr>
        <w:spacing w:after="0" w:line="200" w:lineRule="exact"/>
        <w:rPr>
          <w:sz w:val="20"/>
          <w:szCs w:val="20"/>
          <w:color w:val="auto"/>
        </w:rPr>
      </w:pPr>
    </w:p>
    <w:p>
      <w:pPr>
        <w:spacing w:after="0" w:line="352" w:lineRule="exact"/>
        <w:rPr>
          <w:sz w:val="20"/>
          <w:szCs w:val="20"/>
          <w:color w:val="auto"/>
        </w:rPr>
      </w:pPr>
    </w:p>
    <w:p>
      <w:pPr>
        <w:jc w:val="center"/>
        <w:ind w:right="-155"/>
        <w:spacing w:after="0"/>
        <w:rPr>
          <w:sz w:val="20"/>
          <w:szCs w:val="20"/>
          <w:color w:val="auto"/>
        </w:rPr>
      </w:pPr>
      <w:r>
        <w:rPr>
          <w:rFonts w:ascii="Times New Roman" w:cs="Times New Roman" w:eastAsia="Times New Roman" w:hAnsi="Times New Roman"/>
          <w:sz w:val="24"/>
          <w:szCs w:val="24"/>
          <w:b w:val="1"/>
          <w:bCs w:val="1"/>
          <w:color w:val="auto"/>
        </w:rPr>
        <w:t>Part C - Format of final post-issue report for a rights issue</w:t>
      </w:r>
    </w:p>
    <w:p>
      <w:pPr>
        <w:spacing w:after="0" w:line="139" w:lineRule="exact"/>
        <w:rPr>
          <w:sz w:val="20"/>
          <w:szCs w:val="20"/>
          <w:color w:val="auto"/>
        </w:rPr>
      </w:pPr>
    </w:p>
    <w:p>
      <w:pPr>
        <w:jc w:val="center"/>
        <w:ind w:right="-155"/>
        <w:spacing w:after="0"/>
        <w:rPr>
          <w:sz w:val="20"/>
          <w:szCs w:val="20"/>
          <w:color w:val="auto"/>
        </w:rPr>
      </w:pPr>
      <w:r>
        <w:rPr>
          <w:rFonts w:ascii="Times New Roman" w:cs="Times New Roman" w:eastAsia="Times New Roman" w:hAnsi="Times New Roman"/>
          <w:sz w:val="24"/>
          <w:szCs w:val="24"/>
          <w:b w:val="1"/>
          <w:bCs w:val="1"/>
          <w:color w:val="auto"/>
        </w:rPr>
        <w:t>[See regulations 96(b)]</w:t>
      </w:r>
    </w:p>
    <w:p>
      <w:pPr>
        <w:spacing w:after="0" w:line="200" w:lineRule="exact"/>
        <w:rPr>
          <w:sz w:val="20"/>
          <w:szCs w:val="20"/>
          <w:color w:val="auto"/>
        </w:rPr>
      </w:pPr>
    </w:p>
    <w:p>
      <w:pPr>
        <w:spacing w:after="0" w:line="352" w:lineRule="exact"/>
        <w:rPr>
          <w:sz w:val="20"/>
          <w:szCs w:val="20"/>
          <w:color w:val="auto"/>
        </w:rPr>
      </w:pPr>
    </w:p>
    <w:p>
      <w:pPr>
        <w:ind w:left="2460"/>
        <w:spacing w:after="0"/>
        <w:rPr>
          <w:sz w:val="20"/>
          <w:szCs w:val="20"/>
          <w:color w:val="auto"/>
        </w:rPr>
      </w:pPr>
      <w:r>
        <w:rPr>
          <w:rFonts w:ascii="Times New Roman" w:cs="Times New Roman" w:eastAsia="Times New Roman" w:hAnsi="Times New Roman"/>
          <w:sz w:val="24"/>
          <w:szCs w:val="24"/>
          <w:b w:val="1"/>
          <w:bCs w:val="1"/>
          <w:color w:val="auto"/>
        </w:rPr>
        <w:t>Subscription Status: (Subscribed / Undersubscribed)</w:t>
      </w:r>
    </w:p>
    <w:p>
      <w:pPr>
        <w:spacing w:after="0" w:line="200" w:lineRule="exact"/>
        <w:rPr>
          <w:sz w:val="20"/>
          <w:szCs w:val="20"/>
          <w:color w:val="auto"/>
        </w:rPr>
      </w:pPr>
    </w:p>
    <w:p>
      <w:pPr>
        <w:spacing w:after="0" w:line="35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Notes:</w:t>
      </w:r>
    </w:p>
    <w:p>
      <w:pPr>
        <w:spacing w:after="0" w:line="389" w:lineRule="exact"/>
        <w:rPr>
          <w:sz w:val="20"/>
          <w:szCs w:val="20"/>
          <w:color w:val="auto"/>
        </w:rPr>
      </w:pPr>
    </w:p>
    <w:p>
      <w:pPr>
        <w:jc w:val="center"/>
        <w:ind w:right="-155"/>
        <w:spacing w:after="0"/>
        <w:rPr>
          <w:sz w:val="20"/>
          <w:szCs w:val="20"/>
          <w:color w:val="auto"/>
        </w:rPr>
      </w:pPr>
      <w:r>
        <w:rPr>
          <w:rFonts w:ascii="Times New Roman" w:cs="Times New Roman" w:eastAsia="Times New Roman" w:hAnsi="Times New Roman"/>
          <w:sz w:val="24"/>
          <w:szCs w:val="24"/>
          <w:color w:val="auto"/>
        </w:rPr>
        <w:t>412</w:t>
      </w:r>
    </w:p>
    <w:p>
      <w:pPr>
        <w:sectPr>
          <w:pgSz w:w="11900" w:h="16836" w:orient="portrait"/>
          <w:cols w:equalWidth="0" w:num="1">
            <w:col w:w="9304"/>
          </w:cols>
          <w:pgMar w:left="1160" w:top="1149" w:right="1440" w:bottom="103" w:gutter="0" w:footer="0" w:header="0"/>
        </w:sectPr>
      </w:pPr>
    </w:p>
    <w:bookmarkStart w:id="412" w:name="page413"/>
    <w:bookmarkEnd w:id="412"/>
    <w:p>
      <w:pPr>
        <w:ind w:left="8"/>
        <w:spacing w:after="0" w:line="348" w:lineRule="auto"/>
        <w:rPr>
          <w:sz w:val="20"/>
          <w:szCs w:val="20"/>
          <w:color w:val="auto"/>
        </w:rPr>
      </w:pPr>
      <w:r>
        <w:rPr>
          <w:rFonts w:ascii="Times New Roman" w:cs="Times New Roman" w:eastAsia="Times New Roman" w:hAnsi="Times New Roman"/>
          <w:sz w:val="24"/>
          <w:szCs w:val="24"/>
          <w:color w:val="auto"/>
        </w:rPr>
        <w:t>The lead manager(s) shall provide correct information after verifying it from the issuer and the registrar to the issue.</w:t>
      </w:r>
    </w:p>
    <w:p>
      <w:pPr>
        <w:spacing w:after="0" w:line="200" w:lineRule="exact"/>
        <w:rPr>
          <w:sz w:val="20"/>
          <w:szCs w:val="20"/>
          <w:color w:val="auto"/>
        </w:rPr>
      </w:pPr>
    </w:p>
    <w:p>
      <w:pPr>
        <w:spacing w:after="0" w:line="226" w:lineRule="exact"/>
        <w:rPr>
          <w:sz w:val="20"/>
          <w:szCs w:val="20"/>
          <w:color w:val="auto"/>
        </w:rPr>
      </w:pPr>
    </w:p>
    <w:p>
      <w:pPr>
        <w:ind w:left="568" w:hanging="568"/>
        <w:spacing w:after="0"/>
        <w:tabs>
          <w:tab w:leader="none" w:pos="568" w:val="left"/>
        </w:tabs>
        <w:numPr>
          <w:ilvl w:val="0"/>
          <w:numId w:val="1238"/>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IN CASE OF A SUBSCRIBED ISSUE:</w:t>
      </w:r>
    </w:p>
    <w:p>
      <w:pPr>
        <w:spacing w:after="0" w:line="200" w:lineRule="exact"/>
        <w:rPr>
          <w:sz w:val="20"/>
          <w:szCs w:val="20"/>
          <w:color w:val="auto"/>
        </w:rPr>
      </w:pPr>
    </w:p>
    <w:p>
      <w:pPr>
        <w:spacing w:after="0" w:line="340" w:lineRule="exact"/>
        <w:rPr>
          <w:sz w:val="20"/>
          <w:szCs w:val="20"/>
          <w:color w:val="auto"/>
        </w:rPr>
      </w:pPr>
    </w:p>
    <w:p>
      <w:pPr>
        <w:ind w:left="728" w:hanging="728"/>
        <w:spacing w:after="0"/>
        <w:tabs>
          <w:tab w:leader="none" w:pos="728" w:val="left"/>
        </w:tabs>
        <w:numPr>
          <w:ilvl w:val="0"/>
          <w:numId w:val="1239"/>
        </w:numPr>
        <w:rPr>
          <w:rFonts w:ascii="Calibri" w:cs="Calibri" w:eastAsia="Calibri" w:hAnsi="Calibri"/>
          <w:sz w:val="22"/>
          <w:szCs w:val="22"/>
          <w:color w:val="auto"/>
        </w:rPr>
      </w:pPr>
      <w:r>
        <w:rPr>
          <w:rFonts w:ascii="Times New Roman" w:cs="Times New Roman" w:eastAsia="Times New Roman" w:hAnsi="Times New Roman"/>
          <w:sz w:val="24"/>
          <w:szCs w:val="24"/>
          <w:color w:val="auto"/>
        </w:rPr>
        <w:t>Name of the issuer</w:t>
      </w:r>
    </w:p>
    <w:p>
      <w:pPr>
        <w:spacing w:after="0" w:line="132" w:lineRule="exact"/>
        <w:rPr>
          <w:rFonts w:ascii="Calibri" w:cs="Calibri" w:eastAsia="Calibri" w:hAnsi="Calibri"/>
          <w:sz w:val="22"/>
          <w:szCs w:val="22"/>
          <w:color w:val="auto"/>
        </w:rPr>
      </w:pPr>
    </w:p>
    <w:p>
      <w:pPr>
        <w:ind w:left="728" w:hanging="728"/>
        <w:spacing w:after="0"/>
        <w:tabs>
          <w:tab w:leader="none" w:pos="728" w:val="left"/>
        </w:tabs>
        <w:numPr>
          <w:ilvl w:val="0"/>
          <w:numId w:val="1239"/>
        </w:numPr>
        <w:rPr>
          <w:rFonts w:ascii="Calibri" w:cs="Calibri" w:eastAsia="Calibri" w:hAnsi="Calibri"/>
          <w:sz w:val="22"/>
          <w:szCs w:val="22"/>
          <w:color w:val="auto"/>
        </w:rPr>
      </w:pPr>
      <w:r>
        <w:rPr>
          <w:rFonts w:ascii="Times New Roman" w:cs="Times New Roman" w:eastAsia="Times New Roman" w:hAnsi="Times New Roman"/>
          <w:sz w:val="24"/>
          <w:szCs w:val="24"/>
          <w:color w:val="auto"/>
        </w:rPr>
        <w:t>Issue opening date</w:t>
      </w:r>
    </w:p>
    <w:p>
      <w:pPr>
        <w:spacing w:after="0" w:line="129" w:lineRule="exact"/>
        <w:rPr>
          <w:rFonts w:ascii="Calibri" w:cs="Calibri" w:eastAsia="Calibri" w:hAnsi="Calibri"/>
          <w:sz w:val="22"/>
          <w:szCs w:val="22"/>
          <w:color w:val="auto"/>
        </w:rPr>
      </w:pPr>
    </w:p>
    <w:p>
      <w:pPr>
        <w:ind w:left="728" w:hanging="728"/>
        <w:spacing w:after="0"/>
        <w:tabs>
          <w:tab w:leader="none" w:pos="728" w:val="left"/>
        </w:tabs>
        <w:numPr>
          <w:ilvl w:val="0"/>
          <w:numId w:val="1239"/>
        </w:numPr>
        <w:rPr>
          <w:rFonts w:ascii="Calibri" w:cs="Calibri" w:eastAsia="Calibri" w:hAnsi="Calibri"/>
          <w:sz w:val="22"/>
          <w:szCs w:val="22"/>
          <w:color w:val="auto"/>
        </w:rPr>
      </w:pPr>
      <w:r>
        <w:rPr>
          <w:rFonts w:ascii="Times New Roman" w:cs="Times New Roman" w:eastAsia="Times New Roman" w:hAnsi="Times New Roman"/>
          <w:sz w:val="24"/>
          <w:szCs w:val="24"/>
          <w:color w:val="auto"/>
        </w:rPr>
        <w:t>Actual issue closing date</w:t>
      </w:r>
    </w:p>
    <w:p>
      <w:pPr>
        <w:spacing w:after="0" w:line="132" w:lineRule="exact"/>
        <w:rPr>
          <w:rFonts w:ascii="Calibri" w:cs="Calibri" w:eastAsia="Calibri" w:hAnsi="Calibri"/>
          <w:sz w:val="22"/>
          <w:szCs w:val="22"/>
          <w:color w:val="auto"/>
        </w:rPr>
      </w:pPr>
    </w:p>
    <w:p>
      <w:pPr>
        <w:ind w:left="728" w:hanging="728"/>
        <w:spacing w:after="0"/>
        <w:tabs>
          <w:tab w:leader="none" w:pos="728" w:val="left"/>
        </w:tabs>
        <w:numPr>
          <w:ilvl w:val="0"/>
          <w:numId w:val="1239"/>
        </w:numPr>
        <w:rPr>
          <w:rFonts w:ascii="Calibri" w:cs="Calibri" w:eastAsia="Calibri" w:hAnsi="Calibri"/>
          <w:sz w:val="22"/>
          <w:szCs w:val="22"/>
          <w:color w:val="auto"/>
        </w:rPr>
      </w:pPr>
      <w:r>
        <w:rPr>
          <w:rFonts w:ascii="Times New Roman" w:cs="Times New Roman" w:eastAsia="Times New Roman" w:hAnsi="Times New Roman"/>
          <w:sz w:val="24"/>
          <w:szCs w:val="24"/>
          <w:color w:val="auto"/>
        </w:rPr>
        <w:t>Issue details (as per the letter of offer)</w:t>
      </w:r>
    </w:p>
    <w:p>
      <w:pPr>
        <w:spacing w:after="0" w:line="136" w:lineRule="exact"/>
        <w:rPr>
          <w:rFonts w:ascii="Calibri" w:cs="Calibri" w:eastAsia="Calibri" w:hAnsi="Calibri"/>
          <w:sz w:val="22"/>
          <w:szCs w:val="22"/>
          <w:color w:val="auto"/>
        </w:rPr>
      </w:pPr>
    </w:p>
    <w:p>
      <w:pPr>
        <w:ind w:left="1868" w:hanging="1148"/>
        <w:spacing w:after="0"/>
        <w:tabs>
          <w:tab w:leader="none" w:pos="1868" w:val="left"/>
        </w:tabs>
        <w:numPr>
          <w:ilvl w:val="1"/>
          <w:numId w:val="123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Basis of offer</w:t>
      </w:r>
    </w:p>
    <w:p>
      <w:pPr>
        <w:spacing w:after="0" w:line="139" w:lineRule="exact"/>
        <w:rPr>
          <w:rFonts w:ascii="Times New Roman" w:cs="Times New Roman" w:eastAsia="Times New Roman" w:hAnsi="Times New Roman"/>
          <w:sz w:val="24"/>
          <w:szCs w:val="24"/>
          <w:color w:val="auto"/>
        </w:rPr>
      </w:pPr>
    </w:p>
    <w:p>
      <w:pPr>
        <w:ind w:left="1868" w:hanging="1148"/>
        <w:spacing w:after="0"/>
        <w:tabs>
          <w:tab w:leader="none" w:pos="1868" w:val="left"/>
        </w:tabs>
        <w:numPr>
          <w:ilvl w:val="1"/>
          <w:numId w:val="123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Nature of the instrument</w:t>
      </w:r>
    </w:p>
    <w:p>
      <w:pPr>
        <w:spacing w:after="0" w:line="136" w:lineRule="exact"/>
        <w:rPr>
          <w:rFonts w:ascii="Times New Roman" w:cs="Times New Roman" w:eastAsia="Times New Roman" w:hAnsi="Times New Roman"/>
          <w:sz w:val="24"/>
          <w:szCs w:val="24"/>
          <w:color w:val="auto"/>
        </w:rPr>
      </w:pPr>
    </w:p>
    <w:p>
      <w:pPr>
        <w:ind w:left="1868" w:hanging="1148"/>
        <w:spacing w:after="0"/>
        <w:tabs>
          <w:tab w:leader="none" w:pos="1868" w:val="left"/>
        </w:tabs>
        <w:numPr>
          <w:ilvl w:val="1"/>
          <w:numId w:val="123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Offer price per instrument</w:t>
      </w:r>
    </w:p>
    <w:p>
      <w:pPr>
        <w:spacing w:after="0" w:line="139" w:lineRule="exact"/>
        <w:rPr>
          <w:rFonts w:ascii="Times New Roman" w:cs="Times New Roman" w:eastAsia="Times New Roman" w:hAnsi="Times New Roman"/>
          <w:sz w:val="24"/>
          <w:szCs w:val="24"/>
          <w:color w:val="auto"/>
        </w:rPr>
      </w:pPr>
    </w:p>
    <w:p>
      <w:pPr>
        <w:ind w:left="1868" w:hanging="1148"/>
        <w:spacing w:after="0"/>
        <w:tabs>
          <w:tab w:leader="none" w:pos="1868" w:val="left"/>
        </w:tabs>
        <w:numPr>
          <w:ilvl w:val="1"/>
          <w:numId w:val="123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Amount per instrument on application</w:t>
      </w:r>
    </w:p>
    <w:p>
      <w:pPr>
        <w:spacing w:after="0" w:line="136" w:lineRule="exact"/>
        <w:rPr>
          <w:rFonts w:ascii="Times New Roman" w:cs="Times New Roman" w:eastAsia="Times New Roman" w:hAnsi="Times New Roman"/>
          <w:sz w:val="24"/>
          <w:szCs w:val="24"/>
          <w:color w:val="auto"/>
        </w:rPr>
      </w:pPr>
    </w:p>
    <w:p>
      <w:pPr>
        <w:ind w:left="1868" w:hanging="1148"/>
        <w:spacing w:after="0"/>
        <w:tabs>
          <w:tab w:leader="none" w:pos="1868" w:val="left"/>
        </w:tabs>
        <w:numPr>
          <w:ilvl w:val="1"/>
          <w:numId w:val="123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Issue size (` lakhs)</w:t>
      </w:r>
    </w:p>
    <w:p>
      <w:pPr>
        <w:spacing w:after="0" w:line="132" w:lineRule="exact"/>
        <w:rPr>
          <w:rFonts w:ascii="Times New Roman" w:cs="Times New Roman" w:eastAsia="Times New Roman" w:hAnsi="Times New Roman"/>
          <w:sz w:val="24"/>
          <w:szCs w:val="24"/>
          <w:color w:val="auto"/>
        </w:rPr>
      </w:pPr>
    </w:p>
    <w:p>
      <w:pPr>
        <w:ind w:left="728" w:hanging="728"/>
        <w:spacing w:after="0"/>
        <w:tabs>
          <w:tab w:leader="none" w:pos="728" w:val="left"/>
        </w:tabs>
        <w:numPr>
          <w:ilvl w:val="0"/>
          <w:numId w:val="1239"/>
        </w:numPr>
        <w:rPr>
          <w:rFonts w:ascii="Calibri" w:cs="Calibri" w:eastAsia="Calibri" w:hAnsi="Calibri"/>
          <w:sz w:val="22"/>
          <w:szCs w:val="22"/>
          <w:color w:val="auto"/>
        </w:rPr>
      </w:pPr>
      <w:r>
        <w:rPr>
          <w:rFonts w:ascii="Times New Roman" w:cs="Times New Roman" w:eastAsia="Times New Roman" w:hAnsi="Times New Roman"/>
          <w:sz w:val="24"/>
          <w:szCs w:val="24"/>
          <w:color w:val="auto"/>
        </w:rPr>
        <w:t>3-Day Report</w:t>
      </w:r>
    </w:p>
    <w:p>
      <w:pPr>
        <w:spacing w:after="0" w:line="136" w:lineRule="exact"/>
        <w:rPr>
          <w:rFonts w:ascii="Calibri" w:cs="Calibri" w:eastAsia="Calibri" w:hAnsi="Calibri"/>
          <w:sz w:val="22"/>
          <w:szCs w:val="22"/>
          <w:color w:val="auto"/>
        </w:rPr>
      </w:pPr>
    </w:p>
    <w:p>
      <w:pPr>
        <w:ind w:left="1028" w:hanging="308"/>
        <w:spacing w:after="0"/>
        <w:tabs>
          <w:tab w:leader="none" w:pos="1028" w:val="left"/>
        </w:tabs>
        <w:numPr>
          <w:ilvl w:val="1"/>
          <w:numId w:val="123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Due on</w:t>
      </w:r>
    </w:p>
    <w:p>
      <w:pPr>
        <w:spacing w:after="0" w:line="139" w:lineRule="exact"/>
        <w:rPr>
          <w:rFonts w:ascii="Times New Roman" w:cs="Times New Roman" w:eastAsia="Times New Roman" w:hAnsi="Times New Roman"/>
          <w:sz w:val="24"/>
          <w:szCs w:val="24"/>
          <w:color w:val="auto"/>
        </w:rPr>
      </w:pPr>
    </w:p>
    <w:p>
      <w:pPr>
        <w:ind w:left="1048" w:hanging="328"/>
        <w:spacing w:after="0"/>
        <w:tabs>
          <w:tab w:leader="none" w:pos="1048" w:val="left"/>
        </w:tabs>
        <w:numPr>
          <w:ilvl w:val="1"/>
          <w:numId w:val="123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Submitted on</w:t>
      </w:r>
    </w:p>
    <w:p>
      <w:pPr>
        <w:spacing w:after="0" w:line="149" w:lineRule="exact"/>
        <w:rPr>
          <w:rFonts w:ascii="Times New Roman" w:cs="Times New Roman" w:eastAsia="Times New Roman" w:hAnsi="Times New Roman"/>
          <w:sz w:val="24"/>
          <w:szCs w:val="24"/>
          <w:color w:val="auto"/>
        </w:rPr>
      </w:pPr>
    </w:p>
    <w:p>
      <w:pPr>
        <w:ind w:left="728" w:right="3280" w:hanging="728"/>
        <w:spacing w:after="0" w:line="344" w:lineRule="auto"/>
        <w:tabs>
          <w:tab w:leader="none" w:pos="728" w:val="left"/>
        </w:tabs>
        <w:numPr>
          <w:ilvl w:val="0"/>
          <w:numId w:val="1239"/>
        </w:numPr>
        <w:rPr>
          <w:rFonts w:ascii="Calibri" w:cs="Calibri" w:eastAsia="Calibri" w:hAnsi="Calibri"/>
          <w:sz w:val="22"/>
          <w:szCs w:val="22"/>
          <w:color w:val="auto"/>
        </w:rPr>
      </w:pPr>
      <w:r>
        <w:rPr>
          <w:rFonts w:ascii="Times New Roman" w:cs="Times New Roman" w:eastAsia="Times New Roman" w:hAnsi="Times New Roman"/>
          <w:sz w:val="24"/>
          <w:szCs w:val="24"/>
          <w:color w:val="auto"/>
        </w:rPr>
        <w:t>Number of collecting banks (also specify number of bank branches)</w:t>
      </w:r>
    </w:p>
    <w:p>
      <w:pPr>
        <w:spacing w:after="0" w:line="26" w:lineRule="exact"/>
        <w:rPr>
          <w:rFonts w:ascii="Calibri" w:cs="Calibri" w:eastAsia="Calibri" w:hAnsi="Calibri"/>
          <w:sz w:val="22"/>
          <w:szCs w:val="22"/>
          <w:color w:val="auto"/>
        </w:rPr>
      </w:pPr>
    </w:p>
    <w:p>
      <w:pPr>
        <w:jc w:val="both"/>
        <w:ind w:left="728" w:right="3260" w:hanging="728"/>
        <w:spacing w:after="0" w:line="370" w:lineRule="auto"/>
        <w:tabs>
          <w:tab w:leader="none" w:pos="728" w:val="left"/>
        </w:tabs>
        <w:numPr>
          <w:ilvl w:val="0"/>
          <w:numId w:val="1239"/>
        </w:numPr>
        <w:rPr>
          <w:rFonts w:ascii="Calibri" w:cs="Calibri" w:eastAsia="Calibri" w:hAnsi="Calibri"/>
          <w:sz w:val="21"/>
          <w:szCs w:val="21"/>
          <w:color w:val="auto"/>
        </w:rPr>
      </w:pPr>
      <w:r>
        <w:rPr>
          <w:rFonts w:ascii="Times New Roman" w:cs="Times New Roman" w:eastAsia="Times New Roman" w:hAnsi="Times New Roman"/>
          <w:sz w:val="23"/>
          <w:szCs w:val="23"/>
          <w:color w:val="auto"/>
        </w:rPr>
        <w:t>Bank-wise names of branches which did not submit the final consolidated certificate on the date of closure of the issue and the dates when they actually submitted the same</w:t>
      </w:r>
    </w:p>
    <w:p>
      <w:pPr>
        <w:ind w:left="728" w:hanging="728"/>
        <w:spacing w:after="0"/>
        <w:tabs>
          <w:tab w:leader="none" w:pos="728" w:val="left"/>
        </w:tabs>
        <w:numPr>
          <w:ilvl w:val="0"/>
          <w:numId w:val="1239"/>
        </w:numPr>
        <w:rPr>
          <w:rFonts w:ascii="Calibri" w:cs="Calibri" w:eastAsia="Calibri" w:hAnsi="Calibri"/>
          <w:sz w:val="22"/>
          <w:szCs w:val="22"/>
          <w:color w:val="auto"/>
        </w:rPr>
      </w:pPr>
      <w:r>
        <w:rPr>
          <w:rFonts w:ascii="Times New Roman" w:cs="Times New Roman" w:eastAsia="Times New Roman" w:hAnsi="Times New Roman"/>
          <w:sz w:val="24"/>
          <w:szCs w:val="24"/>
          <w:color w:val="auto"/>
        </w:rPr>
        <w:t>Details of subscription</w:t>
      </w:r>
    </w:p>
    <w:p>
      <w:pPr>
        <w:spacing w:after="0" w:line="130" w:lineRule="exact"/>
        <w:rPr>
          <w:sz w:val="20"/>
          <w:szCs w:val="20"/>
          <w:color w:val="auto"/>
        </w:rPr>
      </w:pPr>
    </w:p>
    <w:p>
      <w:pPr>
        <w:ind w:left="1088" w:hanging="368"/>
        <w:spacing w:after="0"/>
        <w:tabs>
          <w:tab w:leader="none" w:pos="1088" w:val="left"/>
        </w:tabs>
        <w:numPr>
          <w:ilvl w:val="0"/>
          <w:numId w:val="1240"/>
        </w:numPr>
        <w:rPr>
          <w:rFonts w:ascii="Calibri" w:cs="Calibri" w:eastAsia="Calibri" w:hAnsi="Calibri"/>
          <w:sz w:val="22"/>
          <w:szCs w:val="22"/>
          <w:color w:val="auto"/>
        </w:rPr>
      </w:pPr>
      <w:r>
        <w:rPr>
          <w:rFonts w:ascii="Times New Roman" w:cs="Times New Roman" w:eastAsia="Times New Roman" w:hAnsi="Times New Roman"/>
          <w:sz w:val="24"/>
          <w:szCs w:val="24"/>
          <w:color w:val="auto"/>
        </w:rPr>
        <w:t>Percentage of rights issue taken up by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ind w:left="1088" w:hanging="368"/>
        <w:spacing w:after="0"/>
        <w:tabs>
          <w:tab w:leader="none" w:pos="1088" w:val="left"/>
        </w:tabs>
        <w:numPr>
          <w:ilvl w:val="0"/>
          <w:numId w:val="1241"/>
        </w:numPr>
        <w:rPr>
          <w:rFonts w:ascii="Calibri" w:cs="Calibri" w:eastAsia="Calibri" w:hAnsi="Calibri"/>
          <w:sz w:val="22"/>
          <w:szCs w:val="22"/>
          <w:color w:val="auto"/>
        </w:rPr>
      </w:pPr>
      <w:r>
        <w:rPr>
          <w:rFonts w:ascii="Times New Roman" w:cs="Times New Roman" w:eastAsia="Times New Roman" w:hAnsi="Times New Roman"/>
          <w:sz w:val="24"/>
          <w:szCs w:val="24"/>
          <w:color w:val="auto"/>
        </w:rPr>
        <w:t>Percentage of rights issue renounced by</w:t>
      </w:r>
    </w:p>
    <w:p>
      <w:pPr>
        <w:spacing w:after="0" w:line="136" w:lineRule="exact"/>
        <w:rPr>
          <w:rFonts w:ascii="Calibri" w:cs="Calibri" w:eastAsia="Calibri" w:hAnsi="Calibri"/>
          <w:sz w:val="22"/>
          <w:szCs w:val="22"/>
          <w:color w:val="auto"/>
        </w:rPr>
      </w:pPr>
    </w:p>
    <w:p>
      <w:pPr>
        <w:ind w:left="2148" w:hanging="276"/>
        <w:spacing w:after="0"/>
        <w:tabs>
          <w:tab w:leader="none" w:pos="2148" w:val="left"/>
        </w:tabs>
        <w:numPr>
          <w:ilvl w:val="1"/>
          <w:numId w:val="124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Promoters</w:t>
      </w:r>
    </w:p>
    <w:p>
      <w:pPr>
        <w:spacing w:after="0" w:line="139" w:lineRule="exact"/>
        <w:rPr>
          <w:rFonts w:ascii="Times New Roman" w:cs="Times New Roman" w:eastAsia="Times New Roman" w:hAnsi="Times New Roman"/>
          <w:sz w:val="24"/>
          <w:szCs w:val="24"/>
          <w:color w:val="auto"/>
        </w:rPr>
      </w:pPr>
    </w:p>
    <w:p>
      <w:pPr>
        <w:ind w:left="2208" w:hanging="336"/>
        <w:spacing w:after="0"/>
        <w:tabs>
          <w:tab w:leader="none" w:pos="2208" w:val="left"/>
        </w:tabs>
        <w:numPr>
          <w:ilvl w:val="1"/>
          <w:numId w:val="124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Other Shareholders</w:t>
      </w:r>
    </w:p>
    <w:p>
      <w:pPr>
        <w:spacing w:after="0" w:line="149" w:lineRule="exact"/>
        <w:rPr>
          <w:rFonts w:ascii="Times New Roman" w:cs="Times New Roman" w:eastAsia="Times New Roman" w:hAnsi="Times New Roman"/>
          <w:sz w:val="24"/>
          <w:szCs w:val="24"/>
          <w:color w:val="auto"/>
        </w:rPr>
      </w:pPr>
    </w:p>
    <w:p>
      <w:pPr>
        <w:ind w:left="1088" w:right="3280" w:hanging="368"/>
        <w:spacing w:after="0" w:line="344" w:lineRule="auto"/>
        <w:tabs>
          <w:tab w:leader="none" w:pos="1088" w:val="left"/>
        </w:tabs>
        <w:numPr>
          <w:ilvl w:val="0"/>
          <w:numId w:val="1241"/>
        </w:numPr>
        <w:rPr>
          <w:rFonts w:ascii="Calibri" w:cs="Calibri" w:eastAsia="Calibri" w:hAnsi="Calibri"/>
          <w:sz w:val="22"/>
          <w:szCs w:val="22"/>
          <w:color w:val="auto"/>
        </w:rPr>
      </w:pPr>
      <w:r>
        <w:rPr>
          <w:rFonts w:ascii="Times New Roman" w:cs="Times New Roman" w:eastAsia="Times New Roman" w:hAnsi="Times New Roman"/>
          <w:sz w:val="24"/>
          <w:szCs w:val="24"/>
          <w:color w:val="auto"/>
        </w:rPr>
        <w:t>Percentage of rights issue taken by shareholders/ renounces</w:t>
      </w:r>
    </w:p>
    <w:p>
      <w:pPr>
        <w:spacing w:after="0" w:line="26" w:lineRule="exact"/>
        <w:rPr>
          <w:rFonts w:ascii="Calibri" w:cs="Calibri" w:eastAsia="Calibri" w:hAnsi="Calibri"/>
          <w:sz w:val="22"/>
          <w:szCs w:val="22"/>
          <w:color w:val="auto"/>
        </w:rPr>
      </w:pPr>
    </w:p>
    <w:p>
      <w:pPr>
        <w:ind w:left="1088" w:right="3260" w:hanging="368"/>
        <w:spacing w:after="0" w:line="344" w:lineRule="auto"/>
        <w:tabs>
          <w:tab w:leader="none" w:pos="1088" w:val="left"/>
        </w:tabs>
        <w:numPr>
          <w:ilvl w:val="0"/>
          <w:numId w:val="1241"/>
        </w:numPr>
        <w:rPr>
          <w:rFonts w:ascii="Calibri" w:cs="Calibri" w:eastAsia="Calibri" w:hAnsi="Calibri"/>
          <w:sz w:val="22"/>
          <w:szCs w:val="22"/>
          <w:color w:val="auto"/>
        </w:rPr>
      </w:pPr>
      <w:r>
        <w:rPr>
          <w:rFonts w:ascii="Times New Roman" w:cs="Times New Roman" w:eastAsia="Times New Roman" w:hAnsi="Times New Roman"/>
          <w:sz w:val="24"/>
          <w:szCs w:val="24"/>
          <w:color w:val="auto"/>
        </w:rPr>
        <w:t>Percentage of rights issue for suitable allotment at the disposal of the Board</w:t>
      </w:r>
    </w:p>
    <w:p>
      <w:pPr>
        <w:spacing w:after="0" w:line="7" w:lineRule="exact"/>
        <w:rPr>
          <w:rFonts w:ascii="Calibri" w:cs="Calibri" w:eastAsia="Calibri" w:hAnsi="Calibri"/>
          <w:sz w:val="22"/>
          <w:szCs w:val="22"/>
          <w:color w:val="auto"/>
        </w:rPr>
      </w:pPr>
    </w:p>
    <w:p>
      <w:pPr>
        <w:ind w:left="1088" w:hanging="368"/>
        <w:spacing w:after="0"/>
        <w:tabs>
          <w:tab w:leader="none" w:pos="1088" w:val="left"/>
        </w:tabs>
        <w:numPr>
          <w:ilvl w:val="0"/>
          <w:numId w:val="1241"/>
        </w:numPr>
        <w:rPr>
          <w:rFonts w:ascii="Calibri" w:cs="Calibri" w:eastAsia="Calibri" w:hAnsi="Calibri"/>
          <w:sz w:val="22"/>
          <w:szCs w:val="22"/>
          <w:color w:val="auto"/>
        </w:rPr>
      </w:pPr>
      <w:r>
        <w:rPr>
          <w:rFonts w:ascii="Times New Roman" w:cs="Times New Roman" w:eastAsia="Times New Roman" w:hAnsi="Times New Roman"/>
          <w:sz w:val="24"/>
          <w:szCs w:val="24"/>
          <w:color w:val="auto"/>
        </w:rPr>
        <w:t>Out of the unsubscribed portion, as in above, taken by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413</w:t>
      </w:r>
    </w:p>
    <w:p>
      <w:pPr>
        <w:sectPr>
          <w:pgSz w:w="11900" w:h="16836" w:orient="portrait"/>
          <w:cols w:equalWidth="0" w:num="1">
            <w:col w:w="9468"/>
          </w:cols>
          <w:pgMar w:left="1152" w:top="1156" w:right="1284" w:bottom="103" w:gutter="0" w:footer="0" w:header="0"/>
        </w:sectPr>
      </w:pPr>
    </w:p>
    <w:bookmarkStart w:id="413" w:name="page414"/>
    <w:bookmarkEnd w:id="413"/>
    <w:p>
      <w:pPr>
        <w:ind w:left="2148" w:hanging="276"/>
        <w:spacing w:after="0"/>
        <w:tabs>
          <w:tab w:leader="none" w:pos="2148" w:val="left"/>
        </w:tabs>
        <w:numPr>
          <w:ilvl w:val="0"/>
          <w:numId w:val="124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Promoters</w:t>
      </w:r>
    </w:p>
    <w:p>
      <w:pPr>
        <w:spacing w:after="0" w:line="137" w:lineRule="exact"/>
        <w:rPr>
          <w:rFonts w:ascii="Times New Roman" w:cs="Times New Roman" w:eastAsia="Times New Roman" w:hAnsi="Times New Roman"/>
          <w:sz w:val="24"/>
          <w:szCs w:val="24"/>
          <w:color w:val="auto"/>
        </w:rPr>
      </w:pPr>
    </w:p>
    <w:p>
      <w:pPr>
        <w:ind w:left="2208" w:hanging="336"/>
        <w:spacing w:after="0"/>
        <w:tabs>
          <w:tab w:leader="none" w:pos="2208" w:val="left"/>
        </w:tabs>
        <w:numPr>
          <w:ilvl w:val="0"/>
          <w:numId w:val="124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Other Shareholders</w:t>
      </w:r>
    </w:p>
    <w:p>
      <w:pPr>
        <w:spacing w:after="0" w:line="132" w:lineRule="exact"/>
        <w:rPr>
          <w:sz w:val="20"/>
          <w:szCs w:val="20"/>
          <w:color w:val="auto"/>
        </w:rPr>
      </w:pPr>
    </w:p>
    <w:p>
      <w:pPr>
        <w:ind w:left="8"/>
        <w:spacing w:after="0"/>
        <w:tabs>
          <w:tab w:leader="none" w:pos="707" w:val="left"/>
          <w:tab w:leader="none" w:pos="6387" w:val="left"/>
          <w:tab w:leader="none" w:pos="8027" w:val="left"/>
        </w:tabs>
        <w:rPr>
          <w:sz w:val="20"/>
          <w:szCs w:val="20"/>
          <w:color w:val="auto"/>
        </w:rPr>
      </w:pPr>
      <w:r>
        <w:rPr>
          <w:rFonts w:ascii="Calibri" w:cs="Calibri" w:eastAsia="Calibri" w:hAnsi="Calibri"/>
          <w:sz w:val="22"/>
          <w:szCs w:val="22"/>
          <w:color w:val="auto"/>
        </w:rPr>
        <w:t>(9)</w:t>
      </w:r>
      <w:r>
        <w:rPr>
          <w:sz w:val="20"/>
          <w:szCs w:val="20"/>
          <w:color w:val="auto"/>
        </w:rPr>
        <w:tab/>
      </w:r>
      <w:r>
        <w:rPr>
          <w:rFonts w:ascii="Times New Roman" w:cs="Times New Roman" w:eastAsia="Times New Roman" w:hAnsi="Times New Roman"/>
          <w:sz w:val="24"/>
          <w:szCs w:val="24"/>
          <w:color w:val="auto"/>
        </w:rPr>
        <w:t>Promoters’ shareholding</w:t>
      </w:r>
      <w:r>
        <w:rPr>
          <w:sz w:val="20"/>
          <w:szCs w:val="20"/>
          <w:color w:val="auto"/>
        </w:rPr>
        <w:tab/>
      </w:r>
      <w:r>
        <w:rPr>
          <w:rFonts w:ascii="Times New Roman" w:cs="Times New Roman" w:eastAsia="Times New Roman" w:hAnsi="Times New Roman"/>
          <w:sz w:val="24"/>
          <w:szCs w:val="24"/>
          <w:color w:val="auto"/>
        </w:rPr>
        <w:t>No. of shares</w:t>
      </w:r>
      <w:r>
        <w:rPr>
          <w:sz w:val="20"/>
          <w:szCs w:val="20"/>
          <w:color w:val="auto"/>
        </w:rPr>
        <w:tab/>
      </w:r>
      <w:r>
        <w:rPr>
          <w:rFonts w:ascii="Times New Roman" w:cs="Times New Roman" w:eastAsia="Times New Roman" w:hAnsi="Times New Roman"/>
          <w:sz w:val="23"/>
          <w:szCs w:val="23"/>
          <w:color w:val="auto"/>
        </w:rPr>
        <w:t>Percentage</w:t>
      </w:r>
    </w:p>
    <w:p>
      <w:pPr>
        <w:spacing w:after="0" w:line="130" w:lineRule="exact"/>
        <w:rPr>
          <w:sz w:val="20"/>
          <w:szCs w:val="20"/>
          <w:color w:val="auto"/>
        </w:rPr>
      </w:pPr>
    </w:p>
    <w:p>
      <w:pPr>
        <w:ind w:left="1088" w:hanging="368"/>
        <w:spacing w:after="0"/>
        <w:tabs>
          <w:tab w:leader="none" w:pos="1088" w:val="left"/>
        </w:tabs>
        <w:numPr>
          <w:ilvl w:val="1"/>
          <w:numId w:val="1243"/>
        </w:numPr>
        <w:rPr>
          <w:rFonts w:ascii="Calibri" w:cs="Calibri" w:eastAsia="Calibri" w:hAnsi="Calibri"/>
          <w:sz w:val="22"/>
          <w:szCs w:val="22"/>
          <w:color w:val="auto"/>
        </w:rPr>
      </w:pPr>
      <w:r>
        <w:rPr>
          <w:rFonts w:ascii="Times New Roman" w:cs="Times New Roman" w:eastAsia="Times New Roman" w:hAnsi="Times New Roman"/>
          <w:sz w:val="24"/>
          <w:szCs w:val="24"/>
          <w:color w:val="auto"/>
        </w:rPr>
        <w:t>Prior to the issue</w:t>
      </w:r>
    </w:p>
    <w:p>
      <w:pPr>
        <w:spacing w:after="0" w:line="132" w:lineRule="exact"/>
        <w:rPr>
          <w:rFonts w:ascii="Calibri" w:cs="Calibri" w:eastAsia="Calibri" w:hAnsi="Calibri"/>
          <w:sz w:val="22"/>
          <w:szCs w:val="22"/>
          <w:color w:val="auto"/>
        </w:rPr>
      </w:pPr>
    </w:p>
    <w:p>
      <w:pPr>
        <w:ind w:left="1088" w:hanging="368"/>
        <w:spacing w:after="0"/>
        <w:tabs>
          <w:tab w:leader="none" w:pos="1088" w:val="left"/>
        </w:tabs>
        <w:numPr>
          <w:ilvl w:val="1"/>
          <w:numId w:val="1243"/>
        </w:numPr>
        <w:rPr>
          <w:rFonts w:ascii="Calibri" w:cs="Calibri" w:eastAsia="Calibri" w:hAnsi="Calibri"/>
          <w:sz w:val="22"/>
          <w:szCs w:val="22"/>
          <w:color w:val="auto"/>
        </w:rPr>
      </w:pPr>
      <w:r>
        <w:rPr>
          <w:rFonts w:ascii="Times New Roman" w:cs="Times New Roman" w:eastAsia="Times New Roman" w:hAnsi="Times New Roman"/>
          <w:sz w:val="24"/>
          <w:szCs w:val="24"/>
          <w:color w:val="auto"/>
        </w:rPr>
        <w:t>On expanded capital after the issue</w:t>
      </w:r>
    </w:p>
    <w:p>
      <w:pPr>
        <w:spacing w:after="0" w:line="149" w:lineRule="exact"/>
        <w:rPr>
          <w:rFonts w:ascii="Calibri" w:cs="Calibri" w:eastAsia="Calibri" w:hAnsi="Calibri"/>
          <w:sz w:val="22"/>
          <w:szCs w:val="22"/>
          <w:color w:val="auto"/>
        </w:rPr>
      </w:pPr>
    </w:p>
    <w:p>
      <w:pPr>
        <w:ind w:left="728" w:right="3104" w:hanging="728"/>
        <w:spacing w:after="0" w:line="344" w:lineRule="auto"/>
        <w:tabs>
          <w:tab w:leader="none" w:pos="728" w:val="left"/>
        </w:tabs>
        <w:numPr>
          <w:ilvl w:val="0"/>
          <w:numId w:val="1244"/>
        </w:numPr>
        <w:rPr>
          <w:rFonts w:ascii="Calibri" w:cs="Calibri" w:eastAsia="Calibri" w:hAnsi="Calibri"/>
          <w:sz w:val="22"/>
          <w:szCs w:val="22"/>
          <w:color w:val="auto"/>
        </w:rPr>
      </w:pPr>
      <w:r>
        <w:rPr>
          <w:rFonts w:ascii="Times New Roman" w:cs="Times New Roman" w:eastAsia="Times New Roman" w:hAnsi="Times New Roman"/>
          <w:sz w:val="24"/>
          <w:szCs w:val="24"/>
          <w:color w:val="auto"/>
        </w:rPr>
        <w:t>Date of finalisation of allotment (enclose copy of the Basis of Allotment)</w:t>
      </w:r>
    </w:p>
    <w:p>
      <w:pPr>
        <w:spacing w:after="0" w:line="14" w:lineRule="exact"/>
        <w:rPr>
          <w:rFonts w:ascii="Calibri" w:cs="Calibri" w:eastAsia="Calibri" w:hAnsi="Calibri"/>
          <w:sz w:val="22"/>
          <w:szCs w:val="22"/>
          <w:color w:val="auto"/>
        </w:rPr>
      </w:pPr>
    </w:p>
    <w:p>
      <w:pPr>
        <w:ind w:left="1508" w:hanging="428"/>
        <w:spacing w:after="0"/>
        <w:tabs>
          <w:tab w:leader="none" w:pos="1508" w:val="left"/>
        </w:tabs>
        <w:numPr>
          <w:ilvl w:val="2"/>
          <w:numId w:val="124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 and address of the Refund Banker</w:t>
      </w:r>
    </w:p>
    <w:p>
      <w:pPr>
        <w:spacing w:after="0" w:line="139" w:lineRule="exact"/>
        <w:rPr>
          <w:rFonts w:ascii="Times New Roman" w:cs="Times New Roman" w:eastAsia="Times New Roman" w:hAnsi="Times New Roman"/>
          <w:sz w:val="24"/>
          <w:szCs w:val="24"/>
          <w:color w:val="auto"/>
        </w:rPr>
      </w:pPr>
    </w:p>
    <w:p>
      <w:pPr>
        <w:ind w:left="1408" w:hanging="328"/>
        <w:spacing w:after="0"/>
        <w:tabs>
          <w:tab w:leader="none" w:pos="1408" w:val="left"/>
        </w:tabs>
        <w:numPr>
          <w:ilvl w:val="2"/>
          <w:numId w:val="124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Amount of refund due</w:t>
      </w:r>
    </w:p>
    <w:p>
      <w:pPr>
        <w:spacing w:after="0" w:line="149" w:lineRule="exact"/>
        <w:rPr>
          <w:rFonts w:ascii="Times New Roman" w:cs="Times New Roman" w:eastAsia="Times New Roman" w:hAnsi="Times New Roman"/>
          <w:sz w:val="24"/>
          <w:szCs w:val="24"/>
          <w:color w:val="auto"/>
        </w:rPr>
      </w:pPr>
    </w:p>
    <w:p>
      <w:pPr>
        <w:ind w:left="1088" w:right="3124" w:hanging="8"/>
        <w:spacing w:after="0" w:line="350" w:lineRule="auto"/>
        <w:tabs>
          <w:tab w:leader="none" w:pos="1440" w:val="left"/>
        </w:tabs>
        <w:numPr>
          <w:ilvl w:val="2"/>
          <w:numId w:val="124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Date of transfer of refund amount to the Refund Banker, if any</w:t>
      </w:r>
    </w:p>
    <w:p>
      <w:pPr>
        <w:spacing w:after="0" w:line="3" w:lineRule="exact"/>
        <w:rPr>
          <w:rFonts w:ascii="Times New Roman" w:cs="Times New Roman" w:eastAsia="Times New Roman" w:hAnsi="Times New Roman"/>
          <w:sz w:val="24"/>
          <w:szCs w:val="24"/>
          <w:color w:val="auto"/>
        </w:rPr>
      </w:pPr>
    </w:p>
    <w:p>
      <w:pPr>
        <w:ind w:left="728" w:hanging="728"/>
        <w:spacing w:after="0"/>
        <w:tabs>
          <w:tab w:leader="none" w:pos="728" w:val="left"/>
        </w:tabs>
        <w:numPr>
          <w:ilvl w:val="0"/>
          <w:numId w:val="1244"/>
        </w:numPr>
        <w:rPr>
          <w:rFonts w:ascii="Calibri" w:cs="Calibri" w:eastAsia="Calibri" w:hAnsi="Calibri"/>
          <w:sz w:val="22"/>
          <w:szCs w:val="22"/>
          <w:color w:val="auto"/>
        </w:rPr>
      </w:pPr>
      <w:r>
        <w:rPr>
          <w:rFonts w:ascii="Times New Roman" w:cs="Times New Roman" w:eastAsia="Times New Roman" w:hAnsi="Times New Roman"/>
          <w:sz w:val="24"/>
          <w:szCs w:val="24"/>
          <w:color w:val="auto"/>
        </w:rPr>
        <w:t>Dates of</w:t>
      </w:r>
    </w:p>
    <w:p>
      <w:pPr>
        <w:spacing w:after="0" w:line="139" w:lineRule="exact"/>
        <w:rPr>
          <w:rFonts w:ascii="Calibri" w:cs="Calibri" w:eastAsia="Calibri" w:hAnsi="Calibri"/>
          <w:sz w:val="22"/>
          <w:szCs w:val="22"/>
          <w:color w:val="auto"/>
        </w:rPr>
      </w:pPr>
    </w:p>
    <w:p>
      <w:pPr>
        <w:ind w:left="1388" w:hanging="308"/>
        <w:spacing w:after="0"/>
        <w:tabs>
          <w:tab w:leader="none" w:pos="1388" w:val="left"/>
        </w:tabs>
        <w:numPr>
          <w:ilvl w:val="2"/>
          <w:numId w:val="124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Unblocking</w:t>
      </w:r>
      <w:r>
        <w:rPr>
          <w:rFonts w:ascii="Times New Roman" w:cs="Times New Roman" w:eastAsia="Times New Roman" w:hAnsi="Times New Roman"/>
          <w:sz w:val="23"/>
          <w:szCs w:val="23"/>
          <w:color w:val="auto"/>
        </w:rPr>
        <w:t>instructions</w:t>
      </w:r>
    </w:p>
    <w:p>
      <w:pPr>
        <w:spacing w:after="0" w:line="136" w:lineRule="exact"/>
        <w:rPr>
          <w:rFonts w:ascii="Times New Roman" w:cs="Times New Roman" w:eastAsia="Times New Roman" w:hAnsi="Times New Roman"/>
          <w:sz w:val="24"/>
          <w:szCs w:val="24"/>
          <w:color w:val="auto"/>
        </w:rPr>
      </w:pPr>
    </w:p>
    <w:p>
      <w:pPr>
        <w:ind w:left="1408" w:hanging="328"/>
        <w:spacing w:after="0"/>
        <w:tabs>
          <w:tab w:leader="none" w:pos="1408" w:val="left"/>
        </w:tabs>
        <w:numPr>
          <w:ilvl w:val="2"/>
          <w:numId w:val="124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Demat credits</w:t>
      </w:r>
    </w:p>
    <w:p>
      <w:pPr>
        <w:spacing w:after="0" w:line="139" w:lineRule="exact"/>
        <w:rPr>
          <w:rFonts w:ascii="Times New Roman" w:cs="Times New Roman" w:eastAsia="Times New Roman" w:hAnsi="Times New Roman"/>
          <w:sz w:val="24"/>
          <w:szCs w:val="24"/>
          <w:color w:val="auto"/>
        </w:rPr>
      </w:pPr>
    </w:p>
    <w:p>
      <w:pPr>
        <w:ind w:left="1388" w:hanging="308"/>
        <w:spacing w:after="0"/>
        <w:tabs>
          <w:tab w:leader="none" w:pos="1388" w:val="left"/>
        </w:tabs>
        <w:numPr>
          <w:ilvl w:val="2"/>
          <w:numId w:val="124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Reasons for delay, if any</w:t>
      </w:r>
    </w:p>
    <w:p>
      <w:pPr>
        <w:spacing w:after="0" w:line="200" w:lineRule="exact"/>
        <w:rPr>
          <w:rFonts w:ascii="Times New Roman" w:cs="Times New Roman" w:eastAsia="Times New Roman" w:hAnsi="Times New Roman"/>
          <w:sz w:val="24"/>
          <w:szCs w:val="24"/>
          <w:color w:val="auto"/>
        </w:rPr>
      </w:pPr>
    </w:p>
    <w:p>
      <w:pPr>
        <w:spacing w:after="0" w:line="345" w:lineRule="exact"/>
        <w:rPr>
          <w:rFonts w:ascii="Times New Roman" w:cs="Times New Roman" w:eastAsia="Times New Roman" w:hAnsi="Times New Roman"/>
          <w:sz w:val="24"/>
          <w:szCs w:val="24"/>
          <w:color w:val="auto"/>
        </w:rPr>
      </w:pPr>
    </w:p>
    <w:p>
      <w:pPr>
        <w:ind w:left="728" w:hanging="728"/>
        <w:spacing w:after="0"/>
        <w:tabs>
          <w:tab w:leader="none" w:pos="728" w:val="left"/>
        </w:tabs>
        <w:numPr>
          <w:ilvl w:val="0"/>
          <w:numId w:val="1244"/>
        </w:numPr>
        <w:rPr>
          <w:rFonts w:ascii="Calibri" w:cs="Calibri" w:eastAsia="Calibri" w:hAnsi="Calibri"/>
          <w:sz w:val="22"/>
          <w:szCs w:val="22"/>
          <w:color w:val="auto"/>
        </w:rPr>
      </w:pPr>
      <w:r>
        <w:rPr>
          <w:rFonts w:ascii="Times New Roman" w:cs="Times New Roman" w:eastAsia="Times New Roman" w:hAnsi="Times New Roman"/>
          <w:sz w:val="24"/>
          <w:szCs w:val="24"/>
          <w:color w:val="auto"/>
        </w:rPr>
        <w:t>Name of the Designated Stock Exchange</w:t>
      </w:r>
    </w:p>
    <w:p>
      <w:pPr>
        <w:spacing w:after="0" w:line="129" w:lineRule="exact"/>
        <w:rPr>
          <w:rFonts w:ascii="Calibri" w:cs="Calibri" w:eastAsia="Calibri" w:hAnsi="Calibri"/>
          <w:sz w:val="22"/>
          <w:szCs w:val="22"/>
          <w:color w:val="auto"/>
        </w:rPr>
      </w:pPr>
    </w:p>
    <w:p>
      <w:pPr>
        <w:ind w:left="728" w:hanging="728"/>
        <w:spacing w:after="0"/>
        <w:tabs>
          <w:tab w:leader="none" w:pos="728" w:val="left"/>
        </w:tabs>
        <w:numPr>
          <w:ilvl w:val="0"/>
          <w:numId w:val="1244"/>
        </w:numPr>
        <w:rPr>
          <w:rFonts w:ascii="Calibri" w:cs="Calibri" w:eastAsia="Calibri" w:hAnsi="Calibri"/>
          <w:sz w:val="22"/>
          <w:szCs w:val="22"/>
          <w:color w:val="auto"/>
        </w:rPr>
      </w:pPr>
      <w:r>
        <w:rPr>
          <w:rFonts w:ascii="Times New Roman" w:cs="Times New Roman" w:eastAsia="Times New Roman" w:hAnsi="Times New Roman"/>
          <w:sz w:val="24"/>
          <w:szCs w:val="24"/>
          <w:color w:val="auto"/>
        </w:rPr>
        <w:t>Names of the other stock exchanges where listing sought</w:t>
      </w:r>
    </w:p>
    <w:p>
      <w:pPr>
        <w:spacing w:after="0" w:line="130" w:lineRule="exact"/>
        <w:rPr>
          <w:rFonts w:ascii="Calibri" w:cs="Calibri" w:eastAsia="Calibri" w:hAnsi="Calibri"/>
          <w:sz w:val="22"/>
          <w:szCs w:val="22"/>
          <w:color w:val="auto"/>
        </w:rPr>
      </w:pPr>
    </w:p>
    <w:p>
      <w:pPr>
        <w:ind w:left="728" w:hanging="728"/>
        <w:spacing w:after="0"/>
        <w:tabs>
          <w:tab w:leader="none" w:pos="728" w:val="left"/>
        </w:tabs>
        <w:numPr>
          <w:ilvl w:val="0"/>
          <w:numId w:val="1244"/>
        </w:numPr>
        <w:rPr>
          <w:rFonts w:ascii="Calibri" w:cs="Calibri" w:eastAsia="Calibri" w:hAnsi="Calibri"/>
          <w:sz w:val="22"/>
          <w:szCs w:val="22"/>
          <w:color w:val="auto"/>
        </w:rPr>
      </w:pPr>
      <w:r>
        <w:rPr>
          <w:rFonts w:ascii="Times New Roman" w:cs="Times New Roman" w:eastAsia="Times New Roman" w:hAnsi="Times New Roman"/>
          <w:sz w:val="24"/>
          <w:szCs w:val="24"/>
          <w:color w:val="auto"/>
        </w:rPr>
        <w:t>15</w:t>
      </w:r>
      <w:r>
        <w:rPr>
          <w:rFonts w:ascii="Times New Roman" w:cs="Times New Roman" w:eastAsia="Times New Roman" w:hAnsi="Times New Roman"/>
          <w:sz w:val="32"/>
          <w:szCs w:val="32"/>
          <w:color w:val="auto"/>
          <w:vertAlign w:val="superscript"/>
        </w:rPr>
        <w:t>th</w:t>
      </w:r>
      <w:r>
        <w:rPr>
          <w:rFonts w:ascii="Times New Roman" w:cs="Times New Roman" w:eastAsia="Times New Roman" w:hAnsi="Times New Roman"/>
          <w:sz w:val="24"/>
          <w:szCs w:val="24"/>
          <w:color w:val="auto"/>
        </w:rPr>
        <w:t xml:space="preserve"> day from the date of closure of the issue</w:t>
      </w:r>
    </w:p>
    <w:p>
      <w:pPr>
        <w:spacing w:after="0" w:line="65" w:lineRule="exact"/>
        <w:rPr>
          <w:rFonts w:ascii="Calibri" w:cs="Calibri" w:eastAsia="Calibri" w:hAnsi="Calibri"/>
          <w:sz w:val="22"/>
          <w:szCs w:val="22"/>
          <w:color w:val="auto"/>
        </w:rPr>
      </w:pPr>
    </w:p>
    <w:p>
      <w:pPr>
        <w:ind w:left="728" w:right="3124" w:hanging="728"/>
        <w:spacing w:after="0" w:line="344" w:lineRule="auto"/>
        <w:tabs>
          <w:tab w:leader="none" w:pos="728" w:val="left"/>
        </w:tabs>
        <w:numPr>
          <w:ilvl w:val="0"/>
          <w:numId w:val="1244"/>
        </w:numPr>
        <w:rPr>
          <w:rFonts w:ascii="Calibri" w:cs="Calibri" w:eastAsia="Calibri" w:hAnsi="Calibri"/>
          <w:sz w:val="22"/>
          <w:szCs w:val="22"/>
          <w:color w:val="auto"/>
        </w:rPr>
      </w:pPr>
      <w:r>
        <w:rPr>
          <w:rFonts w:ascii="Times New Roman" w:cs="Times New Roman" w:eastAsia="Times New Roman" w:hAnsi="Times New Roman"/>
          <w:sz w:val="24"/>
          <w:szCs w:val="24"/>
          <w:color w:val="auto"/>
        </w:rPr>
        <w:t>Dates on which application was filed with each stock exchange for listing of instruments</w:t>
      </w:r>
    </w:p>
    <w:p>
      <w:pPr>
        <w:spacing w:after="0" w:line="26" w:lineRule="exact"/>
        <w:rPr>
          <w:rFonts w:ascii="Calibri" w:cs="Calibri" w:eastAsia="Calibri" w:hAnsi="Calibri"/>
          <w:sz w:val="22"/>
          <w:szCs w:val="22"/>
          <w:color w:val="auto"/>
        </w:rPr>
      </w:pPr>
    </w:p>
    <w:p>
      <w:pPr>
        <w:jc w:val="both"/>
        <w:ind w:left="728" w:right="3104" w:hanging="728"/>
        <w:spacing w:after="0" w:line="350" w:lineRule="auto"/>
        <w:tabs>
          <w:tab w:leader="none" w:pos="728" w:val="left"/>
        </w:tabs>
        <w:numPr>
          <w:ilvl w:val="0"/>
          <w:numId w:val="1244"/>
        </w:numPr>
        <w:rPr>
          <w:rFonts w:ascii="Calibri" w:cs="Calibri" w:eastAsia="Calibri" w:hAnsi="Calibri"/>
          <w:sz w:val="22"/>
          <w:szCs w:val="22"/>
          <w:color w:val="auto"/>
        </w:rPr>
      </w:pPr>
      <w:r>
        <w:rPr>
          <w:rFonts w:ascii="Times New Roman" w:cs="Times New Roman" w:eastAsia="Times New Roman" w:hAnsi="Times New Roman"/>
          <w:sz w:val="24"/>
          <w:szCs w:val="24"/>
          <w:color w:val="auto"/>
        </w:rPr>
        <w:t>Dates on which listing and trading permission was given by each stock exchange (enclose copies of permission letters of the stock exchanges)</w:t>
      </w:r>
    </w:p>
    <w:p>
      <w:pPr>
        <w:spacing w:after="0" w:line="6" w:lineRule="exact"/>
        <w:rPr>
          <w:rFonts w:ascii="Calibri" w:cs="Calibri" w:eastAsia="Calibri" w:hAnsi="Calibri"/>
          <w:sz w:val="22"/>
          <w:szCs w:val="22"/>
          <w:color w:val="auto"/>
        </w:rPr>
      </w:pPr>
    </w:p>
    <w:p>
      <w:pPr>
        <w:ind w:left="728" w:hanging="728"/>
        <w:spacing w:after="0"/>
        <w:tabs>
          <w:tab w:leader="none" w:pos="728" w:val="left"/>
        </w:tabs>
        <w:numPr>
          <w:ilvl w:val="0"/>
          <w:numId w:val="1244"/>
        </w:numPr>
        <w:rPr>
          <w:rFonts w:ascii="Calibri" w:cs="Calibri" w:eastAsia="Calibri" w:hAnsi="Calibri"/>
          <w:sz w:val="22"/>
          <w:szCs w:val="22"/>
          <w:color w:val="auto"/>
        </w:rPr>
      </w:pPr>
      <w:r>
        <w:rPr>
          <w:rFonts w:ascii="Times New Roman" w:cs="Times New Roman" w:eastAsia="Times New Roman" w:hAnsi="Times New Roman"/>
          <w:sz w:val="24"/>
          <w:szCs w:val="24"/>
          <w:color w:val="auto"/>
        </w:rPr>
        <w:t>Reason for delay in listing, if any</w:t>
      </w:r>
    </w:p>
    <w:p>
      <w:pPr>
        <w:spacing w:after="0" w:line="200" w:lineRule="exact"/>
        <w:rPr>
          <w:sz w:val="20"/>
          <w:szCs w:val="20"/>
          <w:color w:val="auto"/>
        </w:rPr>
      </w:pPr>
    </w:p>
    <w:p>
      <w:pPr>
        <w:spacing w:after="0" w:line="350" w:lineRule="exact"/>
        <w:rPr>
          <w:sz w:val="20"/>
          <w:szCs w:val="20"/>
          <w:color w:val="auto"/>
        </w:rPr>
      </w:pPr>
    </w:p>
    <w:p>
      <w:pPr>
        <w:ind w:left="568" w:hanging="568"/>
        <w:spacing w:after="0"/>
        <w:tabs>
          <w:tab w:leader="none" w:pos="568" w:val="left"/>
        </w:tabs>
        <w:numPr>
          <w:ilvl w:val="0"/>
          <w:numId w:val="1245"/>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IN CASE OF UNDER-SUBSCRIBED ISSUE:</w:t>
      </w:r>
    </w:p>
    <w:p>
      <w:pPr>
        <w:spacing w:after="0" w:line="200" w:lineRule="exact"/>
        <w:rPr>
          <w:sz w:val="20"/>
          <w:szCs w:val="20"/>
          <w:color w:val="auto"/>
        </w:rPr>
      </w:pPr>
    </w:p>
    <w:p>
      <w:pPr>
        <w:spacing w:after="0" w:line="340" w:lineRule="exact"/>
        <w:rPr>
          <w:sz w:val="20"/>
          <w:szCs w:val="20"/>
          <w:color w:val="auto"/>
        </w:rPr>
      </w:pPr>
    </w:p>
    <w:p>
      <w:pPr>
        <w:ind w:left="628" w:hanging="628"/>
        <w:spacing w:after="0"/>
        <w:tabs>
          <w:tab w:leader="none" w:pos="628" w:val="left"/>
        </w:tabs>
        <w:numPr>
          <w:ilvl w:val="0"/>
          <w:numId w:val="1246"/>
        </w:numPr>
        <w:rPr>
          <w:rFonts w:ascii="Calibri" w:cs="Calibri" w:eastAsia="Calibri" w:hAnsi="Calibri"/>
          <w:sz w:val="22"/>
          <w:szCs w:val="22"/>
          <w:color w:val="auto"/>
        </w:rPr>
      </w:pPr>
      <w:r>
        <w:rPr>
          <w:rFonts w:ascii="Times New Roman" w:cs="Times New Roman" w:eastAsia="Times New Roman" w:hAnsi="Times New Roman"/>
          <w:sz w:val="24"/>
          <w:szCs w:val="24"/>
          <w:color w:val="auto"/>
        </w:rPr>
        <w:t>Name of the issuer</w:t>
      </w:r>
    </w:p>
    <w:p>
      <w:pPr>
        <w:spacing w:after="0" w:line="149" w:lineRule="exact"/>
        <w:rPr>
          <w:rFonts w:ascii="Calibri" w:cs="Calibri" w:eastAsia="Calibri" w:hAnsi="Calibri"/>
          <w:sz w:val="22"/>
          <w:szCs w:val="22"/>
          <w:color w:val="auto"/>
        </w:rPr>
      </w:pPr>
    </w:p>
    <w:p>
      <w:pPr>
        <w:ind w:left="628" w:right="3024" w:hanging="628"/>
        <w:spacing w:after="0" w:line="344" w:lineRule="auto"/>
        <w:tabs>
          <w:tab w:leader="none" w:pos="628" w:val="left"/>
        </w:tabs>
        <w:numPr>
          <w:ilvl w:val="0"/>
          <w:numId w:val="1246"/>
        </w:numPr>
        <w:rPr>
          <w:rFonts w:ascii="Calibri" w:cs="Calibri" w:eastAsia="Calibri" w:hAnsi="Calibri"/>
          <w:sz w:val="22"/>
          <w:szCs w:val="22"/>
          <w:color w:val="auto"/>
        </w:rPr>
      </w:pPr>
      <w:r>
        <w:rPr>
          <w:rFonts w:ascii="Times New Roman" w:cs="Times New Roman" w:eastAsia="Times New Roman" w:hAnsi="Times New Roman"/>
          <w:sz w:val="24"/>
          <w:szCs w:val="24"/>
          <w:color w:val="auto"/>
        </w:rPr>
        <w:t>Extent of under-subscription on the date of closure of the issue</w:t>
      </w:r>
    </w:p>
    <w:p>
      <w:pPr>
        <w:spacing w:after="0" w:line="14" w:lineRule="exact"/>
        <w:rPr>
          <w:rFonts w:ascii="Calibri" w:cs="Calibri" w:eastAsia="Calibri" w:hAnsi="Calibri"/>
          <w:sz w:val="22"/>
          <w:szCs w:val="22"/>
          <w:color w:val="auto"/>
        </w:rPr>
      </w:pPr>
    </w:p>
    <w:p>
      <w:pPr>
        <w:ind w:left="868" w:hanging="239"/>
        <w:spacing w:after="0"/>
        <w:tabs>
          <w:tab w:leader="none" w:pos="868" w:val="left"/>
        </w:tabs>
        <w:numPr>
          <w:ilvl w:val="1"/>
          <w:numId w:val="124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Percentage</w:t>
      </w:r>
    </w:p>
    <w:p>
      <w:pPr>
        <w:spacing w:after="0" w:line="139" w:lineRule="exact"/>
        <w:rPr>
          <w:rFonts w:ascii="Times New Roman" w:cs="Times New Roman" w:eastAsia="Times New Roman" w:hAnsi="Times New Roman"/>
          <w:sz w:val="24"/>
          <w:szCs w:val="24"/>
          <w:color w:val="auto"/>
        </w:rPr>
      </w:pPr>
    </w:p>
    <w:p>
      <w:pPr>
        <w:ind w:left="888" w:hanging="259"/>
        <w:spacing w:after="0"/>
        <w:tabs>
          <w:tab w:leader="none" w:pos="888" w:val="left"/>
        </w:tabs>
        <w:numPr>
          <w:ilvl w:val="1"/>
          <w:numId w:val="124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Amount</w:t>
      </w:r>
    </w:p>
    <w:p>
      <w:pPr>
        <w:spacing w:after="0" w:line="129" w:lineRule="exact"/>
        <w:rPr>
          <w:rFonts w:ascii="Times New Roman" w:cs="Times New Roman" w:eastAsia="Times New Roman" w:hAnsi="Times New Roman"/>
          <w:sz w:val="24"/>
          <w:szCs w:val="24"/>
          <w:color w:val="auto"/>
        </w:rPr>
      </w:pPr>
    </w:p>
    <w:p>
      <w:pPr>
        <w:ind w:left="628" w:hanging="628"/>
        <w:spacing w:after="0"/>
        <w:tabs>
          <w:tab w:leader="none" w:pos="628" w:val="left"/>
        </w:tabs>
        <w:numPr>
          <w:ilvl w:val="0"/>
          <w:numId w:val="1246"/>
        </w:numPr>
        <w:rPr>
          <w:rFonts w:ascii="Calibri" w:cs="Calibri" w:eastAsia="Calibri" w:hAnsi="Calibri"/>
          <w:sz w:val="22"/>
          <w:szCs w:val="22"/>
          <w:color w:val="auto"/>
        </w:rPr>
      </w:pPr>
      <w:r>
        <w:rPr>
          <w:rFonts w:ascii="Times New Roman" w:cs="Times New Roman" w:eastAsia="Times New Roman" w:hAnsi="Times New Roman"/>
          <w:sz w:val="24"/>
          <w:szCs w:val="24"/>
          <w:color w:val="auto"/>
        </w:rPr>
        <w:t>Details of standby assistance, if any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jc w:val="center"/>
        <w:ind w:right="-163"/>
        <w:spacing w:after="0"/>
        <w:rPr>
          <w:sz w:val="20"/>
          <w:szCs w:val="20"/>
          <w:color w:val="auto"/>
        </w:rPr>
      </w:pPr>
      <w:r>
        <w:rPr>
          <w:rFonts w:ascii="Times New Roman" w:cs="Times New Roman" w:eastAsia="Times New Roman" w:hAnsi="Times New Roman"/>
          <w:sz w:val="24"/>
          <w:szCs w:val="24"/>
          <w:color w:val="auto"/>
        </w:rPr>
        <w:t>414</w:t>
      </w:r>
    </w:p>
    <w:p>
      <w:pPr>
        <w:sectPr>
          <w:pgSz w:w="11900" w:h="16836" w:orient="portrait"/>
          <w:cols w:equalWidth="0" w:num="1">
            <w:col w:w="9312"/>
          </w:cols>
          <w:pgMar w:left="1152" w:top="1144" w:right="1440" w:bottom="103" w:gutter="0" w:footer="0" w:header="0"/>
        </w:sectPr>
      </w:pPr>
    </w:p>
    <w:bookmarkStart w:id="414" w:name="page415"/>
    <w:bookmarkEnd w:id="414"/>
    <w:p>
      <w:pPr>
        <w:ind w:left="868" w:hanging="239"/>
        <w:spacing w:after="0"/>
        <w:tabs>
          <w:tab w:leader="none" w:pos="868" w:val="left"/>
        </w:tabs>
        <w:numPr>
          <w:ilvl w:val="1"/>
          <w:numId w:val="12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Number of underwriters</w:t>
      </w:r>
    </w:p>
    <w:p>
      <w:pPr>
        <w:spacing w:after="0" w:line="149" w:lineRule="exact"/>
        <w:rPr>
          <w:rFonts w:ascii="Times New Roman" w:cs="Times New Roman" w:eastAsia="Times New Roman" w:hAnsi="Times New Roman"/>
          <w:sz w:val="24"/>
          <w:szCs w:val="24"/>
          <w:color w:val="auto"/>
        </w:rPr>
      </w:pPr>
    </w:p>
    <w:p>
      <w:pPr>
        <w:jc w:val="both"/>
        <w:ind w:left="628" w:right="3180" w:firstLine="1"/>
        <w:spacing w:after="0" w:line="354" w:lineRule="auto"/>
        <w:tabs>
          <w:tab w:leader="none" w:pos="995" w:val="left"/>
        </w:tabs>
        <w:numPr>
          <w:ilvl w:val="1"/>
          <w:numId w:val="12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Number of underwriters who did not honour the devolvement (Names, amount underwritten and reasons for not honouring)</w:t>
      </w:r>
    </w:p>
    <w:p>
      <w:pPr>
        <w:spacing w:after="0" w:line="22" w:lineRule="exact"/>
        <w:rPr>
          <w:rFonts w:ascii="Times New Roman" w:cs="Times New Roman" w:eastAsia="Times New Roman" w:hAnsi="Times New Roman"/>
          <w:sz w:val="24"/>
          <w:szCs w:val="24"/>
          <w:color w:val="auto"/>
        </w:rPr>
      </w:pPr>
    </w:p>
    <w:p>
      <w:pPr>
        <w:ind w:left="628" w:right="3180" w:hanging="628"/>
        <w:spacing w:after="0" w:line="342" w:lineRule="auto"/>
        <w:tabs>
          <w:tab w:leader="none" w:pos="628" w:val="left"/>
        </w:tabs>
        <w:numPr>
          <w:ilvl w:val="0"/>
          <w:numId w:val="1248"/>
        </w:numPr>
        <w:rPr>
          <w:rFonts w:ascii="Calibri" w:cs="Calibri" w:eastAsia="Calibri" w:hAnsi="Calibri"/>
          <w:sz w:val="22"/>
          <w:szCs w:val="22"/>
          <w:color w:val="auto"/>
        </w:rPr>
      </w:pPr>
      <w:r>
        <w:rPr>
          <w:rFonts w:ascii="Times New Roman" w:cs="Times New Roman" w:eastAsia="Times New Roman" w:hAnsi="Times New Roman"/>
          <w:sz w:val="24"/>
          <w:szCs w:val="24"/>
          <w:color w:val="auto"/>
        </w:rPr>
        <w:t>In case QIBs have subscribed to make up the shortfall, not as an underwriter</w:t>
      </w:r>
    </w:p>
    <w:p>
      <w:pPr>
        <w:spacing w:after="0" w:line="19" w:lineRule="exact"/>
        <w:rPr>
          <w:rFonts w:ascii="Calibri" w:cs="Calibri" w:eastAsia="Calibri" w:hAnsi="Calibri"/>
          <w:sz w:val="22"/>
          <w:szCs w:val="22"/>
          <w:color w:val="auto"/>
        </w:rPr>
      </w:pPr>
    </w:p>
    <w:p>
      <w:pPr>
        <w:ind w:left="868" w:hanging="239"/>
        <w:spacing w:after="0"/>
        <w:tabs>
          <w:tab w:leader="none" w:pos="868" w:val="left"/>
        </w:tabs>
        <w:numPr>
          <w:ilvl w:val="1"/>
          <w:numId w:val="124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Names of the QIBs</w:t>
      </w:r>
    </w:p>
    <w:p>
      <w:pPr>
        <w:spacing w:after="0" w:line="136" w:lineRule="exact"/>
        <w:rPr>
          <w:rFonts w:ascii="Times New Roman" w:cs="Times New Roman" w:eastAsia="Times New Roman" w:hAnsi="Times New Roman"/>
          <w:sz w:val="24"/>
          <w:szCs w:val="24"/>
          <w:color w:val="auto"/>
        </w:rPr>
      </w:pPr>
    </w:p>
    <w:p>
      <w:pPr>
        <w:ind w:left="888" w:hanging="259"/>
        <w:spacing w:after="0"/>
        <w:tabs>
          <w:tab w:leader="none" w:pos="888" w:val="left"/>
        </w:tabs>
        <w:numPr>
          <w:ilvl w:val="1"/>
          <w:numId w:val="124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No. of securities applied for</w:t>
      </w:r>
    </w:p>
    <w:p>
      <w:pPr>
        <w:spacing w:after="0" w:line="139" w:lineRule="exact"/>
        <w:rPr>
          <w:rFonts w:ascii="Times New Roman" w:cs="Times New Roman" w:eastAsia="Times New Roman" w:hAnsi="Times New Roman"/>
          <w:sz w:val="24"/>
          <w:szCs w:val="24"/>
          <w:color w:val="auto"/>
        </w:rPr>
      </w:pPr>
    </w:p>
    <w:p>
      <w:pPr>
        <w:ind w:left="868" w:hanging="239"/>
        <w:spacing w:after="0"/>
        <w:tabs>
          <w:tab w:leader="none" w:pos="868" w:val="left"/>
        </w:tabs>
        <w:numPr>
          <w:ilvl w:val="1"/>
          <w:numId w:val="124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Amount received</w:t>
      </w:r>
    </w:p>
    <w:p>
      <w:pPr>
        <w:spacing w:after="0" w:line="200" w:lineRule="exact"/>
        <w:rPr>
          <w:sz w:val="20"/>
          <w:szCs w:val="20"/>
          <w:color w:val="auto"/>
        </w:rPr>
      </w:pPr>
    </w:p>
    <w:p>
      <w:pPr>
        <w:spacing w:after="0" w:line="364" w:lineRule="exact"/>
        <w:rPr>
          <w:sz w:val="20"/>
          <w:szCs w:val="20"/>
          <w:color w:val="auto"/>
        </w:rPr>
      </w:pPr>
    </w:p>
    <w:p>
      <w:pPr>
        <w:ind w:left="8"/>
        <w:spacing w:after="0" w:line="348" w:lineRule="auto"/>
        <w:rPr>
          <w:sz w:val="20"/>
          <w:szCs w:val="20"/>
          <w:color w:val="auto"/>
        </w:rPr>
      </w:pPr>
      <w:r>
        <w:rPr>
          <w:rFonts w:ascii="Times New Roman" w:cs="Times New Roman" w:eastAsia="Times New Roman" w:hAnsi="Times New Roman"/>
          <w:sz w:val="24"/>
          <w:szCs w:val="24"/>
          <w:color w:val="auto"/>
        </w:rPr>
        <w:t>Certified that the information given above and also in the enclosures are true to the best of our knowledge and no unblocking/ demat credit are pending.</w:t>
      </w:r>
    </w:p>
    <w:p>
      <w:pPr>
        <w:spacing w:after="0" w:line="200" w:lineRule="exact"/>
        <w:rPr>
          <w:sz w:val="20"/>
          <w:szCs w:val="20"/>
          <w:color w:val="auto"/>
        </w:rPr>
      </w:pPr>
    </w:p>
    <w:p>
      <w:pPr>
        <w:spacing w:after="0" w:line="240" w:lineRule="exact"/>
        <w:rPr>
          <w:sz w:val="20"/>
          <w:szCs w:val="20"/>
          <w:color w:val="auto"/>
        </w:rPr>
      </w:pPr>
    </w:p>
    <w:p>
      <w:pPr>
        <w:ind w:left="8"/>
        <w:spacing w:after="0" w:line="375" w:lineRule="auto"/>
        <w:rPr>
          <w:sz w:val="20"/>
          <w:szCs w:val="20"/>
          <w:color w:val="auto"/>
        </w:rPr>
      </w:pPr>
      <w:r>
        <w:rPr>
          <w:rFonts w:ascii="Times New Roman" w:cs="Times New Roman" w:eastAsia="Times New Roman" w:hAnsi="Times New Roman"/>
          <w:sz w:val="23"/>
          <w:szCs w:val="23"/>
          <w:color w:val="auto"/>
        </w:rPr>
        <w:t>Certified that the specified securities to be locked-in are duly inscribed with the words "specified securities cannot be hypothecated / transferred / sold till .........” or necessary instructions to this effect</w:t>
      </w:r>
    </w:p>
    <w:p>
      <w:pPr>
        <w:ind w:left="8"/>
        <w:spacing w:after="0" w:line="230" w:lineRule="auto"/>
        <w:rPr>
          <w:sz w:val="20"/>
          <w:szCs w:val="20"/>
          <w:color w:val="auto"/>
        </w:rPr>
      </w:pPr>
      <w:r>
        <w:rPr>
          <w:rFonts w:ascii="Times New Roman" w:cs="Times New Roman" w:eastAsia="Times New Roman" w:hAnsi="Times New Roman"/>
          <w:sz w:val="24"/>
          <w:szCs w:val="24"/>
          <w:color w:val="auto"/>
        </w:rPr>
        <w:t>have been sent to the depositories.</w:t>
      </w:r>
    </w:p>
    <w:p>
      <w:pPr>
        <w:spacing w:after="0" w:line="200" w:lineRule="exact"/>
        <w:rPr>
          <w:sz w:val="20"/>
          <w:szCs w:val="20"/>
          <w:color w:val="auto"/>
        </w:rPr>
      </w:pPr>
    </w:p>
    <w:p>
      <w:pPr>
        <w:spacing w:after="0" w:line="35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Signed by</w:t>
      </w:r>
    </w:p>
    <w:p>
      <w:pPr>
        <w:sectPr>
          <w:pgSz w:w="11900" w:h="16836" w:orient="portrait"/>
          <w:cols w:equalWidth="0" w:num="1">
            <w:col w:w="9468"/>
          </w:cols>
          <w:pgMar w:left="1152" w:top="1144" w:right="1284" w:bottom="103" w:gutter="0" w:footer="0" w:header="0"/>
        </w:sectPr>
      </w:pPr>
    </w:p>
    <w:p>
      <w:pPr>
        <w:spacing w:after="0" w:line="151" w:lineRule="exact"/>
        <w:rPr>
          <w:sz w:val="20"/>
          <w:szCs w:val="20"/>
          <w:color w:val="auto"/>
        </w:rPr>
      </w:pPr>
    </w:p>
    <w:p>
      <w:pPr>
        <w:ind w:left="8"/>
        <w:spacing w:after="0"/>
        <w:rPr>
          <w:sz w:val="20"/>
          <w:szCs w:val="20"/>
          <w:color w:val="auto"/>
        </w:rPr>
      </w:pPr>
      <w:r>
        <w:rPr>
          <w:rFonts w:ascii="Times New Roman" w:cs="Times New Roman" w:eastAsia="Times New Roman" w:hAnsi="Times New Roman"/>
          <w:sz w:val="23"/>
          <w:szCs w:val="23"/>
          <w:b w:val="1"/>
          <w:bCs w:val="1"/>
          <w:color w:val="auto"/>
        </w:rPr>
        <w:t>Registrars to the issue</w:t>
      </w:r>
    </w:p>
    <w:p>
      <w:pPr>
        <w:spacing w:after="0" w:line="20" w:lineRule="exact"/>
        <w:rPr>
          <w:sz w:val="20"/>
          <w:szCs w:val="20"/>
          <w:color w:val="auto"/>
        </w:rPr>
      </w:pPr>
      <w:r>
        <w:rPr>
          <w:sz w:val="20"/>
          <w:szCs w:val="20"/>
          <w:color w:val="auto"/>
        </w:rPr>
        <w:br w:type="column"/>
      </w:r>
    </w:p>
    <w:p>
      <w:pPr>
        <w:spacing w:after="0" w:line="131" w:lineRule="exact"/>
        <w:rPr>
          <w:sz w:val="20"/>
          <w:szCs w:val="20"/>
          <w:color w:val="auto"/>
        </w:rPr>
      </w:pPr>
    </w:p>
    <w:p>
      <w:pPr>
        <w:jc w:val="center"/>
        <w:ind w:right="1180"/>
        <w:spacing w:after="0"/>
        <w:rPr>
          <w:sz w:val="20"/>
          <w:szCs w:val="20"/>
          <w:color w:val="auto"/>
        </w:rPr>
      </w:pPr>
      <w:r>
        <w:rPr>
          <w:rFonts w:ascii="Times New Roman" w:cs="Times New Roman" w:eastAsia="Times New Roman" w:hAnsi="Times New Roman"/>
          <w:sz w:val="22"/>
          <w:szCs w:val="22"/>
          <w:b w:val="1"/>
          <w:bCs w:val="1"/>
          <w:color w:val="auto"/>
        </w:rPr>
        <w:t>Issuer</w:t>
      </w:r>
    </w:p>
    <w:p>
      <w:pPr>
        <w:spacing w:after="0" w:line="20" w:lineRule="exact"/>
        <w:rPr>
          <w:sz w:val="20"/>
          <w:szCs w:val="20"/>
          <w:color w:val="auto"/>
        </w:rPr>
      </w:pPr>
      <w:r>
        <w:rPr>
          <w:sz w:val="20"/>
          <w:szCs w:val="20"/>
          <w:color w:val="auto"/>
        </w:rPr>
        <w:br w:type="column"/>
      </w:r>
    </w:p>
    <w:p>
      <w:pPr>
        <w:spacing w:after="0" w:line="131"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b w:val="1"/>
          <w:bCs w:val="1"/>
          <w:color w:val="auto"/>
        </w:rPr>
        <w:t>Lead manager(s)</w:t>
      </w:r>
    </w:p>
    <w:p>
      <w:pPr>
        <w:spacing w:after="0" w:line="200" w:lineRule="exact"/>
        <w:rPr>
          <w:sz w:val="20"/>
          <w:szCs w:val="20"/>
          <w:color w:val="auto"/>
        </w:rPr>
      </w:pPr>
    </w:p>
    <w:p>
      <w:pPr>
        <w:sectPr>
          <w:pgSz w:w="11900" w:h="16836" w:orient="portrait"/>
          <w:cols w:equalWidth="0" w:num="3">
            <w:col w:w="3228" w:space="720"/>
            <w:col w:w="1780" w:space="720"/>
            <w:col w:w="3020"/>
          </w:cols>
          <w:pgMar w:left="1152" w:top="1144" w:right="1284" w:bottom="103" w:gutter="0" w:footer="0" w:header="0"/>
          <w:type w:val="continuous"/>
        </w:sectPr>
      </w:pPr>
    </w:p>
    <w:p>
      <w:pPr>
        <w:spacing w:after="0" w:line="35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Place:</w:t>
      </w:r>
    </w:p>
    <w:p>
      <w:pPr>
        <w:spacing w:after="0" w:line="13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Date:</w:t>
      </w:r>
    </w:p>
    <w:p>
      <w:pPr>
        <w:spacing w:after="0" w:line="151" w:lineRule="exact"/>
        <w:rPr>
          <w:sz w:val="20"/>
          <w:szCs w:val="20"/>
          <w:color w:val="auto"/>
        </w:rPr>
      </w:pPr>
    </w:p>
    <w:p>
      <w:pPr>
        <w:jc w:val="center"/>
        <w:ind w:left="1260"/>
        <w:spacing w:after="0" w:line="348" w:lineRule="auto"/>
        <w:rPr>
          <w:sz w:val="20"/>
          <w:szCs w:val="20"/>
          <w:color w:val="auto"/>
        </w:rPr>
      </w:pPr>
      <w:r>
        <w:rPr>
          <w:rFonts w:ascii="Times New Roman" w:cs="Times New Roman" w:eastAsia="Times New Roman" w:hAnsi="Times New Roman"/>
          <w:sz w:val="24"/>
          <w:szCs w:val="24"/>
          <w:b w:val="1"/>
          <w:bCs w:val="1"/>
          <w:color w:val="auto"/>
        </w:rPr>
        <w:t>SCHEDULE XVIII - FORMAT OF UNDERWRITING DEVOLVEMENT STATEMENT [See regulation 52(7), 93(7), 148(7), 202(4), 207(7) and 271(7)]</w:t>
      </w:r>
    </w:p>
    <w:p>
      <w:pPr>
        <w:spacing w:after="0" w:line="200" w:lineRule="exact"/>
        <w:rPr>
          <w:sz w:val="20"/>
          <w:szCs w:val="20"/>
          <w:color w:val="auto"/>
        </w:rPr>
      </w:pPr>
    </w:p>
    <w:p>
      <w:pPr>
        <w:spacing w:after="0" w:line="224" w:lineRule="exact"/>
        <w:rPr>
          <w:sz w:val="20"/>
          <w:szCs w:val="20"/>
          <w:color w:val="auto"/>
        </w:rPr>
      </w:pPr>
    </w:p>
    <w:tbl>
      <w:tblPr>
        <w:tblLayout w:type="fixed"/>
        <w:tblInd w:w="8" w:type="dxa"/>
        <w:tblCellMar>
          <w:top w:w="0" w:type="dxa"/>
          <w:left w:w="0" w:type="dxa"/>
          <w:bottom w:w="0" w:type="dxa"/>
          <w:right w:w="0" w:type="dxa"/>
        </w:tblCellMar>
      </w:tblPr>
      <w:tr>
        <w:trPr>
          <w:trHeight w:val="276"/>
        </w:trPr>
        <w:tc>
          <w:tcPr>
            <w:tcW w:w="420" w:type="dxa"/>
            <w:vAlign w:val="bottom"/>
          </w:tcPr>
          <w:p>
            <w:pPr>
              <w:jc w:val="right"/>
              <w:ind w:right="20"/>
              <w:spacing w:after="0"/>
              <w:rPr>
                <w:sz w:val="20"/>
                <w:szCs w:val="20"/>
                <w:color w:val="auto"/>
              </w:rPr>
            </w:pPr>
            <w:r>
              <w:rPr>
                <w:rFonts w:ascii="Times New Roman" w:cs="Times New Roman" w:eastAsia="Times New Roman" w:hAnsi="Times New Roman"/>
                <w:sz w:val="24"/>
                <w:szCs w:val="24"/>
                <w:color w:val="auto"/>
                <w:w w:val="92"/>
              </w:rPr>
              <w:t>(1)</w:t>
            </w:r>
          </w:p>
        </w:tc>
        <w:tc>
          <w:tcPr>
            <w:tcW w:w="4400" w:type="dxa"/>
            <w:vAlign w:val="bottom"/>
          </w:tcPr>
          <w:p>
            <w:pPr>
              <w:ind w:left="140"/>
              <w:spacing w:after="0"/>
              <w:rPr>
                <w:sz w:val="20"/>
                <w:szCs w:val="20"/>
                <w:color w:val="auto"/>
              </w:rPr>
            </w:pPr>
            <w:r>
              <w:rPr>
                <w:rFonts w:ascii="Times New Roman" w:cs="Times New Roman" w:eastAsia="Times New Roman" w:hAnsi="Times New Roman"/>
                <w:sz w:val="24"/>
                <w:szCs w:val="24"/>
                <w:color w:val="auto"/>
              </w:rPr>
              <w:t>Name of the lead manager(s)</w:t>
            </w:r>
          </w:p>
        </w:tc>
        <w:tc>
          <w:tcPr>
            <w:tcW w:w="15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w:t>
            </w:r>
          </w:p>
        </w:tc>
      </w:tr>
      <w:tr>
        <w:trPr>
          <w:trHeight w:val="828"/>
        </w:trPr>
        <w:tc>
          <w:tcPr>
            <w:tcW w:w="420" w:type="dxa"/>
            <w:vAlign w:val="bottom"/>
          </w:tcPr>
          <w:p>
            <w:pPr>
              <w:jc w:val="right"/>
              <w:ind w:right="20"/>
              <w:spacing w:after="0"/>
              <w:rPr>
                <w:sz w:val="20"/>
                <w:szCs w:val="20"/>
                <w:color w:val="auto"/>
              </w:rPr>
            </w:pPr>
            <w:r>
              <w:rPr>
                <w:rFonts w:ascii="Times New Roman" w:cs="Times New Roman" w:eastAsia="Times New Roman" w:hAnsi="Times New Roman"/>
                <w:sz w:val="24"/>
                <w:szCs w:val="24"/>
                <w:color w:val="auto"/>
                <w:w w:val="92"/>
              </w:rPr>
              <w:t>(2)</w:t>
            </w:r>
          </w:p>
        </w:tc>
        <w:tc>
          <w:tcPr>
            <w:tcW w:w="4400" w:type="dxa"/>
            <w:vAlign w:val="bottom"/>
          </w:tcPr>
          <w:p>
            <w:pPr>
              <w:ind w:left="140"/>
              <w:spacing w:after="0"/>
              <w:rPr>
                <w:sz w:val="20"/>
                <w:szCs w:val="20"/>
                <w:color w:val="auto"/>
              </w:rPr>
            </w:pPr>
            <w:r>
              <w:rPr>
                <w:rFonts w:ascii="Times New Roman" w:cs="Times New Roman" w:eastAsia="Times New Roman" w:hAnsi="Times New Roman"/>
                <w:sz w:val="24"/>
                <w:szCs w:val="24"/>
                <w:color w:val="auto"/>
              </w:rPr>
              <w:t>Name of the issuer</w:t>
            </w:r>
          </w:p>
        </w:tc>
        <w:tc>
          <w:tcPr>
            <w:tcW w:w="15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w:t>
            </w:r>
          </w:p>
        </w:tc>
      </w:tr>
      <w:tr>
        <w:trPr>
          <w:trHeight w:val="828"/>
        </w:trPr>
        <w:tc>
          <w:tcPr>
            <w:tcW w:w="420" w:type="dxa"/>
            <w:vAlign w:val="bottom"/>
          </w:tcPr>
          <w:p>
            <w:pPr>
              <w:jc w:val="right"/>
              <w:ind w:right="20"/>
              <w:spacing w:after="0"/>
              <w:rPr>
                <w:sz w:val="20"/>
                <w:szCs w:val="20"/>
                <w:color w:val="auto"/>
              </w:rPr>
            </w:pPr>
            <w:r>
              <w:rPr>
                <w:rFonts w:ascii="Times New Roman" w:cs="Times New Roman" w:eastAsia="Times New Roman" w:hAnsi="Times New Roman"/>
                <w:sz w:val="24"/>
                <w:szCs w:val="24"/>
                <w:color w:val="auto"/>
                <w:w w:val="92"/>
              </w:rPr>
              <w:t>(3)</w:t>
            </w:r>
          </w:p>
        </w:tc>
        <w:tc>
          <w:tcPr>
            <w:tcW w:w="4400" w:type="dxa"/>
            <w:vAlign w:val="bottom"/>
          </w:tcPr>
          <w:p>
            <w:pPr>
              <w:ind w:left="140"/>
              <w:spacing w:after="0"/>
              <w:rPr>
                <w:sz w:val="20"/>
                <w:szCs w:val="20"/>
                <w:color w:val="auto"/>
              </w:rPr>
            </w:pPr>
            <w:r>
              <w:rPr>
                <w:rFonts w:ascii="Times New Roman" w:cs="Times New Roman" w:eastAsia="Times New Roman" w:hAnsi="Times New Roman"/>
                <w:sz w:val="24"/>
                <w:szCs w:val="24"/>
                <w:color w:val="auto"/>
              </w:rPr>
              <w:t>Issue size</w:t>
            </w:r>
          </w:p>
        </w:tc>
        <w:tc>
          <w:tcPr>
            <w:tcW w:w="15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w:t>
            </w:r>
          </w:p>
        </w:tc>
      </w:tr>
    </w:tbl>
    <w:p>
      <w:pPr>
        <w:spacing w:after="0" w:line="200" w:lineRule="exact"/>
        <w:rPr>
          <w:sz w:val="20"/>
          <w:szCs w:val="20"/>
          <w:color w:val="auto"/>
        </w:rPr>
      </w:pPr>
    </w:p>
    <w:p>
      <w:pPr>
        <w:spacing w:after="0" w:line="352" w:lineRule="exact"/>
        <w:rPr>
          <w:sz w:val="20"/>
          <w:szCs w:val="20"/>
          <w:color w:val="auto"/>
        </w:rPr>
      </w:pPr>
    </w:p>
    <w:p>
      <w:pPr>
        <w:ind w:left="568" w:hanging="568"/>
        <w:spacing w:after="0"/>
        <w:tabs>
          <w:tab w:leader="none" w:pos="568" w:val="left"/>
        </w:tabs>
        <w:numPr>
          <w:ilvl w:val="0"/>
          <w:numId w:val="124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Statement of non-acceptance of underwriting devolvement :</w:t>
      </w:r>
    </w:p>
    <w:p>
      <w:pPr>
        <w:spacing w:after="0" w:line="200" w:lineRule="exact"/>
        <w:rPr>
          <w:sz w:val="20"/>
          <w:szCs w:val="20"/>
          <w:color w:val="auto"/>
        </w:rPr>
      </w:pPr>
    </w:p>
    <w:p>
      <w:pPr>
        <w:spacing w:after="0" w:line="340" w:lineRule="exact"/>
        <w:rPr>
          <w:sz w:val="20"/>
          <w:szCs w:val="20"/>
          <w:color w:val="auto"/>
        </w:rPr>
      </w:pPr>
    </w:p>
    <w:tbl>
      <w:tblPr>
        <w:tblLayout w:type="fixed"/>
        <w:tblInd w:w="698" w:type="dxa"/>
        <w:tblCellMar>
          <w:top w:w="0" w:type="dxa"/>
          <w:left w:w="0" w:type="dxa"/>
          <w:bottom w:w="0" w:type="dxa"/>
          <w:right w:w="0" w:type="dxa"/>
        </w:tblCellMar>
      </w:tblPr>
      <w:tr>
        <w:trPr>
          <w:trHeight w:val="283"/>
        </w:trPr>
        <w:tc>
          <w:tcPr>
            <w:tcW w:w="580" w:type="dxa"/>
            <w:vAlign w:val="bottom"/>
            <w:tcBorders>
              <w:top w:val="single" w:sz="8" w:color="auto"/>
              <w:left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4"/>
                <w:szCs w:val="24"/>
                <w:b w:val="1"/>
                <w:bCs w:val="1"/>
                <w:color w:val="auto"/>
              </w:rPr>
              <w:t>Sr.</w:t>
            </w:r>
          </w:p>
        </w:tc>
        <w:tc>
          <w:tcPr>
            <w:tcW w:w="1440" w:type="dxa"/>
            <w:vAlign w:val="bottom"/>
            <w:tcBorders>
              <w:top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b w:val="1"/>
                <w:bCs w:val="1"/>
                <w:color w:val="auto"/>
              </w:rPr>
              <w:t>Name of the</w:t>
            </w:r>
          </w:p>
        </w:tc>
        <w:tc>
          <w:tcPr>
            <w:tcW w:w="1540" w:type="dxa"/>
            <w:vAlign w:val="bottom"/>
            <w:tcBorders>
              <w:top w:val="single" w:sz="8" w:color="auto"/>
              <w:right w:val="single" w:sz="8" w:color="auto"/>
            </w:tcBorders>
          </w:tcPr>
          <w:p>
            <w:pPr>
              <w:ind w:left="340"/>
              <w:spacing w:after="0"/>
              <w:rPr>
                <w:sz w:val="20"/>
                <w:szCs w:val="20"/>
                <w:color w:val="auto"/>
              </w:rPr>
            </w:pPr>
            <w:r>
              <w:rPr>
                <w:rFonts w:ascii="Times New Roman" w:cs="Times New Roman" w:eastAsia="Times New Roman" w:hAnsi="Times New Roman"/>
                <w:sz w:val="24"/>
                <w:szCs w:val="24"/>
                <w:b w:val="1"/>
                <w:bCs w:val="1"/>
                <w:color w:val="auto"/>
              </w:rPr>
              <w:t>Amount</w:t>
            </w:r>
          </w:p>
        </w:tc>
        <w:tc>
          <w:tcPr>
            <w:tcW w:w="108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Amount</w:t>
            </w:r>
          </w:p>
        </w:tc>
        <w:tc>
          <w:tcPr>
            <w:tcW w:w="2240" w:type="dxa"/>
            <w:vAlign w:val="bottom"/>
            <w:tcBorders>
              <w:top w:val="single" w:sz="8" w:color="auto"/>
              <w:right w:val="single" w:sz="8" w:color="auto"/>
            </w:tcBorders>
          </w:tcPr>
          <w:p>
            <w:pPr>
              <w:ind w:left="320"/>
              <w:spacing w:after="0"/>
              <w:rPr>
                <w:sz w:val="20"/>
                <w:szCs w:val="20"/>
                <w:color w:val="auto"/>
              </w:rPr>
            </w:pPr>
            <w:r>
              <w:rPr>
                <w:rFonts w:ascii="Times New Roman" w:cs="Times New Roman" w:eastAsia="Times New Roman" w:hAnsi="Times New Roman"/>
                <w:sz w:val="24"/>
                <w:szCs w:val="24"/>
                <w:b w:val="1"/>
                <w:bCs w:val="1"/>
                <w:color w:val="auto"/>
              </w:rPr>
              <w:t>Date of issue of</w:t>
            </w:r>
          </w:p>
        </w:tc>
        <w:tc>
          <w:tcPr>
            <w:tcW w:w="1760" w:type="dxa"/>
            <w:vAlign w:val="bottom"/>
            <w:tcBorders>
              <w:top w:val="single" w:sz="8" w:color="auto"/>
              <w:right w:val="single" w:sz="8" w:color="auto"/>
            </w:tcBorders>
          </w:tcPr>
          <w:p>
            <w:pPr>
              <w:ind w:left="60"/>
              <w:spacing w:after="0"/>
              <w:rPr>
                <w:sz w:val="20"/>
                <w:szCs w:val="20"/>
                <w:color w:val="auto"/>
              </w:rPr>
            </w:pPr>
            <w:r>
              <w:rPr>
                <w:rFonts w:ascii="Times New Roman" w:cs="Times New Roman" w:eastAsia="Times New Roman" w:hAnsi="Times New Roman"/>
                <w:sz w:val="24"/>
                <w:szCs w:val="24"/>
                <w:b w:val="1"/>
                <w:bCs w:val="1"/>
                <w:color w:val="auto"/>
              </w:rPr>
              <w:t>Reasons for not</w:t>
            </w:r>
          </w:p>
        </w:tc>
      </w:tr>
      <w:tr>
        <w:trPr>
          <w:trHeight w:val="142"/>
        </w:trPr>
        <w:tc>
          <w:tcPr>
            <w:tcW w:w="580" w:type="dxa"/>
            <w:vAlign w:val="bottom"/>
            <w:tcBorders>
              <w:left w:val="single" w:sz="8" w:color="auto"/>
              <w:bottom w:val="single" w:sz="8" w:color="auto"/>
              <w:right w:val="single" w:sz="8" w:color="auto"/>
            </w:tcBorders>
          </w:tcPr>
          <w:p>
            <w:pPr>
              <w:spacing w:after="0"/>
              <w:rPr>
                <w:sz w:val="12"/>
                <w:szCs w:val="12"/>
                <w:color w:val="auto"/>
              </w:rPr>
            </w:pPr>
          </w:p>
        </w:tc>
        <w:tc>
          <w:tcPr>
            <w:tcW w:w="1440" w:type="dxa"/>
            <w:vAlign w:val="bottom"/>
            <w:tcBorders>
              <w:bottom w:val="single" w:sz="8" w:color="auto"/>
              <w:right w:val="single" w:sz="8" w:color="auto"/>
            </w:tcBorders>
          </w:tcPr>
          <w:p>
            <w:pPr>
              <w:spacing w:after="0"/>
              <w:rPr>
                <w:sz w:val="12"/>
                <w:szCs w:val="12"/>
                <w:color w:val="auto"/>
              </w:rPr>
            </w:pPr>
          </w:p>
        </w:tc>
        <w:tc>
          <w:tcPr>
            <w:tcW w:w="1540" w:type="dxa"/>
            <w:vAlign w:val="bottom"/>
            <w:tcBorders>
              <w:bottom w:val="single" w:sz="8" w:color="auto"/>
              <w:right w:val="single" w:sz="8" w:color="auto"/>
            </w:tcBorders>
          </w:tcPr>
          <w:p>
            <w:pPr>
              <w:spacing w:after="0"/>
              <w:rPr>
                <w:sz w:val="12"/>
                <w:szCs w:val="12"/>
                <w:color w:val="auto"/>
              </w:rPr>
            </w:pPr>
          </w:p>
        </w:tc>
        <w:tc>
          <w:tcPr>
            <w:tcW w:w="1080" w:type="dxa"/>
            <w:vAlign w:val="bottom"/>
            <w:tcBorders>
              <w:bottom w:val="single" w:sz="8" w:color="auto"/>
              <w:right w:val="single" w:sz="8" w:color="auto"/>
            </w:tcBorders>
          </w:tcPr>
          <w:p>
            <w:pPr>
              <w:spacing w:after="0"/>
              <w:rPr>
                <w:sz w:val="12"/>
                <w:szCs w:val="12"/>
                <w:color w:val="auto"/>
              </w:rPr>
            </w:pPr>
          </w:p>
        </w:tc>
        <w:tc>
          <w:tcPr>
            <w:tcW w:w="2240" w:type="dxa"/>
            <w:vAlign w:val="bottom"/>
            <w:tcBorders>
              <w:bottom w:val="single" w:sz="8" w:color="auto"/>
              <w:right w:val="single" w:sz="8" w:color="auto"/>
            </w:tcBorders>
          </w:tcPr>
          <w:p>
            <w:pPr>
              <w:spacing w:after="0"/>
              <w:rPr>
                <w:sz w:val="12"/>
                <w:szCs w:val="12"/>
                <w:color w:val="auto"/>
              </w:rPr>
            </w:pPr>
          </w:p>
        </w:tc>
        <w:tc>
          <w:tcPr>
            <w:tcW w:w="1760" w:type="dxa"/>
            <w:vAlign w:val="bottom"/>
            <w:tcBorders>
              <w:bottom w:val="single" w:sz="8" w:color="auto"/>
              <w:right w:val="single" w:sz="8" w:color="auto"/>
            </w:tcBorders>
          </w:tcPr>
          <w:p>
            <w:pPr>
              <w:spacing w:after="0"/>
              <w:rPr>
                <w:sz w:val="12"/>
                <w:szCs w:val="12"/>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jc w:val="center"/>
        <w:ind w:right="12"/>
        <w:spacing w:after="0"/>
        <w:rPr>
          <w:sz w:val="20"/>
          <w:szCs w:val="20"/>
          <w:color w:val="auto"/>
        </w:rPr>
      </w:pPr>
      <w:r>
        <w:rPr>
          <w:rFonts w:ascii="Times New Roman" w:cs="Times New Roman" w:eastAsia="Times New Roman" w:hAnsi="Times New Roman"/>
          <w:sz w:val="24"/>
          <w:szCs w:val="24"/>
          <w:color w:val="auto"/>
        </w:rPr>
        <w:t>415</w:t>
      </w:r>
    </w:p>
    <w:p>
      <w:pPr>
        <w:sectPr>
          <w:pgSz w:w="11900" w:h="16836" w:orient="portrait"/>
          <w:cols w:equalWidth="0" w:num="1">
            <w:col w:w="9468"/>
          </w:cols>
          <w:pgMar w:left="1152" w:top="1144" w:right="1284" w:bottom="103" w:gutter="0" w:footer="0" w:header="0"/>
          <w:type w:val="continuous"/>
        </w:sectPr>
      </w:pPr>
    </w:p>
    <w:bookmarkStart w:id="415" w:name="page416"/>
    <w:bookmarkEnd w:id="415"/>
    <w:tbl>
      <w:tblPr>
        <w:tblLayout w:type="fixed"/>
        <w:tblInd w:w="698" w:type="dxa"/>
        <w:tblCellMar>
          <w:top w:w="0" w:type="dxa"/>
          <w:left w:w="0" w:type="dxa"/>
          <w:bottom w:w="0" w:type="dxa"/>
          <w:right w:w="0" w:type="dxa"/>
        </w:tblCellMar>
      </w:tblPr>
      <w:tr>
        <w:trPr>
          <w:trHeight w:val="283"/>
        </w:trPr>
        <w:tc>
          <w:tcPr>
            <w:tcW w:w="580" w:type="dxa"/>
            <w:vAlign w:val="bottom"/>
            <w:tcBorders>
              <w:top w:val="single" w:sz="8" w:color="auto"/>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b w:val="1"/>
                <w:bCs w:val="1"/>
                <w:color w:val="auto"/>
              </w:rPr>
              <w:t>No.</w:t>
            </w:r>
          </w:p>
        </w:tc>
        <w:tc>
          <w:tcPr>
            <w:tcW w:w="1440" w:type="dxa"/>
            <w:vAlign w:val="bottom"/>
            <w:tcBorders>
              <w:top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b w:val="1"/>
                <w:bCs w:val="1"/>
                <w:color w:val="auto"/>
              </w:rPr>
              <w:t>underwriter</w:t>
            </w:r>
          </w:p>
        </w:tc>
        <w:tc>
          <w:tcPr>
            <w:tcW w:w="1540" w:type="dxa"/>
            <w:vAlign w:val="bottom"/>
            <w:tcBorders>
              <w:top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b w:val="1"/>
                <w:bCs w:val="1"/>
                <w:color w:val="auto"/>
              </w:rPr>
              <w:t>underwritten</w:t>
            </w:r>
          </w:p>
        </w:tc>
        <w:tc>
          <w:tcPr>
            <w:tcW w:w="1080" w:type="dxa"/>
            <w:vAlign w:val="bottom"/>
            <w:tcBorders>
              <w:top w:val="single" w:sz="8" w:color="auto"/>
              <w:right w:val="single" w:sz="8" w:color="auto"/>
            </w:tcBorders>
          </w:tcPr>
          <w:p>
            <w:pPr>
              <w:ind w:left="60"/>
              <w:spacing w:after="0"/>
              <w:rPr>
                <w:sz w:val="20"/>
                <w:szCs w:val="20"/>
                <w:color w:val="auto"/>
              </w:rPr>
            </w:pPr>
            <w:r>
              <w:rPr>
                <w:rFonts w:ascii="Times New Roman" w:cs="Times New Roman" w:eastAsia="Times New Roman" w:hAnsi="Times New Roman"/>
                <w:sz w:val="24"/>
                <w:szCs w:val="24"/>
                <w:b w:val="1"/>
                <w:bCs w:val="1"/>
                <w:color w:val="auto"/>
              </w:rPr>
              <w:t>devolved</w:t>
            </w:r>
          </w:p>
        </w:tc>
        <w:tc>
          <w:tcPr>
            <w:tcW w:w="224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notice of</w:t>
            </w:r>
          </w:p>
        </w:tc>
        <w:tc>
          <w:tcPr>
            <w:tcW w:w="176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accepting</w:t>
            </w:r>
          </w:p>
        </w:tc>
      </w:tr>
      <w:tr>
        <w:trPr>
          <w:trHeight w:val="416"/>
        </w:trPr>
        <w:tc>
          <w:tcPr>
            <w:tcW w:w="580" w:type="dxa"/>
            <w:vAlign w:val="bottom"/>
            <w:tcBorders>
              <w:left w:val="single" w:sz="8" w:color="auto"/>
              <w:right w:val="single" w:sz="8" w:color="auto"/>
            </w:tcBorders>
          </w:tcPr>
          <w:p>
            <w:pPr>
              <w:spacing w:after="0"/>
              <w:rPr>
                <w:sz w:val="24"/>
                <w:szCs w:val="24"/>
                <w:color w:val="auto"/>
              </w:rPr>
            </w:pPr>
          </w:p>
        </w:tc>
        <w:tc>
          <w:tcPr>
            <w:tcW w:w="1440" w:type="dxa"/>
            <w:vAlign w:val="bottom"/>
            <w:tcBorders>
              <w:right w:val="single" w:sz="8" w:color="auto"/>
            </w:tcBorders>
          </w:tcPr>
          <w:p>
            <w:pPr>
              <w:spacing w:after="0"/>
              <w:rPr>
                <w:sz w:val="24"/>
                <w:szCs w:val="24"/>
                <w:color w:val="auto"/>
              </w:rPr>
            </w:pPr>
          </w:p>
        </w:tc>
        <w:tc>
          <w:tcPr>
            <w:tcW w:w="1540" w:type="dxa"/>
            <w:vAlign w:val="bottom"/>
            <w:tcBorders>
              <w:right w:val="single" w:sz="8" w:color="auto"/>
            </w:tcBorders>
          </w:tcPr>
          <w:p>
            <w:pPr>
              <w:spacing w:after="0"/>
              <w:rPr>
                <w:sz w:val="24"/>
                <w:szCs w:val="24"/>
                <w:color w:val="auto"/>
              </w:rPr>
            </w:pPr>
          </w:p>
        </w:tc>
        <w:tc>
          <w:tcPr>
            <w:tcW w:w="1080" w:type="dxa"/>
            <w:vAlign w:val="bottom"/>
            <w:tcBorders>
              <w:right w:val="single" w:sz="8" w:color="auto"/>
            </w:tcBorders>
          </w:tcPr>
          <w:p>
            <w:pPr>
              <w:spacing w:after="0"/>
              <w:rPr>
                <w:sz w:val="24"/>
                <w:szCs w:val="24"/>
                <w:color w:val="auto"/>
              </w:rPr>
            </w:pPr>
          </w:p>
        </w:tc>
        <w:tc>
          <w:tcPr>
            <w:tcW w:w="22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devolvement, if any</w:t>
            </w:r>
          </w:p>
        </w:tc>
        <w:tc>
          <w:tcPr>
            <w:tcW w:w="17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devolvement</w:t>
            </w:r>
          </w:p>
        </w:tc>
      </w:tr>
      <w:tr>
        <w:trPr>
          <w:trHeight w:val="140"/>
        </w:trPr>
        <w:tc>
          <w:tcPr>
            <w:tcW w:w="580" w:type="dxa"/>
            <w:vAlign w:val="bottom"/>
            <w:tcBorders>
              <w:left w:val="single" w:sz="8" w:color="auto"/>
              <w:bottom w:val="single" w:sz="8" w:color="auto"/>
              <w:right w:val="single" w:sz="8" w:color="auto"/>
            </w:tcBorders>
          </w:tcPr>
          <w:p>
            <w:pPr>
              <w:spacing w:after="0"/>
              <w:rPr>
                <w:sz w:val="12"/>
                <w:szCs w:val="12"/>
                <w:color w:val="auto"/>
              </w:rPr>
            </w:pPr>
          </w:p>
        </w:tc>
        <w:tc>
          <w:tcPr>
            <w:tcW w:w="1440" w:type="dxa"/>
            <w:vAlign w:val="bottom"/>
            <w:tcBorders>
              <w:bottom w:val="single" w:sz="8" w:color="auto"/>
              <w:right w:val="single" w:sz="8" w:color="auto"/>
            </w:tcBorders>
          </w:tcPr>
          <w:p>
            <w:pPr>
              <w:spacing w:after="0"/>
              <w:rPr>
                <w:sz w:val="12"/>
                <w:szCs w:val="12"/>
                <w:color w:val="auto"/>
              </w:rPr>
            </w:pPr>
          </w:p>
        </w:tc>
        <w:tc>
          <w:tcPr>
            <w:tcW w:w="1540" w:type="dxa"/>
            <w:vAlign w:val="bottom"/>
            <w:tcBorders>
              <w:bottom w:val="single" w:sz="8" w:color="auto"/>
              <w:right w:val="single" w:sz="8" w:color="auto"/>
            </w:tcBorders>
          </w:tcPr>
          <w:p>
            <w:pPr>
              <w:spacing w:after="0"/>
              <w:rPr>
                <w:sz w:val="12"/>
                <w:szCs w:val="12"/>
                <w:color w:val="auto"/>
              </w:rPr>
            </w:pPr>
          </w:p>
        </w:tc>
        <w:tc>
          <w:tcPr>
            <w:tcW w:w="1080" w:type="dxa"/>
            <w:vAlign w:val="bottom"/>
            <w:tcBorders>
              <w:bottom w:val="single" w:sz="8" w:color="auto"/>
              <w:right w:val="single" w:sz="8" w:color="auto"/>
            </w:tcBorders>
          </w:tcPr>
          <w:p>
            <w:pPr>
              <w:spacing w:after="0"/>
              <w:rPr>
                <w:sz w:val="12"/>
                <w:szCs w:val="12"/>
                <w:color w:val="auto"/>
              </w:rPr>
            </w:pPr>
          </w:p>
        </w:tc>
        <w:tc>
          <w:tcPr>
            <w:tcW w:w="2240" w:type="dxa"/>
            <w:vAlign w:val="bottom"/>
            <w:tcBorders>
              <w:bottom w:val="single" w:sz="8" w:color="auto"/>
              <w:right w:val="single" w:sz="8" w:color="auto"/>
            </w:tcBorders>
          </w:tcPr>
          <w:p>
            <w:pPr>
              <w:spacing w:after="0"/>
              <w:rPr>
                <w:sz w:val="12"/>
                <w:szCs w:val="12"/>
                <w:color w:val="auto"/>
              </w:rPr>
            </w:pPr>
          </w:p>
        </w:tc>
        <w:tc>
          <w:tcPr>
            <w:tcW w:w="1760" w:type="dxa"/>
            <w:vAlign w:val="bottom"/>
            <w:tcBorders>
              <w:bottom w:val="single" w:sz="8" w:color="auto"/>
              <w:right w:val="single" w:sz="8" w:color="auto"/>
            </w:tcBorders>
          </w:tcPr>
          <w:p>
            <w:pPr>
              <w:spacing w:after="0"/>
              <w:rPr>
                <w:sz w:val="12"/>
                <w:szCs w:val="12"/>
                <w:color w:val="auto"/>
              </w:rPr>
            </w:pPr>
          </w:p>
        </w:tc>
      </w:tr>
      <w:tr>
        <w:trPr>
          <w:trHeight w:val="405"/>
        </w:trPr>
        <w:tc>
          <w:tcPr>
            <w:tcW w:w="580" w:type="dxa"/>
            <w:vAlign w:val="bottom"/>
            <w:tcBorders>
              <w:left w:val="single" w:sz="8" w:color="auto"/>
              <w:bottom w:val="single" w:sz="8" w:color="auto"/>
              <w:right w:val="single" w:sz="8" w:color="auto"/>
            </w:tcBorders>
          </w:tcPr>
          <w:p>
            <w:pPr>
              <w:spacing w:after="0"/>
              <w:rPr>
                <w:sz w:val="24"/>
                <w:szCs w:val="24"/>
                <w:color w:val="auto"/>
              </w:rPr>
            </w:pPr>
          </w:p>
        </w:tc>
        <w:tc>
          <w:tcPr>
            <w:tcW w:w="1440" w:type="dxa"/>
            <w:vAlign w:val="bottom"/>
            <w:tcBorders>
              <w:bottom w:val="single" w:sz="8" w:color="auto"/>
              <w:right w:val="single" w:sz="8" w:color="auto"/>
            </w:tcBorders>
          </w:tcPr>
          <w:p>
            <w:pPr>
              <w:spacing w:after="0"/>
              <w:rPr>
                <w:sz w:val="24"/>
                <w:szCs w:val="24"/>
                <w:color w:val="auto"/>
              </w:rPr>
            </w:pPr>
          </w:p>
        </w:tc>
        <w:tc>
          <w:tcPr>
            <w:tcW w:w="1540" w:type="dxa"/>
            <w:vAlign w:val="bottom"/>
            <w:tcBorders>
              <w:bottom w:val="single" w:sz="8" w:color="auto"/>
              <w:right w:val="single" w:sz="8" w:color="auto"/>
            </w:tcBorders>
          </w:tcPr>
          <w:p>
            <w:pPr>
              <w:spacing w:after="0"/>
              <w:rPr>
                <w:sz w:val="24"/>
                <w:szCs w:val="24"/>
                <w:color w:val="auto"/>
              </w:rPr>
            </w:pPr>
          </w:p>
        </w:tc>
        <w:tc>
          <w:tcPr>
            <w:tcW w:w="1080" w:type="dxa"/>
            <w:vAlign w:val="bottom"/>
            <w:tcBorders>
              <w:bottom w:val="single" w:sz="8" w:color="auto"/>
              <w:right w:val="single" w:sz="8" w:color="auto"/>
            </w:tcBorders>
          </w:tcPr>
          <w:p>
            <w:pPr>
              <w:spacing w:after="0"/>
              <w:rPr>
                <w:sz w:val="24"/>
                <w:szCs w:val="24"/>
                <w:color w:val="auto"/>
              </w:rPr>
            </w:pPr>
          </w:p>
        </w:tc>
        <w:tc>
          <w:tcPr>
            <w:tcW w:w="2240" w:type="dxa"/>
            <w:vAlign w:val="bottom"/>
            <w:tcBorders>
              <w:bottom w:val="single" w:sz="8" w:color="auto"/>
              <w:right w:val="single" w:sz="8" w:color="auto"/>
            </w:tcBorders>
          </w:tcPr>
          <w:p>
            <w:pPr>
              <w:spacing w:after="0"/>
              <w:rPr>
                <w:sz w:val="24"/>
                <w:szCs w:val="24"/>
                <w:color w:val="auto"/>
              </w:rPr>
            </w:pPr>
          </w:p>
        </w:tc>
        <w:tc>
          <w:tcPr>
            <w:tcW w:w="1760" w:type="dxa"/>
            <w:vAlign w:val="bottom"/>
            <w:tcBorders>
              <w:bottom w:val="single" w:sz="8" w:color="auto"/>
              <w:right w:val="single" w:sz="8" w:color="auto"/>
            </w:tcBorders>
          </w:tcPr>
          <w:p>
            <w:pPr>
              <w:spacing w:after="0"/>
              <w:rPr>
                <w:sz w:val="24"/>
                <w:szCs w:val="24"/>
                <w:color w:val="auto"/>
              </w:rPr>
            </w:pPr>
          </w:p>
        </w:tc>
      </w:tr>
      <w:tr>
        <w:trPr>
          <w:trHeight w:val="405"/>
        </w:trPr>
        <w:tc>
          <w:tcPr>
            <w:tcW w:w="580" w:type="dxa"/>
            <w:vAlign w:val="bottom"/>
            <w:tcBorders>
              <w:left w:val="single" w:sz="8" w:color="auto"/>
              <w:bottom w:val="single" w:sz="8" w:color="auto"/>
              <w:right w:val="single" w:sz="8" w:color="auto"/>
            </w:tcBorders>
          </w:tcPr>
          <w:p>
            <w:pPr>
              <w:spacing w:after="0"/>
              <w:rPr>
                <w:sz w:val="24"/>
                <w:szCs w:val="24"/>
                <w:color w:val="auto"/>
              </w:rPr>
            </w:pPr>
          </w:p>
        </w:tc>
        <w:tc>
          <w:tcPr>
            <w:tcW w:w="1440" w:type="dxa"/>
            <w:vAlign w:val="bottom"/>
            <w:tcBorders>
              <w:bottom w:val="single" w:sz="8" w:color="auto"/>
              <w:right w:val="single" w:sz="8" w:color="auto"/>
            </w:tcBorders>
          </w:tcPr>
          <w:p>
            <w:pPr>
              <w:spacing w:after="0"/>
              <w:rPr>
                <w:sz w:val="24"/>
                <w:szCs w:val="24"/>
                <w:color w:val="auto"/>
              </w:rPr>
            </w:pPr>
          </w:p>
        </w:tc>
        <w:tc>
          <w:tcPr>
            <w:tcW w:w="1540" w:type="dxa"/>
            <w:vAlign w:val="bottom"/>
            <w:tcBorders>
              <w:bottom w:val="single" w:sz="8" w:color="auto"/>
              <w:right w:val="single" w:sz="8" w:color="auto"/>
            </w:tcBorders>
          </w:tcPr>
          <w:p>
            <w:pPr>
              <w:spacing w:after="0"/>
              <w:rPr>
                <w:sz w:val="24"/>
                <w:szCs w:val="24"/>
                <w:color w:val="auto"/>
              </w:rPr>
            </w:pPr>
          </w:p>
        </w:tc>
        <w:tc>
          <w:tcPr>
            <w:tcW w:w="1080" w:type="dxa"/>
            <w:vAlign w:val="bottom"/>
            <w:tcBorders>
              <w:bottom w:val="single" w:sz="8" w:color="auto"/>
              <w:right w:val="single" w:sz="8" w:color="auto"/>
            </w:tcBorders>
          </w:tcPr>
          <w:p>
            <w:pPr>
              <w:spacing w:after="0"/>
              <w:rPr>
                <w:sz w:val="24"/>
                <w:szCs w:val="24"/>
                <w:color w:val="auto"/>
              </w:rPr>
            </w:pPr>
          </w:p>
        </w:tc>
        <w:tc>
          <w:tcPr>
            <w:tcW w:w="2240" w:type="dxa"/>
            <w:vAlign w:val="bottom"/>
            <w:tcBorders>
              <w:bottom w:val="single" w:sz="8" w:color="auto"/>
              <w:right w:val="single" w:sz="8" w:color="auto"/>
            </w:tcBorders>
          </w:tcPr>
          <w:p>
            <w:pPr>
              <w:spacing w:after="0"/>
              <w:rPr>
                <w:sz w:val="24"/>
                <w:szCs w:val="24"/>
                <w:color w:val="auto"/>
              </w:rPr>
            </w:pPr>
          </w:p>
        </w:tc>
        <w:tc>
          <w:tcPr>
            <w:tcW w:w="1760" w:type="dxa"/>
            <w:vAlign w:val="bottom"/>
            <w:tcBorders>
              <w:bottom w:val="single" w:sz="8" w:color="auto"/>
              <w:right w:val="single" w:sz="8" w:color="auto"/>
            </w:tcBorders>
          </w:tcPr>
          <w:p>
            <w:pPr>
              <w:spacing w:after="0"/>
              <w:rPr>
                <w:sz w:val="24"/>
                <w:szCs w:val="24"/>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ind w:left="2048" w:right="820" w:hanging="1221"/>
        <w:spacing w:after="0" w:line="373" w:lineRule="auto"/>
        <w:rPr>
          <w:sz w:val="20"/>
          <w:szCs w:val="20"/>
          <w:color w:val="auto"/>
        </w:rPr>
      </w:pPr>
      <w:r>
        <w:rPr>
          <w:rFonts w:ascii="Times New Roman" w:cs="Times New Roman" w:eastAsia="Times New Roman" w:hAnsi="Times New Roman"/>
          <w:sz w:val="23"/>
          <w:szCs w:val="23"/>
          <w:b w:val="1"/>
          <w:bCs w:val="1"/>
          <w:color w:val="auto"/>
        </w:rPr>
        <w:t>SCHEDULE XIX - LISTING OF SECURITIES ON STOCK EXCHANGES [See regulation 7(1)(a), 62(1)(a), 104(1)(a) and 183(3)(a)]</w:t>
      </w:r>
    </w:p>
    <w:p>
      <w:pPr>
        <w:spacing w:after="0" w:line="200" w:lineRule="exact"/>
        <w:rPr>
          <w:sz w:val="20"/>
          <w:szCs w:val="20"/>
          <w:color w:val="auto"/>
        </w:rPr>
      </w:pPr>
    </w:p>
    <w:p>
      <w:pPr>
        <w:spacing w:after="0" w:line="20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In-principle approval of recognised stock exchange(s)</w:t>
      </w:r>
    </w:p>
    <w:p>
      <w:pPr>
        <w:spacing w:after="0" w:line="147" w:lineRule="exact"/>
        <w:rPr>
          <w:sz w:val="20"/>
          <w:szCs w:val="20"/>
          <w:color w:val="auto"/>
        </w:rPr>
      </w:pPr>
    </w:p>
    <w:p>
      <w:pPr>
        <w:ind w:left="8" w:hanging="8"/>
        <w:spacing w:after="0" w:line="348" w:lineRule="auto"/>
        <w:tabs>
          <w:tab w:leader="none" w:pos="408" w:val="left"/>
        </w:tabs>
        <w:numPr>
          <w:ilvl w:val="0"/>
          <w:numId w:val="125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obtain an in-principle approval from the recognised stock exchange as follows:</w:t>
      </w:r>
    </w:p>
    <w:p>
      <w:pPr>
        <w:spacing w:after="0" w:line="25" w:lineRule="exact"/>
        <w:rPr>
          <w:sz w:val="20"/>
          <w:szCs w:val="20"/>
          <w:color w:val="auto"/>
        </w:rPr>
      </w:pPr>
    </w:p>
    <w:p>
      <w:pPr>
        <w:jc w:val="both"/>
        <w:ind w:left="548" w:hanging="548"/>
        <w:spacing w:after="0" w:line="354" w:lineRule="auto"/>
        <w:tabs>
          <w:tab w:leader="none" w:pos="548" w:val="left"/>
        </w:tabs>
        <w:numPr>
          <w:ilvl w:val="0"/>
          <w:numId w:val="125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an initial public offer or an issue of Indian Depository Receipts (hereinafter referred to as ‘IDRs’), from all the recognised stock exchange(s) on which the issuer, proposes to get its specified securities or IDRs, as the case may be, listed; and</w:t>
      </w:r>
    </w:p>
    <w:p>
      <w:pPr>
        <w:spacing w:after="0" w:line="9" w:lineRule="exact"/>
        <w:rPr>
          <w:rFonts w:ascii="Times New Roman" w:cs="Times New Roman" w:eastAsia="Times New Roman" w:hAnsi="Times New Roman"/>
          <w:sz w:val="24"/>
          <w:szCs w:val="24"/>
          <w:color w:val="auto"/>
        </w:rPr>
      </w:pPr>
    </w:p>
    <w:p>
      <w:pPr>
        <w:ind w:left="548" w:hanging="548"/>
        <w:spacing w:after="0"/>
        <w:tabs>
          <w:tab w:leader="none" w:pos="548" w:val="left"/>
        </w:tabs>
        <w:numPr>
          <w:ilvl w:val="0"/>
          <w:numId w:val="125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case of other issues, before issuance of further securities, as follows:</w:t>
      </w:r>
    </w:p>
    <w:p>
      <w:pPr>
        <w:spacing w:after="0" w:line="149" w:lineRule="exact"/>
        <w:rPr>
          <w:rFonts w:ascii="Times New Roman" w:cs="Times New Roman" w:eastAsia="Times New Roman" w:hAnsi="Times New Roman"/>
          <w:sz w:val="24"/>
          <w:szCs w:val="24"/>
          <w:color w:val="auto"/>
        </w:rPr>
      </w:pPr>
    </w:p>
    <w:p>
      <w:pPr>
        <w:ind w:left="908" w:hanging="368"/>
        <w:spacing w:after="0" w:line="344" w:lineRule="auto"/>
        <w:tabs>
          <w:tab w:leader="none" w:pos="908" w:val="left"/>
        </w:tabs>
        <w:numPr>
          <w:ilvl w:val="1"/>
          <w:numId w:val="1251"/>
        </w:numPr>
        <w:rPr>
          <w:rFonts w:ascii="Calibri" w:cs="Calibri" w:eastAsia="Calibri" w:hAnsi="Calibri"/>
          <w:sz w:val="22"/>
          <w:szCs w:val="22"/>
          <w:color w:val="auto"/>
        </w:rPr>
      </w:pPr>
      <w:r>
        <w:rPr>
          <w:rFonts w:ascii="Times New Roman" w:cs="Times New Roman" w:eastAsia="Times New Roman" w:hAnsi="Times New Roman"/>
          <w:sz w:val="24"/>
          <w:szCs w:val="24"/>
          <w:color w:val="auto"/>
        </w:rPr>
        <w:t>where the securities are listed only on the recognised stock exchange(s) having nationwide trading terminals, from all such stock exchange(s);</w:t>
      </w:r>
    </w:p>
    <w:p>
      <w:pPr>
        <w:spacing w:after="0" w:line="26" w:lineRule="exact"/>
        <w:rPr>
          <w:rFonts w:ascii="Calibri" w:cs="Calibri" w:eastAsia="Calibri" w:hAnsi="Calibri"/>
          <w:sz w:val="22"/>
          <w:szCs w:val="22"/>
          <w:color w:val="auto"/>
        </w:rPr>
      </w:pPr>
    </w:p>
    <w:p>
      <w:pPr>
        <w:jc w:val="both"/>
        <w:ind w:left="908" w:hanging="368"/>
        <w:spacing w:after="0" w:line="350" w:lineRule="auto"/>
        <w:tabs>
          <w:tab w:leader="none" w:pos="908" w:val="left"/>
        </w:tabs>
        <w:numPr>
          <w:ilvl w:val="1"/>
          <w:numId w:val="1251"/>
        </w:numPr>
        <w:rPr>
          <w:rFonts w:ascii="Calibri" w:cs="Calibri" w:eastAsia="Calibri" w:hAnsi="Calibri"/>
          <w:sz w:val="22"/>
          <w:szCs w:val="22"/>
          <w:color w:val="auto"/>
        </w:rPr>
      </w:pPr>
      <w:r>
        <w:rPr>
          <w:rFonts w:ascii="Times New Roman" w:cs="Times New Roman" w:eastAsia="Times New Roman" w:hAnsi="Times New Roman"/>
          <w:sz w:val="24"/>
          <w:szCs w:val="24"/>
          <w:color w:val="auto"/>
        </w:rPr>
        <w:t>where the securities are not listed on any recognised stock exchange having nationwide trading terminals, from all the stock exchange(s) on which the securities of the issuer are proposed to be listed;</w:t>
      </w:r>
    </w:p>
    <w:p>
      <w:pPr>
        <w:spacing w:after="0" w:line="25" w:lineRule="exact"/>
        <w:rPr>
          <w:rFonts w:ascii="Calibri" w:cs="Calibri" w:eastAsia="Calibri" w:hAnsi="Calibri"/>
          <w:sz w:val="22"/>
          <w:szCs w:val="22"/>
          <w:color w:val="auto"/>
        </w:rPr>
      </w:pPr>
    </w:p>
    <w:p>
      <w:pPr>
        <w:jc w:val="both"/>
        <w:ind w:left="908" w:hanging="368"/>
        <w:spacing w:after="0" w:line="353" w:lineRule="auto"/>
        <w:tabs>
          <w:tab w:leader="none" w:pos="908" w:val="left"/>
        </w:tabs>
        <w:numPr>
          <w:ilvl w:val="1"/>
          <w:numId w:val="1251"/>
        </w:numPr>
        <w:rPr>
          <w:rFonts w:ascii="Calibri" w:cs="Calibri" w:eastAsia="Calibri" w:hAnsi="Calibri"/>
          <w:sz w:val="22"/>
          <w:szCs w:val="22"/>
          <w:color w:val="auto"/>
        </w:rPr>
      </w:pPr>
      <w:r>
        <w:rPr>
          <w:rFonts w:ascii="Times New Roman" w:cs="Times New Roman" w:eastAsia="Times New Roman" w:hAnsi="Times New Roman"/>
          <w:sz w:val="24"/>
          <w:szCs w:val="24"/>
          <w:color w:val="auto"/>
        </w:rPr>
        <w:t>where the specified securities are listed on recognised stock exchange(s) having nationwide trading terminals as well as on the recognised stock exchange(s) not having nationwide trading terminals, from all recognised stock exchange(s) having nationwide trading terminals.</w:t>
      </w:r>
    </w:p>
    <w:p>
      <w:pPr>
        <w:spacing w:after="0" w:line="200" w:lineRule="exact"/>
        <w:rPr>
          <w:sz w:val="20"/>
          <w:szCs w:val="20"/>
          <w:color w:val="auto"/>
        </w:rPr>
      </w:pPr>
    </w:p>
    <w:p>
      <w:pPr>
        <w:spacing w:after="0" w:line="22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Application for listing</w:t>
      </w:r>
    </w:p>
    <w:p>
      <w:pPr>
        <w:spacing w:after="0" w:line="147" w:lineRule="exact"/>
        <w:rPr>
          <w:sz w:val="20"/>
          <w:szCs w:val="20"/>
          <w:color w:val="auto"/>
        </w:rPr>
      </w:pPr>
    </w:p>
    <w:p>
      <w:pPr>
        <w:ind w:left="8" w:hanging="8"/>
        <w:spacing w:after="0" w:line="348" w:lineRule="auto"/>
        <w:tabs>
          <w:tab w:leader="none" w:pos="394" w:val="left"/>
        </w:tabs>
        <w:numPr>
          <w:ilvl w:val="0"/>
          <w:numId w:val="125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complete the pre-listing formalities within the timelines specified by the Board.</w:t>
      </w:r>
    </w:p>
    <w:p>
      <w:pPr>
        <w:spacing w:after="0" w:line="200" w:lineRule="exact"/>
        <w:rPr>
          <w:rFonts w:ascii="Times New Roman" w:cs="Times New Roman" w:eastAsia="Times New Roman" w:hAnsi="Times New Roman"/>
          <w:sz w:val="24"/>
          <w:szCs w:val="24"/>
          <w:color w:val="auto"/>
        </w:rPr>
      </w:pPr>
    </w:p>
    <w:p>
      <w:pPr>
        <w:spacing w:after="0" w:line="240" w:lineRule="exact"/>
        <w:rPr>
          <w:rFonts w:ascii="Times New Roman" w:cs="Times New Roman" w:eastAsia="Times New Roman" w:hAnsi="Times New Roman"/>
          <w:sz w:val="24"/>
          <w:szCs w:val="24"/>
          <w:color w:val="auto"/>
        </w:rPr>
      </w:pPr>
    </w:p>
    <w:p>
      <w:pPr>
        <w:jc w:val="both"/>
        <w:ind w:left="8" w:hanging="8"/>
        <w:spacing w:after="0" w:line="393" w:lineRule="auto"/>
        <w:tabs>
          <w:tab w:leader="none" w:pos="353" w:val="left"/>
        </w:tabs>
        <w:numPr>
          <w:ilvl w:val="0"/>
          <w:numId w:val="125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make an application for listing, from the date of allotment, within such period as may be specified by the Board from time to time, to one or more recognized stock exchange(s).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416</w:t>
      </w:r>
    </w:p>
    <w:p>
      <w:pPr>
        <w:sectPr>
          <w:pgSz w:w="11900" w:h="16836" w:orient="portrait"/>
          <w:cols w:equalWidth="0" w:num="1">
            <w:col w:w="9468"/>
          </w:cols>
          <w:pgMar w:left="1152" w:top="1132" w:right="1284" w:bottom="103" w:gutter="0" w:footer="0" w:header="0"/>
        </w:sectPr>
      </w:pPr>
    </w:p>
    <w:bookmarkStart w:id="416" w:name="page417"/>
    <w:bookmarkEnd w:id="416"/>
    <w:p>
      <w:pPr>
        <w:jc w:val="both"/>
        <w:ind w:left="8" w:hanging="8"/>
        <w:spacing w:after="0" w:line="357" w:lineRule="auto"/>
        <w:tabs>
          <w:tab w:leader="none" w:pos="351" w:val="left"/>
        </w:tabs>
        <w:numPr>
          <w:ilvl w:val="0"/>
          <w:numId w:val="125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the event of failure to make an application for listing by the issuer within the time stipulated in (2) above, or non-receipt of the listing permission by the issuer from the stock exchange(s) or withdrawal of the Observation Letter issued by the Board, wherever applicable, the securities shall not be eligible for listing and the issuer shall be liable to refund the subscription monies, if any, to the respective allottees immediately, along with penal interest for each day of delay at the rate of fifteen per cent. per annum from the date of allotment.</w:t>
      </w:r>
    </w:p>
    <w:p>
      <w:pPr>
        <w:spacing w:after="0" w:line="200" w:lineRule="exact"/>
        <w:rPr>
          <w:sz w:val="20"/>
          <w:szCs w:val="20"/>
          <w:color w:val="auto"/>
        </w:rPr>
      </w:pPr>
    </w:p>
    <w:p>
      <w:pPr>
        <w:spacing w:after="0" w:line="227"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Listing agreement</w:t>
      </w:r>
    </w:p>
    <w:p>
      <w:pPr>
        <w:spacing w:after="0" w:line="147" w:lineRule="exact"/>
        <w:rPr>
          <w:sz w:val="20"/>
          <w:szCs w:val="20"/>
          <w:color w:val="auto"/>
        </w:rPr>
      </w:pPr>
    </w:p>
    <w:p>
      <w:pPr>
        <w:jc w:val="both"/>
        <w:ind w:left="8"/>
        <w:spacing w:after="0" w:line="354" w:lineRule="auto"/>
        <w:rPr>
          <w:sz w:val="20"/>
          <w:szCs w:val="20"/>
          <w:color w:val="auto"/>
        </w:rPr>
      </w:pPr>
      <w:r>
        <w:rPr>
          <w:rFonts w:ascii="Times New Roman" w:cs="Times New Roman" w:eastAsia="Times New Roman" w:hAnsi="Times New Roman"/>
          <w:sz w:val="24"/>
          <w:szCs w:val="24"/>
          <w:color w:val="auto"/>
        </w:rPr>
        <w:t>Every issuer desirous of listing its securities on a stock exchange shall execute a listing agreement with such a stock exchange in terms of the Securities and Exchange Board of India (Listing Obligations and Disclosure Requirements) Regulations, 2015.</w:t>
      </w:r>
    </w:p>
    <w:p>
      <w:pPr>
        <w:spacing w:after="0" w:line="1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Obligation of stock exchange(s)</w:t>
      </w:r>
    </w:p>
    <w:p>
      <w:pPr>
        <w:spacing w:after="0" w:line="147" w:lineRule="exact"/>
        <w:rPr>
          <w:sz w:val="20"/>
          <w:szCs w:val="20"/>
          <w:color w:val="auto"/>
        </w:rPr>
      </w:pPr>
    </w:p>
    <w:p>
      <w:pPr>
        <w:jc w:val="both"/>
        <w:ind w:left="8"/>
        <w:spacing w:after="0" w:line="354" w:lineRule="auto"/>
        <w:rPr>
          <w:sz w:val="20"/>
          <w:szCs w:val="20"/>
          <w:color w:val="auto"/>
        </w:rPr>
      </w:pPr>
      <w:r>
        <w:rPr>
          <w:rFonts w:ascii="Times New Roman" w:cs="Times New Roman" w:eastAsia="Times New Roman" w:hAnsi="Times New Roman"/>
          <w:sz w:val="24"/>
          <w:szCs w:val="24"/>
          <w:color w:val="auto"/>
        </w:rPr>
        <w:t>The stock exchange(s) shall grant an in-principle approval or list the securities or reject the application for the in-principle approval or listing by the issuer within thirty days from the later of the following dates:</w:t>
      </w:r>
    </w:p>
    <w:p>
      <w:pPr>
        <w:spacing w:after="0" w:line="7" w:lineRule="exact"/>
        <w:rPr>
          <w:sz w:val="20"/>
          <w:szCs w:val="20"/>
          <w:color w:val="auto"/>
        </w:rPr>
      </w:pPr>
    </w:p>
    <w:p>
      <w:pPr>
        <w:ind w:left="328" w:hanging="328"/>
        <w:spacing w:after="0"/>
        <w:tabs>
          <w:tab w:leader="none" w:pos="328" w:val="left"/>
        </w:tabs>
        <w:numPr>
          <w:ilvl w:val="0"/>
          <w:numId w:val="125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date of receipt of application for in-principle approval or listing from issuer;</w:t>
      </w:r>
    </w:p>
    <w:p>
      <w:pPr>
        <w:spacing w:after="0" w:line="151" w:lineRule="exact"/>
        <w:rPr>
          <w:rFonts w:ascii="Times New Roman" w:cs="Times New Roman" w:eastAsia="Times New Roman" w:hAnsi="Times New Roman"/>
          <w:sz w:val="24"/>
          <w:szCs w:val="24"/>
          <w:color w:val="auto"/>
        </w:rPr>
      </w:pPr>
    </w:p>
    <w:p>
      <w:pPr>
        <w:ind w:left="8" w:hanging="8"/>
        <w:spacing w:after="0" w:line="348" w:lineRule="auto"/>
        <w:tabs>
          <w:tab w:leader="none" w:pos="365" w:val="left"/>
        </w:tabs>
        <w:numPr>
          <w:ilvl w:val="0"/>
          <w:numId w:val="125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date of receipt of satisfactory reply from the issuer in cases where the stock exchange(s) has sought any clarification from it.</w:t>
      </w:r>
    </w:p>
    <w:p>
      <w:pPr>
        <w:spacing w:after="0" w:line="200" w:lineRule="exact"/>
        <w:rPr>
          <w:sz w:val="20"/>
          <w:szCs w:val="20"/>
          <w:color w:val="auto"/>
        </w:rPr>
      </w:pPr>
    </w:p>
    <w:p>
      <w:pPr>
        <w:spacing w:after="0" w:line="233"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SCHEDULE XX - CONDITIONS/ MANNER OF PROVIDING EXIT OPPORTUNITY TO</w:t>
      </w:r>
    </w:p>
    <w:p>
      <w:pPr>
        <w:spacing w:after="0" w:line="13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DISSENTING SHAREHOLDERS</w:t>
      </w:r>
    </w:p>
    <w:p>
      <w:pPr>
        <w:spacing w:after="0" w:line="137"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auto"/>
        </w:rPr>
        <w:t>[See regulation 59 and 157]</w:t>
      </w:r>
    </w:p>
    <w:p>
      <w:pPr>
        <w:spacing w:after="0" w:line="200" w:lineRule="exact"/>
        <w:rPr>
          <w:sz w:val="20"/>
          <w:szCs w:val="20"/>
          <w:color w:val="auto"/>
        </w:rPr>
      </w:pPr>
    </w:p>
    <w:p>
      <w:pPr>
        <w:spacing w:after="0" w:line="35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Applicability</w:t>
      </w:r>
    </w:p>
    <w:p>
      <w:pPr>
        <w:spacing w:after="0" w:line="147" w:lineRule="exact"/>
        <w:rPr>
          <w:sz w:val="20"/>
          <w:szCs w:val="20"/>
          <w:color w:val="auto"/>
        </w:rPr>
      </w:pPr>
    </w:p>
    <w:p>
      <w:pPr>
        <w:jc w:val="both"/>
        <w:ind w:left="8" w:hanging="8"/>
        <w:spacing w:after="0" w:line="356" w:lineRule="auto"/>
        <w:tabs>
          <w:tab w:leader="none" w:pos="415" w:val="left"/>
        </w:tabs>
        <w:numPr>
          <w:ilvl w:val="0"/>
          <w:numId w:val="125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provisions of this Chapter shall apply to an exit offer made by the promoters or shareholders in control of an issuer to the dissenting shareholders in terms of section 13(8) and section 27(2) of the Companies Act, 2013, in case of change in objects or variation in the terms of contract referred to in the offer document.</w:t>
      </w:r>
    </w:p>
    <w:p>
      <w:pPr>
        <w:spacing w:after="0" w:line="200" w:lineRule="exact"/>
        <w:rPr>
          <w:rFonts w:ascii="Times New Roman" w:cs="Times New Roman" w:eastAsia="Times New Roman" w:hAnsi="Times New Roman"/>
          <w:sz w:val="24"/>
          <w:szCs w:val="24"/>
          <w:color w:val="auto"/>
        </w:rPr>
      </w:pPr>
    </w:p>
    <w:p>
      <w:pPr>
        <w:spacing w:after="0" w:line="231" w:lineRule="exact"/>
        <w:rPr>
          <w:rFonts w:ascii="Times New Roman" w:cs="Times New Roman" w:eastAsia="Times New Roman" w:hAnsi="Times New Roman"/>
          <w:sz w:val="24"/>
          <w:szCs w:val="24"/>
          <w:color w:val="auto"/>
        </w:rPr>
      </w:pPr>
    </w:p>
    <w:p>
      <w:pPr>
        <w:ind w:left="8" w:hanging="8"/>
        <w:spacing w:after="0" w:line="350" w:lineRule="auto"/>
        <w:tabs>
          <w:tab w:leader="none" w:pos="365" w:val="left"/>
        </w:tabs>
        <w:numPr>
          <w:ilvl w:val="0"/>
          <w:numId w:val="125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provisions of this Chapter shall not apply where there are neither identifiable promoters nor shareholders in control of the listed issuer.</w:t>
      </w:r>
    </w:p>
    <w:p>
      <w:pPr>
        <w:spacing w:after="0" w:line="200" w:lineRule="exact"/>
        <w:rPr>
          <w:sz w:val="20"/>
          <w:szCs w:val="20"/>
          <w:color w:val="auto"/>
        </w:rPr>
      </w:pPr>
    </w:p>
    <w:p>
      <w:pPr>
        <w:spacing w:after="0" w:line="231"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Definitions</w:t>
      </w:r>
    </w:p>
    <w:p>
      <w:pPr>
        <w:spacing w:after="0" w:line="13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For the purpose of this Schedule: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417</w:t>
      </w:r>
    </w:p>
    <w:p>
      <w:pPr>
        <w:sectPr>
          <w:pgSz w:w="11900" w:h="16836" w:orient="portrait"/>
          <w:cols w:equalWidth="0" w:num="1">
            <w:col w:w="9468"/>
          </w:cols>
          <w:pgMar w:left="1152" w:top="1156" w:right="1284" w:bottom="103" w:gutter="0" w:footer="0" w:header="0"/>
        </w:sectPr>
      </w:pPr>
    </w:p>
    <w:bookmarkStart w:id="417" w:name="page418"/>
    <w:bookmarkEnd w:id="417"/>
    <w:p>
      <w:pPr>
        <w:jc w:val="both"/>
        <w:ind w:left="368" w:hanging="368"/>
        <w:spacing w:after="0" w:line="354" w:lineRule="auto"/>
        <w:tabs>
          <w:tab w:leader="none" w:pos="368" w:val="left"/>
        </w:tabs>
        <w:numPr>
          <w:ilvl w:val="0"/>
          <w:numId w:val="125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“dissenting shareholders” means those shareholders who have voted against the resolution for change in objects or variation in terms of a contract relating to objects, referred to in the offer document of the issuer;</w:t>
      </w:r>
    </w:p>
    <w:p>
      <w:pPr>
        <w:spacing w:after="0" w:line="7" w:lineRule="exact"/>
        <w:rPr>
          <w:rFonts w:ascii="Times New Roman" w:cs="Times New Roman" w:eastAsia="Times New Roman" w:hAnsi="Times New Roman"/>
          <w:sz w:val="24"/>
          <w:szCs w:val="24"/>
          <w:color w:val="auto"/>
        </w:rPr>
      </w:pPr>
    </w:p>
    <w:p>
      <w:pPr>
        <w:ind w:left="368" w:hanging="368"/>
        <w:spacing w:after="0"/>
        <w:tabs>
          <w:tab w:leader="none" w:pos="368" w:val="left"/>
        </w:tabs>
        <w:numPr>
          <w:ilvl w:val="0"/>
          <w:numId w:val="125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“frequently traded shares” shall have the same meaning as assigned to it in the Securities and</w:t>
      </w:r>
    </w:p>
    <w:p>
      <w:pPr>
        <w:spacing w:after="0" w:line="151" w:lineRule="exact"/>
        <w:rPr>
          <w:rFonts w:ascii="Times New Roman" w:cs="Times New Roman" w:eastAsia="Times New Roman" w:hAnsi="Times New Roman"/>
          <w:sz w:val="24"/>
          <w:szCs w:val="24"/>
          <w:color w:val="auto"/>
        </w:rPr>
      </w:pPr>
    </w:p>
    <w:p>
      <w:pPr>
        <w:ind w:left="368"/>
        <w:spacing w:after="0" w:line="348"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Exchange Board of India (Substantial Acquisition of Shares and Takeovers) Regulations, 2011.</w:t>
      </w:r>
    </w:p>
    <w:p>
      <w:pPr>
        <w:spacing w:after="0" w:line="27" w:lineRule="exact"/>
        <w:rPr>
          <w:rFonts w:ascii="Times New Roman" w:cs="Times New Roman" w:eastAsia="Times New Roman" w:hAnsi="Times New Roman"/>
          <w:sz w:val="24"/>
          <w:szCs w:val="24"/>
          <w:color w:val="auto"/>
        </w:rPr>
      </w:pPr>
    </w:p>
    <w:p>
      <w:pPr>
        <w:jc w:val="both"/>
        <w:ind w:left="368" w:hanging="368"/>
        <w:spacing w:after="0" w:line="354" w:lineRule="auto"/>
        <w:tabs>
          <w:tab w:leader="none" w:pos="368" w:val="left"/>
        </w:tabs>
        <w:numPr>
          <w:ilvl w:val="0"/>
          <w:numId w:val="125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“relevant date” means date of the board meeting in which the proposal for change in objects or variation in terms of a contract relating to objects, referred to in the offer document is approved, before seeking shareholders’ approval.</w:t>
      </w:r>
    </w:p>
    <w:p>
      <w:pPr>
        <w:spacing w:after="0" w:line="200" w:lineRule="exact"/>
        <w:rPr>
          <w:sz w:val="20"/>
          <w:szCs w:val="20"/>
          <w:color w:val="auto"/>
        </w:rPr>
      </w:pPr>
    </w:p>
    <w:p>
      <w:pPr>
        <w:spacing w:after="0" w:line="22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Conditions for exit offer</w:t>
      </w:r>
    </w:p>
    <w:p>
      <w:pPr>
        <w:spacing w:after="0" w:line="144" w:lineRule="exact"/>
        <w:rPr>
          <w:sz w:val="20"/>
          <w:szCs w:val="20"/>
          <w:color w:val="auto"/>
        </w:rPr>
      </w:pPr>
    </w:p>
    <w:p>
      <w:pPr>
        <w:jc w:val="both"/>
        <w:ind w:left="8"/>
        <w:spacing w:after="0" w:line="354" w:lineRule="auto"/>
        <w:rPr>
          <w:sz w:val="20"/>
          <w:szCs w:val="20"/>
          <w:color w:val="auto"/>
        </w:rPr>
      </w:pPr>
      <w:r>
        <w:rPr>
          <w:rFonts w:ascii="Times New Roman" w:cs="Times New Roman" w:eastAsia="Times New Roman" w:hAnsi="Times New Roman"/>
          <w:sz w:val="24"/>
          <w:szCs w:val="24"/>
          <w:color w:val="auto"/>
        </w:rPr>
        <w:t>The promoter or the shareholders in control, as the case may be, shall make an exit offer in accordance with the provisions of this Chapter, to the dissenting shareholders, in cases only if a public issue has opened after April 1, 2014; if,</w:t>
      </w:r>
    </w:p>
    <w:p>
      <w:pPr>
        <w:spacing w:after="0" w:line="22" w:lineRule="exact"/>
        <w:rPr>
          <w:sz w:val="20"/>
          <w:szCs w:val="20"/>
          <w:color w:val="auto"/>
        </w:rPr>
      </w:pPr>
    </w:p>
    <w:p>
      <w:pPr>
        <w:jc w:val="both"/>
        <w:ind w:left="548" w:hanging="548"/>
        <w:spacing w:after="0" w:line="350" w:lineRule="auto"/>
        <w:tabs>
          <w:tab w:leader="none" w:pos="548" w:val="left"/>
        </w:tabs>
        <w:numPr>
          <w:ilvl w:val="0"/>
          <w:numId w:val="1257"/>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proposal for change in objects or variation in terms of a contract, referred to in the offer document is dissented by at least ten per cent. of the shareholders who voted in the general meeting; and</w:t>
      </w:r>
    </w:p>
    <w:p>
      <w:pPr>
        <w:spacing w:after="0" w:line="23" w:lineRule="exact"/>
        <w:rPr>
          <w:rFonts w:ascii="Calibri" w:cs="Calibri" w:eastAsia="Calibri" w:hAnsi="Calibri"/>
          <w:sz w:val="22"/>
          <w:szCs w:val="22"/>
          <w:color w:val="auto"/>
        </w:rPr>
      </w:pPr>
    </w:p>
    <w:p>
      <w:pPr>
        <w:jc w:val="both"/>
        <w:ind w:left="548" w:hanging="548"/>
        <w:spacing w:after="0" w:line="350" w:lineRule="auto"/>
        <w:tabs>
          <w:tab w:leader="none" w:pos="548" w:val="left"/>
        </w:tabs>
        <w:numPr>
          <w:ilvl w:val="0"/>
          <w:numId w:val="1257"/>
        </w:numPr>
        <w:rPr>
          <w:rFonts w:ascii="Calibri" w:cs="Calibri" w:eastAsia="Calibri" w:hAnsi="Calibri"/>
          <w:sz w:val="22"/>
          <w:szCs w:val="22"/>
          <w:color w:val="auto"/>
        </w:rPr>
      </w:pPr>
      <w:r>
        <w:rPr>
          <w:rFonts w:ascii="Times New Roman" w:cs="Times New Roman" w:eastAsia="Times New Roman" w:hAnsi="Times New Roman"/>
          <w:sz w:val="24"/>
          <w:szCs w:val="24"/>
          <w:color w:val="auto"/>
        </w:rPr>
        <w:t>the amount to be utilized for the objects for which the offer document was issued is less than seventy five per cent. of the amount raised (including the amount earmarked for general corporate purposes as disclosed in the offer document).</w:t>
      </w:r>
    </w:p>
    <w:p>
      <w:pPr>
        <w:spacing w:after="0" w:line="200" w:lineRule="exact"/>
        <w:rPr>
          <w:sz w:val="20"/>
          <w:szCs w:val="20"/>
          <w:color w:val="auto"/>
        </w:rPr>
      </w:pPr>
    </w:p>
    <w:p>
      <w:pPr>
        <w:spacing w:after="0" w:line="231"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Eligibility of shareholders for availing the exit offer</w:t>
      </w:r>
    </w:p>
    <w:p>
      <w:pPr>
        <w:spacing w:after="0" w:line="147" w:lineRule="exact"/>
        <w:rPr>
          <w:sz w:val="20"/>
          <w:szCs w:val="20"/>
          <w:color w:val="auto"/>
        </w:rPr>
      </w:pPr>
    </w:p>
    <w:p>
      <w:pPr>
        <w:ind w:left="8"/>
        <w:spacing w:after="0" w:line="348" w:lineRule="auto"/>
        <w:rPr>
          <w:sz w:val="20"/>
          <w:szCs w:val="20"/>
          <w:color w:val="auto"/>
        </w:rPr>
      </w:pPr>
      <w:r>
        <w:rPr>
          <w:rFonts w:ascii="Times New Roman" w:cs="Times New Roman" w:eastAsia="Times New Roman" w:hAnsi="Times New Roman"/>
          <w:sz w:val="24"/>
          <w:szCs w:val="24"/>
          <w:color w:val="auto"/>
        </w:rPr>
        <w:t>Only those dissenting shareholders of the issuer who are holding shares as on the relevant date shall be eligible to avail the exit offer.</w:t>
      </w:r>
    </w:p>
    <w:p>
      <w:pPr>
        <w:spacing w:after="0" w:line="200" w:lineRule="exact"/>
        <w:rPr>
          <w:sz w:val="20"/>
          <w:szCs w:val="20"/>
          <w:color w:val="auto"/>
        </w:rPr>
      </w:pPr>
    </w:p>
    <w:p>
      <w:pPr>
        <w:spacing w:after="0" w:line="234"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Exit price</w:t>
      </w:r>
    </w:p>
    <w:p>
      <w:pPr>
        <w:spacing w:after="0" w:line="134"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color w:val="auto"/>
        </w:rPr>
        <w:t>The ‘exit price’ payable to the dissenting shareholders shall be the highest of the following:</w:t>
      </w:r>
    </w:p>
    <w:p>
      <w:pPr>
        <w:spacing w:after="0" w:line="149" w:lineRule="exact"/>
        <w:rPr>
          <w:sz w:val="20"/>
          <w:szCs w:val="20"/>
          <w:color w:val="auto"/>
        </w:rPr>
      </w:pPr>
    </w:p>
    <w:p>
      <w:pPr>
        <w:jc w:val="both"/>
        <w:ind w:left="728" w:hanging="368"/>
        <w:spacing w:after="0" w:line="354" w:lineRule="auto"/>
        <w:tabs>
          <w:tab w:leader="none" w:pos="728" w:val="left"/>
        </w:tabs>
        <w:numPr>
          <w:ilvl w:val="0"/>
          <w:numId w:val="125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volume-weighted average price paid or payable for acquisitions, whether by the promoters or by any person acting in concert with them, during the fifty-two weeks immediately preceding the relevant date;</w:t>
      </w:r>
    </w:p>
    <w:p>
      <w:pPr>
        <w:spacing w:after="0" w:line="22" w:lineRule="exact"/>
        <w:rPr>
          <w:rFonts w:ascii="Times New Roman" w:cs="Times New Roman" w:eastAsia="Times New Roman" w:hAnsi="Times New Roman"/>
          <w:sz w:val="24"/>
          <w:szCs w:val="24"/>
          <w:color w:val="auto"/>
        </w:rPr>
      </w:pPr>
    </w:p>
    <w:p>
      <w:pPr>
        <w:jc w:val="both"/>
        <w:ind w:left="728" w:hanging="368"/>
        <w:spacing w:after="0" w:line="354" w:lineRule="auto"/>
        <w:tabs>
          <w:tab w:leader="none" w:pos="728" w:val="left"/>
        </w:tabs>
        <w:numPr>
          <w:ilvl w:val="0"/>
          <w:numId w:val="125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highest price paid or payable for any acquisition, whether by the promoter or by any person acting in concert with them, during the twenty-six weeks immediately preceding the relevant date;</w:t>
      </w:r>
    </w:p>
    <w:p>
      <w:pPr>
        <w:spacing w:after="0" w:line="20" w:lineRule="exact"/>
        <w:rPr>
          <w:rFonts w:ascii="Times New Roman" w:cs="Times New Roman" w:eastAsia="Times New Roman" w:hAnsi="Times New Roman"/>
          <w:sz w:val="24"/>
          <w:szCs w:val="24"/>
          <w:color w:val="auto"/>
        </w:rPr>
      </w:pPr>
    </w:p>
    <w:p>
      <w:pPr>
        <w:jc w:val="both"/>
        <w:ind w:left="728" w:hanging="368"/>
        <w:spacing w:after="0" w:line="350" w:lineRule="auto"/>
        <w:tabs>
          <w:tab w:leader="none" w:pos="728" w:val="left"/>
        </w:tabs>
        <w:numPr>
          <w:ilvl w:val="0"/>
          <w:numId w:val="125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volume-weighted average market price of such shares for a period of sixty trading days immediately preceding the relevant date as traded on the stock exchange where the</w:t>
      </w:r>
    </w:p>
    <w:p>
      <w:pPr>
        <w:spacing w:after="0" w:line="268"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color w:val="auto"/>
        </w:rPr>
        <w:t>418</w:t>
      </w:r>
    </w:p>
    <w:p>
      <w:pPr>
        <w:sectPr>
          <w:pgSz w:w="11900" w:h="16836" w:orient="portrait"/>
          <w:cols w:equalWidth="0" w:num="1">
            <w:col w:w="9468"/>
          </w:cols>
          <w:pgMar w:left="1152" w:top="1156" w:right="1284" w:bottom="103" w:gutter="0" w:footer="0" w:header="0"/>
        </w:sectPr>
      </w:pPr>
    </w:p>
    <w:bookmarkStart w:id="418" w:name="page419"/>
    <w:bookmarkEnd w:id="418"/>
    <w:p>
      <w:pPr>
        <w:ind w:left="640"/>
        <w:spacing w:after="0" w:line="348" w:lineRule="auto"/>
        <w:rPr>
          <w:sz w:val="20"/>
          <w:szCs w:val="20"/>
          <w:color w:val="auto"/>
        </w:rPr>
      </w:pPr>
      <w:r>
        <w:rPr>
          <w:rFonts w:ascii="Times New Roman" w:cs="Times New Roman" w:eastAsia="Times New Roman" w:hAnsi="Times New Roman"/>
          <w:sz w:val="24"/>
          <w:szCs w:val="24"/>
          <w:color w:val="auto"/>
        </w:rPr>
        <w:t>maximum volume of trading in the shares of the issuer are recorded during such period, provided such shares are frequently traded;</w:t>
      </w:r>
    </w:p>
    <w:p>
      <w:pPr>
        <w:spacing w:after="0" w:line="28" w:lineRule="exact"/>
        <w:rPr>
          <w:sz w:val="20"/>
          <w:szCs w:val="20"/>
          <w:color w:val="auto"/>
        </w:rPr>
      </w:pPr>
    </w:p>
    <w:p>
      <w:pPr>
        <w:jc w:val="both"/>
        <w:ind w:left="640" w:hanging="368"/>
        <w:spacing w:after="0" w:line="356" w:lineRule="auto"/>
        <w:tabs>
          <w:tab w:leader="none" w:pos="640" w:val="left"/>
        </w:tabs>
        <w:numPr>
          <w:ilvl w:val="0"/>
          <w:numId w:val="125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where the shares are not frequently traded, the price determined by the promoter or shareholders having control and the lead manager(s) taking into account valuation parameters including book value, comparable trading multiples, and such other parameters as are customary for valuation of shares of such issuers.</w:t>
      </w:r>
    </w:p>
    <w:p>
      <w:pPr>
        <w:spacing w:after="0" w:line="200" w:lineRule="exact"/>
        <w:rPr>
          <w:sz w:val="20"/>
          <w:szCs w:val="20"/>
          <w:color w:val="auto"/>
        </w:rPr>
      </w:pPr>
    </w:p>
    <w:p>
      <w:pPr>
        <w:spacing w:after="0" w:line="22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Manner of providing exit to dissenting shareholders.</w:t>
      </w:r>
    </w:p>
    <w:p>
      <w:pPr>
        <w:spacing w:after="0" w:line="147" w:lineRule="exact"/>
        <w:rPr>
          <w:sz w:val="20"/>
          <w:szCs w:val="20"/>
          <w:color w:val="auto"/>
        </w:rPr>
      </w:pPr>
    </w:p>
    <w:p>
      <w:pPr>
        <w:jc w:val="both"/>
        <w:ind w:firstLine="4"/>
        <w:spacing w:after="0" w:line="354" w:lineRule="auto"/>
        <w:tabs>
          <w:tab w:leader="none" w:pos="360" w:val="left"/>
        </w:tabs>
        <w:numPr>
          <w:ilvl w:val="0"/>
          <w:numId w:val="126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notice proposing the passing of special resolution for changing the objects of the issue and varying the terms of contract relating to objects, referred to in the offer document, shall also contain information about the provision for an exit offer to the dissenting shareholders.</w:t>
      </w:r>
    </w:p>
    <w:p>
      <w:pPr>
        <w:spacing w:after="0" w:line="19" w:lineRule="exact"/>
        <w:rPr>
          <w:rFonts w:ascii="Times New Roman" w:cs="Times New Roman" w:eastAsia="Times New Roman" w:hAnsi="Times New Roman"/>
          <w:sz w:val="24"/>
          <w:szCs w:val="24"/>
          <w:color w:val="auto"/>
        </w:rPr>
      </w:pPr>
    </w:p>
    <w:p>
      <w:pPr>
        <w:jc w:val="both"/>
        <w:ind w:firstLine="4"/>
        <w:spacing w:after="0" w:line="354" w:lineRule="auto"/>
        <w:tabs>
          <w:tab w:leader="none" w:pos="386" w:val="left"/>
        </w:tabs>
        <w:numPr>
          <w:ilvl w:val="0"/>
          <w:numId w:val="126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statement to the effect that the promoter/shareholders in control shall provide an exit opportunity to the dissenting shareholders shall be included in the explanatory statement to the notice for passing special resolution.</w:t>
      </w:r>
    </w:p>
    <w:p>
      <w:pPr>
        <w:spacing w:after="0" w:line="22" w:lineRule="exact"/>
        <w:rPr>
          <w:rFonts w:ascii="Times New Roman" w:cs="Times New Roman" w:eastAsia="Times New Roman" w:hAnsi="Times New Roman"/>
          <w:sz w:val="24"/>
          <w:szCs w:val="24"/>
          <w:color w:val="auto"/>
        </w:rPr>
      </w:pPr>
    </w:p>
    <w:p>
      <w:pPr>
        <w:jc w:val="both"/>
        <w:ind w:firstLine="4"/>
        <w:spacing w:after="0" w:line="354" w:lineRule="auto"/>
        <w:tabs>
          <w:tab w:leader="none" w:pos="355" w:val="left"/>
        </w:tabs>
        <w:numPr>
          <w:ilvl w:val="0"/>
          <w:numId w:val="126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After passing of the special resolution, the issuer shall submit the voting results to the stock exchange(s), in terms of the provisions of the Securities and Exchange Board of India (Listing Obligations and Disclosure Requirements) Regulations, 2015.</w:t>
      </w:r>
    </w:p>
    <w:p>
      <w:pPr>
        <w:spacing w:after="0" w:line="20" w:lineRule="exact"/>
        <w:rPr>
          <w:rFonts w:ascii="Times New Roman" w:cs="Times New Roman" w:eastAsia="Times New Roman" w:hAnsi="Times New Roman"/>
          <w:sz w:val="24"/>
          <w:szCs w:val="24"/>
          <w:color w:val="auto"/>
        </w:rPr>
      </w:pPr>
    </w:p>
    <w:p>
      <w:pPr>
        <w:ind w:firstLine="4"/>
        <w:spacing w:after="0" w:line="350" w:lineRule="auto"/>
        <w:tabs>
          <w:tab w:leader="none" w:pos="350" w:val="left"/>
        </w:tabs>
        <w:numPr>
          <w:ilvl w:val="0"/>
          <w:numId w:val="126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also submit the list of dissenting shareholders, as certified by its compliance officer, to the stock exchange(s).</w:t>
      </w:r>
    </w:p>
    <w:p>
      <w:pPr>
        <w:spacing w:after="0" w:line="23" w:lineRule="exact"/>
        <w:rPr>
          <w:rFonts w:ascii="Times New Roman" w:cs="Times New Roman" w:eastAsia="Times New Roman" w:hAnsi="Times New Roman"/>
          <w:sz w:val="24"/>
          <w:szCs w:val="24"/>
          <w:color w:val="auto"/>
        </w:rPr>
      </w:pPr>
    </w:p>
    <w:p>
      <w:pPr>
        <w:ind w:firstLine="4"/>
        <w:spacing w:after="0" w:line="350" w:lineRule="auto"/>
        <w:tabs>
          <w:tab w:leader="none" w:pos="360" w:val="left"/>
        </w:tabs>
        <w:numPr>
          <w:ilvl w:val="0"/>
          <w:numId w:val="126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promoter /shareholders in control, as the case may be, shall appoint a merchant banker registered with the Board and finalize the exit offer price in accordance with these regulations.</w:t>
      </w:r>
    </w:p>
    <w:p>
      <w:pPr>
        <w:spacing w:after="0" w:line="23" w:lineRule="exact"/>
        <w:rPr>
          <w:rFonts w:ascii="Times New Roman" w:cs="Times New Roman" w:eastAsia="Times New Roman" w:hAnsi="Times New Roman"/>
          <w:sz w:val="24"/>
          <w:szCs w:val="24"/>
          <w:color w:val="auto"/>
        </w:rPr>
      </w:pPr>
    </w:p>
    <w:p>
      <w:pPr>
        <w:ind w:firstLine="4"/>
        <w:spacing w:after="0" w:line="350" w:lineRule="auto"/>
        <w:tabs>
          <w:tab w:leader="none" w:pos="345" w:val="left"/>
        </w:tabs>
        <w:numPr>
          <w:ilvl w:val="0"/>
          <w:numId w:val="126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issuer shall intimate the stock exchange(s) about the exit offer to dissenting shareholders and the price at which such offer is being given.</w:t>
      </w:r>
    </w:p>
    <w:p>
      <w:pPr>
        <w:spacing w:after="0" w:line="23" w:lineRule="exact"/>
        <w:rPr>
          <w:rFonts w:ascii="Times New Roman" w:cs="Times New Roman" w:eastAsia="Times New Roman" w:hAnsi="Times New Roman"/>
          <w:sz w:val="24"/>
          <w:szCs w:val="24"/>
          <w:color w:val="auto"/>
        </w:rPr>
      </w:pPr>
    </w:p>
    <w:p>
      <w:pPr>
        <w:ind w:firstLine="4"/>
        <w:spacing w:after="0" w:line="350" w:lineRule="auto"/>
        <w:tabs>
          <w:tab w:leader="none" w:pos="360" w:val="left"/>
        </w:tabs>
        <w:numPr>
          <w:ilvl w:val="0"/>
          <w:numId w:val="126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stock exchange(s) shall, on receipt of such intimation, disseminate the same the public within one working day.</w:t>
      </w:r>
    </w:p>
    <w:p>
      <w:pPr>
        <w:spacing w:after="0" w:line="23" w:lineRule="exact"/>
        <w:rPr>
          <w:rFonts w:ascii="Times New Roman" w:cs="Times New Roman" w:eastAsia="Times New Roman" w:hAnsi="Times New Roman"/>
          <w:sz w:val="24"/>
          <w:szCs w:val="24"/>
          <w:color w:val="auto"/>
        </w:rPr>
      </w:pPr>
    </w:p>
    <w:p>
      <w:pPr>
        <w:jc w:val="both"/>
        <w:ind w:firstLine="4"/>
        <w:spacing w:after="0" w:line="356" w:lineRule="auto"/>
        <w:tabs>
          <w:tab w:leader="none" w:pos="386" w:val="left"/>
        </w:tabs>
        <w:numPr>
          <w:ilvl w:val="0"/>
          <w:numId w:val="126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To ensure security for performance of their obligations, the promoter or shareholders in control, as the case may be,, shall create an escrow account which may be interest-bearing and deposit the aggregate consideration in the escrow account at least two working days prior to opening of the tendering period.</w:t>
      </w:r>
    </w:p>
    <w:p>
      <w:pPr>
        <w:spacing w:after="0" w:line="18" w:lineRule="exact"/>
        <w:rPr>
          <w:rFonts w:ascii="Times New Roman" w:cs="Times New Roman" w:eastAsia="Times New Roman" w:hAnsi="Times New Roman"/>
          <w:sz w:val="24"/>
          <w:szCs w:val="24"/>
          <w:color w:val="auto"/>
        </w:rPr>
      </w:pPr>
    </w:p>
    <w:p>
      <w:pPr>
        <w:ind w:firstLine="4"/>
        <w:spacing w:after="0" w:line="350" w:lineRule="auto"/>
        <w:tabs>
          <w:tab w:leader="none" w:pos="367" w:val="left"/>
        </w:tabs>
        <w:numPr>
          <w:ilvl w:val="0"/>
          <w:numId w:val="126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tendering period shall start not later than seven working days from the passing of the special resolution and shall remain open for ten working days.</w:t>
      </w:r>
    </w:p>
    <w:p>
      <w:pPr>
        <w:spacing w:after="0" w:line="23" w:lineRule="exact"/>
        <w:rPr>
          <w:rFonts w:ascii="Times New Roman" w:cs="Times New Roman" w:eastAsia="Times New Roman" w:hAnsi="Times New Roman"/>
          <w:sz w:val="24"/>
          <w:szCs w:val="24"/>
          <w:color w:val="auto"/>
        </w:rPr>
      </w:pPr>
    </w:p>
    <w:p>
      <w:pPr>
        <w:ind w:firstLine="4"/>
        <w:spacing w:after="0" w:line="350" w:lineRule="auto"/>
        <w:tabs>
          <w:tab w:leader="none" w:pos="480" w:val="left"/>
        </w:tabs>
        <w:numPr>
          <w:ilvl w:val="0"/>
          <w:numId w:val="126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dissenting shareholders who have tendered their shares in acceptance of the exit offer shall have the option to withdraw such acceptance till the date of closure of the tendering period.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jc w:val="center"/>
        <w:ind w:right="100"/>
        <w:spacing w:after="0"/>
        <w:rPr>
          <w:sz w:val="20"/>
          <w:szCs w:val="20"/>
          <w:color w:val="auto"/>
        </w:rPr>
      </w:pPr>
      <w:r>
        <w:rPr>
          <w:rFonts w:ascii="Times New Roman" w:cs="Times New Roman" w:eastAsia="Times New Roman" w:hAnsi="Times New Roman"/>
          <w:sz w:val="24"/>
          <w:szCs w:val="24"/>
          <w:color w:val="auto"/>
        </w:rPr>
        <w:t>419</w:t>
      </w:r>
    </w:p>
    <w:p>
      <w:pPr>
        <w:sectPr>
          <w:pgSz w:w="11900" w:h="16836" w:orient="portrait"/>
          <w:cols w:equalWidth="0" w:num="1">
            <w:col w:w="9380"/>
          </w:cols>
          <w:pgMar w:left="1240" w:top="1156" w:right="1284" w:bottom="103" w:gutter="0" w:footer="0" w:header="0"/>
        </w:sectPr>
      </w:pPr>
    </w:p>
    <w:bookmarkStart w:id="419" w:name="page420"/>
    <w:bookmarkEnd w:id="419"/>
    <w:p>
      <w:pPr>
        <w:jc w:val="both"/>
        <w:ind w:firstLine="4"/>
        <w:spacing w:after="0" w:line="354" w:lineRule="auto"/>
        <w:tabs>
          <w:tab w:leader="none" w:pos="458" w:val="left"/>
        </w:tabs>
        <w:numPr>
          <w:ilvl w:val="0"/>
          <w:numId w:val="126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promoter /shareholders in control, as the case may be, shall facilitate tendering of shares by the shareholders and settlement of the same through the stock exchange mechanism as specified by SEBI for the purpose of takeover, buy-back and delisting.</w:t>
      </w:r>
    </w:p>
    <w:p>
      <w:pPr>
        <w:spacing w:after="0" w:line="20" w:lineRule="exact"/>
        <w:rPr>
          <w:rFonts w:ascii="Times New Roman" w:cs="Times New Roman" w:eastAsia="Times New Roman" w:hAnsi="Times New Roman"/>
          <w:sz w:val="24"/>
          <w:szCs w:val="24"/>
          <w:color w:val="auto"/>
        </w:rPr>
      </w:pPr>
    </w:p>
    <w:p>
      <w:pPr>
        <w:jc w:val="both"/>
        <w:ind w:firstLine="4"/>
        <w:spacing w:after="0" w:line="354" w:lineRule="auto"/>
        <w:tabs>
          <w:tab w:leader="none" w:pos="497" w:val="left"/>
        </w:tabs>
        <w:numPr>
          <w:ilvl w:val="0"/>
          <w:numId w:val="126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promoter /shareholders in control, as the case may be, shall, within a period of ten working days from the last date of the tendering period, make payment of the consideration to the dissenting shareholders who have accepted the exit offer.</w:t>
      </w:r>
    </w:p>
    <w:p>
      <w:pPr>
        <w:spacing w:after="0" w:line="22" w:lineRule="exact"/>
        <w:rPr>
          <w:rFonts w:ascii="Times New Roman" w:cs="Times New Roman" w:eastAsia="Times New Roman" w:hAnsi="Times New Roman"/>
          <w:sz w:val="24"/>
          <w:szCs w:val="24"/>
          <w:color w:val="auto"/>
        </w:rPr>
      </w:pPr>
    </w:p>
    <w:p>
      <w:pPr>
        <w:jc w:val="both"/>
        <w:ind w:firstLine="4"/>
        <w:spacing w:after="0" w:line="357" w:lineRule="auto"/>
        <w:tabs>
          <w:tab w:leader="none" w:pos="463" w:val="left"/>
        </w:tabs>
        <w:numPr>
          <w:ilvl w:val="0"/>
          <w:numId w:val="126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Within a period of two working days from the payment of the consideration, the issuer shall furnish to the stock exchange(s), disclosures giving details of aggregate number of shares tendered, accepted, payment of the consideration and the post-offer shareholding pattern of the issuer and a report by the lead manager(s) that the payment has been duly made to all the dissenting shareholders whose shares have been accepted in the exit offer.</w:t>
      </w:r>
    </w:p>
    <w:p>
      <w:pPr>
        <w:spacing w:after="0" w:line="200" w:lineRule="exact"/>
        <w:rPr>
          <w:sz w:val="20"/>
          <w:szCs w:val="20"/>
          <w:color w:val="auto"/>
        </w:rPr>
      </w:pPr>
    </w:p>
    <w:p>
      <w:pPr>
        <w:spacing w:after="0" w:line="225"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Offer not to exceed maximum permissible non-public shareholding.</w:t>
      </w:r>
    </w:p>
    <w:p>
      <w:pPr>
        <w:spacing w:after="0" w:line="144" w:lineRule="exact"/>
        <w:rPr>
          <w:sz w:val="20"/>
          <w:szCs w:val="20"/>
          <w:color w:val="auto"/>
        </w:rPr>
      </w:pPr>
    </w:p>
    <w:p>
      <w:pPr>
        <w:jc w:val="both"/>
        <w:spacing w:after="0" w:line="358" w:lineRule="auto"/>
        <w:rPr>
          <w:sz w:val="20"/>
          <w:szCs w:val="20"/>
          <w:color w:val="auto"/>
        </w:rPr>
      </w:pPr>
      <w:r>
        <w:rPr>
          <w:rFonts w:ascii="Times New Roman" w:cs="Times New Roman" w:eastAsia="Times New Roman" w:hAnsi="Times New Roman"/>
          <w:sz w:val="24"/>
          <w:szCs w:val="24"/>
          <w:color w:val="auto"/>
        </w:rPr>
        <w:t>In the event the shares accepted in the exit offer were such that the shareholding of the promoters or shareholders in control, taken together with persons acting in concert with them pursuant to completion of the exit offer, results in their shareholding exceeding the maximum permissible non-public shareholding, the promoters or shareholders in control, as applicable, shall be required to bring down the non-public shareholding to the level specified and within the time permitted under Securities Contract (Regulation) Rules, 1957.</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4"/>
          <w:szCs w:val="24"/>
          <w:color w:val="auto"/>
        </w:rPr>
        <w:t>Sd/-</w:t>
      </w:r>
    </w:p>
    <w:p>
      <w:pPr>
        <w:spacing w:after="0" w:line="144"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4"/>
          <w:szCs w:val="24"/>
          <w:b w:val="1"/>
          <w:bCs w:val="1"/>
          <w:color w:val="auto"/>
        </w:rPr>
        <w:t>AJAY TYAGI</w:t>
      </w:r>
    </w:p>
    <w:p>
      <w:pPr>
        <w:spacing w:after="0" w:line="137"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4"/>
          <w:szCs w:val="24"/>
          <w:b w:val="1"/>
          <w:bCs w:val="1"/>
          <w:color w:val="auto"/>
        </w:rPr>
        <w:t>CHAIRMAN</w:t>
      </w:r>
    </w:p>
    <w:p>
      <w:pPr>
        <w:spacing w:after="0" w:line="139"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4"/>
          <w:szCs w:val="24"/>
          <w:b w:val="1"/>
          <w:bCs w:val="1"/>
          <w:color w:val="auto"/>
        </w:rPr>
        <w:t>SECURITIES AND EXCHANGE BOARD OF INDIA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jc w:val="center"/>
        <w:ind w:right="100"/>
        <w:spacing w:after="0"/>
        <w:rPr>
          <w:sz w:val="20"/>
          <w:szCs w:val="20"/>
          <w:color w:val="auto"/>
        </w:rPr>
      </w:pPr>
      <w:r>
        <w:rPr>
          <w:rFonts w:ascii="Times New Roman" w:cs="Times New Roman" w:eastAsia="Times New Roman" w:hAnsi="Times New Roman"/>
          <w:sz w:val="24"/>
          <w:szCs w:val="24"/>
          <w:color w:val="auto"/>
        </w:rPr>
        <w:t>420</w:t>
      </w:r>
    </w:p>
    <w:sectPr>
      <w:pgSz w:w="11900" w:h="16836" w:orient="portrait"/>
      <w:cols w:equalWidth="0" w:num="1">
        <w:col w:w="9380"/>
      </w:cols>
      <w:pgMar w:left="1240" w:top="1156" w:right="1284" w:bottom="103"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auto"/>
    <w:pitch w:val="variable"/>
    <w:sig w:usb0="00000000" w:usb1="00000000" w:usb2="00000000" w:usb3="00000000" w:csb0="80000000" w:csb1="00000000"/>
  </w:font>
  <w:font w:name="Arial">
    <w:panose1 w:val="020B0604020202020204"/>
    <w:charset w:val="00"/>
    <w:family w:val="swiss"/>
    <w:pitch w:val="variable"/>
    <w:sig w:usb0="E0002EFF" w:usb1="C0007843" w:usb2="00000009" w:usb3="00000000" w:csb0="400001FF" w:csb1="FFFF0000"/>
  </w:font>
  <w:font w:name="Courier New">
    <w:panose1 w:val="02070309020205020404"/>
    <w:charset w:val="00"/>
    <w:family w:val="auto"/>
    <w:pitch w:val="fixed"/>
    <w:sig w:usb0="E0002EFF" w:usb1="C0007843" w:usb2="00000009" w:usb3="00000000" w:csb0="400001FF" w:csb1="FFFF0000"/>
  </w:font>
</w:fonts>
</file>

<file path=word/numbering.xml><?xml version="1.0" encoding="utf-8"?>
<w:numbering xmlns:w="http://schemas.openxmlformats.org/wordprocessingml/2006/main">
  <w:abstractNum w:abstractNumId="0">
    <w:nsid w:val="1226623C"/>
    <w:multiLevelType w:val="hybridMultilevel"/>
    <w:lvl w:ilvl="0">
      <w:lvlJc w:val="left"/>
      <w:lvlText w:val="%1."/>
      <w:numFmt w:val="decimal"/>
      <w:start w:val="1"/>
    </w:lvl>
  </w:abstractNum>
  <w:abstractNum w:abstractNumId="1">
    <w:nsid w:val="6D651B8D"/>
    <w:multiLevelType w:val="hybridMultilevel"/>
    <w:lvl w:ilvl="0">
      <w:lvlJc w:val="left"/>
      <w:lvlText w:val="(%1)"/>
      <w:numFmt w:val="decimal"/>
      <w:start w:val="2"/>
    </w:lvl>
  </w:abstractNum>
  <w:abstractNum w:abstractNumId="2">
    <w:nsid w:val="31ED2BAF"/>
    <w:multiLevelType w:val="hybridMultilevel"/>
    <w:lvl w:ilvl="0">
      <w:lvlJc w:val="left"/>
      <w:lvlText w:val="%1."/>
      <w:numFmt w:val="decimal"/>
      <w:start w:val="2"/>
    </w:lvl>
    <w:lvl w:ilvl="1">
      <w:lvlJc w:val="left"/>
      <w:lvlText w:val="(%2)"/>
      <w:numFmt w:val="lowerLetter"/>
      <w:start w:val="1"/>
    </w:lvl>
  </w:abstractNum>
  <w:abstractNum w:abstractNumId="3">
    <w:nsid w:val="77633E5E"/>
    <w:multiLevelType w:val="hybridMultilevel"/>
    <w:lvl w:ilvl="0">
      <w:lvlJc w:val="left"/>
      <w:lvlText w:val="(%1)"/>
      <w:numFmt w:val="lowerLetter"/>
      <w:start w:val="2"/>
    </w:lvl>
  </w:abstractNum>
  <w:abstractNum w:abstractNumId="4">
    <w:nsid w:val="7DA042A3"/>
    <w:multiLevelType w:val="hybridMultilevel"/>
    <w:lvl w:ilvl="0">
      <w:lvlJc w:val="left"/>
      <w:lvlText w:val="(%1)"/>
      <w:numFmt w:val="lowerLetter"/>
      <w:start w:val="14"/>
    </w:lvl>
    <w:lvl w:ilvl="1">
      <w:lvlJc w:val="left"/>
      <w:lvlText w:val="%2)"/>
      <w:numFmt w:val="lowerRoman"/>
      <w:start w:val="1"/>
    </w:lvl>
  </w:abstractNum>
  <w:abstractNum w:abstractNumId="5">
    <w:nsid w:val="475553AB"/>
    <w:multiLevelType w:val="hybridMultilevel"/>
    <w:lvl w:ilvl="0">
      <w:lvlJc w:val="left"/>
      <w:lvlText w:val="%1"/>
      <w:numFmt w:val="lowerRoman"/>
      <w:start w:val="1"/>
    </w:lvl>
    <w:lvl w:ilvl="1">
      <w:lvlJc w:val="left"/>
      <w:lvlText w:val="%2)"/>
      <w:numFmt w:val="upperLetter"/>
      <w:start w:val="1"/>
    </w:lvl>
  </w:abstractNum>
  <w:abstractNum w:abstractNumId="6">
    <w:nsid w:val="5AB3EA93"/>
    <w:multiLevelType w:val="hybridMultilevel"/>
    <w:lvl w:ilvl="0">
      <w:lvlJc w:val="left"/>
      <w:lvlText w:val="%1)"/>
      <w:numFmt w:val="lowerRoman"/>
      <w:start w:val="2"/>
    </w:lvl>
    <w:lvl w:ilvl="1">
      <w:lvlJc w:val="left"/>
      <w:lvlText w:val="%2)"/>
      <w:numFmt w:val="upperLetter"/>
      <w:start w:val="1"/>
    </w:lvl>
  </w:abstractNum>
  <w:abstractNum w:abstractNumId="7">
    <w:nsid w:val="7417684F"/>
    <w:multiLevelType w:val="hybridMultilevel"/>
    <w:lvl w:ilvl="0">
      <w:lvlJc w:val="left"/>
      <w:lvlText w:val="%1"/>
      <w:numFmt w:val="lowerRoman"/>
      <w:start w:val="1"/>
    </w:lvl>
    <w:lvl w:ilvl="1">
      <w:lvlJc w:val="left"/>
      <w:lvlText w:val="%2"/>
      <w:numFmt w:val="lowerRoman"/>
      <w:start w:val="1"/>
    </w:lvl>
    <w:lvl w:ilvl="2">
      <w:lvlJc w:val="left"/>
      <w:lvlText w:val="%3)"/>
      <w:numFmt w:val="upperLetter"/>
      <w:start w:val="1"/>
    </w:lvl>
  </w:abstractNum>
  <w:abstractNum w:abstractNumId="8">
    <w:nsid w:val="E9E1415"/>
    <w:multiLevelType w:val="hybridMultilevel"/>
    <w:lvl w:ilvl="0">
      <w:lvlJc w:val="left"/>
      <w:lvlText w:val="%1)"/>
      <w:numFmt w:val="lowerRoman"/>
      <w:start w:val="4"/>
    </w:lvl>
    <w:lvl w:ilvl="1">
      <w:lvlJc w:val="left"/>
      <w:lvlText w:val="%2)"/>
      <w:numFmt w:val="lowerRoman"/>
      <w:start w:val="4"/>
    </w:lvl>
    <w:lvl w:ilvl="2">
      <w:lvlJc w:val="left"/>
      <w:lvlText w:val="%3)"/>
      <w:numFmt w:val="upperLetter"/>
      <w:start w:val="1"/>
    </w:lvl>
  </w:abstractNum>
  <w:abstractNum w:abstractNumId="9">
    <w:nsid w:val="1893D"/>
    <w:multiLevelType w:val="hybridMultilevel"/>
    <w:lvl w:ilvl="0">
      <w:lvlJc w:val="left"/>
      <w:lvlText w:val="%1)"/>
      <w:numFmt w:val="upperLetter"/>
      <w:start w:val="1"/>
    </w:lvl>
  </w:abstractNum>
  <w:abstractNum w:abstractNumId="10">
    <w:nsid w:val="13D4A2F2"/>
    <w:multiLevelType w:val="hybridMultilevel"/>
    <w:lvl w:ilvl="0">
      <w:lvlJc w:val="left"/>
      <w:lvlText w:val="%1"/>
      <w:numFmt w:val="lowerRoman"/>
      <w:start w:val="1"/>
    </w:lvl>
    <w:lvl w:ilvl="1">
      <w:lvlJc w:val="left"/>
      <w:lvlText w:val="%2)"/>
      <w:numFmt w:val="upperLetter"/>
      <w:start w:val="2"/>
    </w:lvl>
  </w:abstractNum>
  <w:abstractNum w:abstractNumId="11">
    <w:nsid w:val="2764C907"/>
    <w:multiLevelType w:val="hybridMultilevel"/>
    <w:lvl w:ilvl="0">
      <w:lvlJc w:val="left"/>
      <w:lvlText w:val="%1)"/>
      <w:numFmt w:val="lowerRoman"/>
      <w:start w:val="7"/>
    </w:lvl>
    <w:lvl w:ilvl="1">
      <w:lvlJc w:val="left"/>
      <w:lvlText w:val="%2)"/>
      <w:numFmt w:val="upperLetter"/>
      <w:start w:val="1"/>
    </w:lvl>
  </w:abstractNum>
  <w:abstractNum w:abstractNumId="12">
    <w:nsid w:val="40D3692"/>
    <w:multiLevelType w:val="hybridMultilevel"/>
    <w:lvl w:ilvl="0">
      <w:lvlJc w:val="left"/>
      <w:lvlText w:val="%1)"/>
      <w:numFmt w:val="lowerRoman"/>
      <w:start w:val="10"/>
    </w:lvl>
    <w:lvl w:ilvl="1">
      <w:lvlJc w:val="left"/>
      <w:lvlText w:val="%2)"/>
      <w:numFmt w:val="upperLetter"/>
      <w:start w:val="1"/>
    </w:lvl>
  </w:abstractNum>
  <w:abstractNum w:abstractNumId="13">
    <w:nsid w:val="222FC865"/>
    <w:multiLevelType w:val="hybridMultilevel"/>
    <w:lvl w:ilvl="0">
      <w:lvlJc w:val="left"/>
      <w:lvlText w:val="(%1)"/>
      <w:numFmt w:val="lowerLetter"/>
      <w:start w:val="23"/>
    </w:lvl>
  </w:abstractNum>
  <w:abstractNum w:abstractNumId="14">
    <w:nsid w:val="47C27FA"/>
    <w:multiLevelType w:val="hybridMultilevel"/>
    <w:lvl w:ilvl="0">
      <w:lvlJc w:val="left"/>
      <w:lvlText w:val="%1"/>
      <w:numFmt w:val="decimal"/>
      <w:start w:val="1"/>
    </w:lvl>
  </w:abstractNum>
  <w:abstractNum w:abstractNumId="15">
    <w:nsid w:val="52E2D7C9"/>
    <w:multiLevelType w:val="hybridMultilevel"/>
    <w:lvl w:ilvl="0">
      <w:lvlJc w:val="left"/>
      <w:lvlText w:val="(%1)"/>
      <w:numFmt w:val="lowerLetter"/>
      <w:start w:val="25"/>
    </w:lvl>
  </w:abstractNum>
  <w:abstractNum w:abstractNumId="16">
    <w:nsid w:val="3D4B955A"/>
    <w:multiLevelType w:val="hybridMultilevel"/>
    <w:lvl w:ilvl="0">
      <w:lvlJc w:val="left"/>
      <w:lvlText w:val="(%1)"/>
      <w:numFmt w:val="lowerLetter"/>
      <w:start w:val="27"/>
    </w:lvl>
  </w:abstractNum>
  <w:abstractNum w:abstractNumId="17">
    <w:nsid w:val="5B4A22B5"/>
    <w:multiLevelType w:val="hybridMultilevel"/>
    <w:lvl w:ilvl="0">
      <w:lvlJc w:val="left"/>
      <w:lvlText w:val="%1"/>
      <w:numFmt w:val="decimal"/>
      <w:start w:val="2"/>
    </w:lvl>
  </w:abstractNum>
  <w:abstractNum w:abstractNumId="18">
    <w:nsid w:val="4B294578"/>
    <w:multiLevelType w:val="hybridMultilevel"/>
    <w:lvl w:ilvl="0">
      <w:lvlJc w:val="left"/>
      <w:lvlText w:val="(%1)"/>
      <w:numFmt w:val="lowerLetter"/>
      <w:start w:val="35"/>
    </w:lvl>
  </w:abstractNum>
  <w:abstractNum w:abstractNumId="19">
    <w:nsid w:val="22317590"/>
    <w:multiLevelType w:val="hybridMultilevel"/>
    <w:lvl w:ilvl="0">
      <w:lvlJc w:val="left"/>
      <w:lvlText w:val="(%1)"/>
      <w:numFmt w:val="lowerLetter"/>
      <w:start w:val="40"/>
    </w:lvl>
    <w:lvl w:ilvl="1">
      <w:lvlJc w:val="left"/>
      <w:lvlText w:val="%2)"/>
      <w:numFmt w:val="lowerRoman"/>
      <w:start w:val="1"/>
    </w:lvl>
  </w:abstractNum>
  <w:abstractNum w:abstractNumId="20">
    <w:nsid w:val="37A58EEF"/>
    <w:multiLevelType w:val="hybridMultilevel"/>
    <w:lvl w:ilvl="0">
      <w:lvlJc w:val="left"/>
      <w:lvlText w:val="%1"/>
      <w:numFmt w:val="decimal"/>
      <w:start w:val="3"/>
    </w:lvl>
  </w:abstractNum>
  <w:abstractNum w:abstractNumId="21">
    <w:nsid w:val="283290FD"/>
    <w:multiLevelType w:val="hybridMultilevel"/>
    <w:lvl w:ilvl="0">
      <w:lvlJc w:val="left"/>
      <w:lvlText w:val="(%1)"/>
      <w:numFmt w:val="lowerLetter"/>
      <w:start w:val="42"/>
    </w:lvl>
    <w:lvl w:ilvl="1">
      <w:lvlJc w:val="left"/>
      <w:lvlText w:val="%2)"/>
      <w:numFmt w:val="lowerRoman"/>
      <w:start w:val="1"/>
    </w:lvl>
    <w:lvl w:ilvl="2">
      <w:lvlJc w:val="left"/>
      <w:lvlText w:val="%3)"/>
      <w:numFmt w:val="upperLetter"/>
      <w:start w:val="1"/>
    </w:lvl>
  </w:abstractNum>
  <w:abstractNum w:abstractNumId="22">
    <w:nsid w:val="495C0EA5"/>
    <w:multiLevelType w:val="hybridMultilevel"/>
    <w:lvl w:ilvl="0">
      <w:lvlJc w:val="left"/>
      <w:lvlText w:val="(%1)"/>
      <w:numFmt w:val="lowerLetter"/>
      <w:start w:val="43"/>
    </w:lvl>
    <w:lvl w:ilvl="1">
      <w:lvlJc w:val="left"/>
      <w:lvlText w:val="(%2)"/>
      <w:numFmt w:val="lowerRoman"/>
      <w:start w:val="1"/>
    </w:lvl>
  </w:abstractNum>
  <w:abstractNum w:abstractNumId="23">
    <w:nsid w:val="A4A062B"/>
    <w:multiLevelType w:val="hybridMultilevel"/>
    <w:lvl w:ilvl="0">
      <w:lvlJc w:val="left"/>
      <w:lvlText w:val="%1"/>
      <w:numFmt w:val="decimal"/>
      <w:start w:val="4"/>
    </w:lvl>
  </w:abstractNum>
  <w:abstractNum w:abstractNumId="24">
    <w:nsid w:val="3BED7940"/>
    <w:multiLevelType w:val="hybridMultilevel"/>
    <w:lvl w:ilvl="0">
      <w:lvlJc w:val="left"/>
      <w:lvlText w:val="%1"/>
      <w:numFmt w:val="lowerLetter"/>
      <w:start w:val="1"/>
    </w:lvl>
    <w:lvl w:ilvl="1">
      <w:lvlJc w:val="left"/>
      <w:lvlText w:val="(%2)"/>
      <w:numFmt w:val="lowerRoman"/>
      <w:start w:val="9"/>
    </w:lvl>
  </w:abstractNum>
  <w:abstractNum w:abstractNumId="25">
    <w:nsid w:val="54E56D64"/>
    <w:multiLevelType w:val="hybridMultilevel"/>
    <w:lvl w:ilvl="0">
      <w:lvlJc w:val="left"/>
      <w:lvlText w:val="(%1)"/>
      <w:numFmt w:val="lowerLetter"/>
      <w:start w:val="46"/>
    </w:lvl>
    <w:lvl w:ilvl="1">
      <w:lvlJc w:val="left"/>
      <w:lvlText w:val="%2"/>
      <w:numFmt w:val="lowerRoman"/>
      <w:start w:val="1"/>
    </w:lvl>
  </w:abstractNum>
  <w:abstractNum w:abstractNumId="26">
    <w:nsid w:val="6EB42955"/>
    <w:multiLevelType w:val="hybridMultilevel"/>
    <w:lvl w:ilvl="0">
      <w:lvlJc w:val="left"/>
      <w:lvlText w:val="(%1)"/>
      <w:numFmt w:val="lowerLetter"/>
      <w:start w:val="50"/>
    </w:lvl>
  </w:abstractNum>
  <w:abstractNum w:abstractNumId="27">
    <w:nsid w:val="29EFA642"/>
    <w:multiLevelType w:val="hybridMultilevel"/>
    <w:lvl w:ilvl="0">
      <w:lvlJc w:val="left"/>
      <w:lvlText w:val="(%1)"/>
      <w:numFmt w:val="lowerLetter"/>
      <w:start w:val="53"/>
    </w:lvl>
  </w:abstractNum>
  <w:abstractNum w:abstractNumId="28">
    <w:nsid w:val="7E337D35"/>
    <w:multiLevelType w:val="hybridMultilevel"/>
    <w:lvl w:ilvl="0">
      <w:lvlJc w:val="left"/>
      <w:lvlText w:val="(%1)"/>
      <w:numFmt w:val="lowerLetter"/>
      <w:start w:val="57"/>
    </w:lvl>
  </w:abstractNum>
  <w:abstractNum w:abstractNumId="29">
    <w:nsid w:val="1F8C83AB"/>
    <w:multiLevelType w:val="hybridMultilevel"/>
    <w:lvl w:ilvl="0">
      <w:lvlJc w:val="left"/>
      <w:lvlText w:val="(%1)"/>
      <w:numFmt w:val="lowerLetter"/>
      <w:start w:val="58"/>
    </w:lvl>
  </w:abstractNum>
  <w:abstractNum w:abstractNumId="30">
    <w:nsid w:val="18F40A33"/>
    <w:multiLevelType w:val="hybridMultilevel"/>
    <w:lvl w:ilvl="0">
      <w:lvlJc w:val="left"/>
      <w:lvlText w:val="(%1)"/>
      <w:numFmt w:val="lowerLetter"/>
      <w:start w:val="61"/>
    </w:lvl>
  </w:abstractNum>
  <w:abstractNum w:abstractNumId="31">
    <w:nsid w:val="1059DF71"/>
    <w:multiLevelType w:val="hybridMultilevel"/>
    <w:lvl w:ilvl="0">
      <w:lvlJc w:val="left"/>
      <w:lvlText w:val="(%1)"/>
      <w:numFmt w:val="lowerLetter"/>
      <w:start w:val="64"/>
    </w:lvl>
  </w:abstractNum>
  <w:abstractNum w:abstractNumId="32">
    <w:nsid w:val="CF19F38"/>
    <w:multiLevelType w:val="hybridMultilevel"/>
    <w:lvl w:ilvl="0">
      <w:lvlJc w:val="left"/>
      <w:lvlText w:val="(%1)"/>
      <w:numFmt w:val="lowerLetter"/>
      <w:start w:val="65"/>
    </w:lvl>
  </w:abstractNum>
  <w:abstractNum w:abstractNumId="33">
    <w:nsid w:val="4AE135E2"/>
    <w:multiLevelType w:val="hybridMultilevel"/>
    <w:lvl w:ilvl="0">
      <w:lvlJc w:val="left"/>
      <w:lvlText w:val="(%1)"/>
      <w:numFmt w:val="lowerLetter"/>
      <w:start w:val="1"/>
    </w:lvl>
  </w:abstractNum>
  <w:abstractNum w:abstractNumId="34">
    <w:nsid w:val="7BD1DCF"/>
    <w:multiLevelType w:val="hybridMultilevel"/>
    <w:lvl w:ilvl="0">
      <w:lvlJc w:val="left"/>
      <w:lvlText w:val="(%1)"/>
      <w:numFmt w:val="lowerLetter"/>
      <w:start w:val="3"/>
    </w:lvl>
  </w:abstractNum>
  <w:abstractNum w:abstractNumId="35">
    <w:nsid w:val="A91E1DC"/>
    <w:multiLevelType w:val="hybridMultilevel"/>
    <w:lvl w:ilvl="0">
      <w:lvlJc w:val="left"/>
      <w:lvlText w:val="(%1)"/>
      <w:numFmt w:val="decimal"/>
      <w:start w:val="2"/>
    </w:lvl>
  </w:abstractNum>
  <w:abstractNum w:abstractNumId="36">
    <w:nsid w:val="1236898D"/>
    <w:multiLevelType w:val="hybridMultilevel"/>
    <w:lvl w:ilvl="0">
      <w:lvlJc w:val="left"/>
      <w:lvlText w:val="%1."/>
      <w:numFmt w:val="decimal"/>
      <w:start w:val="3"/>
    </w:lvl>
    <w:lvl w:ilvl="1">
      <w:lvlJc w:val="left"/>
      <w:lvlText w:val="(%2)"/>
      <w:numFmt w:val="lowerLetter"/>
      <w:start w:val="1"/>
    </w:lvl>
  </w:abstractNum>
  <w:abstractNum w:abstractNumId="37">
    <w:nsid w:val="62710862"/>
    <w:multiLevelType w:val="hybridMultilevel"/>
    <w:lvl w:ilvl="0">
      <w:lvlJc w:val="left"/>
      <w:lvlText w:val="%1"/>
      <w:numFmt w:val="decimal"/>
      <w:start w:val="8"/>
    </w:lvl>
  </w:abstractNum>
  <w:abstractNum w:abstractNumId="38">
    <w:nsid w:val="7EA94A2B"/>
    <w:multiLevelType w:val="hybridMultilevel"/>
    <w:lvl w:ilvl="0">
      <w:lvlJc w:val="left"/>
      <w:lvlText w:val="%1."/>
      <w:numFmt w:val="decimal"/>
      <w:start w:val="4"/>
    </w:lvl>
  </w:abstractNum>
  <w:abstractNum w:abstractNumId="39">
    <w:nsid w:val="20D49DA3"/>
    <w:multiLevelType w:val="hybridMultilevel"/>
    <w:lvl w:ilvl="0">
      <w:lvlJc w:val="left"/>
      <w:lvlText w:val="%1."/>
      <w:numFmt w:val="decimal"/>
      <w:start w:val="5"/>
    </w:lvl>
    <w:lvl w:ilvl="1">
      <w:lvlJc w:val="left"/>
      <w:lvlText w:val="(%2)"/>
      <w:numFmt w:val="lowerLetter"/>
      <w:start w:val="1"/>
    </w:lvl>
  </w:abstractNum>
  <w:abstractNum w:abstractNumId="40">
    <w:nsid w:val="6272919F"/>
    <w:multiLevelType w:val="hybridMultilevel"/>
    <w:lvl w:ilvl="0">
      <w:lvlJc w:val="left"/>
      <w:lvlText w:val="(%1)"/>
      <w:numFmt w:val="decimal"/>
      <w:start w:val="2"/>
    </w:lvl>
    <w:lvl w:ilvl="1">
      <w:lvlJc w:val="left"/>
      <w:lvlText w:val="(%2)"/>
      <w:numFmt w:val="lowerLetter"/>
      <w:start w:val="1"/>
    </w:lvl>
  </w:abstractNum>
  <w:abstractNum w:abstractNumId="41">
    <w:nsid w:val="127DED1D"/>
    <w:multiLevelType w:val="hybridMultilevel"/>
    <w:lvl w:ilvl="0">
      <w:lvlJc w:val="left"/>
      <w:lvlText w:val="%1."/>
      <w:numFmt w:val="decimal"/>
      <w:start w:val="6"/>
    </w:lvl>
  </w:abstractNum>
  <w:abstractNum w:abstractNumId="42">
    <w:nsid w:val="483966AA"/>
    <w:multiLevelType w:val="hybridMultilevel"/>
    <w:lvl w:ilvl="0">
      <w:lvlJc w:val="left"/>
      <w:lvlText w:val="%1"/>
      <w:numFmt w:val="decimal"/>
      <w:start w:val="11"/>
    </w:lvl>
  </w:abstractNum>
  <w:abstractNum w:abstractNumId="43">
    <w:nsid w:val="667FC831"/>
    <w:multiLevelType w:val="hybridMultilevel"/>
    <w:lvl w:ilvl="0">
      <w:lvlJc w:val="left"/>
      <w:lvlText w:val="%1"/>
      <w:numFmt w:val="decimal"/>
      <w:start w:val="1"/>
    </w:lvl>
    <w:lvl w:ilvl="1">
      <w:lvlJc w:val="left"/>
      <w:lvlText w:val="%2)"/>
      <w:numFmt w:val="lowerLetter"/>
      <w:start w:val="1"/>
    </w:lvl>
  </w:abstractNum>
  <w:abstractNum w:abstractNumId="44">
    <w:nsid w:val="34ADB582"/>
    <w:multiLevelType w:val="hybridMultilevel"/>
    <w:lvl w:ilvl="0">
      <w:lvlJc w:val="left"/>
      <w:lvlText w:val="(%1)"/>
      <w:numFmt w:val="decimal"/>
      <w:start w:val="2"/>
    </w:lvl>
    <w:lvl w:ilvl="1">
      <w:lvlJc w:val="left"/>
      <w:lvlText w:val="%2"/>
      <w:numFmt w:val="lowerLetter"/>
      <w:start w:val="1"/>
    </w:lvl>
  </w:abstractNum>
  <w:abstractNum w:abstractNumId="45">
    <w:nsid w:val="4CB58EA4"/>
    <w:multiLevelType w:val="hybridMultilevel"/>
    <w:lvl w:ilvl="0">
      <w:lvlJc w:val="left"/>
      <w:lvlText w:val="%1."/>
      <w:numFmt w:val="lowerRoman"/>
      <w:start w:val="1"/>
    </w:lvl>
  </w:abstractNum>
  <w:abstractNum w:abstractNumId="46">
    <w:nsid w:val="39629FFA"/>
    <w:multiLevelType w:val="hybridMultilevel"/>
    <w:lvl w:ilvl="0">
      <w:lvlJc w:val="left"/>
      <w:lvlText w:val="%1."/>
      <w:numFmt w:val="lowerRoman"/>
      <w:start w:val="4"/>
    </w:lvl>
    <w:lvl w:ilvl="1">
      <w:lvlJc w:val="left"/>
      <w:lvlText w:val="%2."/>
      <w:numFmt w:val="lowerLetter"/>
      <w:start w:val="1"/>
    </w:lvl>
  </w:abstractNum>
  <w:abstractNum w:abstractNumId="47">
    <w:nsid w:val="71F94ADC"/>
    <w:multiLevelType w:val="hybridMultilevel"/>
    <w:lvl w:ilvl="0">
      <w:lvlJc w:val="left"/>
      <w:lvlText w:val="%1)"/>
      <w:numFmt w:val="lowerLetter"/>
      <w:start w:val="1"/>
    </w:lvl>
  </w:abstractNum>
  <w:abstractNum w:abstractNumId="48">
    <w:nsid w:val="27FFB15A"/>
    <w:multiLevelType w:val="hybridMultilevel"/>
    <w:lvl w:ilvl="0">
      <w:lvlJc w:val="left"/>
      <w:lvlText w:val="%1"/>
      <w:numFmt w:val="decimal"/>
      <w:start w:val="1"/>
    </w:lvl>
    <w:lvl w:ilvl="1">
      <w:lvlJc w:val="left"/>
      <w:lvlText w:val="%2)"/>
      <w:numFmt w:val="lowerLetter"/>
      <w:start w:val="5"/>
    </w:lvl>
  </w:abstractNum>
  <w:abstractNum w:abstractNumId="49">
    <w:nsid w:val="48BE573"/>
    <w:multiLevelType w:val="hybridMultilevel"/>
    <w:lvl w:ilvl="0">
      <w:lvlJc w:val="left"/>
      <w:lvlText w:val="(%1)"/>
      <w:numFmt w:val="decimal"/>
      <w:start w:val="2"/>
    </w:lvl>
    <w:lvl w:ilvl="1">
      <w:lvlJc w:val="left"/>
      <w:lvlText w:val="%2"/>
      <w:numFmt w:val="lowerLetter"/>
      <w:start w:val="1"/>
    </w:lvl>
  </w:abstractNum>
  <w:abstractNum w:abstractNumId="50">
    <w:nsid w:val="142AC06C"/>
    <w:multiLevelType w:val="hybridMultilevel"/>
    <w:lvl w:ilvl="0">
      <w:lvlJc w:val="left"/>
      <w:lvlText w:val="(%1)"/>
      <w:numFmt w:val="upperLetter"/>
      <w:start w:val="9"/>
    </w:lvl>
  </w:abstractNum>
  <w:abstractNum w:abstractNumId="51">
    <w:nsid w:val="5FA54049"/>
    <w:multiLevelType w:val="hybridMultilevel"/>
    <w:lvl w:ilvl="0">
      <w:lvlJc w:val="left"/>
      <w:lvlText w:val="(%1)"/>
      <w:numFmt w:val="upperLetter"/>
      <w:start w:val="35"/>
    </w:lvl>
    <w:lvl w:ilvl="1">
      <w:lvlJc w:val="left"/>
      <w:lvlText w:val="(%2)"/>
      <w:numFmt w:val="lowerLetter"/>
      <w:start w:val="1"/>
    </w:lvl>
    <w:lvl w:ilvl="2">
      <w:lvlJc w:val="left"/>
      <w:lvlText w:val="(%3)"/>
      <w:numFmt w:val="lowerRoman"/>
      <w:start w:val="1"/>
    </w:lvl>
  </w:abstractNum>
  <w:abstractNum w:abstractNumId="52">
    <w:nsid w:val="2CBE7670"/>
    <w:multiLevelType w:val="hybridMultilevel"/>
    <w:lvl w:ilvl="0">
      <w:lvlJc w:val="left"/>
      <w:lvlText w:val="(%1)"/>
      <w:numFmt w:val="upperLetter"/>
      <w:start w:val="61"/>
    </w:lvl>
  </w:abstractNum>
  <w:abstractNum w:abstractNumId="53">
    <w:nsid w:val="5D86CF11"/>
    <w:multiLevelType w:val="hybridMultilevel"/>
    <w:lvl w:ilvl="0">
      <w:lvlJc w:val="left"/>
      <w:lvlText w:val="%1)"/>
      <w:numFmt w:val="lowerLetter"/>
      <w:start w:val="1"/>
    </w:lvl>
    <w:lvl w:ilvl="1">
      <w:lvlJc w:val="left"/>
      <w:lvlText w:val="(%2)"/>
      <w:numFmt w:val="lowerRoman"/>
      <w:start w:val="1"/>
    </w:lvl>
  </w:abstractNum>
  <w:abstractNum w:abstractNumId="54">
    <w:nsid w:val="69EF4674"/>
    <w:multiLevelType w:val="hybridMultilevel"/>
    <w:lvl w:ilvl="0">
      <w:lvlJc w:val="left"/>
      <w:lvlText w:val="%1."/>
      <w:numFmt w:val="decimal"/>
      <w:start w:val="9"/>
    </w:lvl>
  </w:abstractNum>
  <w:abstractNum w:abstractNumId="55">
    <w:nsid w:val="68ABEFB0"/>
    <w:multiLevelType w:val="hybridMultilevel"/>
    <w:lvl w:ilvl="0">
      <w:lvlJc w:val="left"/>
      <w:lvlText w:val="%1."/>
      <w:numFmt w:val="decimal"/>
      <w:start w:val="10"/>
    </w:lvl>
  </w:abstractNum>
  <w:abstractNum w:abstractNumId="56">
    <w:nsid w:val="326C3C76"/>
    <w:multiLevelType w:val="hybridMultilevel"/>
    <w:lvl w:ilvl="0">
      <w:lvlJc w:val="left"/>
      <w:lvlText w:val="(%1)"/>
      <w:numFmt w:val="lowerLetter"/>
      <w:start w:val="1"/>
    </w:lvl>
    <w:lvl w:ilvl="1">
      <w:lvlJc w:val="left"/>
      <w:lvlText w:val="(%2)"/>
      <w:numFmt w:val="lowerRoman"/>
      <w:start w:val="1"/>
    </w:lvl>
  </w:abstractNum>
  <w:abstractNum w:abstractNumId="57">
    <w:nsid w:val="58A36FCA"/>
    <w:multiLevelType w:val="hybridMultilevel"/>
    <w:lvl w:ilvl="0">
      <w:lvlJc w:val="left"/>
      <w:lvlText w:val="(%1)"/>
      <w:numFmt w:val="decimal"/>
      <w:start w:val="2"/>
    </w:lvl>
  </w:abstractNum>
  <w:abstractNum w:abstractNumId="58">
    <w:nsid w:val="129B95F2"/>
    <w:multiLevelType w:val="hybridMultilevel"/>
    <w:lvl w:ilvl="0">
      <w:lvlJc w:val="left"/>
      <w:lvlText w:val="%1."/>
      <w:numFmt w:val="decimal"/>
      <w:start w:val="11"/>
    </w:lvl>
    <w:lvl w:ilvl="1">
      <w:lvlJc w:val="left"/>
      <w:lvlText w:val="(%2)"/>
      <w:numFmt w:val="decimal"/>
      <w:start w:val="2"/>
    </w:lvl>
  </w:abstractNum>
  <w:abstractNum w:abstractNumId="59">
    <w:nsid w:val="309FB9AB"/>
    <w:multiLevelType w:val="hybridMultilevel"/>
    <w:lvl w:ilvl="0">
      <w:lvlJc w:val="left"/>
      <w:lvlText w:val="(%1)"/>
      <w:numFmt w:val="decimal"/>
      <w:start w:val="3"/>
    </w:lvl>
  </w:abstractNum>
  <w:abstractNum w:abstractNumId="60">
    <w:nsid w:val="782FF375"/>
    <w:multiLevelType w:val="hybridMultilevel"/>
    <w:lvl w:ilvl="0">
      <w:lvlJc w:val="left"/>
      <w:lvlText w:val="%1."/>
      <w:numFmt w:val="decimal"/>
      <w:start w:val="12"/>
    </w:lvl>
  </w:abstractNum>
  <w:abstractNum w:abstractNumId="61">
    <w:nsid w:val="2B8FA025"/>
    <w:multiLevelType w:val="hybridMultilevel"/>
    <w:lvl w:ilvl="0">
      <w:lvlJc w:val="left"/>
      <w:lvlText w:val="%1."/>
      <w:numFmt w:val="decimal"/>
      <w:start w:val="13"/>
    </w:lvl>
  </w:abstractNum>
  <w:abstractNum w:abstractNumId="62">
    <w:nsid w:val="40F9991C"/>
    <w:multiLevelType w:val="hybridMultilevel"/>
    <w:lvl w:ilvl="0">
      <w:lvlJc w:val="left"/>
      <w:lvlText w:val="%1)"/>
      <w:numFmt w:val="lowerLetter"/>
      <w:start w:val="1"/>
    </w:lvl>
  </w:abstractNum>
  <w:abstractNum w:abstractNumId="63">
    <w:nsid w:val="52192AD"/>
    <w:multiLevelType w:val="hybridMultilevel"/>
    <w:lvl w:ilvl="0">
      <w:lvlJc w:val="left"/>
      <w:lvlText w:val="%1."/>
      <w:numFmt w:val="decimal"/>
      <w:start w:val="14"/>
    </w:lvl>
  </w:abstractNum>
  <w:abstractNum w:abstractNumId="64">
    <w:nsid w:val="7670D608"/>
    <w:multiLevelType w:val="hybridMultilevel"/>
    <w:lvl w:ilvl="0">
      <w:lvlJc w:val="left"/>
      <w:lvlText w:val="(%1)"/>
      <w:numFmt w:val="decimal"/>
      <w:start w:val="2"/>
    </w:lvl>
    <w:lvl w:ilvl="1">
      <w:lvlJc w:val="left"/>
      <w:lvlText w:val="%2)"/>
      <w:numFmt w:val="lowerLetter"/>
      <w:start w:val="1"/>
    </w:lvl>
    <w:lvl w:ilvl="2">
      <w:lvlJc w:val="left"/>
      <w:lvlText w:val="%3)"/>
      <w:numFmt w:val="lowerLetter"/>
      <w:start w:val="2"/>
    </w:lvl>
  </w:abstractNum>
  <w:abstractNum w:abstractNumId="65">
    <w:nsid w:val="48B6B6EB"/>
    <w:multiLevelType w:val="hybridMultilevel"/>
    <w:lvl w:ilvl="0">
      <w:lvlJc w:val="left"/>
      <w:lvlText w:val="(%1)"/>
      <w:numFmt w:val="decimal"/>
      <w:start w:val="3"/>
    </w:lvl>
  </w:abstractNum>
  <w:abstractNum w:abstractNumId="66">
    <w:nsid w:val="FB37489"/>
    <w:multiLevelType w:val="hybridMultilevel"/>
    <w:lvl w:ilvl="0">
      <w:lvlJc w:val="left"/>
      <w:lvlText w:val="(%1)"/>
      <w:numFmt w:val="upperLetter"/>
      <w:start w:val="9"/>
    </w:lvl>
    <w:lvl w:ilvl="1">
      <w:lvlJc w:val="left"/>
      <w:lvlText w:val="(%2)"/>
      <w:numFmt w:val="lowerLetter"/>
      <w:start w:val="1"/>
    </w:lvl>
  </w:abstractNum>
  <w:abstractNum w:abstractNumId="67">
    <w:nsid w:val="8A75F95"/>
    <w:multiLevelType w:val="hybridMultilevel"/>
    <w:lvl w:ilvl="0">
      <w:lvlJc w:val="left"/>
      <w:lvlText w:val="(%1)"/>
      <w:numFmt w:val="upperLetter"/>
      <w:start w:val="35"/>
    </w:lvl>
    <w:lvl w:ilvl="1">
      <w:lvlJc w:val="left"/>
      <w:lvlText w:val="(%2)"/>
      <w:numFmt w:val="lowerLetter"/>
      <w:start w:val="1"/>
    </w:lvl>
  </w:abstractNum>
  <w:abstractNum w:abstractNumId="68">
    <w:nsid w:val="2B27BF4D"/>
    <w:multiLevelType w:val="hybridMultilevel"/>
    <w:lvl w:ilvl="0">
      <w:lvlJc w:val="left"/>
      <w:lvlText w:val="%1."/>
      <w:numFmt w:val="decimal"/>
      <w:start w:val="15"/>
    </w:lvl>
    <w:lvl w:ilvl="1">
      <w:lvlJc w:val="left"/>
      <w:lvlText w:val="(%2)"/>
      <w:numFmt w:val="lowerLetter"/>
      <w:start w:val="1"/>
    </w:lvl>
    <w:lvl w:ilvl="2">
      <w:lvlJc w:val="left"/>
      <w:lvlText w:val="(%3)"/>
      <w:numFmt w:val="lowerLetter"/>
      <w:start w:val="9"/>
    </w:lvl>
  </w:abstractNum>
  <w:abstractNum w:abstractNumId="69">
    <w:nsid w:val="E5CBEB4"/>
    <w:multiLevelType w:val="hybridMultilevel"/>
    <w:lvl w:ilvl="0">
      <w:lvlJc w:val="left"/>
      <w:lvlText w:val="%1"/>
      <w:numFmt w:val="lowerLetter"/>
      <w:start w:val="1"/>
    </w:lvl>
    <w:lvl w:ilvl="1">
      <w:lvlJc w:val="left"/>
      <w:lvlText w:val="(%2)"/>
      <w:numFmt w:val="lowerLetter"/>
      <w:start w:val="35"/>
    </w:lvl>
  </w:abstractNum>
  <w:abstractNum w:abstractNumId="70">
    <w:nsid w:val="297BFD38"/>
    <w:multiLevelType w:val="hybridMultilevel"/>
    <w:lvl w:ilvl="0">
      <w:lvlJc w:val="left"/>
      <w:lvlText w:val="(%1)"/>
      <w:numFmt w:val="lowerLetter"/>
      <w:start w:val="2"/>
    </w:lvl>
    <w:lvl w:ilvl="1">
      <w:lvlJc w:val="left"/>
      <w:lvlText w:val="(%2)"/>
      <w:numFmt w:val="lowerLetter"/>
      <w:start w:val="9"/>
    </w:lvl>
  </w:abstractNum>
  <w:abstractNum w:abstractNumId="71">
    <w:nsid w:val="D9A50ED"/>
    <w:multiLevelType w:val="hybridMultilevel"/>
    <w:lvl w:ilvl="0">
      <w:lvlJc w:val="left"/>
      <w:lvlText w:val="%1"/>
      <w:numFmt w:val="lowerLetter"/>
      <w:start w:val="1"/>
    </w:lvl>
    <w:lvl w:ilvl="1">
      <w:lvlJc w:val="left"/>
      <w:lvlText w:val="(%2)"/>
      <w:numFmt w:val="lowerRoman"/>
      <w:start w:val="2"/>
    </w:lvl>
  </w:abstractNum>
  <w:abstractNum w:abstractNumId="72">
    <w:nsid w:val="20DAABD1"/>
    <w:multiLevelType w:val="hybridMultilevel"/>
    <w:lvl w:ilvl="0">
      <w:lvlJc w:val="left"/>
      <w:lvlText w:val="(%1)"/>
      <w:numFmt w:val="lowerLetter"/>
      <w:start w:val="3"/>
    </w:lvl>
    <w:lvl w:ilvl="1">
      <w:lvlJc w:val="left"/>
      <w:lvlText w:val="%2"/>
      <w:numFmt w:val="lowerRoman"/>
      <w:start w:val="1"/>
    </w:lvl>
  </w:abstractNum>
  <w:abstractNum w:abstractNumId="73">
    <w:nsid w:val="71B563E3"/>
    <w:multiLevelType w:val="hybridMultilevel"/>
    <w:lvl w:ilvl="0">
      <w:lvlJc w:val="left"/>
      <w:lvlText w:val="(%1)"/>
      <w:numFmt w:val="decimal"/>
      <w:start w:val="2"/>
    </w:lvl>
  </w:abstractNum>
  <w:abstractNum w:abstractNumId="74">
    <w:nsid w:val="741A191E"/>
    <w:multiLevelType w:val="hybridMultilevel"/>
    <w:lvl w:ilvl="0">
      <w:lvlJc w:val="left"/>
      <w:lvlText w:val="%1)"/>
      <w:numFmt w:val="lowerLetter"/>
      <w:start w:val="1"/>
    </w:lvl>
  </w:abstractNum>
  <w:abstractNum w:abstractNumId="75">
    <w:nsid w:val="55886153"/>
    <w:multiLevelType w:val="hybridMultilevel"/>
    <w:lvl w:ilvl="0">
      <w:lvlJc w:val="left"/>
      <w:lvlText w:val="(%1)"/>
      <w:numFmt w:val="lowerLetter"/>
      <w:start w:val="2"/>
    </w:lvl>
  </w:abstractNum>
  <w:abstractNum w:abstractNumId="76">
    <w:nsid w:val="3E6AF287"/>
    <w:multiLevelType w:val="hybridMultilevel"/>
    <w:lvl w:ilvl="0">
      <w:lvlJc w:val="left"/>
      <w:lvlText w:val="%1."/>
      <w:numFmt w:val="decimal"/>
      <w:start w:val="17"/>
    </w:lvl>
  </w:abstractNum>
  <w:abstractNum w:abstractNumId="77">
    <w:nsid w:val="2D7CB919"/>
    <w:multiLevelType w:val="hybridMultilevel"/>
    <w:lvl w:ilvl="0">
      <w:lvlJc w:val="left"/>
      <w:lvlText w:val="%1"/>
      <w:numFmt w:val="decimal"/>
      <w:start w:val="14"/>
    </w:lvl>
  </w:abstractNum>
  <w:abstractNum w:abstractNumId="78">
    <w:nsid w:val="4781AC2F"/>
    <w:multiLevelType w:val="hybridMultilevel"/>
    <w:lvl w:ilvl="0">
      <w:lvlJc w:val="left"/>
      <w:lvlText w:val="%1)"/>
      <w:numFmt w:val="lowerLetter"/>
      <w:start w:val="1"/>
    </w:lvl>
  </w:abstractNum>
  <w:abstractNum w:abstractNumId="79">
    <w:nsid w:val="666AA3E1"/>
    <w:multiLevelType w:val="hybridMultilevel"/>
    <w:lvl w:ilvl="0">
      <w:lvlJc w:val="left"/>
      <w:lvlText w:val="%1."/>
      <w:numFmt w:val="decimal"/>
      <w:start w:val="18"/>
    </w:lvl>
  </w:abstractNum>
  <w:abstractNum w:abstractNumId="80">
    <w:nsid w:val="32089E8C"/>
    <w:multiLevelType w:val="hybridMultilevel"/>
    <w:lvl w:ilvl="0">
      <w:lvlJc w:val="left"/>
      <w:lvlText w:val="%1."/>
      <w:numFmt w:val="decimal"/>
      <w:start w:val="19"/>
    </w:lvl>
  </w:abstractNum>
  <w:abstractNum w:abstractNumId="81">
    <w:nsid w:val="5BAC6C9C"/>
    <w:multiLevelType w:val="hybridMultilevel"/>
    <w:lvl w:ilvl="0">
      <w:lvlJc w:val="left"/>
      <w:lvlText w:val="%1."/>
      <w:numFmt w:val="decimal"/>
      <w:start w:val="20"/>
    </w:lvl>
  </w:abstractNum>
  <w:abstractNum w:abstractNumId="82">
    <w:nsid w:val="460FE42B"/>
    <w:multiLevelType w:val="hybridMultilevel"/>
    <w:lvl w:ilvl="0">
      <w:lvlJc w:val="left"/>
      <w:lvlText w:val="%1."/>
      <w:numFmt w:val="decimal"/>
      <w:start w:val="21"/>
    </w:lvl>
  </w:abstractNum>
  <w:abstractNum w:abstractNumId="83">
    <w:nsid w:val="5EC714FC"/>
    <w:multiLevelType w:val="hybridMultilevel"/>
    <w:lvl w:ilvl="0">
      <w:lvlJc w:val="left"/>
      <w:lvlText w:val="%1)"/>
      <w:numFmt w:val="lowerLetter"/>
      <w:start w:val="1"/>
    </w:lvl>
  </w:abstractNum>
  <w:abstractNum w:abstractNumId="84">
    <w:nsid w:val="39333BAD"/>
    <w:multiLevelType w:val="hybridMultilevel"/>
    <w:lvl w:ilvl="0">
      <w:lvlJc w:val="left"/>
      <w:lvlText w:val="%1."/>
      <w:numFmt w:val="decimal"/>
      <w:start w:val="22"/>
    </w:lvl>
  </w:abstractNum>
  <w:abstractNum w:abstractNumId="85">
    <w:nsid w:val="2FFF2A9F"/>
    <w:multiLevelType w:val="hybridMultilevel"/>
    <w:lvl w:ilvl="0">
      <w:lvlJc w:val="left"/>
      <w:lvlText w:val="%1."/>
      <w:numFmt w:val="decimal"/>
      <w:start w:val="23"/>
    </w:lvl>
  </w:abstractNum>
  <w:abstractNum w:abstractNumId="86">
    <w:nsid w:val="477304AC"/>
    <w:multiLevelType w:val="hybridMultilevel"/>
    <w:lvl w:ilvl="0">
      <w:lvlJc w:val="left"/>
      <w:lvlText w:val="(%1)"/>
      <w:numFmt w:val="decimal"/>
      <w:start w:val="2"/>
    </w:lvl>
  </w:abstractNum>
  <w:abstractNum w:abstractNumId="87">
    <w:nsid w:val="6B9F7823"/>
    <w:multiLevelType w:val="hybridMultilevel"/>
    <w:lvl w:ilvl="0">
      <w:lvlJc w:val="left"/>
      <w:lvlText w:val="(%1)"/>
      <w:numFmt w:val="decimal"/>
      <w:start w:val="6"/>
    </w:lvl>
  </w:abstractNum>
  <w:abstractNum w:abstractNumId="88">
    <w:nsid w:val="8A29A69"/>
    <w:multiLevelType w:val="hybridMultilevel"/>
    <w:lvl w:ilvl="0">
      <w:lvlJc w:val="left"/>
      <w:lvlText w:val="(%1)"/>
      <w:numFmt w:val="decimal"/>
      <w:start w:val="7"/>
    </w:lvl>
  </w:abstractNum>
  <w:abstractNum w:abstractNumId="89">
    <w:nsid w:val="5A0E9A9F"/>
    <w:multiLevelType w:val="hybridMultilevel"/>
    <w:lvl w:ilvl="0">
      <w:lvlJc w:val="left"/>
      <w:lvlText w:val="%1."/>
      <w:numFmt w:val="decimal"/>
      <w:start w:val="24"/>
    </w:lvl>
  </w:abstractNum>
  <w:abstractNum w:abstractNumId="90">
    <w:nsid w:val="1C3F31CE"/>
    <w:multiLevelType w:val="hybridMultilevel"/>
    <w:lvl w:ilvl="0">
      <w:lvlJc w:val="left"/>
      <w:lvlText w:val="(%1)"/>
      <w:numFmt w:val="decimal"/>
      <w:start w:val="2"/>
    </w:lvl>
    <w:lvl w:ilvl="1">
      <w:lvlJc w:val="left"/>
      <w:lvlText w:val="(%2)"/>
      <w:numFmt w:val="lowerLetter"/>
      <w:start w:val="1"/>
    </w:lvl>
  </w:abstractNum>
  <w:abstractNum w:abstractNumId="91">
    <w:nsid w:val="D28DDE"/>
    <w:multiLevelType w:val="hybridMultilevel"/>
    <w:lvl w:ilvl="0">
      <w:lvlJc w:val="left"/>
      <w:lvlText w:val="%1."/>
      <w:numFmt w:val="decimal"/>
      <w:start w:val="25"/>
    </w:lvl>
  </w:abstractNum>
  <w:abstractNum w:abstractNumId="92">
    <w:nsid w:val="59E3AC4"/>
    <w:multiLevelType w:val="hybridMultilevel"/>
    <w:lvl w:ilvl="0">
      <w:lvlJc w:val="left"/>
      <w:lvlText w:val="(%1)"/>
      <w:numFmt w:val="decimal"/>
      <w:start w:val="2"/>
    </w:lvl>
  </w:abstractNum>
  <w:abstractNum w:abstractNumId="93">
    <w:nsid w:val="5D38CAEA"/>
    <w:multiLevelType w:val="hybridMultilevel"/>
    <w:lvl w:ilvl="0">
      <w:lvlJc w:val="left"/>
      <w:lvlText w:val="%1"/>
      <w:numFmt w:val="decimal"/>
      <w:start w:val="1"/>
    </w:lvl>
    <w:lvl w:ilvl="1">
      <w:lvlJc w:val="left"/>
      <w:lvlText w:val="%2)"/>
      <w:numFmt w:val="lowerLetter"/>
      <w:start w:val="1"/>
    </w:lvl>
  </w:abstractNum>
  <w:abstractNum w:abstractNumId="94">
    <w:nsid w:val="5F4208C"/>
    <w:multiLevelType w:val="hybridMultilevel"/>
    <w:lvl w:ilvl="0">
      <w:lvlJc w:val="left"/>
      <w:lvlText w:val="(%1)"/>
      <w:numFmt w:val="decimal"/>
      <w:start w:val="3"/>
    </w:lvl>
    <w:lvl w:ilvl="1">
      <w:lvlJc w:val="left"/>
      <w:lvlText w:val="%2)"/>
      <w:numFmt w:val="lowerLetter"/>
      <w:start w:val="1"/>
    </w:lvl>
  </w:abstractNum>
  <w:abstractNum w:abstractNumId="95">
    <w:nsid w:val="7C0F10CC"/>
    <w:multiLevelType w:val="hybridMultilevel"/>
    <w:lvl w:ilvl="0">
      <w:lvlJc w:val="left"/>
      <w:lvlText w:val="(%1)"/>
      <w:numFmt w:val="decimal"/>
      <w:start w:val="7"/>
    </w:lvl>
  </w:abstractNum>
  <w:abstractNum w:abstractNumId="96">
    <w:nsid w:val="25EF81D5"/>
    <w:multiLevelType w:val="hybridMultilevel"/>
    <w:lvl w:ilvl="0">
      <w:lvlJc w:val="left"/>
      <w:lvlText w:val="%1"/>
      <w:numFmt w:val="decimal"/>
      <w:start w:val="18"/>
    </w:lvl>
  </w:abstractNum>
  <w:abstractNum w:abstractNumId="97">
    <w:nsid w:val="15A79515"/>
    <w:multiLevelType w:val="hybridMultilevel"/>
    <w:lvl w:ilvl="0">
      <w:lvlJc w:val="left"/>
      <w:lvlText w:val="(%1)"/>
      <w:numFmt w:val="decimal"/>
      <w:start w:val="8"/>
    </w:lvl>
  </w:abstractNum>
  <w:abstractNum w:abstractNumId="98">
    <w:nsid w:val="4B67062"/>
    <w:multiLevelType w:val="hybridMultilevel"/>
    <w:lvl w:ilvl="0">
      <w:lvlJc w:val="left"/>
      <w:lvlText w:val="%1)"/>
      <w:numFmt w:val="lowerLetter"/>
      <w:start w:val="1"/>
    </w:lvl>
  </w:abstractNum>
  <w:abstractNum w:abstractNumId="99">
    <w:nsid w:val="51174123"/>
    <w:multiLevelType w:val="hybridMultilevel"/>
    <w:lvl w:ilvl="0">
      <w:lvlJc w:val="left"/>
      <w:lvlText w:val="%1."/>
      <w:numFmt w:val="decimal"/>
      <w:start w:val="26"/>
    </w:lvl>
  </w:abstractNum>
  <w:abstractNum w:abstractNumId="100">
    <w:nsid w:val="240453CA"/>
    <w:multiLevelType w:val="hybridMultilevel"/>
    <w:lvl w:ilvl="0">
      <w:lvlJc w:val="left"/>
      <w:lvlText w:val="(%1)"/>
      <w:numFmt w:val="decimal"/>
      <w:start w:val="2"/>
    </w:lvl>
  </w:abstractNum>
  <w:abstractNum w:abstractNumId="101">
    <w:nsid w:val="2E326D9A"/>
    <w:multiLevelType w:val="hybridMultilevel"/>
    <w:lvl w:ilvl="0">
      <w:lvlJc w:val="left"/>
      <w:lvlText w:val="%1"/>
      <w:numFmt w:val="decimal"/>
      <w:start w:val="20"/>
    </w:lvl>
  </w:abstractNum>
  <w:abstractNum w:abstractNumId="102">
    <w:nsid w:val="5EB19210"/>
    <w:multiLevelType w:val="hybridMultilevel"/>
    <w:lvl w:ilvl="0">
      <w:lvlJc w:val="left"/>
      <w:lvlText w:val="(%1)"/>
      <w:numFmt w:val="decimal"/>
      <w:start w:val="3"/>
    </w:lvl>
  </w:abstractNum>
  <w:abstractNum w:abstractNumId="103">
    <w:nsid w:val="44DEFF9B"/>
    <w:multiLevelType w:val="hybridMultilevel"/>
    <w:lvl w:ilvl="0">
      <w:lvlJc w:val="left"/>
      <w:lvlText w:val="%1."/>
      <w:numFmt w:val="decimal"/>
      <w:start w:val="27"/>
    </w:lvl>
  </w:abstractNum>
  <w:abstractNum w:abstractNumId="104">
    <w:nsid w:val="1FE7D17D"/>
    <w:multiLevelType w:val="hybridMultilevel"/>
    <w:lvl w:ilvl="0">
      <w:lvlJc w:val="left"/>
      <w:lvlText w:val="%1."/>
      <w:numFmt w:val="decimal"/>
      <w:start w:val="28"/>
    </w:lvl>
  </w:abstractNum>
  <w:abstractNum w:abstractNumId="105">
    <w:nsid w:val="52CBAB2E"/>
    <w:multiLevelType w:val="hybridMultilevel"/>
    <w:lvl w:ilvl="0">
      <w:lvlJc w:val="left"/>
      <w:lvlText w:val="(%1)"/>
      <w:numFmt w:val="decimal"/>
      <w:start w:val="2"/>
    </w:lvl>
  </w:abstractNum>
  <w:abstractNum w:abstractNumId="106">
    <w:nsid w:val="1A6760EF"/>
    <w:multiLevelType w:val="hybridMultilevel"/>
    <w:lvl w:ilvl="0">
      <w:lvlJc w:val="left"/>
      <w:lvlText w:val="%1."/>
      <w:numFmt w:val="decimal"/>
      <w:start w:val="29"/>
    </w:lvl>
  </w:abstractNum>
  <w:abstractNum w:abstractNumId="107">
    <w:nsid w:val="5E52C405"/>
    <w:multiLevelType w:val="hybridMultilevel"/>
    <w:lvl w:ilvl="0">
      <w:lvlJc w:val="left"/>
      <w:lvlText w:val="%1"/>
      <w:numFmt w:val="decimal"/>
      <w:start w:val="21"/>
    </w:lvl>
  </w:abstractNum>
  <w:abstractNum w:abstractNumId="108">
    <w:nsid w:val="486447"/>
    <w:multiLevelType w:val="hybridMultilevel"/>
    <w:lvl w:ilvl="0">
      <w:lvlJc w:val="left"/>
      <w:lvlText w:val="(%1)"/>
      <w:numFmt w:val="decimal"/>
      <w:start w:val="2"/>
    </w:lvl>
  </w:abstractNum>
  <w:abstractNum w:abstractNumId="109">
    <w:nsid w:val="61E90D1E"/>
    <w:multiLevelType w:val="hybridMultilevel"/>
    <w:lvl w:ilvl="0">
      <w:lvlJc w:val="left"/>
      <w:lvlText w:val="(%1)"/>
      <w:numFmt w:val="decimal"/>
      <w:start w:val="5"/>
    </w:lvl>
  </w:abstractNum>
  <w:abstractNum w:abstractNumId="110">
    <w:nsid w:val="44BD67E6"/>
    <w:multiLevelType w:val="hybridMultilevel"/>
    <w:lvl w:ilvl="0">
      <w:lvlJc w:val="left"/>
      <w:lvlText w:val="(%1)"/>
      <w:numFmt w:val="decimal"/>
      <w:start w:val="6"/>
    </w:lvl>
  </w:abstractNum>
  <w:abstractNum w:abstractNumId="111">
    <w:nsid w:val="325102D3"/>
    <w:multiLevelType w:val="hybridMultilevel"/>
    <w:lvl w:ilvl="0">
      <w:lvlJc w:val="left"/>
      <w:lvlText w:val="%1."/>
      <w:numFmt w:val="decimal"/>
      <w:start w:val="30"/>
    </w:lvl>
  </w:abstractNum>
  <w:abstractNum w:abstractNumId="112">
    <w:nsid w:val="3D9579BA"/>
    <w:multiLevelType w:val="hybridMultilevel"/>
    <w:lvl w:ilvl="0">
      <w:lvlJc w:val="left"/>
      <w:lvlText w:val="%1)"/>
      <w:numFmt w:val="lowerLetter"/>
      <w:start w:val="1"/>
    </w:lvl>
  </w:abstractNum>
  <w:abstractNum w:abstractNumId="113">
    <w:nsid w:val="ACD4C11"/>
    <w:multiLevelType w:val="hybridMultilevel"/>
    <w:lvl w:ilvl="0">
      <w:lvlJc w:val="left"/>
      <w:lvlText w:val="%1"/>
      <w:numFmt w:val="decimal"/>
      <w:start w:val="22"/>
    </w:lvl>
  </w:abstractNum>
  <w:abstractNum w:abstractNumId="114">
    <w:nsid w:val="111817CF"/>
    <w:multiLevelType w:val="hybridMultilevel"/>
    <w:lvl w:ilvl="0">
      <w:lvlJc w:val="left"/>
      <w:lvlText w:val="%1."/>
      <w:numFmt w:val="decimal"/>
      <w:start w:val="31"/>
    </w:lvl>
  </w:abstractNum>
  <w:abstractNum w:abstractNumId="115">
    <w:nsid w:val="76C8B568"/>
    <w:multiLevelType w:val="hybridMultilevel"/>
    <w:lvl w:ilvl="0">
      <w:lvlJc w:val="left"/>
      <w:lvlText w:val="%1."/>
      <w:numFmt w:val="decimal"/>
      <w:start w:val="32"/>
    </w:lvl>
  </w:abstractNum>
  <w:abstractNum w:abstractNumId="116">
    <w:nsid w:val="3ACC76B1"/>
    <w:multiLevelType w:val="hybridMultilevel"/>
    <w:lvl w:ilvl="0">
      <w:lvlJc w:val="left"/>
      <w:lvlText w:val="(%1)"/>
      <w:numFmt w:val="decimal"/>
      <w:start w:val="4"/>
    </w:lvl>
  </w:abstractNum>
  <w:abstractNum w:abstractNumId="117">
    <w:nsid w:val="588B1C7C"/>
    <w:multiLevelType w:val="hybridMultilevel"/>
    <w:lvl w:ilvl="0">
      <w:lvlJc w:val="left"/>
      <w:lvlText w:val="%1)"/>
      <w:numFmt w:val="lowerRoman"/>
      <w:start w:val="1"/>
    </w:lvl>
    <w:lvl w:ilvl="1">
      <w:lvlJc w:val="left"/>
      <w:lvlText w:val="(%2)"/>
      <w:numFmt w:val="lowerRoman"/>
      <w:start w:val="1"/>
    </w:lvl>
  </w:abstractNum>
  <w:abstractNum w:abstractNumId="118">
    <w:nsid w:val="62682D8B"/>
    <w:multiLevelType w:val="hybridMultilevel"/>
    <w:lvl w:ilvl="0">
      <w:lvlJc w:val="left"/>
      <w:lvlText w:val="(%1)"/>
      <w:numFmt w:val="lowerRoman"/>
      <w:start w:val="2"/>
    </w:lvl>
  </w:abstractNum>
  <w:abstractNum w:abstractNumId="119">
    <w:nsid w:val="436F111A"/>
    <w:multiLevelType w:val="hybridMultilevel"/>
    <w:lvl w:ilvl="0">
      <w:lvlJc w:val="left"/>
      <w:lvlText w:val="%1."/>
      <w:numFmt w:val="decimal"/>
      <w:start w:val="33"/>
    </w:lvl>
  </w:abstractNum>
  <w:abstractNum w:abstractNumId="120">
    <w:nsid w:val="3299B71B"/>
    <w:multiLevelType w:val="hybridMultilevel"/>
    <w:lvl w:ilvl="0">
      <w:lvlJc w:val="left"/>
      <w:lvlText w:val="%1"/>
      <w:numFmt w:val="decimal"/>
      <w:start w:val="1"/>
    </w:lvl>
    <w:lvl w:ilvl="1">
      <w:lvlJc w:val="left"/>
      <w:lvlText w:val="%2)"/>
      <w:numFmt w:val="lowerLetter"/>
      <w:start w:val="1"/>
    </w:lvl>
  </w:abstractNum>
  <w:abstractNum w:abstractNumId="121">
    <w:nsid w:val="7EA75F5A"/>
    <w:multiLevelType w:val="hybridMultilevel"/>
    <w:lvl w:ilvl="0">
      <w:lvlJc w:val="left"/>
      <w:lvlText w:val="(%1)"/>
      <w:numFmt w:val="decimal"/>
      <w:start w:val="2"/>
    </w:lvl>
    <w:lvl w:ilvl="1">
      <w:lvlJc w:val="left"/>
      <w:lvlText w:val="%2)"/>
      <w:numFmt w:val="lowerLetter"/>
      <w:start w:val="1"/>
    </w:lvl>
  </w:abstractNum>
  <w:abstractNum w:abstractNumId="122">
    <w:nsid w:val="44419EF9"/>
    <w:multiLevelType w:val="hybridMultilevel"/>
    <w:lvl w:ilvl="0">
      <w:lvlJc w:val="left"/>
      <w:lvlText w:val="(%1)"/>
      <w:numFmt w:val="decimal"/>
      <w:start w:val="3"/>
    </w:lvl>
  </w:abstractNum>
  <w:abstractNum w:abstractNumId="123">
    <w:nsid w:val="3837F1DF"/>
    <w:multiLevelType w:val="hybridMultilevel"/>
    <w:lvl w:ilvl="0">
      <w:lvlJc w:val="left"/>
      <w:lvlText w:val="%1."/>
      <w:numFmt w:val="decimal"/>
      <w:start w:val="34"/>
    </w:lvl>
  </w:abstractNum>
  <w:abstractNum w:abstractNumId="124">
    <w:nsid w:val="5BE02A44"/>
    <w:multiLevelType w:val="hybridMultilevel"/>
    <w:lvl w:ilvl="0">
      <w:lvlJc w:val="left"/>
      <w:lvlText w:val="(%1)"/>
      <w:numFmt w:val="decimal"/>
      <w:start w:val="2"/>
    </w:lvl>
  </w:abstractNum>
  <w:abstractNum w:abstractNumId="125">
    <w:nsid w:val="4A35BF85"/>
    <w:multiLevelType w:val="hybridMultilevel"/>
    <w:lvl w:ilvl="0">
      <w:lvlJc w:val="left"/>
      <w:lvlText w:val="%1."/>
      <w:numFmt w:val="decimal"/>
      <w:start w:val="35"/>
    </w:lvl>
  </w:abstractNum>
  <w:abstractNum w:abstractNumId="126">
    <w:nsid w:val="344702AC"/>
    <w:multiLevelType w:val="hybridMultilevel"/>
    <w:lvl w:ilvl="0">
      <w:lvlJc w:val="left"/>
      <w:lvlText w:val="%1."/>
      <w:numFmt w:val="decimal"/>
      <w:start w:val="36"/>
    </w:lvl>
  </w:abstractNum>
  <w:abstractNum w:abstractNumId="127">
    <w:nsid w:val="1CFAC1A"/>
    <w:multiLevelType w:val="hybridMultilevel"/>
    <w:lvl w:ilvl="0">
      <w:lvlJc w:val="left"/>
      <w:lvlText w:val="%1."/>
      <w:numFmt w:val="decimal"/>
      <w:start w:val="37"/>
    </w:lvl>
  </w:abstractNum>
  <w:abstractNum w:abstractNumId="128">
    <w:nsid w:val="5FDD549A"/>
    <w:multiLevelType w:val="hybridMultilevel"/>
    <w:lvl w:ilvl="0">
      <w:lvlJc w:val="left"/>
      <w:lvlText w:val="%1."/>
      <w:numFmt w:val="decimal"/>
      <w:start w:val="38"/>
    </w:lvl>
  </w:abstractNum>
  <w:abstractNum w:abstractNumId="129">
    <w:nsid w:val="38FD730E"/>
    <w:multiLevelType w:val="hybridMultilevel"/>
    <w:lvl w:ilvl="0">
      <w:lvlJc w:val="left"/>
      <w:lvlText w:val="(%1)"/>
      <w:numFmt w:val="decimal"/>
      <w:start w:val="2"/>
    </w:lvl>
  </w:abstractNum>
  <w:abstractNum w:abstractNumId="130">
    <w:nsid w:val="52E6ED3D"/>
    <w:multiLevelType w:val="hybridMultilevel"/>
    <w:lvl w:ilvl="0">
      <w:lvlJc w:val="left"/>
      <w:lvlText w:val="%1."/>
      <w:numFmt w:val="decimal"/>
      <w:start w:val="39"/>
    </w:lvl>
  </w:abstractNum>
  <w:abstractNum w:abstractNumId="131">
    <w:nsid w:val="3E1A864"/>
    <w:multiLevelType w:val="hybridMultilevel"/>
    <w:lvl w:ilvl="0">
      <w:lvlJc w:val="left"/>
      <w:lvlText w:val="%1."/>
      <w:numFmt w:val="decimal"/>
      <w:start w:val="40"/>
    </w:lvl>
  </w:abstractNum>
  <w:abstractNum w:abstractNumId="132">
    <w:nsid w:val="672FE0A8"/>
    <w:multiLevelType w:val="hybridMultilevel"/>
    <w:lvl w:ilvl="0">
      <w:lvlJc w:val="left"/>
      <w:lvlText w:val="%1)"/>
      <w:numFmt w:val="lowerLetter"/>
      <w:start w:val="1"/>
    </w:lvl>
  </w:abstractNum>
  <w:abstractNum w:abstractNumId="133">
    <w:nsid w:val="31987F4D"/>
    <w:multiLevelType w:val="hybridMultilevel"/>
    <w:lvl w:ilvl="0">
      <w:lvlJc w:val="left"/>
      <w:lvlText w:val="%1."/>
      <w:numFmt w:val="decimal"/>
      <w:start w:val="41"/>
    </w:lvl>
  </w:abstractNum>
  <w:abstractNum w:abstractNumId="134">
    <w:nsid w:val="48C0A800"/>
    <w:multiLevelType w:val="hybridMultilevel"/>
    <w:lvl w:ilvl="0">
      <w:lvlJc w:val="left"/>
      <w:lvlText w:val="(%1)"/>
      <w:numFmt w:val="decimal"/>
      <w:start w:val="2"/>
    </w:lvl>
  </w:abstractNum>
  <w:abstractNum w:abstractNumId="135">
    <w:nsid w:val="717B226"/>
    <w:multiLevelType w:val="hybridMultilevel"/>
    <w:lvl w:ilvl="0">
      <w:lvlJc w:val="left"/>
      <w:lvlText w:val="(%1)"/>
      <w:numFmt w:val="decimal"/>
      <w:start w:val="3"/>
    </w:lvl>
  </w:abstractNum>
  <w:abstractNum w:abstractNumId="136">
    <w:nsid w:val="4642A7B"/>
    <w:multiLevelType w:val="hybridMultilevel"/>
    <w:lvl w:ilvl="0">
      <w:lvlJc w:val="left"/>
      <w:lvlText w:val="%1."/>
      <w:numFmt w:val="decimal"/>
      <w:start w:val="42"/>
    </w:lvl>
  </w:abstractNum>
  <w:abstractNum w:abstractNumId="137">
    <w:nsid w:val="632808EF"/>
    <w:multiLevelType w:val="hybridMultilevel"/>
    <w:lvl w:ilvl="0">
      <w:lvlJc w:val="left"/>
      <w:lvlText w:val="%1."/>
      <w:numFmt w:val="decimal"/>
      <w:start w:val="43"/>
    </w:lvl>
  </w:abstractNum>
  <w:abstractNum w:abstractNumId="138">
    <w:nsid w:val="656A762B"/>
    <w:multiLevelType w:val="hybridMultilevel"/>
    <w:lvl w:ilvl="0">
      <w:lvlJc w:val="left"/>
      <w:lvlText w:val="%1"/>
      <w:numFmt w:val="decimal"/>
      <w:start w:val="23"/>
    </w:lvl>
  </w:abstractNum>
  <w:abstractNum w:abstractNumId="139">
    <w:nsid w:val="4AC8EC3"/>
    <w:multiLevelType w:val="hybridMultilevel"/>
    <w:lvl w:ilvl="0">
      <w:lvlJc w:val="left"/>
      <w:lvlText w:val="(%1)"/>
      <w:numFmt w:val="decimal"/>
      <w:start w:val="2"/>
    </w:lvl>
  </w:abstractNum>
  <w:abstractNum w:abstractNumId="140">
    <w:nsid w:val="4511160D"/>
    <w:multiLevelType w:val="hybridMultilevel"/>
    <w:lvl w:ilvl="0">
      <w:lvlJc w:val="left"/>
      <w:lvlText w:val="%1."/>
      <w:numFmt w:val="decimal"/>
      <w:start w:val="45"/>
    </w:lvl>
  </w:abstractNum>
  <w:abstractNum w:abstractNumId="141">
    <w:nsid w:val="2A27DE11"/>
    <w:multiLevelType w:val="hybridMultilevel"/>
    <w:lvl w:ilvl="0">
      <w:lvlJc w:val="left"/>
      <w:lvlText w:val="(%1)"/>
      <w:numFmt w:val="decimal"/>
      <w:start w:val="2"/>
    </w:lvl>
  </w:abstractNum>
  <w:abstractNum w:abstractNumId="142">
    <w:nsid w:val="36FD9196"/>
    <w:multiLevelType w:val="hybridMultilevel"/>
    <w:lvl w:ilvl="0">
      <w:lvlJc w:val="left"/>
      <w:lvlText w:val="%1."/>
      <w:numFmt w:val="decimal"/>
      <w:start w:val="46"/>
    </w:lvl>
  </w:abstractNum>
  <w:abstractNum w:abstractNumId="143">
    <w:nsid w:val="2A68FC8"/>
    <w:multiLevelType w:val="hybridMultilevel"/>
    <w:lvl w:ilvl="0">
      <w:lvlJc w:val="left"/>
      <w:lvlText w:val="%1."/>
      <w:numFmt w:val="decimal"/>
      <w:start w:val="47"/>
    </w:lvl>
  </w:abstractNum>
  <w:abstractNum w:abstractNumId="144">
    <w:nsid w:val="34F52A23"/>
    <w:multiLevelType w:val="hybridMultilevel"/>
    <w:lvl w:ilvl="0">
      <w:lvlJc w:val="left"/>
      <w:lvlText w:val="%1"/>
      <w:numFmt w:val="decimal"/>
      <w:start w:val="24"/>
    </w:lvl>
  </w:abstractNum>
  <w:abstractNum w:abstractNumId="145">
    <w:nsid w:val="4815A966"/>
    <w:multiLevelType w:val="hybridMultilevel"/>
    <w:lvl w:ilvl="0">
      <w:lvlJc w:val="left"/>
      <w:lvlText w:val="(%1)"/>
      <w:numFmt w:val="decimal"/>
      <w:start w:val="2"/>
    </w:lvl>
  </w:abstractNum>
  <w:abstractNum w:abstractNumId="146">
    <w:nsid w:val="796F4530"/>
    <w:multiLevelType w:val="hybridMultilevel"/>
    <w:lvl w:ilvl="0">
      <w:lvlJc w:val="left"/>
      <w:lvlText w:val="%1."/>
      <w:numFmt w:val="decimal"/>
      <w:start w:val="48"/>
    </w:lvl>
  </w:abstractNum>
  <w:abstractNum w:abstractNumId="147">
    <w:nsid w:val="6FC1A0D4"/>
    <w:multiLevelType w:val="hybridMultilevel"/>
    <w:lvl w:ilvl="0">
      <w:lvlJc w:val="left"/>
      <w:lvlText w:val="%1."/>
      <w:numFmt w:val="decimal"/>
      <w:start w:val="49"/>
    </w:lvl>
    <w:lvl w:ilvl="1">
      <w:lvlJc w:val="left"/>
      <w:lvlText w:val="(%2)"/>
      <w:numFmt w:val="decimal"/>
      <w:start w:val="2"/>
    </w:lvl>
  </w:abstractNum>
  <w:abstractNum w:abstractNumId="148">
    <w:nsid w:val="20A0C5E2"/>
    <w:multiLevelType w:val="hybridMultilevel"/>
    <w:lvl w:ilvl="0">
      <w:lvlJc w:val="left"/>
      <w:lvlText w:val="%1"/>
      <w:numFmt w:val="decimal"/>
      <w:start w:val="1"/>
    </w:lvl>
    <w:lvl w:ilvl="1">
      <w:lvlJc w:val="left"/>
      <w:lvlText w:val="(%2)"/>
      <w:numFmt w:val="decimal"/>
      <w:start w:val="4"/>
    </w:lvl>
  </w:abstractNum>
  <w:abstractNum w:abstractNumId="149">
    <w:nsid w:val="5BD772BB"/>
    <w:multiLevelType w:val="hybridMultilevel"/>
    <w:lvl w:ilvl="0">
      <w:lvlJc w:val="left"/>
      <w:lvlText w:val="(%1)"/>
      <w:numFmt w:val="decimal"/>
      <w:start w:val="5"/>
    </w:lvl>
    <w:lvl w:ilvl="1">
      <w:lvlJc w:val="left"/>
      <w:lvlText w:val="%2"/>
      <w:numFmt w:val="decimal"/>
      <w:start w:val="1"/>
    </w:lvl>
  </w:abstractNum>
  <w:abstractNum w:abstractNumId="150">
    <w:nsid w:val="3330B1EE"/>
    <w:multiLevelType w:val="hybridMultilevel"/>
    <w:lvl w:ilvl="0">
      <w:lvlJc w:val="left"/>
      <w:lvlText w:val="%1."/>
      <w:numFmt w:val="decimal"/>
      <w:start w:val="50"/>
    </w:lvl>
  </w:abstractNum>
  <w:abstractNum w:abstractNumId="151">
    <w:nsid w:val="533A7CFD"/>
    <w:multiLevelType w:val="hybridMultilevel"/>
    <w:lvl w:ilvl="0">
      <w:lvlJc w:val="left"/>
      <w:lvlText w:val="(%1)"/>
      <w:numFmt w:val="decimal"/>
      <w:start w:val="2"/>
    </w:lvl>
  </w:abstractNum>
  <w:abstractNum w:abstractNumId="152">
    <w:nsid w:val="5A7ED215"/>
    <w:multiLevelType w:val="hybridMultilevel"/>
    <w:lvl w:ilvl="0">
      <w:lvlJc w:val="left"/>
      <w:lvlText w:val="%1."/>
      <w:numFmt w:val="decimal"/>
      <w:start w:val="51"/>
    </w:lvl>
  </w:abstractNum>
  <w:abstractNum w:abstractNumId="153">
    <w:nsid w:val="777250E7"/>
    <w:multiLevelType w:val="hybridMultilevel"/>
    <w:lvl w:ilvl="0">
      <w:lvlJc w:val="left"/>
      <w:lvlText w:val="(%1)"/>
      <w:numFmt w:val="decimal"/>
      <w:start w:val="2"/>
    </w:lvl>
  </w:abstractNum>
  <w:abstractNum w:abstractNumId="154">
    <w:nsid w:val="B726EDC"/>
    <w:multiLevelType w:val="hybridMultilevel"/>
    <w:lvl w:ilvl="0">
      <w:lvlJc w:val="left"/>
      <w:lvlText w:val="%1."/>
      <w:numFmt w:val="decimal"/>
      <w:start w:val="52"/>
    </w:lvl>
    <w:lvl w:ilvl="1">
      <w:lvlJc w:val="left"/>
      <w:lvlText w:val="(%2)"/>
      <w:numFmt w:val="decimal"/>
      <w:start w:val="3"/>
    </w:lvl>
  </w:abstractNum>
  <w:abstractNum w:abstractNumId="155">
    <w:nsid w:val="365EFC5A"/>
    <w:multiLevelType w:val="hybridMultilevel"/>
    <w:lvl w:ilvl="0">
      <w:lvlJc w:val="left"/>
      <w:lvlText w:val="(%1)"/>
      <w:numFmt w:val="decimal"/>
      <w:start w:val="4"/>
    </w:lvl>
    <w:lvl w:ilvl="1">
      <w:lvlJc w:val="left"/>
      <w:lvlText w:val="(%2)"/>
      <w:numFmt w:val="decimal"/>
      <w:start w:val="6"/>
    </w:lvl>
  </w:abstractNum>
  <w:abstractNum w:abstractNumId="156">
    <w:nsid w:val="41A8106C"/>
    <w:multiLevelType w:val="hybridMultilevel"/>
    <w:lvl w:ilvl="0">
      <w:lvlJc w:val="left"/>
      <w:lvlText w:val="(%1)"/>
      <w:numFmt w:val="decimal"/>
      <w:start w:val="7"/>
    </w:lvl>
    <w:lvl w:ilvl="1">
      <w:lvlJc w:val="left"/>
      <w:lvlText w:val="%2"/>
      <w:numFmt w:val="decimal"/>
      <w:start w:val="1"/>
    </w:lvl>
  </w:abstractNum>
  <w:abstractNum w:abstractNumId="157">
    <w:nsid w:val="3FB97188"/>
    <w:multiLevelType w:val="hybridMultilevel"/>
    <w:lvl w:ilvl="0">
      <w:lvlJc w:val="left"/>
      <w:lvlText w:val="%1."/>
      <w:numFmt w:val="decimal"/>
      <w:start w:val="53"/>
    </w:lvl>
  </w:abstractNum>
  <w:abstractNum w:abstractNumId="158">
    <w:nsid w:val="382EA874"/>
    <w:multiLevelType w:val="hybridMultilevel"/>
    <w:lvl w:ilvl="0">
      <w:lvlJc w:val="left"/>
      <w:lvlText w:val="(%1)"/>
      <w:numFmt w:val="decimal"/>
      <w:start w:val="2"/>
    </w:lvl>
    <w:lvl w:ilvl="1">
      <w:lvlJc w:val="left"/>
      <w:lvlText w:val="(%2)"/>
      <w:numFmt w:val="decimal"/>
      <w:start w:val="3"/>
    </w:lvl>
  </w:abstractNum>
  <w:abstractNum w:abstractNumId="159">
    <w:nsid w:val="21856507"/>
    <w:multiLevelType w:val="hybridMultilevel"/>
    <w:lvl w:ilvl="0">
      <w:lvlJc w:val="left"/>
      <w:lvlText w:val="%1."/>
      <w:numFmt w:val="decimal"/>
      <w:start w:val="54"/>
    </w:lvl>
  </w:abstractNum>
  <w:abstractNum w:abstractNumId="160">
    <w:nsid w:val="78B6E496"/>
    <w:multiLevelType w:val="hybridMultilevel"/>
    <w:lvl w:ilvl="0">
      <w:lvlJc w:val="left"/>
      <w:lvlText w:val="%1."/>
      <w:numFmt w:val="decimal"/>
      <w:start w:val="55"/>
    </w:lvl>
  </w:abstractNum>
  <w:abstractNum w:abstractNumId="161">
    <w:nsid w:val="B1595B1"/>
    <w:multiLevelType w:val="hybridMultilevel"/>
    <w:lvl w:ilvl="0">
      <w:lvlJc w:val="left"/>
      <w:lvlText w:val="%1."/>
      <w:numFmt w:val="decimal"/>
      <w:start w:val="56"/>
    </w:lvl>
  </w:abstractNum>
  <w:abstractNum w:abstractNumId="162">
    <w:nsid w:val="25670D6B"/>
    <w:multiLevelType w:val="hybridMultilevel"/>
    <w:lvl w:ilvl="0">
      <w:lvlJc w:val="left"/>
      <w:lvlText w:val="%1."/>
      <w:numFmt w:val="decimal"/>
      <w:start w:val="57"/>
    </w:lvl>
    <w:lvl w:ilvl="1">
      <w:lvlJc w:val="left"/>
      <w:lvlText w:val="%2)"/>
      <w:numFmt w:val="lowerLetter"/>
      <w:start w:val="1"/>
    </w:lvl>
  </w:abstractNum>
  <w:abstractNum w:abstractNumId="163">
    <w:nsid w:val="5FE6C53F"/>
    <w:multiLevelType w:val="hybridMultilevel"/>
    <w:lvl w:ilvl="0">
      <w:lvlJc w:val="left"/>
      <w:lvlText w:val="(%1)"/>
      <w:numFmt w:val="decimal"/>
      <w:start w:val="2"/>
    </w:lvl>
  </w:abstractNum>
  <w:abstractNum w:abstractNumId="164">
    <w:nsid w:val="3CAE14FE"/>
    <w:multiLevelType w:val="hybridMultilevel"/>
    <w:lvl w:ilvl="0">
      <w:lvlJc w:val="left"/>
      <w:lvlText w:val="(%1)"/>
      <w:numFmt w:val="decimal"/>
      <w:start w:val="5"/>
    </w:lvl>
    <w:lvl w:ilvl="1">
      <w:lvlJc w:val="left"/>
      <w:lvlText w:val="(%2)"/>
      <w:numFmt w:val="lowerLetter"/>
      <w:start w:val="1"/>
    </w:lvl>
  </w:abstractNum>
  <w:abstractNum w:abstractNumId="165">
    <w:nsid w:val="6E27B56B"/>
    <w:multiLevelType w:val="hybridMultilevel"/>
    <w:lvl w:ilvl="0">
      <w:lvlJc w:val="left"/>
      <w:lvlText w:val="%1."/>
      <w:numFmt w:val="decimal"/>
      <w:start w:val="58"/>
    </w:lvl>
  </w:abstractNum>
  <w:abstractNum w:abstractNumId="166">
    <w:nsid w:val="66FE7765"/>
    <w:multiLevelType w:val="hybridMultilevel"/>
    <w:lvl w:ilvl="0">
      <w:lvlJc w:val="left"/>
      <w:lvlText w:val="%1."/>
      <w:numFmt w:val="decimal"/>
      <w:start w:val="59"/>
    </w:lvl>
  </w:abstractNum>
  <w:abstractNum w:abstractNumId="167">
    <w:nsid w:val="41123F79"/>
    <w:multiLevelType w:val="hybridMultilevel"/>
    <w:lvl w:ilvl="0">
      <w:lvlJc w:val="left"/>
      <w:lvlText w:val="%1."/>
      <w:numFmt w:val="decimal"/>
      <w:start w:val="60"/>
    </w:lvl>
  </w:abstractNum>
  <w:abstractNum w:abstractNumId="168">
    <w:nsid w:val="514FBE5A"/>
    <w:multiLevelType w:val="hybridMultilevel"/>
    <w:lvl w:ilvl="0">
      <w:lvlJc w:val="left"/>
      <w:lvlText w:val="%1."/>
      <w:numFmt w:val="decimal"/>
      <w:start w:val="61"/>
    </w:lvl>
  </w:abstractNum>
  <w:abstractNum w:abstractNumId="169">
    <w:nsid w:val="4C68ED90"/>
    <w:multiLevelType w:val="hybridMultilevel"/>
    <w:lvl w:ilvl="0">
      <w:lvlJc w:val="left"/>
      <w:lvlText w:val="%1)"/>
      <w:numFmt w:val="lowerLetter"/>
      <w:start w:val="1"/>
    </w:lvl>
  </w:abstractNum>
  <w:abstractNum w:abstractNumId="170">
    <w:nsid w:val="45BECE3C"/>
    <w:multiLevelType w:val="hybridMultilevel"/>
    <w:lvl w:ilvl="0">
      <w:lvlJc w:val="left"/>
      <w:lvlText w:val="%1"/>
      <w:numFmt w:val="decimal"/>
      <w:start w:val="25"/>
    </w:lvl>
  </w:abstractNum>
  <w:abstractNum w:abstractNumId="171">
    <w:nsid w:val="1660D468"/>
    <w:multiLevelType w:val="hybridMultilevel"/>
    <w:lvl w:ilvl="0">
      <w:lvlJc w:val="left"/>
      <w:lvlText w:val="%1."/>
      <w:numFmt w:val="decimal"/>
      <w:start w:val="62"/>
    </w:lvl>
    <w:lvl w:ilvl="1">
      <w:lvlJc w:val="left"/>
      <w:lvlText w:val="(%2)"/>
      <w:numFmt w:val="lowerLetter"/>
      <w:start w:val="1"/>
    </w:lvl>
  </w:abstractNum>
  <w:abstractNum w:abstractNumId="172">
    <w:nsid w:val="7690CBA1"/>
    <w:multiLevelType w:val="hybridMultilevel"/>
    <w:lvl w:ilvl="0">
      <w:lvlJc w:val="left"/>
      <w:lvlText w:val="(%1)"/>
      <w:numFmt w:val="decimal"/>
      <w:start w:val="2"/>
    </w:lvl>
  </w:abstractNum>
  <w:abstractNum w:abstractNumId="173">
    <w:nsid w:val="7CBC5FD3"/>
    <w:multiLevelType w:val="hybridMultilevel"/>
    <w:lvl w:ilvl="0">
      <w:lvlJc w:val="left"/>
      <w:lvlText w:val="%1."/>
      <w:numFmt w:val="decimal"/>
      <w:start w:val="63"/>
    </w:lvl>
  </w:abstractNum>
  <w:abstractNum w:abstractNumId="174">
    <w:nsid w:val="19076430"/>
    <w:multiLevelType w:val="hybridMultilevel"/>
    <w:lvl w:ilvl="0">
      <w:lvlJc w:val="left"/>
      <w:lvlText w:val="%1"/>
      <w:numFmt w:val="decimal"/>
      <w:start w:val="27"/>
    </w:lvl>
  </w:abstractNum>
  <w:abstractNum w:abstractNumId="175">
    <w:nsid w:val="2B85F5C4"/>
    <w:multiLevelType w:val="hybridMultilevel"/>
    <w:lvl w:ilvl="0">
      <w:lvlJc w:val="left"/>
      <w:lvlText w:val="%1."/>
      <w:numFmt w:val="decimal"/>
      <w:start w:val="28"/>
    </w:lvl>
  </w:abstractNum>
  <w:abstractNum w:abstractNumId="176">
    <w:nsid w:val="44D20939"/>
    <w:multiLevelType w:val="hybridMultilevel"/>
    <w:lvl w:ilvl="0">
      <w:lvlJc w:val="left"/>
      <w:lvlText w:val="%1"/>
      <w:numFmt w:val="decimal"/>
      <w:start w:val="28"/>
    </w:lvl>
  </w:abstractNum>
  <w:abstractNum w:abstractNumId="177">
    <w:nsid w:val="1276A960"/>
    <w:multiLevelType w:val="hybridMultilevel"/>
    <w:lvl w:ilvl="0">
      <w:lvlJc w:val="left"/>
      <w:lvlText w:val="%1)"/>
      <w:numFmt w:val="lowerLetter"/>
      <w:start w:val="2"/>
    </w:lvl>
    <w:lvl w:ilvl="1">
      <w:lvlJc w:val="left"/>
      <w:lvlText w:val="(%2)"/>
      <w:numFmt w:val="lowerRoman"/>
      <w:start w:val="1"/>
    </w:lvl>
  </w:abstractNum>
  <w:abstractNum w:abstractNumId="178">
    <w:nsid w:val="1B479698"/>
    <w:multiLevelType w:val="hybridMultilevel"/>
    <w:lvl w:ilvl="0">
      <w:lvlJc w:val="left"/>
      <w:lvlText w:val="%1."/>
      <w:numFmt w:val="decimal"/>
      <w:start w:val="64"/>
    </w:lvl>
    <w:lvl w:ilvl="1">
      <w:lvlJc w:val="left"/>
      <w:lvlText w:val="(%2)"/>
      <w:numFmt w:val="lowerLetter"/>
      <w:start w:val="1"/>
    </w:lvl>
  </w:abstractNum>
  <w:abstractNum w:abstractNumId="179">
    <w:nsid w:val="6572CF1B"/>
    <w:multiLevelType w:val="hybridMultilevel"/>
    <w:lvl w:ilvl="0">
      <w:lvlJc w:val="left"/>
      <w:lvlText w:val="(%1)"/>
      <w:numFmt w:val="decimal"/>
      <w:start w:val="2"/>
    </w:lvl>
  </w:abstractNum>
  <w:abstractNum w:abstractNumId="180">
    <w:nsid w:val="6E4E1C1B"/>
    <w:multiLevelType w:val="hybridMultilevel"/>
    <w:lvl w:ilvl="0">
      <w:lvlJc w:val="left"/>
      <w:lvlText w:val="%1."/>
      <w:numFmt w:val="decimal"/>
      <w:start w:val="65"/>
    </w:lvl>
  </w:abstractNum>
  <w:abstractNum w:abstractNumId="181">
    <w:nsid w:val="4E784887"/>
    <w:multiLevelType w:val="hybridMultilevel"/>
    <w:lvl w:ilvl="0">
      <w:lvlJc w:val="left"/>
      <w:lvlText w:val="%1."/>
      <w:numFmt w:val="decimal"/>
      <w:start w:val="66"/>
    </w:lvl>
  </w:abstractNum>
  <w:abstractNum w:abstractNumId="182">
    <w:nsid w:val="38AD4C18"/>
    <w:multiLevelType w:val="hybridMultilevel"/>
    <w:lvl w:ilvl="0">
      <w:lvlJc w:val="left"/>
      <w:lvlText w:val="%1."/>
      <w:numFmt w:val="decimal"/>
      <w:start w:val="67"/>
    </w:lvl>
  </w:abstractNum>
  <w:abstractNum w:abstractNumId="183">
    <w:nsid w:val="48CCEE31"/>
    <w:multiLevelType w:val="hybridMultilevel"/>
    <w:lvl w:ilvl="0">
      <w:lvlJc w:val="left"/>
      <w:lvlText w:val="%1)"/>
      <w:numFmt w:val="lowerLetter"/>
      <w:start w:val="1"/>
    </w:lvl>
  </w:abstractNum>
  <w:abstractNum w:abstractNumId="184">
    <w:nsid w:val="45EA996E"/>
    <w:multiLevelType w:val="hybridMultilevel"/>
    <w:lvl w:ilvl="0">
      <w:lvlJc w:val="left"/>
      <w:lvlText w:val="%1."/>
      <w:numFmt w:val="decimal"/>
      <w:start w:val="68"/>
    </w:lvl>
  </w:abstractNum>
  <w:abstractNum w:abstractNumId="185">
    <w:nsid w:val="441FBAF4"/>
    <w:multiLevelType w:val="hybridMultilevel"/>
    <w:lvl w:ilvl="0">
      <w:lvlJc w:val="left"/>
      <w:lvlText w:val="%1."/>
      <w:numFmt w:val="decimal"/>
      <w:start w:val="69"/>
    </w:lvl>
  </w:abstractNum>
  <w:abstractNum w:abstractNumId="186">
    <w:nsid w:val="7F2BEA8B"/>
    <w:multiLevelType w:val="hybridMultilevel"/>
    <w:lvl w:ilvl="0">
      <w:lvlJc w:val="left"/>
      <w:lvlText w:val="%1"/>
      <w:numFmt w:val="decimal"/>
      <w:start w:val="29"/>
    </w:lvl>
  </w:abstractNum>
  <w:abstractNum w:abstractNumId="187">
    <w:nsid w:val="792A9DB"/>
    <w:multiLevelType w:val="hybridMultilevel"/>
    <w:lvl w:ilvl="0">
      <w:lvlJc w:val="left"/>
      <w:lvlText w:val="(%1)"/>
      <w:numFmt w:val="decimal"/>
      <w:start w:val="2"/>
    </w:lvl>
  </w:abstractNum>
  <w:abstractNum w:abstractNumId="188">
    <w:nsid w:val="3D92C7D"/>
    <w:multiLevelType w:val="hybridMultilevel"/>
    <w:lvl w:ilvl="0">
      <w:lvlJc w:val="left"/>
      <w:lvlText w:val="(%1)"/>
      <w:numFmt w:val="decimal"/>
      <w:start w:val="6"/>
    </w:lvl>
  </w:abstractNum>
  <w:abstractNum w:abstractNumId="189">
    <w:nsid w:val="375A92FF"/>
    <w:multiLevelType w:val="hybridMultilevel"/>
    <w:lvl w:ilvl="0">
      <w:lvlJc w:val="left"/>
      <w:lvlText w:val="%1"/>
      <w:numFmt w:val="decimal"/>
      <w:start w:val="30"/>
    </w:lvl>
  </w:abstractNum>
  <w:abstractNum w:abstractNumId="190">
    <w:nsid w:val="29180EE2"/>
    <w:multiLevelType w:val="hybridMultilevel"/>
    <w:lvl w:ilvl="0">
      <w:lvlJc w:val="left"/>
      <w:lvlText w:val="%1."/>
      <w:numFmt w:val="decimal"/>
      <w:start w:val="28"/>
    </w:lvl>
  </w:abstractNum>
  <w:abstractNum w:abstractNumId="191">
    <w:nsid w:val="7C901113"/>
    <w:multiLevelType w:val="hybridMultilevel"/>
    <w:lvl w:ilvl="0">
      <w:lvlJc w:val="left"/>
      <w:lvlText w:val="%1."/>
      <w:numFmt w:val="decimal"/>
      <w:start w:val="70"/>
    </w:lvl>
  </w:abstractNum>
  <w:abstractNum w:abstractNumId="192">
    <w:nsid w:val="427028B0"/>
    <w:multiLevelType w:val="hybridMultilevel"/>
    <w:lvl w:ilvl="0">
      <w:lvlJc w:val="left"/>
      <w:lvlText w:val="(%1)"/>
      <w:numFmt w:val="decimal"/>
      <w:start w:val="3"/>
    </w:lvl>
  </w:abstractNum>
  <w:abstractNum w:abstractNumId="193">
    <w:nsid w:val="4E7F1C4D"/>
    <w:multiLevelType w:val="hybridMultilevel"/>
    <w:lvl w:ilvl="0">
      <w:lvlJc w:val="left"/>
      <w:lvlText w:val="%1."/>
      <w:numFmt w:val="decimal"/>
      <w:start w:val="71"/>
    </w:lvl>
  </w:abstractNum>
  <w:abstractNum w:abstractNumId="194">
    <w:nsid w:val="5C76D652"/>
    <w:multiLevelType w:val="hybridMultilevel"/>
    <w:lvl w:ilvl="0">
      <w:lvlJc w:val="left"/>
      <w:lvlText w:val="%1"/>
      <w:numFmt w:val="decimal"/>
      <w:start w:val="31"/>
    </w:lvl>
  </w:abstractNum>
  <w:abstractNum w:abstractNumId="195">
    <w:nsid w:val="7F1E3DAE"/>
    <w:multiLevelType w:val="hybridMultilevel"/>
    <w:lvl w:ilvl="0">
      <w:lvlJc w:val="left"/>
      <w:lvlText w:val="(%1)"/>
      <w:numFmt w:val="decimal"/>
      <w:start w:val="2"/>
    </w:lvl>
    <w:lvl w:ilvl="1">
      <w:lvlJc w:val="left"/>
      <w:lvlText w:val="%2)"/>
      <w:numFmt w:val="lowerLetter"/>
      <w:start w:val="1"/>
    </w:lvl>
  </w:abstractNum>
  <w:abstractNum w:abstractNumId="196">
    <w:nsid w:val="3CA6D1B9"/>
    <w:multiLevelType w:val="hybridMultilevel"/>
    <w:lvl w:ilvl="0">
      <w:lvlJc w:val="left"/>
      <w:lvlText w:val="%1"/>
      <w:numFmt w:val="decimal"/>
      <w:start w:val="34"/>
    </w:lvl>
  </w:abstractNum>
  <w:abstractNum w:abstractNumId="197">
    <w:nsid w:val="43754DB7"/>
    <w:multiLevelType w:val="hybridMultilevel"/>
    <w:lvl w:ilvl="0">
      <w:lvlJc w:val="left"/>
      <w:lvlText w:val="(%1)"/>
      <w:numFmt w:val="decimal"/>
      <w:start w:val="7"/>
    </w:lvl>
    <w:lvl w:ilvl="1">
      <w:lvlJc w:val="left"/>
      <w:lvlText w:val="(%2)"/>
      <w:numFmt w:val="lowerLetter"/>
      <w:start w:val="1"/>
    </w:lvl>
  </w:abstractNum>
  <w:abstractNum w:abstractNumId="198">
    <w:nsid w:val="40307D27"/>
    <w:multiLevelType w:val="hybridMultilevel"/>
    <w:lvl w:ilvl="0">
      <w:lvlJc w:val="left"/>
      <w:lvlText w:val="%1."/>
      <w:numFmt w:val="decimal"/>
      <w:start w:val="72"/>
    </w:lvl>
  </w:abstractNum>
  <w:abstractNum w:abstractNumId="199">
    <w:nsid w:val="DF69013"/>
    <w:multiLevelType w:val="hybridMultilevel"/>
    <w:lvl w:ilvl="0">
      <w:lvlJc w:val="left"/>
      <w:lvlText w:val="(%1)"/>
      <w:numFmt w:val="decimal"/>
      <w:start w:val="5"/>
    </w:lvl>
  </w:abstractNum>
  <w:abstractNum w:abstractNumId="200">
    <w:nsid w:val="FDE3B47"/>
    <w:multiLevelType w:val="hybridMultilevel"/>
    <w:lvl w:ilvl="0">
      <w:lvlJc w:val="left"/>
      <w:lvlText w:val="%1."/>
      <w:numFmt w:val="decimal"/>
      <w:start w:val="73"/>
    </w:lvl>
  </w:abstractNum>
  <w:abstractNum w:abstractNumId="201">
    <w:nsid w:val="5EF4B64"/>
    <w:multiLevelType w:val="hybridMultilevel"/>
    <w:lvl w:ilvl="0">
      <w:lvlJc w:val="left"/>
      <w:lvlText w:val="%1."/>
      <w:numFmt w:val="decimal"/>
      <w:start w:val="74"/>
    </w:lvl>
  </w:abstractNum>
  <w:abstractNum w:abstractNumId="202">
    <w:nsid w:val="2457647B"/>
    <w:multiLevelType w:val="hybridMultilevel"/>
    <w:lvl w:ilvl="0">
      <w:lvlJc w:val="left"/>
      <w:lvlText w:val="(%1)"/>
      <w:numFmt w:val="decimal"/>
      <w:start w:val="3"/>
    </w:lvl>
  </w:abstractNum>
  <w:abstractNum w:abstractNumId="203">
    <w:nsid w:val="66F06E9"/>
    <w:multiLevelType w:val="hybridMultilevel"/>
    <w:lvl w:ilvl="0">
      <w:lvlJc w:val="left"/>
      <w:lvlText w:val="%1"/>
      <w:numFmt w:val="decimal"/>
      <w:start w:val="35"/>
    </w:lvl>
  </w:abstractNum>
  <w:abstractNum w:abstractNumId="204">
    <w:nsid w:val="2ABAB37"/>
    <w:multiLevelType w:val="hybridMultilevel"/>
    <w:lvl w:ilvl="0">
      <w:lvlJc w:val="left"/>
      <w:lvlText w:val="%1."/>
      <w:numFmt w:val="decimal"/>
      <w:start w:val="28"/>
    </w:lvl>
  </w:abstractNum>
  <w:abstractNum w:abstractNumId="205">
    <w:nsid w:val="3D5EC8AB"/>
    <w:multiLevelType w:val="hybridMultilevel"/>
    <w:lvl w:ilvl="0">
      <w:lvlJc w:val="left"/>
      <w:lvlText w:val="%1."/>
      <w:numFmt w:val="decimal"/>
      <w:start w:val="75"/>
    </w:lvl>
  </w:abstractNum>
  <w:abstractNum w:abstractNumId="206">
    <w:nsid w:val="31F4FCAD"/>
    <w:multiLevelType w:val="hybridMultilevel"/>
    <w:lvl w:ilvl="0">
      <w:lvlJc w:val="left"/>
      <w:lvlText w:val="%1."/>
      <w:numFmt w:val="decimal"/>
      <w:start w:val="77"/>
    </w:lvl>
  </w:abstractNum>
  <w:abstractNum w:abstractNumId="207">
    <w:nsid w:val="477DB470"/>
    <w:multiLevelType w:val="hybridMultilevel"/>
    <w:lvl w:ilvl="0">
      <w:lvlJc w:val="left"/>
      <w:lvlText w:val="(%1)"/>
      <w:numFmt w:val="decimal"/>
      <w:start w:val="2"/>
    </w:lvl>
  </w:abstractNum>
  <w:abstractNum w:abstractNumId="208">
    <w:nsid w:val="4FD5720B"/>
    <w:multiLevelType w:val="hybridMultilevel"/>
    <w:lvl w:ilvl="0">
      <w:lvlJc w:val="left"/>
      <w:lvlText w:val="%1"/>
      <w:numFmt w:val="decimal"/>
      <w:start w:val="36"/>
    </w:lvl>
    <w:lvl w:ilvl="1">
      <w:lvlJc w:val="left"/>
      <w:lvlText w:val="%2."/>
      <w:numFmt w:val="decimal"/>
      <w:start w:val="76"/>
    </w:lvl>
  </w:abstractNum>
  <w:abstractNum w:abstractNumId="209">
    <w:nsid w:val="4D3C9346"/>
    <w:multiLevelType w:val="hybridMultilevel"/>
    <w:lvl w:ilvl="0">
      <w:lvlJc w:val="left"/>
      <w:lvlText w:val="%1."/>
      <w:numFmt w:val="decimal"/>
      <w:start w:val="26"/>
    </w:lvl>
    <w:lvl w:ilvl="1">
      <w:lvlJc w:val="left"/>
      <w:lvlText w:val="%2"/>
      <w:numFmt w:val="decimal"/>
      <w:start w:val="1"/>
    </w:lvl>
  </w:abstractNum>
  <w:abstractNum w:abstractNumId="210">
    <w:nsid w:val="2CF0838B"/>
    <w:multiLevelType w:val="hybridMultilevel"/>
    <w:lvl w:ilvl="0">
      <w:lvlJc w:val="left"/>
      <w:lvlText w:val="%1."/>
      <w:numFmt w:val="decimal"/>
      <w:start w:val="78"/>
    </w:lvl>
  </w:abstractNum>
  <w:abstractNum w:abstractNumId="211">
    <w:nsid w:val="3E238E27"/>
    <w:multiLevelType w:val="hybridMultilevel"/>
    <w:lvl w:ilvl="0">
      <w:lvlJc w:val="left"/>
      <w:lvlText w:val="(%1)"/>
      <w:numFmt w:val="decimal"/>
      <w:start w:val="2"/>
    </w:lvl>
  </w:abstractNum>
  <w:abstractNum w:abstractNumId="212">
    <w:nsid w:val="1BB4DBCD"/>
    <w:multiLevelType w:val="hybridMultilevel"/>
    <w:lvl w:ilvl="0">
      <w:lvlJc w:val="left"/>
      <w:lvlText w:val="%1."/>
      <w:numFmt w:val="decimal"/>
      <w:start w:val="79"/>
    </w:lvl>
  </w:abstractNum>
  <w:abstractNum w:abstractNumId="213">
    <w:nsid w:val="659DCFA3"/>
    <w:multiLevelType w:val="hybridMultilevel"/>
    <w:lvl w:ilvl="0">
      <w:lvlJc w:val="left"/>
      <w:lvlText w:val="%1."/>
      <w:numFmt w:val="decimal"/>
      <w:start w:val="80"/>
    </w:lvl>
  </w:abstractNum>
  <w:abstractNum w:abstractNumId="214">
    <w:nsid w:val="6F07C58"/>
    <w:multiLevelType w:val="hybridMultilevel"/>
    <w:lvl w:ilvl="0">
      <w:lvlJc w:val="left"/>
      <w:lvlText w:val="(%1)"/>
      <w:numFmt w:val="decimal"/>
      <w:start w:val="2"/>
    </w:lvl>
  </w:abstractNum>
  <w:abstractNum w:abstractNumId="215">
    <w:nsid w:val="619F753B"/>
    <w:multiLevelType w:val="hybridMultilevel"/>
    <w:lvl w:ilvl="0">
      <w:lvlJc w:val="left"/>
      <w:lvlText w:val="%1."/>
      <w:numFmt w:val="decimal"/>
      <w:start w:val="81"/>
    </w:lvl>
  </w:abstractNum>
  <w:abstractNum w:abstractNumId="216">
    <w:nsid w:val="29BD8A97"/>
    <w:multiLevelType w:val="hybridMultilevel"/>
    <w:lvl w:ilvl="0">
      <w:lvlJc w:val="left"/>
      <w:lvlText w:val="(%1)"/>
      <w:numFmt w:val="decimal"/>
      <w:start w:val="2"/>
    </w:lvl>
  </w:abstractNum>
  <w:abstractNum w:abstractNumId="217">
    <w:nsid w:val="61C66E3"/>
    <w:multiLevelType w:val="hybridMultilevel"/>
    <w:lvl w:ilvl="0">
      <w:lvlJc w:val="left"/>
      <w:lvlText w:val="%1"/>
      <w:numFmt w:val="decimal"/>
      <w:start w:val="38"/>
    </w:lvl>
  </w:abstractNum>
  <w:abstractNum w:abstractNumId="218">
    <w:nsid w:val="69321F16"/>
    <w:multiLevelType w:val="hybridMultilevel"/>
    <w:lvl w:ilvl="0">
      <w:lvlJc w:val="left"/>
      <w:lvlText w:val="%1."/>
      <w:numFmt w:val="decimal"/>
      <w:start w:val="28"/>
    </w:lvl>
  </w:abstractNum>
  <w:abstractNum w:abstractNumId="219">
    <w:nsid w:val="2D96B714"/>
    <w:multiLevelType w:val="hybridMultilevel"/>
    <w:lvl w:ilvl="0">
      <w:lvlJc w:val="left"/>
      <w:lvlText w:val="%1."/>
      <w:numFmt w:val="decimal"/>
      <w:start w:val="82"/>
    </w:lvl>
  </w:abstractNum>
  <w:abstractNum w:abstractNumId="220">
    <w:nsid w:val="3D76F9E2"/>
    <w:multiLevelType w:val="hybridMultilevel"/>
    <w:lvl w:ilvl="0">
      <w:lvlJc w:val="left"/>
      <w:lvlText w:val="%1."/>
      <w:numFmt w:val="decimal"/>
      <w:start w:val="83"/>
    </w:lvl>
  </w:abstractNum>
  <w:abstractNum w:abstractNumId="221">
    <w:nsid w:val="124A2DF8"/>
    <w:multiLevelType w:val="hybridMultilevel"/>
    <w:lvl w:ilvl="0">
      <w:lvlJc w:val="left"/>
      <w:lvlText w:val="%1."/>
      <w:numFmt w:val="decimal"/>
      <w:start w:val="84"/>
    </w:lvl>
    <w:lvl w:ilvl="1">
      <w:lvlJc w:val="left"/>
      <w:lvlText w:val="%2)"/>
      <w:numFmt w:val="lowerLetter"/>
      <w:start w:val="1"/>
    </w:lvl>
  </w:abstractNum>
  <w:abstractNum w:abstractNumId="222">
    <w:nsid w:val="2A26C828"/>
    <w:multiLevelType w:val="hybridMultilevel"/>
    <w:lvl w:ilvl="0">
      <w:lvlJc w:val="left"/>
      <w:lvlText w:val="%1"/>
      <w:numFmt w:val="decimal"/>
      <w:start w:val="39"/>
    </w:lvl>
  </w:abstractNum>
  <w:abstractNum w:abstractNumId="223">
    <w:nsid w:val="7FE72292"/>
    <w:multiLevelType w:val="hybridMultilevel"/>
    <w:lvl w:ilvl="0">
      <w:lvlJc w:val="left"/>
      <w:lvlText w:val="%1."/>
      <w:numFmt w:val="decimal"/>
      <w:start w:val="28"/>
    </w:lvl>
  </w:abstractNum>
  <w:abstractNum w:abstractNumId="224">
    <w:nsid w:val="60C94A46"/>
    <w:multiLevelType w:val="hybridMultilevel"/>
    <w:lvl w:ilvl="0">
      <w:lvlJc w:val="left"/>
      <w:lvlText w:val="%1"/>
      <w:numFmt w:val="decimal"/>
      <w:start w:val="40"/>
    </w:lvl>
  </w:abstractNum>
  <w:abstractNum w:abstractNumId="225">
    <w:nsid w:val="69D9E7A"/>
    <w:multiLevelType w:val="hybridMultilevel"/>
    <w:lvl w:ilvl="0">
      <w:lvlJc w:val="left"/>
      <w:lvlText w:val="%1."/>
      <w:numFmt w:val="decimal"/>
      <w:start w:val="26"/>
    </w:lvl>
  </w:abstractNum>
  <w:abstractNum w:abstractNumId="226">
    <w:nsid w:val="7F056040"/>
    <w:multiLevelType w:val="hybridMultilevel"/>
    <w:lvl w:ilvl="0">
      <w:lvlJc w:val="left"/>
      <w:lvlText w:val="%1"/>
      <w:numFmt w:val="decimal"/>
      <w:start w:val="41"/>
    </w:lvl>
  </w:abstractNum>
  <w:abstractNum w:abstractNumId="227">
    <w:nsid w:val="1D701BFF"/>
    <w:multiLevelType w:val="hybridMultilevel"/>
    <w:lvl w:ilvl="0">
      <w:lvlJc w:val="left"/>
      <w:lvlText w:val="%1"/>
      <w:numFmt w:val="decimal"/>
      <w:start w:val="1"/>
    </w:lvl>
    <w:lvl w:ilvl="1">
      <w:lvlJc w:val="left"/>
      <w:lvlText w:val="%2)"/>
      <w:numFmt w:val="lowerLetter"/>
      <w:start w:val="5"/>
    </w:lvl>
  </w:abstractNum>
  <w:abstractNum w:abstractNumId="228">
    <w:nsid w:val="4A12EC32"/>
    <w:multiLevelType w:val="hybridMultilevel"/>
    <w:lvl w:ilvl="0">
      <w:lvlJc w:val="left"/>
      <w:lvlText w:val="(%1)"/>
      <w:numFmt w:val="decimal"/>
      <w:start w:val="2"/>
    </w:lvl>
    <w:lvl w:ilvl="1">
      <w:lvlJc w:val="left"/>
      <w:lvlText w:val="%2"/>
      <w:numFmt w:val="lowerLetter"/>
      <w:start w:val="1"/>
    </w:lvl>
  </w:abstractNum>
  <w:abstractNum w:abstractNumId="229">
    <w:nsid w:val="3F35DD67"/>
    <w:multiLevelType w:val="hybridMultilevel"/>
    <w:lvl w:ilvl="0">
      <w:lvlJc w:val="left"/>
      <w:lvlText w:val="(%1)"/>
      <w:numFmt w:val="decimal"/>
      <w:start w:val="3"/>
    </w:lvl>
  </w:abstractNum>
  <w:abstractNum w:abstractNumId="230">
    <w:nsid w:val="2B66AC12"/>
    <w:multiLevelType w:val="hybridMultilevel"/>
    <w:lvl w:ilvl="0">
      <w:lvlJc w:val="left"/>
      <w:lvlText w:val="%1."/>
      <w:numFmt w:val="decimal"/>
      <w:start w:val="85"/>
    </w:lvl>
  </w:abstractNum>
  <w:abstractNum w:abstractNumId="231">
    <w:nsid w:val="59F12779"/>
    <w:multiLevelType w:val="hybridMultilevel"/>
    <w:lvl w:ilvl="0">
      <w:lvlJc w:val="left"/>
      <w:lvlText w:val="%1"/>
      <w:numFmt w:val="decimal"/>
      <w:start w:val="42"/>
    </w:lvl>
  </w:abstractNum>
  <w:abstractNum w:abstractNumId="232">
    <w:nsid w:val="452528CB"/>
    <w:multiLevelType w:val="hybridMultilevel"/>
    <w:lvl w:ilvl="0">
      <w:lvlJc w:val="left"/>
      <w:lvlText w:val="%1."/>
      <w:numFmt w:val="decimal"/>
      <w:start w:val="28"/>
    </w:lvl>
  </w:abstractNum>
  <w:abstractNum w:abstractNumId="233">
    <w:nsid w:val="4FBE108E"/>
    <w:multiLevelType w:val="hybridMultilevel"/>
    <w:lvl w:ilvl="0">
      <w:lvlJc w:val="left"/>
      <w:lvlText w:val="%1."/>
      <w:numFmt w:val="decimal"/>
      <w:start w:val="86"/>
    </w:lvl>
  </w:abstractNum>
  <w:abstractNum w:abstractNumId="234">
    <w:nsid w:val="60602E62"/>
    <w:multiLevelType w:val="hybridMultilevel"/>
    <w:lvl w:ilvl="0">
      <w:lvlJc w:val="left"/>
      <w:lvlText w:val="%1"/>
      <w:numFmt w:val="decimal"/>
      <w:start w:val="1"/>
    </w:lvl>
    <w:lvl w:ilvl="1">
      <w:lvlJc w:val="left"/>
      <w:lvlText w:val="(%2)"/>
      <w:numFmt w:val="lowerLetter"/>
      <w:start w:val="1"/>
    </w:lvl>
  </w:abstractNum>
  <w:abstractNum w:abstractNumId="235">
    <w:nsid w:val="47D0D402"/>
    <w:multiLevelType w:val="hybridMultilevel"/>
    <w:lvl w:ilvl="0">
      <w:lvlJc w:val="left"/>
      <w:lvlText w:val="(%1)"/>
      <w:numFmt w:val="decimal"/>
      <w:start w:val="2"/>
    </w:lvl>
    <w:lvl w:ilvl="1">
      <w:lvlJc w:val="left"/>
      <w:lvlText w:val="%2"/>
      <w:numFmt w:val="lowerLetter"/>
      <w:start w:val="1"/>
    </w:lvl>
  </w:abstractNum>
  <w:abstractNum w:abstractNumId="236">
    <w:nsid w:val="D1CD939"/>
    <w:multiLevelType w:val="hybridMultilevel"/>
    <w:lvl w:ilvl="0">
      <w:lvlJc w:val="left"/>
      <w:lvlText w:val="%1."/>
      <w:numFmt w:val="decimal"/>
      <w:start w:val="87"/>
    </w:lvl>
  </w:abstractNum>
  <w:abstractNum w:abstractNumId="237">
    <w:nsid w:val="12552B10"/>
    <w:multiLevelType w:val="hybridMultilevel"/>
    <w:lvl w:ilvl="0">
      <w:lvlJc w:val="left"/>
      <w:lvlText w:val="%1."/>
      <w:numFmt w:val="decimal"/>
      <w:start w:val="88"/>
    </w:lvl>
  </w:abstractNum>
  <w:abstractNum w:abstractNumId="238">
    <w:nsid w:val="F4E8872"/>
    <w:multiLevelType w:val="hybridMultilevel"/>
    <w:lvl w:ilvl="0">
      <w:lvlJc w:val="left"/>
      <w:lvlText w:val="%1)"/>
      <w:numFmt w:val="lowerLetter"/>
      <w:start w:val="1"/>
    </w:lvl>
  </w:abstractNum>
  <w:abstractNum w:abstractNumId="239">
    <w:nsid w:val="5CF24B45"/>
    <w:multiLevelType w:val="hybridMultilevel"/>
    <w:lvl w:ilvl="0">
      <w:lvlJc w:val="left"/>
      <w:lvlText w:val="%1"/>
      <w:numFmt w:val="decimal"/>
      <w:start w:val="44"/>
    </w:lvl>
  </w:abstractNum>
  <w:abstractNum w:abstractNumId="240">
    <w:nsid w:val="5F91BE56"/>
    <w:multiLevelType w:val="hybridMultilevel"/>
    <w:lvl w:ilvl="0">
      <w:lvlJc w:val="left"/>
      <w:lvlText w:val="%1."/>
      <w:numFmt w:val="decimal"/>
      <w:start w:val="28"/>
    </w:lvl>
  </w:abstractNum>
  <w:abstractNum w:abstractNumId="241">
    <w:nsid w:val="3C3F0BFD"/>
    <w:multiLevelType w:val="hybridMultilevel"/>
    <w:lvl w:ilvl="0">
      <w:lvlJc w:val="left"/>
      <w:lvlText w:val="%1"/>
      <w:numFmt w:val="decimal"/>
      <w:start w:val="45"/>
    </w:lvl>
  </w:abstractNum>
  <w:abstractNum w:abstractNumId="242">
    <w:nsid w:val="1B15D96C"/>
    <w:multiLevelType w:val="hybridMultilevel"/>
    <w:lvl w:ilvl="0">
      <w:lvlJc w:val="left"/>
      <w:lvlText w:val="%1."/>
      <w:numFmt w:val="decimal"/>
      <w:start w:val="26"/>
    </w:lvl>
  </w:abstractNum>
  <w:abstractNum w:abstractNumId="243">
    <w:nsid w:val="7B469A23"/>
    <w:multiLevelType w:val="hybridMultilevel"/>
    <w:lvl w:ilvl="0">
      <w:lvlJc w:val="left"/>
      <w:lvlText w:val="%1."/>
      <w:numFmt w:val="decimal"/>
      <w:start w:val="89"/>
    </w:lvl>
  </w:abstractNum>
  <w:abstractNum w:abstractNumId="244">
    <w:nsid w:val="21DCDBA0"/>
    <w:multiLevelType w:val="hybridMultilevel"/>
    <w:lvl w:ilvl="0">
      <w:lvlJc w:val="left"/>
      <w:lvlText w:val="%1."/>
      <w:numFmt w:val="decimal"/>
      <w:start w:val="90"/>
    </w:lvl>
    <w:lvl w:ilvl="1">
      <w:lvlJc w:val="left"/>
      <w:lvlText w:val="%2)"/>
      <w:numFmt w:val="lowerLetter"/>
      <w:start w:val="1"/>
    </w:lvl>
  </w:abstractNum>
  <w:abstractNum w:abstractNumId="245">
    <w:nsid w:val="220655C4"/>
    <w:multiLevelType w:val="hybridMultilevel"/>
    <w:lvl w:ilvl="0">
      <w:lvlJc w:val="left"/>
      <w:lvlText w:val="(%1)"/>
      <w:numFmt w:val="decimal"/>
      <w:start w:val="3"/>
    </w:lvl>
  </w:abstractNum>
  <w:abstractNum w:abstractNumId="246">
    <w:nsid w:val="5CE60F5E"/>
    <w:multiLevelType w:val="hybridMultilevel"/>
    <w:lvl w:ilvl="0">
      <w:lvlJc w:val="left"/>
      <w:lvlText w:val="%1"/>
      <w:numFmt w:val="decimal"/>
      <w:start w:val="46"/>
    </w:lvl>
  </w:abstractNum>
  <w:abstractNum w:abstractNumId="247">
    <w:nsid w:val="4B9A6638"/>
    <w:multiLevelType w:val="hybridMultilevel"/>
    <w:lvl w:ilvl="0">
      <w:lvlJc w:val="left"/>
      <w:lvlText w:val="%1."/>
      <w:numFmt w:val="decimal"/>
      <w:start w:val="26"/>
    </w:lvl>
  </w:abstractNum>
  <w:abstractNum w:abstractNumId="248">
    <w:nsid w:val="2822BCA7"/>
    <w:multiLevelType w:val="hybridMultilevel"/>
    <w:lvl w:ilvl="0">
      <w:lvlJc w:val="left"/>
      <w:lvlText w:val="%1"/>
      <w:numFmt w:val="decimal"/>
      <w:start w:val="47"/>
    </w:lvl>
  </w:abstractNum>
  <w:abstractNum w:abstractNumId="249">
    <w:nsid w:val="46182E75"/>
    <w:multiLevelType w:val="hybridMultilevel"/>
    <w:lvl w:ilvl="0">
      <w:lvlJc w:val="left"/>
      <w:lvlText w:val="%1."/>
      <w:numFmt w:val="decimal"/>
      <w:start w:val="28"/>
    </w:lvl>
  </w:abstractNum>
  <w:abstractNum w:abstractNumId="250">
    <w:nsid w:val="79311D4C"/>
    <w:multiLevelType w:val="hybridMultilevel"/>
    <w:lvl w:ilvl="0">
      <w:lvlJc w:val="left"/>
      <w:lvlText w:val="%1."/>
      <w:numFmt w:val="decimal"/>
      <w:start w:val="91"/>
    </w:lvl>
  </w:abstractNum>
  <w:abstractNum w:abstractNumId="251">
    <w:nsid w:val="6599B689"/>
    <w:multiLevelType w:val="hybridMultilevel"/>
    <w:lvl w:ilvl="0">
      <w:lvlJc w:val="left"/>
      <w:lvlText w:val="%1."/>
      <w:numFmt w:val="decimal"/>
      <w:start w:val="92"/>
    </w:lvl>
  </w:abstractNum>
  <w:abstractNum w:abstractNumId="252">
    <w:nsid w:val="58625C6D"/>
    <w:multiLevelType w:val="hybridMultilevel"/>
    <w:lvl w:ilvl="0">
      <w:lvlJc w:val="left"/>
      <w:lvlText w:val="%1."/>
      <w:numFmt w:val="decimal"/>
      <w:start w:val="93"/>
    </w:lvl>
  </w:abstractNum>
  <w:abstractNum w:abstractNumId="253">
    <w:nsid w:val="2357E574"/>
    <w:multiLevelType w:val="hybridMultilevel"/>
    <w:lvl w:ilvl="0">
      <w:lvlJc w:val="left"/>
      <w:lvlText w:val="(%1)"/>
      <w:numFmt w:val="decimal"/>
      <w:start w:val="4"/>
    </w:lvl>
  </w:abstractNum>
  <w:abstractNum w:abstractNumId="254">
    <w:nsid w:val="6580D91B"/>
    <w:multiLevelType w:val="hybridMultilevel"/>
    <w:lvl w:ilvl="0">
      <w:lvlJc w:val="left"/>
      <w:lvlText w:val="(%1)"/>
      <w:numFmt w:val="decimal"/>
      <w:start w:val="5"/>
    </w:lvl>
  </w:abstractNum>
  <w:abstractNum w:abstractNumId="255">
    <w:nsid w:val="392BA6B3"/>
    <w:multiLevelType w:val="hybridMultilevel"/>
    <w:lvl w:ilvl="0">
      <w:lvlJc w:val="left"/>
      <w:lvlText w:val="%1."/>
      <w:numFmt w:val="decimal"/>
      <w:start w:val="94"/>
    </w:lvl>
  </w:abstractNum>
  <w:abstractNum w:abstractNumId="256">
    <w:nsid w:val="29F583EF"/>
    <w:multiLevelType w:val="hybridMultilevel"/>
    <w:lvl w:ilvl="0">
      <w:lvlJc w:val="left"/>
      <w:lvlText w:val="%1"/>
      <w:numFmt w:val="decimal"/>
      <w:start w:val="48"/>
    </w:lvl>
  </w:abstractNum>
  <w:abstractNum w:abstractNumId="257">
    <w:nsid w:val="6486395B"/>
    <w:multiLevelType w:val="hybridMultilevel"/>
    <w:lvl w:ilvl="0">
      <w:lvlJc w:val="left"/>
      <w:lvlText w:val="%1."/>
      <w:numFmt w:val="decimal"/>
      <w:start w:val="28"/>
    </w:lvl>
  </w:abstractNum>
  <w:abstractNum w:abstractNumId="258">
    <w:nsid w:val="569BC2B2"/>
    <w:multiLevelType w:val="hybridMultilevel"/>
    <w:lvl w:ilvl="0">
      <w:lvlJc w:val="left"/>
      <w:lvlText w:val="%1"/>
      <w:numFmt w:val="decimal"/>
      <w:start w:val="49"/>
    </w:lvl>
  </w:abstractNum>
  <w:abstractNum w:abstractNumId="259">
    <w:nsid w:val="74087021"/>
    <w:multiLevelType w:val="hybridMultilevel"/>
    <w:lvl w:ilvl="0">
      <w:lvlJc w:val="left"/>
      <w:lvlText w:val="%1."/>
      <w:numFmt w:val="decimal"/>
      <w:start w:val="28"/>
    </w:lvl>
  </w:abstractNum>
  <w:abstractNum w:abstractNumId="260">
    <w:nsid w:val="23BC16C2"/>
    <w:multiLevelType w:val="hybridMultilevel"/>
    <w:lvl w:ilvl="0">
      <w:lvlJc w:val="left"/>
      <w:lvlText w:val="(%1)"/>
      <w:numFmt w:val="decimal"/>
      <w:start w:val="3"/>
    </w:lvl>
  </w:abstractNum>
  <w:abstractNum w:abstractNumId="261">
    <w:nsid w:val="2026EC5"/>
    <w:multiLevelType w:val="hybridMultilevel"/>
    <w:lvl w:ilvl="0">
      <w:lvlJc w:val="left"/>
      <w:lvlText w:val="%1."/>
      <w:numFmt w:val="decimal"/>
      <w:start w:val="95"/>
    </w:lvl>
  </w:abstractNum>
  <w:abstractNum w:abstractNumId="262">
    <w:nsid w:val="4DF9979A"/>
    <w:multiLevelType w:val="hybridMultilevel"/>
    <w:lvl w:ilvl="0">
      <w:lvlJc w:val="left"/>
      <w:lvlText w:val="%1."/>
      <w:numFmt w:val="decimal"/>
      <w:start w:val="96"/>
    </w:lvl>
  </w:abstractNum>
  <w:abstractNum w:abstractNumId="263">
    <w:nsid w:val="68E13F8E"/>
    <w:multiLevelType w:val="hybridMultilevel"/>
    <w:lvl w:ilvl="0">
      <w:lvlJc w:val="left"/>
      <w:lvlText w:val="%1)"/>
      <w:numFmt w:val="lowerLetter"/>
      <w:start w:val="1"/>
    </w:lvl>
  </w:abstractNum>
  <w:abstractNum w:abstractNumId="264">
    <w:nsid w:val="51C07F53"/>
    <w:multiLevelType w:val="hybridMultilevel"/>
    <w:lvl w:ilvl="0">
      <w:lvlJc w:val="left"/>
      <w:lvlText w:val="%1."/>
      <w:numFmt w:val="decimal"/>
      <w:start w:val="97"/>
    </w:lvl>
  </w:abstractNum>
  <w:abstractNum w:abstractNumId="265">
    <w:nsid w:val="2E59C5FD"/>
    <w:multiLevelType w:val="hybridMultilevel"/>
    <w:lvl w:ilvl="0">
      <w:lvlJc w:val="left"/>
      <w:lvlText w:val="%1)"/>
      <w:numFmt w:val="lowerLetter"/>
      <w:start w:val="1"/>
    </w:lvl>
  </w:abstractNum>
  <w:abstractNum w:abstractNumId="266">
    <w:nsid w:val="30B21390"/>
    <w:multiLevelType w:val="hybridMultilevel"/>
    <w:lvl w:ilvl="0">
      <w:lvlJc w:val="left"/>
      <w:lvlText w:val="%1."/>
      <w:numFmt w:val="decimal"/>
      <w:start w:val="98"/>
    </w:lvl>
  </w:abstractNum>
  <w:abstractNum w:abstractNumId="267">
    <w:nsid w:val="5EDD588C"/>
    <w:multiLevelType w:val="hybridMultilevel"/>
    <w:lvl w:ilvl="0">
      <w:lvlJc w:val="left"/>
      <w:lvlText w:val="%1."/>
      <w:numFmt w:val="decimal"/>
      <w:start w:val="99"/>
    </w:lvl>
  </w:abstractNum>
  <w:abstractNum w:abstractNumId="268">
    <w:nsid w:val="40AEF10D"/>
    <w:multiLevelType w:val="hybridMultilevel"/>
    <w:lvl w:ilvl="0">
      <w:lvlJc w:val="left"/>
      <w:lvlText w:val="%1)"/>
      <w:numFmt w:val="lowerLetter"/>
      <w:start w:val="1"/>
    </w:lvl>
  </w:abstractNum>
  <w:abstractNum w:abstractNumId="269">
    <w:nsid w:val="40009C03"/>
    <w:multiLevelType w:val="hybridMultilevel"/>
    <w:lvl w:ilvl="0">
      <w:lvlJc w:val="left"/>
      <w:lvlText w:val="%1)"/>
      <w:numFmt w:val="lowerLetter"/>
      <w:start w:val="7"/>
    </w:lvl>
    <w:lvl w:ilvl="1">
      <w:lvlJc w:val="left"/>
      <w:lvlText w:val="%2)"/>
      <w:numFmt w:val="lowerRoman"/>
      <w:start w:val="1"/>
    </w:lvl>
  </w:abstractNum>
  <w:abstractNum w:abstractNumId="270">
    <w:nsid w:val="3BCFA3D1"/>
    <w:multiLevelType w:val="hybridMultilevel"/>
    <w:lvl w:ilvl="0">
      <w:lvlJc w:val="left"/>
      <w:lvlText w:val="%1)"/>
      <w:numFmt w:val="lowerLetter"/>
      <w:start w:val="9"/>
    </w:lvl>
  </w:abstractNum>
  <w:abstractNum w:abstractNumId="271">
    <w:nsid w:val="2040AF63"/>
    <w:multiLevelType w:val="hybridMultilevel"/>
    <w:lvl w:ilvl="0">
      <w:lvlJc w:val="left"/>
      <w:lvlText w:val="%1"/>
      <w:numFmt w:val="decimal"/>
      <w:start w:val="50"/>
    </w:lvl>
  </w:abstractNum>
  <w:abstractNum w:abstractNumId="272">
    <w:nsid w:val="7C3FA800"/>
    <w:multiLevelType w:val="hybridMultilevel"/>
    <w:lvl w:ilvl="0">
      <w:lvlJc w:val="left"/>
      <w:lvlText w:val="(%1)"/>
      <w:numFmt w:val="lowerRoman"/>
      <w:start w:val="1"/>
    </w:lvl>
  </w:abstractNum>
  <w:abstractNum w:abstractNumId="273">
    <w:nsid w:val="56E57D3D"/>
    <w:multiLevelType w:val="hybridMultilevel"/>
    <w:lvl w:ilvl="0">
      <w:lvlJc w:val="left"/>
      <w:lvlText w:val="(%1)"/>
      <w:numFmt w:val="lowerRoman"/>
      <w:start w:val="2"/>
    </w:lvl>
  </w:abstractNum>
  <w:abstractNum w:abstractNumId="274">
    <w:nsid w:val="1B874986"/>
    <w:multiLevelType w:val="hybridMultilevel"/>
    <w:lvl w:ilvl="0">
      <w:lvlJc w:val="left"/>
      <w:lvlText w:val="(%1)"/>
      <w:numFmt w:val="lowerRoman"/>
      <w:start w:val="4"/>
    </w:lvl>
  </w:abstractNum>
  <w:abstractNum w:abstractNumId="275">
    <w:nsid w:val="1E1C83A1"/>
    <w:multiLevelType w:val="hybridMultilevel"/>
    <w:lvl w:ilvl="0">
      <w:lvlJc w:val="left"/>
      <w:lvlText w:val="%1."/>
      <w:numFmt w:val="decimal"/>
      <w:start w:val="100"/>
    </w:lvl>
    <w:lvl w:ilvl="1">
      <w:lvlJc w:val="left"/>
      <w:lvlText w:val="(%2)"/>
      <w:numFmt w:val="lowerLetter"/>
      <w:start w:val="1"/>
    </w:lvl>
  </w:abstractNum>
  <w:abstractNum w:abstractNumId="276">
    <w:nsid w:val="78EBD301"/>
    <w:multiLevelType w:val="hybridMultilevel"/>
    <w:lvl w:ilvl="0">
      <w:lvlJc w:val="left"/>
      <w:lvlText w:val="%1"/>
      <w:numFmt w:val="decimal"/>
      <w:start w:val="51"/>
    </w:lvl>
  </w:abstractNum>
  <w:abstractNum w:abstractNumId="277">
    <w:nsid w:val="786D58E4"/>
    <w:multiLevelType w:val="hybridMultilevel"/>
    <w:lvl w:ilvl="0">
      <w:lvlJc w:val="left"/>
      <w:lvlText w:val="%1."/>
      <w:numFmt w:val="decimal"/>
      <w:start w:val="101"/>
    </w:lvl>
  </w:abstractNum>
  <w:abstractNum w:abstractNumId="278">
    <w:nsid w:val="69B6E9D9"/>
    <w:multiLevelType w:val="hybridMultilevel"/>
    <w:lvl w:ilvl="0">
      <w:lvlJc w:val="left"/>
      <w:lvlText w:val="%1."/>
      <w:numFmt w:val="decimal"/>
      <w:start w:val="102"/>
    </w:lvl>
  </w:abstractNum>
  <w:abstractNum w:abstractNumId="279">
    <w:nsid w:val="210E8FA8"/>
    <w:multiLevelType w:val="hybridMultilevel"/>
    <w:lvl w:ilvl="0">
      <w:lvlJc w:val="left"/>
      <w:lvlText w:val="(%1)"/>
      <w:numFmt w:val="lowerLetter"/>
      <w:start w:val="1"/>
    </w:lvl>
  </w:abstractNum>
  <w:abstractNum w:abstractNumId="280">
    <w:nsid w:val="3E858759"/>
    <w:multiLevelType w:val="hybridMultilevel"/>
    <w:lvl w:ilvl="0">
      <w:lvlJc w:val="left"/>
      <w:lvlText w:val="%1."/>
      <w:numFmt w:val="decimal"/>
      <w:start w:val="103"/>
    </w:lvl>
  </w:abstractNum>
  <w:abstractNum w:abstractNumId="281">
    <w:nsid w:val="62E80725"/>
    <w:multiLevelType w:val="hybridMultilevel"/>
    <w:lvl w:ilvl="0">
      <w:lvlJc w:val="left"/>
      <w:lvlText w:val="(%1)"/>
      <w:numFmt w:val="decimal"/>
      <w:start w:val="2"/>
    </w:lvl>
  </w:abstractNum>
  <w:abstractNum w:abstractNumId="282">
    <w:nsid w:val="6A84631"/>
    <w:multiLevelType w:val="hybridMultilevel"/>
    <w:lvl w:ilvl="0">
      <w:lvlJc w:val="left"/>
      <w:lvlText w:val="%1."/>
      <w:numFmt w:val="decimal"/>
      <w:start w:val="104"/>
    </w:lvl>
  </w:abstractNum>
  <w:abstractNum w:abstractNumId="283">
    <w:nsid w:val="16E7E3C7"/>
    <w:multiLevelType w:val="hybridMultilevel"/>
    <w:lvl w:ilvl="0">
      <w:lvlJc w:val="left"/>
      <w:lvlText w:val="(%1)"/>
      <w:numFmt w:val="lowerLetter"/>
      <w:start w:val="1"/>
    </w:lvl>
  </w:abstractNum>
  <w:abstractNum w:abstractNumId="284">
    <w:nsid w:val="63FEC9A"/>
    <w:multiLevelType w:val="hybridMultilevel"/>
    <w:lvl w:ilvl="0">
      <w:lvlJc w:val="left"/>
      <w:lvlText w:val="%1"/>
      <w:numFmt w:val="decimal"/>
      <w:start w:val="52"/>
    </w:lvl>
  </w:abstractNum>
  <w:abstractNum w:abstractNumId="285">
    <w:nsid w:val="6C291F4C"/>
    <w:multiLevelType w:val="hybridMultilevel"/>
    <w:lvl w:ilvl="0">
      <w:lvlJc w:val="left"/>
      <w:lvlText w:val="%1"/>
      <w:numFmt w:val="decimal"/>
      <w:start w:val="1"/>
    </w:lvl>
    <w:lvl w:ilvl="1">
      <w:lvlJc w:val="left"/>
      <w:lvlText w:val="(%2)"/>
      <w:numFmt w:val="lowerLetter"/>
      <w:start w:val="2"/>
    </w:lvl>
  </w:abstractNum>
  <w:abstractNum w:abstractNumId="286">
    <w:nsid w:val="50138A7A"/>
    <w:multiLevelType w:val="hybridMultilevel"/>
    <w:lvl w:ilvl="0">
      <w:lvlJc w:val="left"/>
      <w:lvlText w:val="(%1)"/>
      <w:numFmt w:val="decimal"/>
      <w:start w:val="2"/>
    </w:lvl>
    <w:lvl w:ilvl="1">
      <w:lvlJc w:val="left"/>
      <w:lvlText w:val="%2"/>
      <w:numFmt w:val="lowerLetter"/>
      <w:start w:val="1"/>
    </w:lvl>
  </w:abstractNum>
  <w:abstractNum w:abstractNumId="287">
    <w:nsid w:val="30357089"/>
    <w:multiLevelType w:val="hybridMultilevel"/>
    <w:lvl w:ilvl="0">
      <w:lvlJc w:val="left"/>
      <w:lvlText w:val="%1."/>
      <w:numFmt w:val="decimal"/>
      <w:start w:val="105"/>
    </w:lvl>
  </w:abstractNum>
  <w:abstractNum w:abstractNumId="288">
    <w:nsid w:val="50AF58A7"/>
    <w:multiLevelType w:val="hybridMultilevel"/>
    <w:lvl w:ilvl="0">
      <w:lvlJc w:val="left"/>
      <w:lvlText w:val="%1)"/>
      <w:numFmt w:val="lowerLetter"/>
      <w:start w:val="1"/>
    </w:lvl>
    <w:lvl w:ilvl="1">
      <w:lvlJc w:val="left"/>
      <w:lvlText w:val="(%2)"/>
      <w:numFmt w:val="lowerRoman"/>
      <w:start w:val="1"/>
    </w:lvl>
  </w:abstractNum>
  <w:abstractNum w:abstractNumId="289">
    <w:nsid w:val="26AF4D2D"/>
    <w:multiLevelType w:val="hybridMultilevel"/>
    <w:lvl w:ilvl="0">
      <w:lvlJc w:val="left"/>
      <w:lvlText w:val="%1."/>
      <w:numFmt w:val="decimal"/>
      <w:start w:val="106"/>
    </w:lvl>
  </w:abstractNum>
  <w:abstractNum w:abstractNumId="290">
    <w:nsid w:val="243DE0AA"/>
    <w:multiLevelType w:val="hybridMultilevel"/>
    <w:lvl w:ilvl="0">
      <w:lvlJc w:val="left"/>
      <w:lvlText w:val="%1."/>
      <w:numFmt w:val="decimal"/>
      <w:start w:val="107"/>
    </w:lvl>
  </w:abstractNum>
  <w:abstractNum w:abstractNumId="291">
    <w:nsid w:val="746B6F6A"/>
    <w:multiLevelType w:val="hybridMultilevel"/>
    <w:lvl w:ilvl="0">
      <w:lvlJc w:val="left"/>
      <w:lvlText w:val="%1)"/>
      <w:numFmt w:val="lowerLetter"/>
      <w:start w:val="1"/>
    </w:lvl>
  </w:abstractNum>
  <w:abstractNum w:abstractNumId="292">
    <w:nsid w:val="28B1BBF2"/>
    <w:multiLevelType w:val="hybridMultilevel"/>
    <w:lvl w:ilvl="0">
      <w:lvlJc w:val="left"/>
      <w:lvlText w:val="%1)"/>
      <w:numFmt w:val="lowerLetter"/>
      <w:start w:val="4"/>
    </w:lvl>
    <w:lvl w:ilvl="1">
      <w:lvlJc w:val="left"/>
      <w:lvlText w:val="%2)"/>
      <w:numFmt w:val="lowerRoman"/>
      <w:start w:val="1"/>
    </w:lvl>
  </w:abstractNum>
  <w:abstractNum w:abstractNumId="293">
    <w:nsid w:val="72377844"/>
    <w:multiLevelType w:val="hybridMultilevel"/>
    <w:lvl w:ilvl="0">
      <w:lvlJc w:val="left"/>
      <w:lvlText w:val="%1."/>
      <w:numFmt w:val="decimal"/>
      <w:start w:val="108"/>
    </w:lvl>
  </w:abstractNum>
  <w:abstractNum w:abstractNumId="294">
    <w:nsid w:val="5D4CAEF8"/>
    <w:multiLevelType w:val="hybridMultilevel"/>
    <w:lvl w:ilvl="0">
      <w:lvlJc w:val="left"/>
      <w:lvlText w:val="(%1)"/>
      <w:numFmt w:val="lowerLetter"/>
      <w:start w:val="1"/>
    </w:lvl>
  </w:abstractNum>
  <w:abstractNum w:abstractNumId="295">
    <w:nsid w:val="7A723B45"/>
    <w:multiLevelType w:val="hybridMultilevel"/>
    <w:lvl w:ilvl="0">
      <w:lvlJc w:val="left"/>
      <w:lvlText w:val="(%1)"/>
      <w:numFmt w:val="decimal"/>
      <w:start w:val="2"/>
    </w:lvl>
  </w:abstractNum>
  <w:abstractNum w:abstractNumId="296">
    <w:nsid w:val="20913E41"/>
    <w:multiLevelType w:val="hybridMultilevel"/>
    <w:lvl w:ilvl="0">
      <w:lvlJc w:val="left"/>
      <w:lvlText w:val="%1."/>
      <w:numFmt w:val="decimal"/>
      <w:start w:val="109"/>
    </w:lvl>
  </w:abstractNum>
  <w:abstractNum w:abstractNumId="297">
    <w:nsid w:val="DFEC288"/>
    <w:multiLevelType w:val="hybridMultilevel"/>
    <w:lvl w:ilvl="0">
      <w:lvlJc w:val="left"/>
      <w:lvlText w:val="%1."/>
      <w:numFmt w:val="decimal"/>
      <w:start w:val="110"/>
    </w:lvl>
  </w:abstractNum>
  <w:abstractNum w:abstractNumId="298">
    <w:nsid w:val="594F93D1"/>
    <w:multiLevelType w:val="hybridMultilevel"/>
    <w:lvl w:ilvl="0">
      <w:lvlJc w:val="left"/>
      <w:lvlText w:val="%1."/>
      <w:numFmt w:val="decimal"/>
      <w:start w:val="111"/>
    </w:lvl>
  </w:abstractNum>
  <w:abstractNum w:abstractNumId="299">
    <w:nsid w:val="61402F4E"/>
    <w:multiLevelType w:val="hybridMultilevel"/>
    <w:lvl w:ilvl="0">
      <w:lvlJc w:val="left"/>
      <w:lvlText w:val="(%1)"/>
      <w:numFmt w:val="lowerLetter"/>
      <w:start w:val="1"/>
    </w:lvl>
  </w:abstractNum>
  <w:abstractNum w:abstractNumId="300">
    <w:nsid w:val="4DFF5E8B"/>
    <w:multiLevelType w:val="hybridMultilevel"/>
    <w:lvl w:ilvl="0">
      <w:lvlJc w:val="left"/>
      <w:lvlText w:val="(%1)"/>
      <w:numFmt w:val="lowerLetter"/>
      <w:start w:val="2"/>
    </w:lvl>
  </w:abstractNum>
  <w:abstractNum w:abstractNumId="301">
    <w:nsid w:val="151F37A3"/>
    <w:multiLevelType w:val="hybridMultilevel"/>
    <w:lvl w:ilvl="0">
      <w:lvlJc w:val="left"/>
      <w:lvlText w:val="%1."/>
      <w:numFmt w:val="decimal"/>
      <w:start w:val="112"/>
    </w:lvl>
  </w:abstractNum>
  <w:abstractNum w:abstractNumId="302">
    <w:nsid w:val="180DEB1"/>
    <w:multiLevelType w:val="hybridMultilevel"/>
    <w:lvl w:ilvl="0">
      <w:lvlJc w:val="left"/>
      <w:lvlText w:val="(%1)"/>
      <w:numFmt w:val="lowerLetter"/>
      <w:start w:val="1"/>
    </w:lvl>
  </w:abstractNum>
  <w:abstractNum w:abstractNumId="303">
    <w:nsid w:val="4A3F068C"/>
    <w:multiLevelType w:val="hybridMultilevel"/>
    <w:lvl w:ilvl="0">
      <w:lvlJc w:val="left"/>
      <w:lvlText w:val="%1."/>
      <w:numFmt w:val="decimal"/>
      <w:start w:val="113"/>
    </w:lvl>
  </w:abstractNum>
  <w:abstractNum w:abstractNumId="304">
    <w:nsid w:val="6C04B4E0"/>
    <w:multiLevelType w:val="hybridMultilevel"/>
    <w:lvl w:ilvl="0">
      <w:lvlJc w:val="left"/>
      <w:lvlText w:val="%1)"/>
      <w:numFmt w:val="lowerLetter"/>
      <w:start w:val="1"/>
    </w:lvl>
  </w:abstractNum>
  <w:abstractNum w:abstractNumId="305">
    <w:nsid w:val="1D082837"/>
    <w:multiLevelType w:val="hybridMultilevel"/>
    <w:lvl w:ilvl="0">
      <w:lvlJc w:val="left"/>
      <w:lvlText w:val="%1)"/>
      <w:numFmt w:val="lowerLetter"/>
      <w:start w:val="2"/>
    </w:lvl>
  </w:abstractNum>
  <w:abstractNum w:abstractNumId="306">
    <w:nsid w:val="685B8A2D"/>
    <w:multiLevelType w:val="hybridMultilevel"/>
    <w:lvl w:ilvl="0">
      <w:lvlJc w:val="left"/>
      <w:lvlText w:val="%1)"/>
      <w:numFmt w:val="lowerLetter"/>
      <w:start w:val="1"/>
    </w:lvl>
  </w:abstractNum>
  <w:abstractNum w:abstractNumId="307">
    <w:nsid w:val="64F087E2"/>
    <w:multiLevelType w:val="hybridMultilevel"/>
    <w:lvl w:ilvl="0">
      <w:lvlJc w:val="left"/>
      <w:lvlText w:val="(%1)"/>
      <w:numFmt w:val="upperLetter"/>
      <w:start w:val="9"/>
    </w:lvl>
    <w:lvl w:ilvl="1">
      <w:lvlJc w:val="left"/>
      <w:lvlText w:val="(%2)"/>
      <w:numFmt w:val="lowerLetter"/>
      <w:start w:val="1"/>
    </w:lvl>
  </w:abstractNum>
  <w:abstractNum w:abstractNumId="308">
    <w:nsid w:val="1575811C"/>
    <w:multiLevelType w:val="hybridMultilevel"/>
    <w:lvl w:ilvl="0">
      <w:lvlJc w:val="left"/>
      <w:lvlText w:val="(%1)"/>
      <w:numFmt w:val="upperLetter"/>
      <w:start w:val="35"/>
    </w:lvl>
    <w:lvl w:ilvl="1">
      <w:lvlJc w:val="left"/>
      <w:lvlText w:val="(%2)"/>
      <w:numFmt w:val="lowerLetter"/>
      <w:start w:val="1"/>
    </w:lvl>
  </w:abstractNum>
  <w:abstractNum w:abstractNumId="309">
    <w:nsid w:val="52127406"/>
    <w:multiLevelType w:val="hybridMultilevel"/>
    <w:lvl w:ilvl="0">
      <w:lvlJc w:val="left"/>
      <w:lvlText w:val="%1."/>
      <w:numFmt w:val="decimal"/>
      <w:start w:val="114"/>
    </w:lvl>
  </w:abstractNum>
  <w:abstractNum w:abstractNumId="310">
    <w:nsid w:val="5FF178A"/>
    <w:multiLevelType w:val="hybridMultilevel"/>
    <w:lvl w:ilvl="0">
      <w:lvlJc w:val="left"/>
      <w:lvlText w:val="(%1)"/>
      <w:numFmt w:val="lowerLetter"/>
      <w:start w:val="1"/>
    </w:lvl>
    <w:lvl w:ilvl="1">
      <w:lvlJc w:val="left"/>
      <w:lvlText w:val="%2)"/>
      <w:numFmt w:val="lowerRoman"/>
      <w:start w:val="1"/>
    </w:lvl>
  </w:abstractNum>
  <w:abstractNum w:abstractNumId="311">
    <w:nsid w:val="53FB0875"/>
    <w:multiLevelType w:val="hybridMultilevel"/>
    <w:lvl w:ilvl="0">
      <w:lvlJc w:val="left"/>
      <w:lvlText w:val="%1."/>
      <w:numFmt w:val="decimal"/>
      <w:start w:val="115"/>
    </w:lvl>
  </w:abstractNum>
  <w:abstractNum w:abstractNumId="312">
    <w:nsid w:val="34FA7B2B"/>
    <w:multiLevelType w:val="hybridMultilevel"/>
    <w:lvl w:ilvl="0">
      <w:lvlJc w:val="left"/>
      <w:lvlText w:val="(%1)"/>
      <w:numFmt w:val="lowerLetter"/>
      <w:start w:val="1"/>
    </w:lvl>
  </w:abstractNum>
  <w:abstractNum w:abstractNumId="313">
    <w:nsid w:val="CA75DBC"/>
    <w:multiLevelType w:val="hybridMultilevel"/>
    <w:lvl w:ilvl="0">
      <w:lvlJc w:val="left"/>
      <w:lvlText w:val="%1."/>
      <w:numFmt w:val="decimal"/>
      <w:start w:val="116"/>
    </w:lvl>
  </w:abstractNum>
  <w:abstractNum w:abstractNumId="314">
    <w:nsid w:val="6AE2EC3C"/>
    <w:multiLevelType w:val="hybridMultilevel"/>
    <w:lvl w:ilvl="0">
      <w:lvlJc w:val="left"/>
      <w:lvlText w:val="%1."/>
      <w:numFmt w:val="decimal"/>
      <w:start w:val="117"/>
    </w:lvl>
  </w:abstractNum>
  <w:abstractNum w:abstractNumId="315">
    <w:nsid w:val="3B3A67C5"/>
    <w:multiLevelType w:val="hybridMultilevel"/>
    <w:lvl w:ilvl="0">
      <w:lvlJc w:val="left"/>
      <w:lvlText w:val="%1."/>
      <w:numFmt w:val="decimal"/>
      <w:start w:val="118"/>
    </w:lvl>
  </w:abstractNum>
  <w:abstractNum w:abstractNumId="316">
    <w:nsid w:val="78D07D08"/>
    <w:multiLevelType w:val="hybridMultilevel"/>
    <w:lvl w:ilvl="0">
      <w:lvlJc w:val="left"/>
      <w:lvlText w:val="%1."/>
      <w:numFmt w:val="decimal"/>
      <w:start w:val="119"/>
    </w:lvl>
  </w:abstractNum>
  <w:abstractNum w:abstractNumId="317">
    <w:nsid w:val="3AF676B7"/>
    <w:multiLevelType w:val="hybridMultilevel"/>
    <w:lvl w:ilvl="0">
      <w:lvlJc w:val="left"/>
      <w:lvlText w:val="%1)"/>
      <w:numFmt w:val="lowerLetter"/>
      <w:start w:val="1"/>
    </w:lvl>
  </w:abstractNum>
  <w:abstractNum w:abstractNumId="318">
    <w:nsid w:val="6B6FD84E"/>
    <w:multiLevelType w:val="hybridMultilevel"/>
    <w:lvl w:ilvl="0">
      <w:lvlJc w:val="left"/>
      <w:lvlText w:val="%1."/>
      <w:numFmt w:val="decimal"/>
      <w:start w:val="120"/>
    </w:lvl>
  </w:abstractNum>
  <w:abstractNum w:abstractNumId="319">
    <w:nsid w:val="497FD5B0"/>
    <w:multiLevelType w:val="hybridMultilevel"/>
    <w:lvl w:ilvl="0">
      <w:lvlJc w:val="left"/>
      <w:lvlText w:val="%1."/>
      <w:numFmt w:val="decimal"/>
      <w:start w:val="121"/>
    </w:lvl>
  </w:abstractNum>
  <w:abstractNum w:abstractNumId="320">
    <w:nsid w:val="61A5C3E4"/>
    <w:multiLevelType w:val="hybridMultilevel"/>
    <w:lvl w:ilvl="0">
      <w:lvlJc w:val="left"/>
      <w:lvlText w:val="(%1)"/>
      <w:numFmt w:val="decimal"/>
      <w:start w:val="5"/>
    </w:lvl>
  </w:abstractNum>
  <w:abstractNum w:abstractNumId="321">
    <w:nsid w:val="FADB8F8"/>
    <w:multiLevelType w:val="hybridMultilevel"/>
    <w:lvl w:ilvl="0">
      <w:lvlJc w:val="left"/>
      <w:lvlText w:val="(%1)"/>
      <w:numFmt w:val="decimal"/>
      <w:start w:val="6"/>
    </w:lvl>
  </w:abstractNum>
  <w:abstractNum w:abstractNumId="322">
    <w:nsid w:val="3DEB451A"/>
    <w:multiLevelType w:val="hybridMultilevel"/>
    <w:lvl w:ilvl="0">
      <w:lvlJc w:val="left"/>
      <w:lvlText w:val="%1."/>
      <w:numFmt w:val="decimal"/>
      <w:start w:val="122"/>
    </w:lvl>
    <w:lvl w:ilvl="1">
      <w:lvlJc w:val="left"/>
      <w:lvlText w:val="(%2)"/>
      <w:numFmt w:val="lowerRoman"/>
      <w:start w:val="1"/>
    </w:lvl>
  </w:abstractNum>
  <w:abstractNum w:abstractNumId="323">
    <w:nsid w:val="A577FD6"/>
    <w:multiLevelType w:val="hybridMultilevel"/>
    <w:lvl w:ilvl="0">
      <w:lvlJc w:val="left"/>
      <w:lvlText w:val="(%1)"/>
      <w:numFmt w:val="decimal"/>
      <w:start w:val="3"/>
    </w:lvl>
  </w:abstractNum>
  <w:abstractNum w:abstractNumId="324">
    <w:nsid w:val="1E5313D"/>
    <w:multiLevelType w:val="hybridMultilevel"/>
    <w:lvl w:ilvl="0">
      <w:lvlJc w:val="left"/>
      <w:lvlText w:val="%1."/>
      <w:numFmt w:val="decimal"/>
      <w:start w:val="123"/>
    </w:lvl>
    <w:lvl w:ilvl="1">
      <w:lvlJc w:val="left"/>
      <w:lvlText w:val="%2)"/>
      <w:numFmt w:val="lowerLetter"/>
      <w:start w:val="1"/>
    </w:lvl>
  </w:abstractNum>
  <w:abstractNum w:abstractNumId="325">
    <w:nsid w:val="1B37F412"/>
    <w:multiLevelType w:val="hybridMultilevel"/>
    <w:lvl w:ilvl="0">
      <w:lvlJc w:val="left"/>
      <w:lvlText w:val="(%1)"/>
      <w:numFmt w:val="decimal"/>
      <w:start w:val="4"/>
    </w:lvl>
    <w:lvl w:ilvl="1">
      <w:lvlJc w:val="left"/>
      <w:lvlText w:val="%2)"/>
      <w:numFmt w:val="lowerLetter"/>
      <w:start w:val="1"/>
    </w:lvl>
  </w:abstractNum>
  <w:abstractNum w:abstractNumId="326">
    <w:nsid w:val="4C9BB1B"/>
    <w:multiLevelType w:val="hybridMultilevel"/>
    <w:lvl w:ilvl="0">
      <w:lvlJc w:val="left"/>
      <w:lvlText w:val="(%1)"/>
      <w:numFmt w:val="decimal"/>
      <w:start w:val="7"/>
    </w:lvl>
  </w:abstractNum>
  <w:abstractNum w:abstractNumId="327">
    <w:nsid w:val="22766F7E"/>
    <w:multiLevelType w:val="hybridMultilevel"/>
    <w:lvl w:ilvl="0">
      <w:lvlJc w:val="left"/>
      <w:lvlText w:val="%1"/>
      <w:numFmt w:val="decimal"/>
      <w:start w:val="57"/>
    </w:lvl>
  </w:abstractNum>
  <w:abstractNum w:abstractNumId="328">
    <w:nsid w:val="2936B69A"/>
    <w:multiLevelType w:val="hybridMultilevel"/>
    <w:lvl w:ilvl="0">
      <w:lvlJc w:val="left"/>
      <w:lvlText w:val="%1)"/>
      <w:numFmt w:val="lowerLetter"/>
      <w:start w:val="1"/>
    </w:lvl>
  </w:abstractNum>
  <w:abstractNum w:abstractNumId="329">
    <w:nsid w:val="5E194EEC"/>
    <w:multiLevelType w:val="hybridMultilevel"/>
    <w:lvl w:ilvl="0">
      <w:lvlJc w:val="left"/>
      <w:lvlText w:val="%1."/>
      <w:numFmt w:val="decimal"/>
      <w:start w:val="124"/>
    </w:lvl>
  </w:abstractNum>
  <w:abstractNum w:abstractNumId="330">
    <w:nsid w:val="3B69ECD"/>
    <w:multiLevelType w:val="hybridMultilevel"/>
    <w:lvl w:ilvl="0">
      <w:lvlJc w:val="left"/>
      <w:lvlText w:val="%1"/>
      <w:numFmt w:val="decimal"/>
      <w:start w:val="1"/>
    </w:lvl>
    <w:lvl w:ilvl="1">
      <w:lvlJc w:val="left"/>
      <w:lvlText w:val="(%2)"/>
      <w:numFmt w:val="decimal"/>
      <w:start w:val="2"/>
    </w:lvl>
  </w:abstractNum>
  <w:abstractNum w:abstractNumId="331">
    <w:nsid w:val="77361526"/>
    <w:multiLevelType w:val="hybridMultilevel"/>
    <w:lvl w:ilvl="0">
      <w:lvlJc w:val="left"/>
      <w:lvlText w:val="(%1)"/>
      <w:numFmt w:val="decimal"/>
      <w:start w:val="3"/>
    </w:lvl>
    <w:lvl w:ilvl="1">
      <w:lvlJc w:val="left"/>
      <w:lvlText w:val="%2"/>
      <w:numFmt w:val="decimal"/>
      <w:start w:val="1"/>
    </w:lvl>
  </w:abstractNum>
  <w:abstractNum w:abstractNumId="332">
    <w:nsid w:val="7338868F"/>
    <w:multiLevelType w:val="hybridMultilevel"/>
    <w:lvl w:ilvl="0">
      <w:lvlJc w:val="left"/>
      <w:lvlText w:val="%1"/>
      <w:numFmt w:val="decimal"/>
      <w:start w:val="59"/>
    </w:lvl>
  </w:abstractNum>
  <w:abstractNum w:abstractNumId="333">
    <w:nsid w:val="5377D7E"/>
    <w:multiLevelType w:val="hybridMultilevel"/>
    <w:lvl w:ilvl="0">
      <w:lvlJc w:val="left"/>
      <w:lvlText w:val="(%1)"/>
      <w:numFmt w:val="decimal"/>
      <w:start w:val="4"/>
    </w:lvl>
  </w:abstractNum>
  <w:abstractNum w:abstractNumId="334">
    <w:nsid w:val="41751BB2"/>
    <w:multiLevelType w:val="hybridMultilevel"/>
    <w:lvl w:ilvl="0">
      <w:lvlJc w:val="left"/>
      <w:lvlText w:val="%1."/>
      <w:numFmt w:val="decimal"/>
      <w:start w:val="125"/>
    </w:lvl>
  </w:abstractNum>
  <w:abstractNum w:abstractNumId="335">
    <w:nsid w:val="5F3D3B70"/>
    <w:multiLevelType w:val="hybridMultilevel"/>
    <w:lvl w:ilvl="0">
      <w:lvlJc w:val="left"/>
      <w:lvlText w:val="%1."/>
      <w:numFmt w:val="decimal"/>
      <w:start w:val="126"/>
    </w:lvl>
  </w:abstractNum>
  <w:abstractNum w:abstractNumId="336">
    <w:nsid w:val="223FA5B6"/>
    <w:multiLevelType w:val="hybridMultilevel"/>
    <w:lvl w:ilvl="0">
      <w:lvlJc w:val="left"/>
      <w:lvlText w:val="%1."/>
      <w:numFmt w:val="decimal"/>
      <w:start w:val="127"/>
    </w:lvl>
  </w:abstractNum>
  <w:abstractNum w:abstractNumId="337">
    <w:nsid w:val="29D0A5DF"/>
    <w:multiLevelType w:val="hybridMultilevel"/>
    <w:lvl w:ilvl="0">
      <w:lvlJc w:val="left"/>
      <w:lvlText w:val="%1"/>
      <w:numFmt w:val="decimal"/>
      <w:start w:val="60"/>
    </w:lvl>
  </w:abstractNum>
  <w:abstractNum w:abstractNumId="338">
    <w:nsid w:val="442DC352"/>
    <w:multiLevelType w:val="hybridMultilevel"/>
    <w:lvl w:ilvl="0">
      <w:lvlJc w:val="left"/>
      <w:lvlText w:val="(%1)"/>
      <w:numFmt w:val="decimal"/>
      <w:start w:val="3"/>
    </w:lvl>
  </w:abstractNum>
  <w:abstractNum w:abstractNumId="339">
    <w:nsid w:val="37B526D2"/>
    <w:multiLevelType w:val="hybridMultilevel"/>
    <w:lvl w:ilvl="0">
      <w:lvlJc w:val="left"/>
      <w:lvlText w:val="(%1)"/>
      <w:numFmt w:val="decimal"/>
      <w:start w:val="5"/>
    </w:lvl>
  </w:abstractNum>
  <w:abstractNum w:abstractNumId="340">
    <w:nsid w:val="7BE319E5"/>
    <w:multiLevelType w:val="hybridMultilevel"/>
    <w:lvl w:ilvl="0">
      <w:lvlJc w:val="left"/>
      <w:lvlText w:val="(%1)"/>
      <w:numFmt w:val="decimal"/>
      <w:start w:val="6"/>
    </w:lvl>
  </w:abstractNum>
  <w:abstractNum w:abstractNumId="341">
    <w:nsid w:val="4A2CDADC"/>
    <w:multiLevelType w:val="hybridMultilevel"/>
    <w:lvl w:ilvl="0">
      <w:lvlJc w:val="left"/>
      <w:lvlText w:val="%1."/>
      <w:numFmt w:val="decimal"/>
      <w:start w:val="128"/>
    </w:lvl>
  </w:abstractNum>
  <w:abstractNum w:abstractNumId="342">
    <w:nsid w:val="BB02F47"/>
    <w:multiLevelType w:val="hybridMultilevel"/>
    <w:lvl w:ilvl="0">
      <w:lvlJc w:val="left"/>
      <w:lvlText w:val="%1)"/>
      <w:numFmt w:val="lowerLetter"/>
      <w:start w:val="1"/>
    </w:lvl>
  </w:abstractNum>
  <w:abstractNum w:abstractNumId="343">
    <w:nsid w:val="30DD9510"/>
    <w:multiLevelType w:val="hybridMultilevel"/>
    <w:lvl w:ilvl="0">
      <w:lvlJc w:val="left"/>
      <w:lvlText w:val="%1."/>
      <w:numFmt w:val="decimal"/>
      <w:start w:val="129"/>
    </w:lvl>
  </w:abstractNum>
  <w:abstractNum w:abstractNumId="344">
    <w:nsid w:val="56D43898"/>
    <w:multiLevelType w:val="hybridMultilevel"/>
    <w:lvl w:ilvl="0">
      <w:lvlJc w:val="left"/>
      <w:lvlText w:val="%1)"/>
      <w:numFmt w:val="lowerLetter"/>
      <w:start w:val="1"/>
    </w:lvl>
  </w:abstractNum>
  <w:abstractNum w:abstractNumId="345">
    <w:nsid w:val="76931B84"/>
    <w:multiLevelType w:val="hybridMultilevel"/>
    <w:lvl w:ilvl="0">
      <w:lvlJc w:val="left"/>
      <w:lvlText w:val="%1)"/>
      <w:numFmt w:val="lowerLetter"/>
      <w:start w:val="2"/>
    </w:lvl>
  </w:abstractNum>
  <w:abstractNum w:abstractNumId="346">
    <w:nsid w:val="6C17FCD6"/>
    <w:multiLevelType w:val="hybridMultilevel"/>
    <w:lvl w:ilvl="0">
      <w:lvlJc w:val="left"/>
      <w:lvlText w:val="(%1)"/>
      <w:numFmt w:val="decimal"/>
      <w:start w:val="2"/>
    </w:lvl>
    <w:lvl w:ilvl="1">
      <w:lvlJc w:val="left"/>
      <w:lvlText w:val="(%2)"/>
      <w:numFmt w:val="lowerLetter"/>
      <w:start w:val="1"/>
    </w:lvl>
  </w:abstractNum>
  <w:abstractNum w:abstractNumId="347">
    <w:nsid w:val="4FA4B5A1"/>
    <w:multiLevelType w:val="hybridMultilevel"/>
    <w:lvl w:ilvl="0">
      <w:lvlJc w:val="left"/>
      <w:lvlText w:val="(%1)"/>
      <w:numFmt w:val="decimal"/>
      <w:start w:val="3"/>
    </w:lvl>
    <w:lvl w:ilvl="1">
      <w:lvlJc w:val="left"/>
      <w:lvlText w:val="(%2)"/>
      <w:numFmt w:val="lowerLetter"/>
      <w:start w:val="1"/>
    </w:lvl>
    <w:lvl w:ilvl="2">
      <w:lvlJc w:val="left"/>
      <w:lvlText w:val="(%3)"/>
      <w:numFmt w:val="lowerRoman"/>
      <w:start w:val="1"/>
    </w:lvl>
  </w:abstractNum>
  <w:abstractNum w:abstractNumId="348">
    <w:nsid w:val="3189923B"/>
    <w:multiLevelType w:val="hybridMultilevel"/>
    <w:lvl w:ilvl="0">
      <w:lvlJc w:val="left"/>
      <w:lvlText w:val="%1."/>
      <w:numFmt w:val="decimal"/>
      <w:start w:val="130"/>
    </w:lvl>
  </w:abstractNum>
  <w:abstractNum w:abstractNumId="349">
    <w:nsid w:val="5787D524"/>
    <w:multiLevelType w:val="hybridMultilevel"/>
    <w:lvl w:ilvl="0">
      <w:lvlJc w:val="left"/>
      <w:lvlText w:val="(%1)"/>
      <w:numFmt w:val="lowerLetter"/>
      <w:start w:val="1"/>
    </w:lvl>
  </w:abstractNum>
  <w:abstractNum w:abstractNumId="350">
    <w:nsid w:val="19248B51"/>
    <w:multiLevelType w:val="hybridMultilevel"/>
    <w:lvl w:ilvl="0">
      <w:lvlJc w:val="left"/>
      <w:lvlText w:val="(%1)"/>
      <w:numFmt w:val="decimal"/>
      <w:start w:val="3"/>
    </w:lvl>
    <w:lvl w:ilvl="1">
      <w:lvlJc w:val="left"/>
      <w:lvlText w:val="(%2)"/>
      <w:numFmt w:val="lowerLetter"/>
      <w:start w:val="1"/>
    </w:lvl>
  </w:abstractNum>
  <w:abstractNum w:abstractNumId="351">
    <w:nsid w:val="132F561F"/>
    <w:multiLevelType w:val="hybridMultilevel"/>
    <w:lvl w:ilvl="0">
      <w:lvlJc w:val="left"/>
      <w:lvlText w:val="%1."/>
      <w:numFmt w:val="decimal"/>
      <w:start w:val="131"/>
    </w:lvl>
  </w:abstractNum>
  <w:abstractNum w:abstractNumId="352">
    <w:nsid w:val="67358E1D"/>
    <w:multiLevelType w:val="hybridMultilevel"/>
    <w:lvl w:ilvl="0">
      <w:lvlJc w:val="left"/>
      <w:lvlText w:val="%1."/>
      <w:numFmt w:val="decimal"/>
      <w:start w:val="132"/>
    </w:lvl>
  </w:abstractNum>
  <w:abstractNum w:abstractNumId="353">
    <w:nsid w:val="570FD06B"/>
    <w:multiLevelType w:val="hybridMultilevel"/>
    <w:lvl w:ilvl="0">
      <w:lvlJc w:val="left"/>
      <w:lvlText w:val="%1."/>
      <w:numFmt w:val="decimal"/>
      <w:start w:val="133"/>
    </w:lvl>
  </w:abstractNum>
  <w:abstractNum w:abstractNumId="354">
    <w:nsid w:val="1D86D5F5"/>
    <w:multiLevelType w:val="hybridMultilevel"/>
    <w:lvl w:ilvl="0">
      <w:lvlJc w:val="left"/>
      <w:lvlText w:val="%1."/>
      <w:numFmt w:val="decimal"/>
      <w:start w:val="134"/>
    </w:lvl>
  </w:abstractNum>
  <w:abstractNum w:abstractNumId="355">
    <w:nsid w:val="691ABF5A"/>
    <w:multiLevelType w:val="hybridMultilevel"/>
    <w:lvl w:ilvl="0">
      <w:lvlJc w:val="left"/>
      <w:lvlText w:val="%1."/>
      <w:numFmt w:val="decimal"/>
      <w:start w:val="135"/>
    </w:lvl>
  </w:abstractNum>
  <w:abstractNum w:abstractNumId="356">
    <w:nsid w:val="7247C47D"/>
    <w:multiLevelType w:val="hybridMultilevel"/>
    <w:lvl w:ilvl="0">
      <w:lvlJc w:val="left"/>
      <w:lvlText w:val="%1."/>
      <w:numFmt w:val="decimal"/>
      <w:start w:val="136"/>
    </w:lvl>
    <w:lvl w:ilvl="1">
      <w:lvlJc w:val="left"/>
      <w:lvlText w:val="(%2)"/>
      <w:numFmt w:val="lowerLetter"/>
      <w:start w:val="1"/>
    </w:lvl>
  </w:abstractNum>
  <w:abstractNum w:abstractNumId="357">
    <w:nsid w:val="22509110"/>
    <w:multiLevelType w:val="hybridMultilevel"/>
    <w:lvl w:ilvl="0">
      <w:lvlJc w:val="left"/>
      <w:lvlText w:val="(%1)"/>
      <w:numFmt w:val="lowerLetter"/>
      <w:start w:val="2"/>
    </w:lvl>
  </w:abstractNum>
  <w:abstractNum w:abstractNumId="358">
    <w:nsid w:val="B912ED8"/>
    <w:multiLevelType w:val="hybridMultilevel"/>
    <w:lvl w:ilvl="0">
      <w:lvlJc w:val="left"/>
      <w:lvlText w:val="%1."/>
      <w:numFmt w:val="decimal"/>
      <w:start w:val="137"/>
    </w:lvl>
  </w:abstractNum>
  <w:abstractNum w:abstractNumId="359">
    <w:nsid w:val="1B7E7B17"/>
    <w:multiLevelType w:val="hybridMultilevel"/>
    <w:lvl w:ilvl="0">
      <w:lvlJc w:val="left"/>
      <w:lvlText w:val="(%1)"/>
      <w:numFmt w:val="decimal"/>
      <w:start w:val="4"/>
    </w:lvl>
  </w:abstractNum>
  <w:abstractNum w:abstractNumId="360">
    <w:nsid w:val="69DFFC"/>
    <w:multiLevelType w:val="hybridMultilevel"/>
    <w:lvl w:ilvl="0">
      <w:lvlJc w:val="left"/>
      <w:lvlText w:val="%1."/>
      <w:numFmt w:val="decimal"/>
      <w:start w:val="138"/>
    </w:lvl>
  </w:abstractNum>
  <w:abstractNum w:abstractNumId="361">
    <w:nsid w:val="F47CDA5"/>
    <w:multiLevelType w:val="hybridMultilevel"/>
    <w:lvl w:ilvl="0">
      <w:lvlJc w:val="left"/>
      <w:lvlText w:val="(%1)"/>
      <w:numFmt w:val="decimal"/>
      <w:start w:val="2"/>
    </w:lvl>
  </w:abstractNum>
  <w:abstractNum w:abstractNumId="362">
    <w:nsid w:val="12B4903D"/>
    <w:multiLevelType w:val="hybridMultilevel"/>
    <w:lvl w:ilvl="0">
      <w:lvlJc w:val="left"/>
      <w:lvlText w:val="%1."/>
      <w:numFmt w:val="decimal"/>
      <w:start w:val="140"/>
    </w:lvl>
  </w:abstractNum>
  <w:abstractNum w:abstractNumId="363">
    <w:nsid w:val="73A2668C"/>
    <w:multiLevelType w:val="hybridMultilevel"/>
    <w:lvl w:ilvl="0">
      <w:lvlJc w:val="left"/>
      <w:lvlText w:val="(%1)"/>
      <w:numFmt w:val="decimal"/>
      <w:start w:val="2"/>
    </w:lvl>
  </w:abstractNum>
  <w:abstractNum w:abstractNumId="364">
    <w:nsid w:val="147F4B24"/>
    <w:multiLevelType w:val="hybridMultilevel"/>
    <w:lvl w:ilvl="0">
      <w:lvlJc w:val="left"/>
      <w:lvlText w:val="%1"/>
      <w:numFmt w:val="decimal"/>
      <w:start w:val="62"/>
    </w:lvl>
  </w:abstractNum>
  <w:abstractNum w:abstractNumId="365">
    <w:nsid w:val="5429ABEF"/>
    <w:multiLevelType w:val="hybridMultilevel"/>
    <w:lvl w:ilvl="0">
      <w:lvlJc w:val="left"/>
      <w:lvlText w:val="(%1)"/>
      <w:numFmt w:val="decimal"/>
      <w:start w:val="3"/>
    </w:lvl>
  </w:abstractNum>
  <w:abstractNum w:abstractNumId="366">
    <w:nsid w:val="52DFA1FC"/>
    <w:multiLevelType w:val="hybridMultilevel"/>
    <w:lvl w:ilvl="0">
      <w:lvlJc w:val="left"/>
      <w:lvlText w:val="%1."/>
      <w:numFmt w:val="decimal"/>
      <w:start w:val="141"/>
    </w:lvl>
  </w:abstractNum>
  <w:abstractNum w:abstractNumId="367">
    <w:nsid w:val="36BEF0DA"/>
    <w:multiLevelType w:val="hybridMultilevel"/>
    <w:lvl w:ilvl="0">
      <w:lvlJc w:val="left"/>
      <w:lvlText w:val="%1."/>
      <w:numFmt w:val="decimal"/>
      <w:start w:val="142"/>
    </w:lvl>
  </w:abstractNum>
  <w:abstractNum w:abstractNumId="368">
    <w:nsid w:val="7DFA51CE"/>
    <w:multiLevelType w:val="hybridMultilevel"/>
    <w:lvl w:ilvl="0">
      <w:lvlJc w:val="left"/>
      <w:lvlText w:val="%1."/>
      <w:numFmt w:val="decimal"/>
      <w:start w:val="143"/>
    </w:lvl>
  </w:abstractNum>
  <w:abstractNum w:abstractNumId="369">
    <w:nsid w:val="170D654E"/>
    <w:multiLevelType w:val="hybridMultilevel"/>
    <w:lvl w:ilvl="0">
      <w:lvlJc w:val="left"/>
      <w:lvlText w:val="%1"/>
      <w:numFmt w:val="decimal"/>
      <w:start w:val="63"/>
    </w:lvl>
  </w:abstractNum>
  <w:abstractNum w:abstractNumId="370">
    <w:nsid w:val="6E7417AC"/>
    <w:multiLevelType w:val="hybridMultilevel"/>
    <w:lvl w:ilvl="0">
      <w:lvlJc w:val="left"/>
      <w:lvlText w:val="(%1)"/>
      <w:numFmt w:val="decimal"/>
      <w:start w:val="4"/>
    </w:lvl>
  </w:abstractNum>
  <w:abstractNum w:abstractNumId="371">
    <w:nsid w:val="79DD6BB3"/>
    <w:multiLevelType w:val="hybridMultilevel"/>
    <w:lvl w:ilvl="0">
      <w:lvlJc w:val="left"/>
      <w:lvlText w:val="%1."/>
      <w:numFmt w:val="decimal"/>
      <w:start w:val="144"/>
    </w:lvl>
  </w:abstractNum>
  <w:abstractNum w:abstractNumId="372">
    <w:nsid w:val="613A402A"/>
    <w:multiLevelType w:val="hybridMultilevel"/>
    <w:lvl w:ilvl="0">
      <w:lvlJc w:val="left"/>
      <w:lvlText w:val="%1."/>
      <w:numFmt w:val="decimal"/>
      <w:start w:val="145"/>
    </w:lvl>
  </w:abstractNum>
  <w:abstractNum w:abstractNumId="373">
    <w:nsid w:val="7A2446F3"/>
    <w:multiLevelType w:val="hybridMultilevel"/>
    <w:lvl w:ilvl="0">
      <w:lvlJc w:val="left"/>
      <w:lvlText w:val="(%1)"/>
      <w:numFmt w:val="decimal"/>
      <w:start w:val="5"/>
    </w:lvl>
  </w:abstractNum>
  <w:abstractNum w:abstractNumId="374">
    <w:nsid w:val="2ABB00C4"/>
    <w:multiLevelType w:val="hybridMultilevel"/>
    <w:lvl w:ilvl="0">
      <w:lvlJc w:val="left"/>
      <w:lvlText w:val="%1."/>
      <w:numFmt w:val="decimal"/>
      <w:start w:val="146"/>
    </w:lvl>
  </w:abstractNum>
  <w:abstractNum w:abstractNumId="375">
    <w:nsid w:val="380E78C3"/>
    <w:multiLevelType w:val="hybridMultilevel"/>
    <w:lvl w:ilvl="0">
      <w:lvlJc w:val="left"/>
      <w:lvlText w:val="%1."/>
      <w:numFmt w:val="decimal"/>
      <w:start w:val="147"/>
    </w:lvl>
  </w:abstractNum>
  <w:abstractNum w:abstractNumId="376">
    <w:nsid w:val="70B76277"/>
    <w:multiLevelType w:val="hybridMultilevel"/>
    <w:lvl w:ilvl="0">
      <w:lvlJc w:val="left"/>
      <w:lvlText w:val="%1."/>
      <w:numFmt w:val="decimal"/>
      <w:start w:val="148"/>
    </w:lvl>
  </w:abstractNum>
  <w:abstractNum w:abstractNumId="377">
    <w:nsid w:val="16D2FD9A"/>
    <w:multiLevelType w:val="hybridMultilevel"/>
    <w:lvl w:ilvl="0">
      <w:lvlJc w:val="left"/>
      <w:lvlText w:val="(%1)"/>
      <w:numFmt w:val="decimal"/>
      <w:start w:val="4"/>
    </w:lvl>
  </w:abstractNum>
  <w:abstractNum w:abstractNumId="378">
    <w:nsid w:val="7B32E64"/>
    <w:multiLevelType w:val="hybridMultilevel"/>
    <w:lvl w:ilvl="0">
      <w:lvlJc w:val="left"/>
      <w:lvlText w:val="%1."/>
      <w:numFmt w:val="decimal"/>
      <w:start w:val="149"/>
    </w:lvl>
  </w:abstractNum>
  <w:abstractNum w:abstractNumId="379">
    <w:nsid w:val="2240F4B2"/>
    <w:multiLevelType w:val="hybridMultilevel"/>
    <w:lvl w:ilvl="0">
      <w:lvlJc w:val="left"/>
      <w:lvlText w:val="(%1)"/>
      <w:numFmt w:val="decimal"/>
      <w:start w:val="2"/>
    </w:lvl>
  </w:abstractNum>
  <w:abstractNum w:abstractNumId="380">
    <w:nsid w:val="6E5AD2BE"/>
    <w:multiLevelType w:val="hybridMultilevel"/>
    <w:lvl w:ilvl="0">
      <w:lvlJc w:val="left"/>
      <w:lvlText w:val="%1."/>
      <w:numFmt w:val="decimal"/>
      <w:start w:val="150"/>
    </w:lvl>
  </w:abstractNum>
  <w:abstractNum w:abstractNumId="381">
    <w:nsid w:val="20D7B9B5"/>
    <w:multiLevelType w:val="hybridMultilevel"/>
    <w:lvl w:ilvl="0">
      <w:lvlJc w:val="left"/>
      <w:lvlText w:val="%1."/>
      <w:numFmt w:val="decimal"/>
      <w:start w:val="151"/>
    </w:lvl>
  </w:abstractNum>
  <w:abstractNum w:abstractNumId="382">
    <w:nsid w:val="35704AD1"/>
    <w:multiLevelType w:val="hybridMultilevel"/>
    <w:lvl w:ilvl="0">
      <w:lvlJc w:val="left"/>
      <w:lvlText w:val="%1."/>
      <w:numFmt w:val="decimal"/>
      <w:start w:val="152"/>
    </w:lvl>
  </w:abstractNum>
  <w:abstractNum w:abstractNumId="383">
    <w:nsid w:val="559060DB"/>
    <w:multiLevelType w:val="hybridMultilevel"/>
    <w:lvl w:ilvl="0">
      <w:lvlJc w:val="left"/>
      <w:lvlText w:val="%1)"/>
      <w:numFmt w:val="lowerLetter"/>
      <w:start w:val="1"/>
    </w:lvl>
  </w:abstractNum>
  <w:abstractNum w:abstractNumId="384">
    <w:nsid w:val="77E78A20"/>
    <w:multiLevelType w:val="hybridMultilevel"/>
    <w:lvl w:ilvl="0">
      <w:lvlJc w:val="left"/>
      <w:lvlText w:val="%1."/>
      <w:numFmt w:val="decimal"/>
      <w:start w:val="153"/>
    </w:lvl>
  </w:abstractNum>
  <w:abstractNum w:abstractNumId="385">
    <w:nsid w:val="52F720C6"/>
    <w:multiLevelType w:val="hybridMultilevel"/>
    <w:lvl w:ilvl="0">
      <w:lvlJc w:val="left"/>
      <w:lvlText w:val="%1"/>
      <w:numFmt w:val="decimal"/>
      <w:start w:val="64"/>
    </w:lvl>
  </w:abstractNum>
  <w:abstractNum w:abstractNumId="386">
    <w:nsid w:val="3EAB2035"/>
    <w:multiLevelType w:val="hybridMultilevel"/>
    <w:lvl w:ilvl="0">
      <w:lvlJc w:val="left"/>
      <w:lvlText w:val="%1)"/>
      <w:numFmt w:val="lowerLetter"/>
      <w:start w:val="1"/>
    </w:lvl>
  </w:abstractNum>
  <w:abstractNum w:abstractNumId="387">
    <w:nsid w:val="6A2F4E9D"/>
    <w:multiLevelType w:val="hybridMultilevel"/>
    <w:lvl w:ilvl="0">
      <w:lvlJc w:val="left"/>
      <w:lvlText w:val="(%1)"/>
      <w:numFmt w:val="decimal"/>
      <w:start w:val="2"/>
    </w:lvl>
  </w:abstractNum>
  <w:abstractNum w:abstractNumId="388">
    <w:nsid w:val="7547B1D6"/>
    <w:multiLevelType w:val="hybridMultilevel"/>
    <w:lvl w:ilvl="0">
      <w:lvlJc w:val="left"/>
      <w:lvlText w:val="(%1)"/>
      <w:numFmt w:val="decimal"/>
      <w:start w:val="5"/>
    </w:lvl>
  </w:abstractNum>
  <w:abstractNum w:abstractNumId="389">
    <w:nsid w:val="4A3C4F0E"/>
    <w:multiLevelType w:val="hybridMultilevel"/>
    <w:lvl w:ilvl="0">
      <w:lvlJc w:val="left"/>
      <w:lvlText w:val="%1)"/>
      <w:numFmt w:val="lowerLetter"/>
      <w:start w:val="1"/>
    </w:lvl>
  </w:abstractNum>
  <w:abstractNum w:abstractNumId="390">
    <w:nsid w:val="5ADC9B4"/>
    <w:multiLevelType w:val="hybridMultilevel"/>
    <w:lvl w:ilvl="0">
      <w:lvlJc w:val="left"/>
      <w:lvlText w:val="%1."/>
      <w:numFmt w:val="decimal"/>
      <w:start w:val="154"/>
    </w:lvl>
  </w:abstractNum>
  <w:abstractNum w:abstractNumId="391">
    <w:nsid w:val="75B191D3"/>
    <w:multiLevelType w:val="hybridMultilevel"/>
    <w:lvl w:ilvl="0">
      <w:lvlJc w:val="left"/>
      <w:lvlText w:val="%1."/>
      <w:numFmt w:val="decimal"/>
      <w:start w:val="155"/>
    </w:lvl>
  </w:abstractNum>
  <w:abstractNum w:abstractNumId="392">
    <w:nsid w:val="59841CB3"/>
    <w:multiLevelType w:val="hybridMultilevel"/>
    <w:lvl w:ilvl="0">
      <w:lvlJc w:val="left"/>
      <w:lvlText w:val="%1)"/>
      <w:numFmt w:val="lowerLetter"/>
      <w:start w:val="1"/>
    </w:lvl>
  </w:abstractNum>
  <w:abstractNum w:abstractNumId="393">
    <w:nsid w:val="186259F2"/>
    <w:multiLevelType w:val="hybridMultilevel"/>
    <w:lvl w:ilvl="0">
      <w:lvlJc w:val="left"/>
      <w:lvlText w:val="%1)"/>
      <w:numFmt w:val="lowerLetter"/>
      <w:start w:val="7"/>
    </w:lvl>
  </w:abstractNum>
  <w:abstractNum w:abstractNumId="394">
    <w:nsid w:val="6953F85F"/>
    <w:multiLevelType w:val="hybridMultilevel"/>
    <w:lvl w:ilvl="0">
      <w:lvlJc w:val="left"/>
      <w:lvlText w:val="%1."/>
      <w:numFmt w:val="decimal"/>
      <w:start w:val="156"/>
    </w:lvl>
  </w:abstractNum>
  <w:abstractNum w:abstractNumId="395">
    <w:nsid w:val="6E0367D7"/>
    <w:multiLevelType w:val="hybridMultilevel"/>
    <w:lvl w:ilvl="0">
      <w:lvlJc w:val="left"/>
      <w:lvlText w:val="%1)"/>
      <w:numFmt w:val="lowerLetter"/>
      <w:start w:val="1"/>
    </w:lvl>
  </w:abstractNum>
  <w:abstractNum w:abstractNumId="396">
    <w:nsid w:val="6C8C05E1"/>
    <w:multiLevelType w:val="hybridMultilevel"/>
    <w:lvl w:ilvl="0">
      <w:lvlJc w:val="left"/>
      <w:lvlText w:val="%1)"/>
      <w:numFmt w:val="lowerLetter"/>
      <w:start w:val="2"/>
    </w:lvl>
  </w:abstractNum>
  <w:abstractNum w:abstractNumId="397">
    <w:nsid w:val="3C339A5B"/>
    <w:multiLevelType w:val="hybridMultilevel"/>
    <w:lvl w:ilvl="0">
      <w:lvlJc w:val="left"/>
      <w:lvlText w:val="%1."/>
      <w:numFmt w:val="decimal"/>
      <w:start w:val="157"/>
    </w:lvl>
  </w:abstractNum>
  <w:abstractNum w:abstractNumId="398">
    <w:nsid w:val="24C258B1"/>
    <w:multiLevelType w:val="hybridMultilevel"/>
    <w:lvl w:ilvl="0">
      <w:lvlJc w:val="left"/>
      <w:lvlText w:val="%1"/>
      <w:numFmt w:val="decimal"/>
      <w:start w:val="65"/>
    </w:lvl>
  </w:abstractNum>
  <w:abstractNum w:abstractNumId="399">
    <w:nsid w:val="6A8657B0"/>
    <w:multiLevelType w:val="hybridMultilevel"/>
    <w:lvl w:ilvl="0">
      <w:lvlJc w:val="left"/>
      <w:lvlText w:val="%1."/>
      <w:numFmt w:val="decimal"/>
      <w:start w:val="158"/>
    </w:lvl>
  </w:abstractNum>
  <w:abstractNum w:abstractNumId="400">
    <w:nsid w:val="5340FFA9"/>
    <w:multiLevelType w:val="hybridMultilevel"/>
    <w:lvl w:ilvl="0">
      <w:lvlJc w:val="left"/>
      <w:lvlText w:val="%1"/>
      <w:numFmt w:val="decimal"/>
      <w:start w:val="1"/>
    </w:lvl>
    <w:lvl w:ilvl="1">
      <w:lvlJc w:val="left"/>
      <w:lvlText w:val="%2)"/>
      <w:numFmt w:val="lowerLetter"/>
      <w:start w:val="1"/>
    </w:lvl>
  </w:abstractNum>
  <w:abstractNum w:abstractNumId="401">
    <w:nsid w:val="1336705D"/>
    <w:multiLevelType w:val="hybridMultilevel"/>
    <w:lvl w:ilvl="0">
      <w:lvlJc w:val="left"/>
      <w:lvlText w:val="(%1)"/>
      <w:numFmt w:val="decimal"/>
      <w:start w:val="2"/>
    </w:lvl>
    <w:lvl w:ilvl="1">
      <w:lvlJc w:val="left"/>
      <w:lvlText w:val="%2"/>
      <w:numFmt w:val="lowerLetter"/>
      <w:start w:val="1"/>
    </w:lvl>
  </w:abstractNum>
  <w:abstractNum w:abstractNumId="402">
    <w:nsid w:val="6463C363"/>
    <w:multiLevelType w:val="hybridMultilevel"/>
    <w:lvl w:ilvl="0">
      <w:lvlJc w:val="left"/>
      <w:lvlText w:val="(%1)"/>
      <w:numFmt w:val="decimal"/>
      <w:start w:val="6"/>
    </w:lvl>
  </w:abstractNum>
  <w:abstractNum w:abstractNumId="403">
    <w:nsid w:val="347B3FD3"/>
    <w:multiLevelType w:val="hybridMultilevel"/>
    <w:lvl w:ilvl="0">
      <w:lvlJc w:val="left"/>
      <w:lvlText w:val="%1)"/>
      <w:numFmt w:val="lowerLetter"/>
      <w:start w:val="1"/>
    </w:lvl>
  </w:abstractNum>
  <w:abstractNum w:abstractNumId="404">
    <w:nsid w:val="D5AB751"/>
    <w:multiLevelType w:val="hybridMultilevel"/>
    <w:lvl w:ilvl="0">
      <w:lvlJc w:val="left"/>
      <w:lvlText w:val="%1"/>
      <w:numFmt w:val="decimal"/>
      <w:start w:val="11"/>
    </w:lvl>
  </w:abstractNum>
  <w:abstractNum w:abstractNumId="405">
    <w:nsid w:val="F1EC427"/>
    <w:multiLevelType w:val="hybridMultilevel"/>
    <w:lvl w:ilvl="0">
      <w:lvlJc w:val="left"/>
      <w:lvlText w:val="%1)"/>
      <w:numFmt w:val="lowerLetter"/>
      <w:start w:val="1"/>
    </w:lvl>
    <w:lvl w:ilvl="1">
      <w:lvlJc w:val="left"/>
      <w:lvlText w:val="%2."/>
      <w:numFmt w:val="lowerLetter"/>
      <w:start w:val="2"/>
    </w:lvl>
  </w:abstractNum>
  <w:abstractNum w:abstractNumId="406">
    <w:nsid w:val="6C89B896"/>
    <w:multiLevelType w:val="hybridMultilevel"/>
    <w:lvl w:ilvl="0">
      <w:lvlJc w:val="left"/>
      <w:lvlText w:val="(%1)"/>
      <w:numFmt w:val="decimal"/>
      <w:start w:val="1"/>
    </w:lvl>
  </w:abstractNum>
  <w:abstractNum w:abstractNumId="407">
    <w:nsid w:val="7E1219C8"/>
    <w:multiLevelType w:val="hybridMultilevel"/>
    <w:lvl w:ilvl="0">
      <w:lvlJc w:val="left"/>
      <w:lvlText w:val="%1)"/>
      <w:numFmt w:val="lowerLetter"/>
      <w:start w:val="1"/>
    </w:lvl>
  </w:abstractNum>
  <w:abstractNum w:abstractNumId="408">
    <w:nsid w:val="25F1C1C1"/>
    <w:multiLevelType w:val="hybridMultilevel"/>
    <w:lvl w:ilvl="0">
      <w:lvlJc w:val="left"/>
      <w:lvlText w:val="(%1)"/>
      <w:numFmt w:val="decimal"/>
      <w:start w:val="2"/>
    </w:lvl>
  </w:abstractNum>
  <w:abstractNum w:abstractNumId="409">
    <w:nsid w:val="743CE6FA"/>
    <w:multiLevelType w:val="hybridMultilevel"/>
    <w:lvl w:ilvl="0">
      <w:lvlJc w:val="left"/>
      <w:lvlText w:val="%1."/>
      <w:numFmt w:val="decimal"/>
      <w:start w:val="160"/>
    </w:lvl>
  </w:abstractNum>
  <w:abstractNum w:abstractNumId="410">
    <w:nsid w:val="20530E7B"/>
    <w:multiLevelType w:val="hybridMultilevel"/>
    <w:lvl w:ilvl="0">
      <w:lvlJc w:val="left"/>
      <w:lvlText w:val="%1)"/>
      <w:numFmt w:val="lowerLetter"/>
      <w:start w:val="1"/>
    </w:lvl>
  </w:abstractNum>
  <w:abstractNum w:abstractNumId="411">
    <w:nsid w:val="144C9480"/>
    <w:multiLevelType w:val="hybridMultilevel"/>
    <w:lvl w:ilvl="0">
      <w:lvlJc w:val="left"/>
      <w:lvlText w:val="%1."/>
      <w:numFmt w:val="decimal"/>
      <w:start w:val="161"/>
    </w:lvl>
  </w:abstractNum>
  <w:abstractNum w:abstractNumId="412">
    <w:nsid w:val="1514A0AF"/>
    <w:multiLevelType w:val="hybridMultilevel"/>
    <w:lvl w:ilvl="0">
      <w:lvlJc w:val="left"/>
      <w:lvlText w:val="%1)"/>
      <w:numFmt w:val="lowerLetter"/>
      <w:start w:val="1"/>
    </w:lvl>
  </w:abstractNum>
  <w:abstractNum w:abstractNumId="413">
    <w:nsid w:val="55C3594C"/>
    <w:multiLevelType w:val="hybridMultilevel"/>
    <w:lvl w:ilvl="0">
      <w:lvlJc w:val="left"/>
      <w:lvlText w:val="%1)"/>
      <w:numFmt w:val="lowerLetter"/>
      <w:start w:val="2"/>
    </w:lvl>
  </w:abstractNum>
  <w:abstractNum w:abstractNumId="414">
    <w:nsid w:val="69DCF55B"/>
    <w:multiLevelType w:val="hybridMultilevel"/>
    <w:lvl w:ilvl="0">
      <w:lvlJc w:val="left"/>
      <w:lvlText w:val="%1."/>
      <w:numFmt w:val="decimal"/>
      <w:start w:val="162"/>
    </w:lvl>
  </w:abstractNum>
  <w:abstractNum w:abstractNumId="415">
    <w:nsid w:val="CFC2ACF"/>
    <w:multiLevelType w:val="hybridMultilevel"/>
    <w:lvl w:ilvl="0">
      <w:lvlJc w:val="left"/>
      <w:lvlText w:val="%1."/>
      <w:numFmt w:val="decimal"/>
      <w:start w:val="163"/>
    </w:lvl>
  </w:abstractNum>
  <w:abstractNum w:abstractNumId="416">
    <w:nsid w:val="28BA7A13"/>
    <w:multiLevelType w:val="hybridMultilevel"/>
    <w:lvl w:ilvl="0">
      <w:lvlJc w:val="left"/>
      <w:lvlText w:val="%1)"/>
      <w:numFmt w:val="lowerLetter"/>
      <w:start w:val="1"/>
    </w:lvl>
  </w:abstractNum>
  <w:abstractNum w:abstractNumId="417">
    <w:nsid w:val="28881591"/>
    <w:multiLevelType w:val="hybridMultilevel"/>
    <w:lvl w:ilvl="0">
      <w:lvlJc w:val="left"/>
      <w:lvlText w:val="%1"/>
      <w:numFmt w:val="decimal"/>
      <w:start w:val="1"/>
    </w:lvl>
    <w:lvl w:ilvl="1">
      <w:lvlJc w:val="left"/>
      <w:lvlText w:val="%2)"/>
      <w:numFmt w:val="lowerLetter"/>
      <w:start w:val="7"/>
    </w:lvl>
  </w:abstractNum>
  <w:abstractNum w:abstractNumId="418">
    <w:nsid w:val="772B796C"/>
    <w:multiLevelType w:val="hybridMultilevel"/>
    <w:lvl w:ilvl="0">
      <w:lvlJc w:val="left"/>
      <w:lvlText w:val="(%1)"/>
      <w:numFmt w:val="decimal"/>
      <w:start w:val="2"/>
    </w:lvl>
    <w:lvl w:ilvl="1">
      <w:lvlJc w:val="left"/>
      <w:lvlText w:val="%2"/>
      <w:numFmt w:val="lowerLetter"/>
      <w:start w:val="1"/>
    </w:lvl>
  </w:abstractNum>
  <w:abstractNum w:abstractNumId="419">
    <w:nsid w:val="1E022BE9"/>
    <w:multiLevelType w:val="hybridMultilevel"/>
    <w:lvl w:ilvl="0">
      <w:lvlJc w:val="left"/>
      <w:lvlText w:val="%1."/>
      <w:numFmt w:val="decimal"/>
      <w:start w:val="164"/>
    </w:lvl>
  </w:abstractNum>
  <w:abstractNum w:abstractNumId="420">
    <w:nsid w:val="72C4649F"/>
    <w:multiLevelType w:val="hybridMultilevel"/>
    <w:lvl w:ilvl="0">
      <w:lvlJc w:val="left"/>
      <w:lvlText w:val="%1."/>
      <w:numFmt w:val="lowerLetter"/>
      <w:start w:val="1"/>
    </w:lvl>
  </w:abstractNum>
  <w:abstractNum w:abstractNumId="421">
    <w:nsid w:val="7CD94321"/>
    <w:multiLevelType w:val="hybridMultilevel"/>
    <w:lvl w:ilvl="0">
      <w:lvlJc w:val="left"/>
      <w:lvlText w:val="(%1)"/>
      <w:numFmt w:val="decimal"/>
      <w:start w:val="2"/>
    </w:lvl>
  </w:abstractNum>
  <w:abstractNum w:abstractNumId="422">
    <w:nsid w:val="13B3BDBC"/>
    <w:multiLevelType w:val="hybridMultilevel"/>
    <w:lvl w:ilvl="0">
      <w:lvlJc w:val="left"/>
      <w:lvlText w:val="%1)"/>
      <w:numFmt w:val="lowerLetter"/>
      <w:start w:val="1"/>
    </w:lvl>
  </w:abstractNum>
  <w:abstractNum w:abstractNumId="423">
    <w:nsid w:val="4C488152"/>
    <w:multiLevelType w:val="hybridMultilevel"/>
    <w:lvl w:ilvl="0">
      <w:lvlJc w:val="left"/>
      <w:lvlText w:val="(%1)"/>
      <w:numFmt w:val="decimal"/>
      <w:start w:val="3"/>
    </w:lvl>
  </w:abstractNum>
  <w:abstractNum w:abstractNumId="424">
    <w:nsid w:val="153B9D13"/>
    <w:multiLevelType w:val="hybridMultilevel"/>
    <w:lvl w:ilvl="0">
      <w:lvlJc w:val="left"/>
      <w:lvlText w:val="(%1)"/>
      <w:numFmt w:val="decimal"/>
      <w:start w:val="2"/>
    </w:lvl>
  </w:abstractNum>
  <w:abstractNum w:abstractNumId="425">
    <w:nsid w:val="7D07B61B"/>
    <w:multiLevelType w:val="hybridMultilevel"/>
    <w:lvl w:ilvl="0">
      <w:lvlJc w:val="left"/>
      <w:lvlText w:val="%1"/>
      <w:numFmt w:val="decimal"/>
      <w:start w:val="1"/>
    </w:lvl>
    <w:lvl w:ilvl="1">
      <w:lvlJc w:val="left"/>
      <w:lvlText w:val="%2)"/>
      <w:numFmt w:val="lowerLetter"/>
      <w:start w:val="2"/>
    </w:lvl>
  </w:abstractNum>
  <w:abstractNum w:abstractNumId="426">
    <w:nsid w:val="3A4BE92A"/>
    <w:multiLevelType w:val="hybridMultilevel"/>
    <w:lvl w:ilvl="0">
      <w:lvlJc w:val="left"/>
      <w:lvlText w:val="(%1)"/>
      <w:numFmt w:val="decimal"/>
      <w:start w:val="3"/>
    </w:lvl>
    <w:lvl w:ilvl="1">
      <w:lvlJc w:val="left"/>
      <w:lvlText w:val="%2"/>
      <w:numFmt w:val="lowerLetter"/>
      <w:start w:val="1"/>
    </w:lvl>
  </w:abstractNum>
  <w:abstractNum w:abstractNumId="427">
    <w:nsid w:val="1C7A2F4"/>
    <w:multiLevelType w:val="hybridMultilevel"/>
    <w:lvl w:ilvl="0">
      <w:lvlJc w:val="left"/>
      <w:lvlText w:val="%1)"/>
      <w:numFmt w:val="lowerLetter"/>
      <w:start w:val="1"/>
    </w:lvl>
    <w:lvl w:ilvl="1">
      <w:lvlJc w:val="left"/>
      <w:lvlText w:val="(%2)"/>
      <w:numFmt w:val="lowerRoman"/>
      <w:start w:val="1"/>
    </w:lvl>
  </w:abstractNum>
  <w:abstractNum w:abstractNumId="428">
    <w:nsid w:val="393B5076"/>
    <w:multiLevelType w:val="hybridMultilevel"/>
    <w:lvl w:ilvl="0">
      <w:lvlJc w:val="left"/>
      <w:lvlText w:val="%1"/>
      <w:numFmt w:val="decimal"/>
      <w:start w:val="69"/>
    </w:lvl>
  </w:abstractNum>
  <w:abstractNum w:abstractNumId="429">
    <w:nsid w:val="5F0E41DB"/>
    <w:multiLevelType w:val="hybridMultilevel"/>
    <w:lvl w:ilvl="0">
      <w:lvlJc w:val="left"/>
      <w:lvlText w:val="(%1)"/>
      <w:numFmt w:val="lowerRoman"/>
      <w:start w:val="6"/>
    </w:lvl>
    <w:lvl w:ilvl="1">
      <w:lvlJc w:val="left"/>
      <w:lvlText w:val="%2."/>
      <w:numFmt w:val="upperLetter"/>
      <w:start w:val="1"/>
    </w:lvl>
  </w:abstractNum>
  <w:abstractNum w:abstractNumId="430">
    <w:nsid w:val="6C4DFAA4"/>
    <w:multiLevelType w:val="hybridMultilevel"/>
    <w:lvl w:ilvl="0">
      <w:lvlJc w:val="left"/>
      <w:lvlText w:val="%1"/>
      <w:numFmt w:val="decimal"/>
      <w:start w:val="1"/>
    </w:lvl>
    <w:lvl w:ilvl="1">
      <w:lvlJc w:val="left"/>
      <w:lvlText w:val="(%2)"/>
      <w:numFmt w:val="lowerRoman"/>
      <w:start w:val="7"/>
    </w:lvl>
  </w:abstractNum>
  <w:abstractNum w:abstractNumId="431">
    <w:nsid w:val="C7C501F"/>
    <w:multiLevelType w:val="hybridMultilevel"/>
    <w:lvl w:ilvl="0">
      <w:lvlJc w:val="left"/>
      <w:lvlText w:val="(%1)"/>
      <w:numFmt w:val="decimal"/>
      <w:start w:val="4"/>
    </w:lvl>
    <w:lvl w:ilvl="1">
      <w:lvlJc w:val="left"/>
      <w:lvlText w:val="%2"/>
      <w:numFmt w:val="lowerRoman"/>
      <w:start w:val="1"/>
    </w:lvl>
  </w:abstractNum>
  <w:abstractNum w:abstractNumId="432">
    <w:nsid w:val="7244B239"/>
    <w:multiLevelType w:val="hybridMultilevel"/>
    <w:lvl w:ilvl="0">
      <w:lvlJc w:val="left"/>
      <w:lvlText w:val="%1)"/>
      <w:numFmt w:val="lowerLetter"/>
      <w:start w:val="1"/>
    </w:lvl>
  </w:abstractNum>
  <w:abstractNum w:abstractNumId="433">
    <w:nsid w:val="50B1BE08"/>
    <w:multiLevelType w:val="hybridMultilevel"/>
    <w:lvl w:ilvl="0">
      <w:lvlJc w:val="left"/>
      <w:lvlText w:val="(%1)"/>
      <w:numFmt w:val="decimal"/>
      <w:start w:val="5"/>
    </w:lvl>
    <w:lvl w:ilvl="1">
      <w:lvlJc w:val="left"/>
      <w:lvlText w:val="%2)"/>
      <w:numFmt w:val="lowerLetter"/>
      <w:start w:val="1"/>
    </w:lvl>
    <w:lvl w:ilvl="2">
      <w:lvlJc w:val="left"/>
      <w:lvlText w:val="(%3)"/>
      <w:numFmt w:val="lowerRoman"/>
      <w:start w:val="1"/>
    </w:lvl>
  </w:abstractNum>
  <w:abstractNum w:abstractNumId="434">
    <w:nsid w:val="40F78FF3"/>
    <w:multiLevelType w:val="hybridMultilevel"/>
    <w:lvl w:ilvl="0">
      <w:lvlJc w:val="left"/>
      <w:lvlText w:val="(%1)"/>
      <w:numFmt w:val="decimal"/>
      <w:start w:val="7"/>
    </w:lvl>
  </w:abstractNum>
  <w:abstractNum w:abstractNumId="435">
    <w:nsid w:val="7F9F698A"/>
    <w:multiLevelType w:val="hybridMultilevel"/>
    <w:lvl w:ilvl="0">
      <w:lvlJc w:val="left"/>
      <w:lvlText w:val="(%1)"/>
      <w:numFmt w:val="decimal"/>
      <w:start w:val="2"/>
    </w:lvl>
    <w:lvl w:ilvl="1">
      <w:lvlJc w:val="left"/>
      <w:lvlText w:val="(%2)"/>
      <w:numFmt w:val="lowerLetter"/>
      <w:start w:val="1"/>
    </w:lvl>
    <w:lvl w:ilvl="2">
      <w:lvlJc w:val="left"/>
      <w:lvlText w:val="(%3)"/>
      <w:numFmt w:val="lowerLetter"/>
      <w:start w:val="2"/>
    </w:lvl>
  </w:abstractNum>
  <w:abstractNum w:abstractNumId="436">
    <w:nsid w:val="5FD0822F"/>
    <w:multiLevelType w:val="hybridMultilevel"/>
    <w:lvl w:ilvl="0">
      <w:lvlJc w:val="left"/>
      <w:lvlText w:val="%1"/>
      <w:numFmt w:val="decimal"/>
      <w:start w:val="70"/>
    </w:lvl>
  </w:abstractNum>
  <w:abstractNum w:abstractNumId="437">
    <w:nsid w:val="2D814889"/>
    <w:multiLevelType w:val="hybridMultilevel"/>
    <w:lvl w:ilvl="0">
      <w:lvlJc w:val="left"/>
      <w:lvlText w:val="%1."/>
      <w:numFmt w:val="decimal"/>
      <w:start w:val="166"/>
    </w:lvl>
  </w:abstractNum>
  <w:abstractNum w:abstractNumId="438">
    <w:nsid w:val="7DB18352"/>
    <w:multiLevelType w:val="hybridMultilevel"/>
    <w:lvl w:ilvl="0">
      <w:lvlJc w:val="left"/>
      <w:lvlText w:val="%1)"/>
      <w:numFmt w:val="lowerLetter"/>
      <w:start w:val="1"/>
    </w:lvl>
  </w:abstractNum>
  <w:abstractNum w:abstractNumId="439">
    <w:nsid w:val="5C243F1"/>
    <w:multiLevelType w:val="hybridMultilevel"/>
    <w:lvl w:ilvl="0">
      <w:lvlJc w:val="left"/>
      <w:lvlText w:val="%1."/>
      <w:numFmt w:val="decimal"/>
      <w:start w:val="167"/>
    </w:lvl>
  </w:abstractNum>
  <w:abstractNum w:abstractNumId="440">
    <w:nsid w:val="21BE2F84"/>
    <w:multiLevelType w:val="hybridMultilevel"/>
    <w:lvl w:ilvl="0">
      <w:lvlJc w:val="left"/>
      <w:lvlText w:val="(%1)"/>
      <w:numFmt w:val="decimal"/>
      <w:start w:val="2"/>
    </w:lvl>
  </w:abstractNum>
  <w:abstractNum w:abstractNumId="441">
    <w:nsid w:val="1E0491CD"/>
    <w:multiLevelType w:val="hybridMultilevel"/>
    <w:lvl w:ilvl="0">
      <w:lvlJc w:val="left"/>
      <w:lvlText w:val="(%1)"/>
      <w:numFmt w:val="decimal"/>
      <w:start w:val="3"/>
    </w:lvl>
  </w:abstractNum>
  <w:abstractNum w:abstractNumId="442">
    <w:nsid w:val="1A0ED871"/>
    <w:multiLevelType w:val="hybridMultilevel"/>
    <w:lvl w:ilvl="0">
      <w:lvlJc w:val="left"/>
      <w:lvlText w:val="(%1)"/>
      <w:numFmt w:val="decimal"/>
      <w:start w:val="3"/>
    </w:lvl>
  </w:abstractNum>
  <w:abstractNum w:abstractNumId="443">
    <w:nsid w:val="36D2D033"/>
    <w:multiLevelType w:val="hybridMultilevel"/>
    <w:lvl w:ilvl="0">
      <w:lvlJc w:val="left"/>
      <w:lvlText w:val="(%1)"/>
      <w:numFmt w:val="decimal"/>
      <w:start w:val="6"/>
    </w:lvl>
  </w:abstractNum>
  <w:abstractNum w:abstractNumId="444">
    <w:nsid w:val="73C7EB1A"/>
    <w:multiLevelType w:val="hybridMultilevel"/>
    <w:lvl w:ilvl="0">
      <w:lvlJc w:val="left"/>
      <w:lvlText w:val="(%1)"/>
      <w:numFmt w:val="upperLetter"/>
      <w:start w:val="9"/>
    </w:lvl>
    <w:lvl w:ilvl="1">
      <w:lvlJc w:val="left"/>
      <w:lvlText w:val="(%2)"/>
      <w:numFmt w:val="lowerLetter"/>
      <w:start w:val="1"/>
    </w:lvl>
  </w:abstractNum>
  <w:abstractNum w:abstractNumId="445">
    <w:nsid w:val="3EBCDCC"/>
    <w:multiLevelType w:val="hybridMultilevel"/>
    <w:lvl w:ilvl="0">
      <w:lvlJc w:val="left"/>
      <w:lvlText w:val="(%1)"/>
      <w:numFmt w:val="upperLetter"/>
      <w:start w:val="35"/>
    </w:lvl>
  </w:abstractNum>
  <w:abstractNum w:abstractNumId="446">
    <w:nsid w:val="43CEFB03"/>
    <w:multiLevelType w:val="hybridMultilevel"/>
    <w:lvl w:ilvl="0">
      <w:lvlJc w:val="left"/>
      <w:lvlText w:val="(%1)"/>
      <w:numFmt w:val="upperLetter"/>
      <w:start w:val="61"/>
    </w:lvl>
  </w:abstractNum>
  <w:abstractNum w:abstractNumId="447">
    <w:nsid w:val="1C82652D"/>
    <w:multiLevelType w:val="hybridMultilevel"/>
    <w:lvl w:ilvl="0">
      <w:lvlJc w:val="left"/>
      <w:lvlText w:val="%1."/>
      <w:numFmt w:val="decimal"/>
      <w:start w:val="168"/>
    </w:lvl>
  </w:abstractNum>
  <w:abstractNum w:abstractNumId="448">
    <w:nsid w:val="2C73E35D"/>
    <w:multiLevelType w:val="hybridMultilevel"/>
    <w:lvl w:ilvl="0">
      <w:lvlJc w:val="left"/>
      <w:lvlText w:val="(%1)"/>
      <w:numFmt w:val="decimal"/>
      <w:start w:val="2"/>
    </w:lvl>
  </w:abstractNum>
  <w:abstractNum w:abstractNumId="449">
    <w:nsid w:val="3AFA746F"/>
    <w:multiLevelType w:val="hybridMultilevel"/>
    <w:lvl w:ilvl="0">
      <w:lvlJc w:val="left"/>
      <w:lvlText w:val="%1."/>
      <w:numFmt w:val="decimal"/>
      <w:start w:val="169"/>
    </w:lvl>
  </w:abstractNum>
  <w:abstractNum w:abstractNumId="450">
    <w:nsid w:val="3A849116"/>
    <w:multiLevelType w:val="hybridMultilevel"/>
    <w:lvl w:ilvl="0">
      <w:lvlJc w:val="left"/>
      <w:lvlText w:val="(%1)"/>
      <w:numFmt w:val="decimal"/>
      <w:start w:val="4"/>
    </w:lvl>
  </w:abstractNum>
  <w:abstractNum w:abstractNumId="451">
    <w:nsid w:val="1F3847FC"/>
    <w:multiLevelType w:val="hybridMultilevel"/>
    <w:lvl w:ilvl="0">
      <w:lvlJc w:val="left"/>
      <w:lvlText w:val="(%1)"/>
      <w:numFmt w:val="decimal"/>
      <w:start w:val="4"/>
    </w:lvl>
  </w:abstractNum>
  <w:abstractNum w:abstractNumId="452">
    <w:nsid w:val="37D3B790"/>
    <w:multiLevelType w:val="hybridMultilevel"/>
    <w:lvl w:ilvl="0">
      <w:lvlJc w:val="left"/>
      <w:lvlText w:val="%1."/>
      <w:numFmt w:val="decimal"/>
      <w:start w:val="170"/>
    </w:lvl>
  </w:abstractNum>
  <w:abstractNum w:abstractNumId="453">
    <w:nsid w:val="4E384ED3"/>
    <w:multiLevelType w:val="hybridMultilevel"/>
    <w:lvl w:ilvl="0">
      <w:lvlJc w:val="left"/>
      <w:lvlText w:val="(%1)"/>
      <w:numFmt w:val="decimal"/>
      <w:start w:val="1"/>
    </w:lvl>
  </w:abstractNum>
  <w:abstractNum w:abstractNumId="454">
    <w:nsid w:val="6B80C94F"/>
    <w:multiLevelType w:val="hybridMultilevel"/>
    <w:lvl w:ilvl="0">
      <w:lvlJc w:val="left"/>
      <w:lvlText w:val="%1."/>
      <w:numFmt w:val="decimal"/>
      <w:start w:val="171"/>
    </w:lvl>
  </w:abstractNum>
  <w:abstractNum w:abstractNumId="455">
    <w:nsid w:val="4D0F54A3"/>
    <w:multiLevelType w:val="hybridMultilevel"/>
    <w:lvl w:ilvl="0">
      <w:lvlJc w:val="left"/>
      <w:lvlText w:val="%1)"/>
      <w:numFmt w:val="lowerLetter"/>
      <w:start w:val="1"/>
    </w:lvl>
    <w:lvl w:ilvl="1">
      <w:lvlJc w:val="left"/>
      <w:lvlText w:val="(%2)"/>
      <w:numFmt w:val="lowerRoman"/>
      <w:start w:val="1"/>
    </w:lvl>
  </w:abstractNum>
  <w:abstractNum w:abstractNumId="456">
    <w:nsid w:val="4B4004EE"/>
    <w:multiLevelType w:val="hybridMultilevel"/>
    <w:lvl w:ilvl="0">
      <w:lvlJc w:val="left"/>
      <w:lvlText w:val="%1)"/>
      <w:numFmt w:val="lowerLetter"/>
      <w:start w:val="1"/>
    </w:lvl>
  </w:abstractNum>
  <w:abstractNum w:abstractNumId="457">
    <w:nsid w:val="25CCB279"/>
    <w:multiLevelType w:val="hybridMultilevel"/>
    <w:lvl w:ilvl="0">
      <w:lvlJc w:val="left"/>
      <w:lvlText w:val="%1)"/>
      <w:numFmt w:val="lowerLetter"/>
      <w:start w:val="3"/>
    </w:lvl>
  </w:abstractNum>
  <w:abstractNum w:abstractNumId="458">
    <w:nsid w:val="4ED6F798"/>
    <w:multiLevelType w:val="hybridMultilevel"/>
    <w:lvl w:ilvl="0">
      <w:lvlJc w:val="left"/>
      <w:lvlText w:val="(%1)"/>
      <w:numFmt w:val="decimal"/>
      <w:start w:val="2"/>
    </w:lvl>
  </w:abstractNum>
  <w:abstractNum w:abstractNumId="459">
    <w:nsid w:val="47B5565"/>
    <w:multiLevelType w:val="hybridMultilevel"/>
    <w:lvl w:ilvl="0">
      <w:lvlJc w:val="left"/>
      <w:lvlText w:val="%1."/>
      <w:numFmt w:val="decimal"/>
      <w:start w:val="173"/>
    </w:lvl>
  </w:abstractNum>
  <w:abstractNum w:abstractNumId="460">
    <w:nsid w:val="4DAF454"/>
    <w:multiLevelType w:val="hybridMultilevel"/>
    <w:lvl w:ilvl="0">
      <w:lvlJc w:val="left"/>
      <w:lvlText w:val="%1."/>
      <w:numFmt w:val="decimal"/>
      <w:start w:val="174"/>
    </w:lvl>
  </w:abstractNum>
  <w:abstractNum w:abstractNumId="461">
    <w:nsid w:val="3B24F23C"/>
    <w:multiLevelType w:val="hybridMultilevel"/>
    <w:lvl w:ilvl="0">
      <w:lvlJc w:val="left"/>
      <w:lvlText w:val="%1."/>
      <w:numFmt w:val="decimal"/>
      <w:start w:val="175"/>
    </w:lvl>
  </w:abstractNum>
  <w:abstractNum w:abstractNumId="462">
    <w:nsid w:val="10F7A584"/>
    <w:multiLevelType w:val="hybridMultilevel"/>
    <w:lvl w:ilvl="0">
      <w:lvlJc w:val="left"/>
      <w:lvlText w:val="(%1)"/>
      <w:numFmt w:val="decimal"/>
      <w:start w:val="4"/>
    </w:lvl>
  </w:abstractNum>
  <w:abstractNum w:abstractNumId="463">
    <w:nsid w:val="771FA68D"/>
    <w:multiLevelType w:val="hybridMultilevel"/>
    <w:lvl w:ilvl="0">
      <w:lvlJc w:val="left"/>
      <w:lvlText w:val="%1."/>
      <w:numFmt w:val="decimal"/>
      <w:start w:val="176"/>
    </w:lvl>
  </w:abstractNum>
  <w:abstractNum w:abstractNumId="464">
    <w:nsid w:val="BD6B044"/>
    <w:multiLevelType w:val="hybridMultilevel"/>
    <w:lvl w:ilvl="0">
      <w:lvlJc w:val="left"/>
      <w:lvlText w:val="(%1)"/>
      <w:numFmt w:val="decimal"/>
      <w:start w:val="2"/>
    </w:lvl>
  </w:abstractNum>
  <w:abstractNum w:abstractNumId="465">
    <w:nsid w:val="51EF3577"/>
    <w:multiLevelType w:val="hybridMultilevel"/>
    <w:lvl w:ilvl="0">
      <w:lvlJc w:val="left"/>
      <w:lvlText w:val="(%1)"/>
      <w:numFmt w:val="decimal"/>
      <w:start w:val="4"/>
    </w:lvl>
    <w:lvl w:ilvl="1">
      <w:lvlJc w:val="left"/>
      <w:lvlText w:val="%2)"/>
      <w:numFmt w:val="lowerLetter"/>
      <w:start w:val="1"/>
    </w:lvl>
  </w:abstractNum>
  <w:abstractNum w:abstractNumId="466">
    <w:nsid w:val="76BF1017"/>
    <w:multiLevelType w:val="hybridMultilevel"/>
    <w:lvl w:ilvl="0">
      <w:lvlJc w:val="left"/>
      <w:lvlText w:val="%1."/>
      <w:numFmt w:val="decimal"/>
      <w:start w:val="177"/>
    </w:lvl>
  </w:abstractNum>
  <w:abstractNum w:abstractNumId="467">
    <w:nsid w:val="6BA73274"/>
    <w:multiLevelType w:val="hybridMultilevel"/>
    <w:lvl w:ilvl="0">
      <w:lvlJc w:val="left"/>
      <w:lvlText w:val="%1."/>
      <w:numFmt w:val="decimal"/>
      <w:start w:val="178"/>
    </w:lvl>
  </w:abstractNum>
  <w:abstractNum w:abstractNumId="468">
    <w:nsid w:val="7F707E01"/>
    <w:multiLevelType w:val="hybridMultilevel"/>
    <w:lvl w:ilvl="0">
      <w:lvlJc w:val="left"/>
      <w:lvlText w:val="%1."/>
      <w:numFmt w:val="decimal"/>
      <w:start w:val="179"/>
    </w:lvl>
  </w:abstractNum>
  <w:abstractNum w:abstractNumId="469">
    <w:nsid w:val="7470936A"/>
    <w:multiLevelType w:val="hybridMultilevel"/>
    <w:lvl w:ilvl="0">
      <w:lvlJc w:val="left"/>
      <w:lvlText w:val="%1)"/>
      <w:numFmt w:val="lowerLetter"/>
      <w:start w:val="1"/>
    </w:lvl>
    <w:lvl w:ilvl="1">
      <w:lvlJc w:val="left"/>
      <w:lvlText w:val="(%2)"/>
      <w:numFmt w:val="lowerLetter"/>
      <w:start w:val="1"/>
    </w:lvl>
  </w:abstractNum>
  <w:abstractNum w:abstractNumId="470">
    <w:nsid w:val="71697665"/>
    <w:multiLevelType w:val="hybridMultilevel"/>
    <w:lvl w:ilvl="0">
      <w:lvlJc w:val="left"/>
      <w:lvlText w:val="(%1)"/>
      <w:numFmt w:val="decimal"/>
      <w:start w:val="3"/>
    </w:lvl>
  </w:abstractNum>
  <w:abstractNum w:abstractNumId="471">
    <w:nsid w:val="212EAD85"/>
    <w:multiLevelType w:val="hybridMultilevel"/>
    <w:lvl w:ilvl="0">
      <w:lvlJc w:val="left"/>
      <w:lvlText w:val="%1."/>
      <w:numFmt w:val="decimal"/>
      <w:start w:val="180"/>
    </w:lvl>
  </w:abstractNum>
  <w:abstractNum w:abstractNumId="472">
    <w:nsid w:val="12752537"/>
    <w:multiLevelType w:val="hybridMultilevel"/>
    <w:lvl w:ilvl="0">
      <w:lvlJc w:val="left"/>
      <w:lvlText w:val="%1)"/>
      <w:numFmt w:val="lowerLetter"/>
      <w:start w:val="1"/>
    </w:lvl>
  </w:abstractNum>
  <w:abstractNum w:abstractNumId="473">
    <w:nsid w:val="B784ED6"/>
    <w:multiLevelType w:val="hybridMultilevel"/>
    <w:lvl w:ilvl="0">
      <w:lvlJc w:val="left"/>
      <w:lvlText w:val="%1."/>
      <w:numFmt w:val="decimal"/>
      <w:start w:val="181"/>
    </w:lvl>
  </w:abstractNum>
  <w:abstractNum w:abstractNumId="474">
    <w:nsid w:val="58017DB8"/>
    <w:multiLevelType w:val="hybridMultilevel"/>
    <w:lvl w:ilvl="0">
      <w:lvlJc w:val="left"/>
      <w:lvlText w:val="%1."/>
      <w:numFmt w:val="decimal"/>
      <w:start w:val="182"/>
    </w:lvl>
  </w:abstractNum>
  <w:abstractNum w:abstractNumId="475">
    <w:nsid w:val="63D1051"/>
    <w:multiLevelType w:val="hybridMultilevel"/>
    <w:lvl w:ilvl="0">
      <w:lvlJc w:val="left"/>
      <w:lvlText w:val="%1."/>
      <w:numFmt w:val="decimal"/>
      <w:start w:val="183"/>
    </w:lvl>
  </w:abstractNum>
  <w:abstractNum w:abstractNumId="476">
    <w:nsid w:val="F641CA2"/>
    <w:multiLevelType w:val="hybridMultilevel"/>
    <w:lvl w:ilvl="0">
      <w:lvlJc w:val="left"/>
      <w:lvlText w:val="%1)"/>
      <w:numFmt w:val="lowerLetter"/>
      <w:start w:val="1"/>
    </w:lvl>
  </w:abstractNum>
  <w:abstractNum w:abstractNumId="477">
    <w:nsid w:val="1BD078BB"/>
    <w:multiLevelType w:val="hybridMultilevel"/>
    <w:lvl w:ilvl="0">
      <w:lvlJc w:val="left"/>
      <w:lvlText w:val="%1)"/>
      <w:numFmt w:val="lowerLetter"/>
      <w:start w:val="1"/>
    </w:lvl>
  </w:abstractNum>
  <w:abstractNum w:abstractNumId="478">
    <w:nsid w:val="22BF757E"/>
    <w:multiLevelType w:val="hybridMultilevel"/>
    <w:lvl w:ilvl="0">
      <w:lvlJc w:val="left"/>
      <w:lvlText w:val="%1)"/>
      <w:numFmt w:val="lowerLetter"/>
      <w:start w:val="1"/>
    </w:lvl>
  </w:abstractNum>
  <w:abstractNum w:abstractNumId="479">
    <w:nsid w:val="3BD80000"/>
    <w:multiLevelType w:val="hybridMultilevel"/>
    <w:lvl w:ilvl="0">
      <w:lvlJc w:val="left"/>
      <w:lvlText w:val="%1"/>
      <w:numFmt w:val="decimal"/>
      <w:start w:val="72"/>
    </w:lvl>
  </w:abstractNum>
  <w:abstractNum w:abstractNumId="480">
    <w:nsid w:val="56CAED2B"/>
    <w:multiLevelType w:val="hybridMultilevel"/>
    <w:lvl w:ilvl="0">
      <w:lvlJc w:val="left"/>
      <w:lvlText w:val="(%1)"/>
      <w:numFmt w:val="decimal"/>
      <w:start w:val="4"/>
    </w:lvl>
  </w:abstractNum>
  <w:abstractNum w:abstractNumId="481">
    <w:nsid w:val="5D440695"/>
    <w:multiLevelType w:val="hybridMultilevel"/>
    <w:lvl w:ilvl="0">
      <w:lvlJc w:val="left"/>
      <w:lvlText w:val="%1."/>
      <w:numFmt w:val="decimal"/>
      <w:start w:val="184"/>
    </w:lvl>
  </w:abstractNum>
  <w:abstractNum w:abstractNumId="482">
    <w:nsid w:val="5B1047FC"/>
    <w:multiLevelType w:val="hybridMultilevel"/>
    <w:lvl w:ilvl="0">
      <w:lvlJc w:val="left"/>
      <w:lvlText w:val="%1."/>
      <w:numFmt w:val="decimal"/>
      <w:start w:val="185"/>
    </w:lvl>
  </w:abstractNum>
  <w:abstractNum w:abstractNumId="483">
    <w:nsid w:val="E9EA4BB"/>
    <w:multiLevelType w:val="hybridMultilevel"/>
    <w:lvl w:ilvl="0">
      <w:lvlJc w:val="left"/>
      <w:lvlText w:val="%1"/>
      <w:numFmt w:val="decimal"/>
      <w:start w:val="1"/>
    </w:lvl>
    <w:lvl w:ilvl="1">
      <w:lvlJc w:val="left"/>
      <w:lvlText w:val="(%2)"/>
      <w:numFmt w:val="lowerLetter"/>
      <w:start w:val="1"/>
    </w:lvl>
  </w:abstractNum>
  <w:abstractNum w:abstractNumId="484">
    <w:nsid w:val="2B7C5568"/>
    <w:multiLevelType w:val="hybridMultilevel"/>
    <w:lvl w:ilvl="0">
      <w:lvlJc w:val="left"/>
      <w:lvlText w:val="(%1)"/>
      <w:numFmt w:val="decimal"/>
      <w:start w:val="3"/>
    </w:lvl>
    <w:lvl w:ilvl="1">
      <w:lvlJc w:val="left"/>
      <w:lvlText w:val="%2"/>
      <w:numFmt w:val="lowerLetter"/>
      <w:start w:val="1"/>
    </w:lvl>
  </w:abstractNum>
  <w:abstractNum w:abstractNumId="485">
    <w:nsid w:val="4691114B"/>
    <w:multiLevelType w:val="hybridMultilevel"/>
    <w:lvl w:ilvl="0">
      <w:lvlJc w:val="left"/>
      <w:lvlText w:val="%1."/>
      <w:numFmt w:val="decimal"/>
      <w:start w:val="186"/>
    </w:lvl>
  </w:abstractNum>
  <w:abstractNum w:abstractNumId="486">
    <w:nsid w:val="5BADF95F"/>
    <w:multiLevelType w:val="hybridMultilevel"/>
    <w:lvl w:ilvl="0">
      <w:lvlJc w:val="left"/>
      <w:lvlText w:val="(%1)"/>
      <w:numFmt w:val="decimal"/>
      <w:start w:val="2"/>
    </w:lvl>
  </w:abstractNum>
  <w:abstractNum w:abstractNumId="487">
    <w:nsid w:val="76BC5A56"/>
    <w:multiLevelType w:val="hybridMultilevel"/>
    <w:lvl w:ilvl="0">
      <w:lvlJc w:val="left"/>
      <w:lvlText w:val="%1"/>
      <w:numFmt w:val="decimal"/>
      <w:start w:val="1"/>
    </w:lvl>
    <w:lvl w:ilvl="1">
      <w:lvlJc w:val="left"/>
      <w:lvlText w:val="%2)"/>
      <w:numFmt w:val="lowerLetter"/>
      <w:start w:val="1"/>
    </w:lvl>
  </w:abstractNum>
  <w:abstractNum w:abstractNumId="488">
    <w:nsid w:val="6C5DC3C4"/>
    <w:multiLevelType w:val="hybridMultilevel"/>
    <w:lvl w:ilvl="0">
      <w:lvlJc w:val="left"/>
      <w:lvlText w:val="(%1)"/>
      <w:numFmt w:val="decimal"/>
      <w:start w:val="4"/>
    </w:lvl>
    <w:lvl w:ilvl="1">
      <w:lvlJc w:val="left"/>
      <w:lvlText w:val="%2"/>
      <w:numFmt w:val="lowerLetter"/>
      <w:start w:val="1"/>
    </w:lvl>
  </w:abstractNum>
  <w:abstractNum w:abstractNumId="489">
    <w:nsid w:val="2A84F0F7"/>
    <w:multiLevelType w:val="hybridMultilevel"/>
    <w:lvl w:ilvl="0">
      <w:lvlJc w:val="left"/>
      <w:lvlText w:val="(%1)"/>
      <w:numFmt w:val="decimal"/>
      <w:start w:val="6"/>
    </w:lvl>
  </w:abstractNum>
  <w:abstractNum w:abstractNumId="490">
    <w:nsid w:val="7B37AFBB"/>
    <w:multiLevelType w:val="hybridMultilevel"/>
    <w:lvl w:ilvl="0">
      <w:lvlJc w:val="left"/>
      <w:lvlText w:val="%1."/>
      <w:numFmt w:val="decimal"/>
      <w:start w:val="187"/>
    </w:lvl>
  </w:abstractNum>
  <w:abstractNum w:abstractNumId="491">
    <w:nsid w:val="7138B819"/>
    <w:multiLevelType w:val="hybridMultilevel"/>
    <w:lvl w:ilvl="0">
      <w:lvlJc w:val="left"/>
      <w:lvlText w:val="%1."/>
      <w:numFmt w:val="decimal"/>
      <w:start w:val="188"/>
    </w:lvl>
  </w:abstractNum>
  <w:abstractNum w:abstractNumId="492">
    <w:nsid w:val="65A9E333"/>
    <w:multiLevelType w:val="hybridMultilevel"/>
    <w:lvl w:ilvl="0">
      <w:lvlJc w:val="left"/>
      <w:lvlText w:val="%1"/>
      <w:numFmt w:val="decimal"/>
      <w:start w:val="73"/>
    </w:lvl>
  </w:abstractNum>
  <w:abstractNum w:abstractNumId="493">
    <w:nsid w:val="C2F5540"/>
    <w:multiLevelType w:val="hybridMultilevel"/>
    <w:lvl w:ilvl="0">
      <w:lvlJc w:val="left"/>
      <w:lvlText w:val="%1."/>
      <w:numFmt w:val="decimal"/>
      <w:start w:val="189"/>
    </w:lvl>
  </w:abstractNum>
  <w:abstractNum w:abstractNumId="494">
    <w:nsid w:val="68585EA6"/>
    <w:multiLevelType w:val="hybridMultilevel"/>
    <w:lvl w:ilvl="0">
      <w:lvlJc w:val="left"/>
      <w:lvlText w:val="(%1)"/>
      <w:numFmt w:val="decimal"/>
      <w:start w:val="5"/>
    </w:lvl>
  </w:abstractNum>
  <w:abstractNum w:abstractNumId="495">
    <w:nsid w:val="71809378"/>
    <w:multiLevelType w:val="hybridMultilevel"/>
    <w:lvl w:ilvl="0">
      <w:lvlJc w:val="left"/>
      <w:lvlText w:val="%1."/>
      <w:numFmt w:val="decimal"/>
      <w:start w:val="190"/>
    </w:lvl>
  </w:abstractNum>
  <w:abstractNum w:abstractNumId="496">
    <w:nsid w:val="5E1E8AB7"/>
    <w:multiLevelType w:val="hybridMultilevel"/>
    <w:lvl w:ilvl="0">
      <w:lvlJc w:val="left"/>
      <w:lvlText w:val="%1)"/>
      <w:numFmt w:val="lowerLetter"/>
      <w:start w:val="1"/>
    </w:lvl>
    <w:lvl w:ilvl="1">
      <w:lvlJc w:val="left"/>
      <w:lvlText w:val="%2)"/>
      <w:numFmt w:val="lowerRoman"/>
      <w:start w:val="1"/>
    </w:lvl>
  </w:abstractNum>
  <w:abstractNum w:abstractNumId="497">
    <w:nsid w:val="5F176EBE"/>
    <w:multiLevelType w:val="hybridMultilevel"/>
    <w:lvl w:ilvl="0">
      <w:lvlJc w:val="left"/>
      <w:lvlText w:val="%1"/>
      <w:numFmt w:val="decimal"/>
      <w:start w:val="74"/>
    </w:lvl>
  </w:abstractNum>
  <w:abstractNum w:abstractNumId="498">
    <w:nsid w:val="5D27C5EC"/>
    <w:multiLevelType w:val="hybridMultilevel"/>
    <w:lvl w:ilvl="0">
      <w:lvlJc w:val="left"/>
      <w:lvlText w:val="%1)"/>
      <w:numFmt w:val="lowerLetter"/>
      <w:start w:val="2"/>
    </w:lvl>
  </w:abstractNum>
  <w:abstractNum w:abstractNumId="499">
    <w:nsid w:val="5D8F08B8"/>
    <w:multiLevelType w:val="hybridMultilevel"/>
    <w:lvl w:ilvl="0">
      <w:lvlJc w:val="left"/>
      <w:lvlText w:val="%1."/>
      <w:numFmt w:val="decimal"/>
      <w:start w:val="191"/>
    </w:lvl>
  </w:abstractNum>
  <w:abstractNum w:abstractNumId="500">
    <w:nsid w:val="53880228"/>
    <w:multiLevelType w:val="hybridMultilevel"/>
    <w:lvl w:ilvl="0">
      <w:lvlJc w:val="left"/>
      <w:lvlText w:val="(%1)"/>
      <w:numFmt w:val="lowerLetter"/>
      <w:start w:val="1"/>
    </w:lvl>
  </w:abstractNum>
  <w:abstractNum w:abstractNumId="501">
    <w:nsid w:val="4E913C51"/>
    <w:multiLevelType w:val="hybridMultilevel"/>
    <w:lvl w:ilvl="0">
      <w:lvlJc w:val="left"/>
      <w:lvlText w:val="(%1)"/>
      <w:numFmt w:val="decimal"/>
      <w:start w:val="2"/>
    </w:lvl>
  </w:abstractNum>
  <w:abstractNum w:abstractNumId="502">
    <w:nsid w:val="7EBDB63D"/>
    <w:multiLevelType w:val="hybridMultilevel"/>
    <w:lvl w:ilvl="0">
      <w:lvlJc w:val="left"/>
      <w:lvlText w:val="%1."/>
      <w:numFmt w:val="decimal"/>
      <w:start w:val="193"/>
    </w:lvl>
  </w:abstractNum>
  <w:abstractNum w:abstractNumId="503">
    <w:nsid w:val="65FD275F"/>
    <w:multiLevelType w:val="hybridMultilevel"/>
    <w:lvl w:ilvl="0">
      <w:lvlJc w:val="left"/>
      <w:lvlText w:val="%1."/>
      <w:numFmt w:val="decimal"/>
      <w:start w:val="194"/>
    </w:lvl>
  </w:abstractNum>
  <w:abstractNum w:abstractNumId="504">
    <w:nsid w:val="5A098B27"/>
    <w:multiLevelType w:val="hybridMultilevel"/>
    <w:lvl w:ilvl="0">
      <w:lvlJc w:val="left"/>
      <w:lvlText w:val="%1."/>
      <w:numFmt w:val="decimal"/>
      <w:start w:val="195"/>
    </w:lvl>
  </w:abstractNum>
  <w:abstractNum w:abstractNumId="505">
    <w:nsid w:val="56BF33F6"/>
    <w:multiLevelType w:val="hybridMultilevel"/>
    <w:lvl w:ilvl="0">
      <w:lvlJc w:val="left"/>
      <w:lvlText w:val="%1."/>
      <w:numFmt w:val="decimal"/>
      <w:start w:val="196"/>
    </w:lvl>
  </w:abstractNum>
  <w:abstractNum w:abstractNumId="506">
    <w:nsid w:val="6C3A37B1"/>
    <w:multiLevelType w:val="hybridMultilevel"/>
    <w:lvl w:ilvl="0">
      <w:lvlJc w:val="left"/>
      <w:lvlText w:val="%1."/>
      <w:numFmt w:val="decimal"/>
      <w:start w:val="197"/>
    </w:lvl>
  </w:abstractNum>
  <w:abstractNum w:abstractNumId="507">
    <w:nsid w:val="696DA7C9"/>
    <w:multiLevelType w:val="hybridMultilevel"/>
    <w:lvl w:ilvl="0">
      <w:lvlJc w:val="left"/>
      <w:lvlText w:val="%1."/>
      <w:numFmt w:val="decimal"/>
      <w:start w:val="198"/>
    </w:lvl>
  </w:abstractNum>
  <w:abstractNum w:abstractNumId="508">
    <w:nsid w:val="728FACB1"/>
    <w:multiLevelType w:val="hybridMultilevel"/>
    <w:lvl w:ilvl="0">
      <w:lvlJc w:val="left"/>
      <w:lvlText w:val="%1)"/>
      <w:numFmt w:val="lowerLetter"/>
      <w:start w:val="1"/>
    </w:lvl>
  </w:abstractNum>
  <w:abstractNum w:abstractNumId="509">
    <w:nsid w:val="EF9AD2F"/>
    <w:multiLevelType w:val="hybridMultilevel"/>
    <w:lvl w:ilvl="0">
      <w:lvlJc w:val="left"/>
      <w:lvlText w:val="%1)"/>
      <w:numFmt w:val="lowerLetter"/>
      <w:start w:val="3"/>
    </w:lvl>
  </w:abstractNum>
  <w:abstractNum w:abstractNumId="510">
    <w:nsid w:val="2545A7C9"/>
    <w:multiLevelType w:val="hybridMultilevel"/>
    <w:lvl w:ilvl="0">
      <w:lvlJc w:val="left"/>
      <w:lvlText w:val="%1."/>
      <w:numFmt w:val="decimal"/>
      <w:start w:val="199"/>
    </w:lvl>
  </w:abstractNum>
  <w:abstractNum w:abstractNumId="511">
    <w:nsid w:val="495A99DC"/>
    <w:multiLevelType w:val="hybridMultilevel"/>
    <w:lvl w:ilvl="0">
      <w:lvlJc w:val="left"/>
      <w:lvlText w:val="%1)"/>
      <w:numFmt w:val="lowerLetter"/>
      <w:start w:val="1"/>
    </w:lvl>
  </w:abstractNum>
  <w:abstractNum w:abstractNumId="512">
    <w:nsid w:val="6C3DB3C4"/>
    <w:multiLevelType w:val="hybridMultilevel"/>
    <w:lvl w:ilvl="0">
      <w:lvlJc w:val="left"/>
      <w:lvlText w:val="%1."/>
      <w:numFmt w:val="decimal"/>
      <w:start w:val="200"/>
    </w:lvl>
  </w:abstractNum>
  <w:abstractNum w:abstractNumId="513">
    <w:nsid w:val="55EFC6"/>
    <w:multiLevelType w:val="hybridMultilevel"/>
    <w:lvl w:ilvl="0">
      <w:lvlJc w:val="left"/>
      <w:lvlText w:val="(%1)"/>
      <w:numFmt w:val="decimal"/>
      <w:start w:val="3"/>
    </w:lvl>
  </w:abstractNum>
  <w:abstractNum w:abstractNumId="514">
    <w:nsid w:val="57F93E98"/>
    <w:multiLevelType w:val="hybridMultilevel"/>
    <w:lvl w:ilvl="0">
      <w:lvlJc w:val="left"/>
      <w:lvlText w:val="%1."/>
      <w:numFmt w:val="decimal"/>
      <w:start w:val="201"/>
    </w:lvl>
  </w:abstractNum>
  <w:abstractNum w:abstractNumId="515">
    <w:nsid w:val="17BA092C"/>
    <w:multiLevelType w:val="hybridMultilevel"/>
    <w:lvl w:ilvl="0">
      <w:lvlJc w:val="left"/>
      <w:lvlText w:val="(%1)"/>
      <w:numFmt w:val="decimal"/>
      <w:start w:val="2"/>
    </w:lvl>
  </w:abstractNum>
  <w:abstractNum w:abstractNumId="516">
    <w:nsid w:val="46E70111"/>
    <w:multiLevelType w:val="hybridMultilevel"/>
    <w:lvl w:ilvl="0">
      <w:lvlJc w:val="left"/>
      <w:lvlText w:val="%1."/>
      <w:numFmt w:val="decimal"/>
      <w:start w:val="202"/>
    </w:lvl>
    <w:lvl w:ilvl="1">
      <w:lvlJc w:val="left"/>
      <w:lvlText w:val="%2)"/>
      <w:numFmt w:val="lowerLetter"/>
      <w:start w:val="1"/>
    </w:lvl>
  </w:abstractNum>
  <w:abstractNum w:abstractNumId="517">
    <w:nsid w:val="33A737F7"/>
    <w:multiLevelType w:val="hybridMultilevel"/>
    <w:lvl w:ilvl="0">
      <w:lvlJc w:val="left"/>
      <w:lvlText w:val="(%1)"/>
      <w:numFmt w:val="decimal"/>
      <w:start w:val="3"/>
    </w:lvl>
    <w:lvl w:ilvl="1">
      <w:lvlJc w:val="left"/>
      <w:lvlText w:val="(%2)"/>
      <w:numFmt w:val="lowerLetter"/>
      <w:start w:val="1"/>
    </w:lvl>
  </w:abstractNum>
  <w:abstractNum w:abstractNumId="518">
    <w:nsid w:val="E766383"/>
    <w:multiLevelType w:val="hybridMultilevel"/>
    <w:lvl w:ilvl="0">
      <w:lvlJc w:val="left"/>
      <w:lvlText w:val="%1"/>
      <w:numFmt w:val="decimal"/>
      <w:start w:val="76"/>
    </w:lvl>
  </w:abstractNum>
  <w:abstractNum w:abstractNumId="519">
    <w:nsid w:val="3344C4D6"/>
    <w:multiLevelType w:val="hybridMultilevel"/>
    <w:lvl w:ilvl="0">
      <w:lvlJc w:val="left"/>
      <w:lvlText w:val="%1"/>
      <w:numFmt w:val="decimal"/>
      <w:start w:val="1"/>
    </w:lvl>
    <w:lvl w:ilvl="1">
      <w:lvlJc w:val="left"/>
      <w:lvlText w:val="(%2)"/>
      <w:numFmt w:val="lowerLetter"/>
      <w:start w:val="2"/>
    </w:lvl>
  </w:abstractNum>
  <w:abstractNum w:abstractNumId="520">
    <w:nsid w:val="5E2C28EE"/>
    <w:multiLevelType w:val="hybridMultilevel"/>
    <w:lvl w:ilvl="0">
      <w:lvlJc w:val="left"/>
      <w:lvlText w:val="(%1)"/>
      <w:numFmt w:val="decimal"/>
      <w:start w:val="4"/>
    </w:lvl>
    <w:lvl w:ilvl="1">
      <w:lvlJc w:val="left"/>
      <w:lvlText w:val="%2"/>
      <w:numFmt w:val="lowerLetter"/>
      <w:start w:val="1"/>
    </w:lvl>
  </w:abstractNum>
  <w:abstractNum w:abstractNumId="521">
    <w:nsid w:val="9AE133E"/>
    <w:multiLevelType w:val="hybridMultilevel"/>
    <w:lvl w:ilvl="0">
      <w:lvlJc w:val="left"/>
      <w:lvlText w:val="%1."/>
      <w:numFmt w:val="decimal"/>
      <w:start w:val="203"/>
    </w:lvl>
  </w:abstractNum>
  <w:abstractNum w:abstractNumId="522">
    <w:nsid w:val="247D7CEF"/>
    <w:multiLevelType w:val="hybridMultilevel"/>
    <w:lvl w:ilvl="0">
      <w:lvlJc w:val="left"/>
      <w:lvlText w:val="%1."/>
      <w:numFmt w:val="decimal"/>
      <w:start w:val="204"/>
    </w:lvl>
  </w:abstractNum>
  <w:abstractNum w:abstractNumId="523">
    <w:nsid w:val="43D60C21"/>
    <w:multiLevelType w:val="hybridMultilevel"/>
    <w:lvl w:ilvl="0">
      <w:lvlJc w:val="left"/>
      <w:lvlText w:val="(%1)"/>
      <w:numFmt w:val="decimal"/>
      <w:start w:val="4"/>
    </w:lvl>
  </w:abstractNum>
  <w:abstractNum w:abstractNumId="524">
    <w:nsid w:val="15DD687E"/>
    <w:multiLevelType w:val="hybridMultilevel"/>
    <w:lvl w:ilvl="0">
      <w:lvlJc w:val="left"/>
      <w:lvlText w:val="%1."/>
      <w:numFmt w:val="decimal"/>
      <w:start w:val="205"/>
    </w:lvl>
  </w:abstractNum>
  <w:abstractNum w:abstractNumId="525">
    <w:nsid w:val="CD5DB95"/>
    <w:multiLevelType w:val="hybridMultilevel"/>
    <w:lvl w:ilvl="0">
      <w:lvlJc w:val="left"/>
      <w:lvlText w:val="%1."/>
      <w:numFmt w:val="decimal"/>
      <w:start w:val="206"/>
    </w:lvl>
  </w:abstractNum>
  <w:abstractNum w:abstractNumId="526">
    <w:nsid w:val="35569F99"/>
    <w:multiLevelType w:val="hybridMultilevel"/>
    <w:lvl w:ilvl="0">
      <w:lvlJc w:val="left"/>
      <w:lvlText w:val="%1."/>
      <w:numFmt w:val="decimal"/>
      <w:start w:val="207"/>
    </w:lvl>
  </w:abstractNum>
  <w:abstractNum w:abstractNumId="527">
    <w:nsid w:val="73FBF336"/>
    <w:multiLevelType w:val="hybridMultilevel"/>
    <w:lvl w:ilvl="0">
      <w:lvlJc w:val="left"/>
      <w:lvlText w:val="(%1)"/>
      <w:numFmt w:val="decimal"/>
      <w:start w:val="3"/>
    </w:lvl>
    <w:lvl w:ilvl="1">
      <w:lvlJc w:val="left"/>
      <w:lvlText w:val="(%2)"/>
      <w:numFmt w:val="decimal"/>
      <w:start w:val="4"/>
    </w:lvl>
  </w:abstractNum>
  <w:abstractNum w:abstractNumId="528">
    <w:nsid w:val="6BED4A53"/>
    <w:multiLevelType w:val="hybridMultilevel"/>
    <w:lvl w:ilvl="0">
      <w:lvlJc w:val="left"/>
      <w:lvlText w:val="(%1)"/>
      <w:numFmt w:val="decimal"/>
      <w:start w:val="5"/>
    </w:lvl>
    <w:lvl w:ilvl="1">
      <w:lvlJc w:val="left"/>
      <w:lvlText w:val="%2"/>
      <w:numFmt w:val="decimal"/>
      <w:start w:val="1"/>
    </w:lvl>
  </w:abstractNum>
  <w:abstractNum w:abstractNumId="529">
    <w:nsid w:val="127E6585"/>
    <w:multiLevelType w:val="hybridMultilevel"/>
    <w:lvl w:ilvl="0">
      <w:lvlJc w:val="left"/>
      <w:lvlText w:val="%1."/>
      <w:numFmt w:val="decimal"/>
      <w:start w:val="208"/>
    </w:lvl>
  </w:abstractNum>
  <w:abstractNum w:abstractNumId="530">
    <w:nsid w:val="518AFBEE"/>
    <w:multiLevelType w:val="hybridMultilevel"/>
    <w:lvl w:ilvl="0">
      <w:lvlJc w:val="left"/>
      <w:lvlText w:val="(%1)"/>
      <w:numFmt w:val="decimal"/>
      <w:start w:val="2"/>
    </w:lvl>
    <w:lvl w:ilvl="1">
      <w:lvlJc w:val="left"/>
      <w:lvlText w:val="(%2)"/>
      <w:numFmt w:val="decimal"/>
      <w:start w:val="3"/>
    </w:lvl>
  </w:abstractNum>
  <w:abstractNum w:abstractNumId="531">
    <w:nsid w:val="3F754C7B"/>
    <w:multiLevelType w:val="hybridMultilevel"/>
    <w:lvl w:ilvl="0">
      <w:lvlJc w:val="left"/>
      <w:lvlText w:val="%1."/>
      <w:numFmt w:val="decimal"/>
      <w:start w:val="209"/>
    </w:lvl>
  </w:abstractNum>
  <w:abstractNum w:abstractNumId="532">
    <w:nsid w:val="610FA1D6"/>
    <w:multiLevelType w:val="hybridMultilevel"/>
    <w:lvl w:ilvl="0">
      <w:lvlJc w:val="left"/>
      <w:lvlText w:val="%1."/>
      <w:numFmt w:val="decimal"/>
      <w:start w:val="210"/>
    </w:lvl>
  </w:abstractNum>
  <w:abstractNum w:abstractNumId="533">
    <w:nsid w:val="5048B22C"/>
    <w:multiLevelType w:val="hybridMultilevel"/>
    <w:lvl w:ilvl="0">
      <w:lvlJc w:val="left"/>
      <w:lvlText w:val="%1."/>
      <w:numFmt w:val="decimal"/>
      <w:start w:val="211"/>
    </w:lvl>
  </w:abstractNum>
  <w:abstractNum w:abstractNumId="534">
    <w:nsid w:val="257273DB"/>
    <w:multiLevelType w:val="hybridMultilevel"/>
    <w:lvl w:ilvl="0">
      <w:lvlJc w:val="left"/>
      <w:lvlText w:val="%1."/>
      <w:numFmt w:val="decimal"/>
      <w:start w:val="212"/>
    </w:lvl>
  </w:abstractNum>
  <w:abstractNum w:abstractNumId="535">
    <w:nsid w:val="3B192CFD"/>
    <w:multiLevelType w:val="hybridMultilevel"/>
    <w:lvl w:ilvl="0">
      <w:lvlJc w:val="left"/>
      <w:lvlText w:val="%1)"/>
      <w:numFmt w:val="lowerLetter"/>
      <w:start w:val="1"/>
    </w:lvl>
  </w:abstractNum>
  <w:abstractNum w:abstractNumId="536">
    <w:nsid w:val="2707E622"/>
    <w:multiLevelType w:val="hybridMultilevel"/>
    <w:lvl w:ilvl="0">
      <w:lvlJc w:val="left"/>
      <w:lvlText w:val="%1."/>
      <w:numFmt w:val="decimal"/>
      <w:start w:val="213"/>
    </w:lvl>
  </w:abstractNum>
  <w:abstractNum w:abstractNumId="537">
    <w:nsid w:val="11ACAB8C"/>
    <w:multiLevelType w:val="hybridMultilevel"/>
    <w:lvl w:ilvl="0">
      <w:lvlJc w:val="left"/>
      <w:lvlText w:val="(%1)"/>
      <w:numFmt w:val="lowerLetter"/>
      <w:start w:val="1"/>
    </w:lvl>
  </w:abstractNum>
  <w:abstractNum w:abstractNumId="538">
    <w:nsid w:val="2486D4C7"/>
    <w:multiLevelType w:val="hybridMultilevel"/>
    <w:lvl w:ilvl="0">
      <w:lvlJc w:val="left"/>
      <w:lvlText w:val="%1."/>
      <w:numFmt w:val="decimal"/>
      <w:start w:val="214"/>
    </w:lvl>
  </w:abstractNum>
  <w:abstractNum w:abstractNumId="539">
    <w:nsid w:val="199792D3"/>
    <w:multiLevelType w:val="hybridMultilevel"/>
    <w:lvl w:ilvl="0">
      <w:lvlJc w:val="left"/>
      <w:lvlText w:val="%1."/>
      <w:numFmt w:val="decimal"/>
      <w:start w:val="215"/>
    </w:lvl>
  </w:abstractNum>
  <w:abstractNum w:abstractNumId="540">
    <w:nsid w:val="20A658BB"/>
    <w:multiLevelType w:val="hybridMultilevel"/>
    <w:lvl w:ilvl="0">
      <w:lvlJc w:val="left"/>
      <w:lvlText w:val="%1."/>
      <w:numFmt w:val="decimal"/>
      <w:start w:val="216"/>
    </w:lvl>
  </w:abstractNum>
  <w:abstractNum w:abstractNumId="541">
    <w:nsid w:val="49CC7C90"/>
    <w:multiLevelType w:val="hybridMultilevel"/>
    <w:lvl w:ilvl="0">
      <w:lvlJc w:val="left"/>
      <w:lvlText w:val="%1."/>
      <w:numFmt w:val="decimal"/>
      <w:start w:val="217"/>
    </w:lvl>
  </w:abstractNum>
  <w:abstractNum w:abstractNumId="542">
    <w:nsid w:val="62F22CB0"/>
    <w:multiLevelType w:val="hybridMultilevel"/>
    <w:lvl w:ilvl="0">
      <w:lvlJc w:val="left"/>
      <w:lvlText w:val="%1."/>
      <w:numFmt w:val="decimal"/>
      <w:start w:val="218"/>
    </w:lvl>
  </w:abstractNum>
  <w:abstractNum w:abstractNumId="543">
    <w:nsid w:val="CE40C80"/>
    <w:multiLevelType w:val="hybridMultilevel"/>
    <w:lvl w:ilvl="0">
      <w:lvlJc w:val="left"/>
      <w:lvlText w:val="%1."/>
      <w:numFmt w:val="decimal"/>
      <w:start w:val="219"/>
    </w:lvl>
  </w:abstractNum>
  <w:abstractNum w:abstractNumId="544">
    <w:nsid w:val="4A226C56"/>
    <w:multiLevelType w:val="hybridMultilevel"/>
    <w:lvl w:ilvl="0">
      <w:lvlJc w:val="left"/>
      <w:lvlText w:val="(%1)"/>
      <w:numFmt w:val="decimal"/>
      <w:start w:val="2"/>
    </w:lvl>
  </w:abstractNum>
  <w:abstractNum w:abstractNumId="545">
    <w:nsid w:val="3AEB6B48"/>
    <w:multiLevelType w:val="hybridMultilevel"/>
    <w:lvl w:ilvl="0">
      <w:lvlJc w:val="left"/>
      <w:lvlText w:val="%1."/>
      <w:numFmt w:val="decimal"/>
      <w:start w:val="220"/>
    </w:lvl>
    <w:lvl w:ilvl="1">
      <w:lvlJc w:val="left"/>
      <w:lvlText w:val="(%2)"/>
      <w:numFmt w:val="lowerLetter"/>
      <w:start w:val="1"/>
    </w:lvl>
  </w:abstractNum>
  <w:abstractNum w:abstractNumId="546">
    <w:nsid w:val="249E15AC"/>
    <w:multiLevelType w:val="hybridMultilevel"/>
    <w:lvl w:ilvl="0">
      <w:lvlJc w:val="left"/>
      <w:lvlText w:val="(%1)"/>
      <w:numFmt w:val="decimal"/>
      <w:start w:val="3"/>
    </w:lvl>
  </w:abstractNum>
  <w:abstractNum w:abstractNumId="547">
    <w:nsid w:val="11096D68"/>
    <w:multiLevelType w:val="hybridMultilevel"/>
    <w:lvl w:ilvl="0">
      <w:lvlJc w:val="left"/>
      <w:lvlText w:val="%1."/>
      <w:numFmt w:val="decimal"/>
      <w:start w:val="221"/>
    </w:lvl>
  </w:abstractNum>
  <w:abstractNum w:abstractNumId="548">
    <w:nsid w:val="6E92A33F"/>
    <w:multiLevelType w:val="hybridMultilevel"/>
    <w:lvl w:ilvl="0">
      <w:lvlJc w:val="left"/>
      <w:lvlText w:val="%1."/>
      <w:numFmt w:val="decimal"/>
      <w:start w:val="222"/>
    </w:lvl>
  </w:abstractNum>
  <w:abstractNum w:abstractNumId="549">
    <w:nsid w:val="3314792F"/>
    <w:multiLevelType w:val="hybridMultilevel"/>
    <w:lvl w:ilvl="0">
      <w:lvlJc w:val="left"/>
      <w:lvlText w:val="%1."/>
      <w:numFmt w:val="decimal"/>
      <w:start w:val="223"/>
    </w:lvl>
  </w:abstractNum>
  <w:abstractNum w:abstractNumId="550">
    <w:nsid w:val="444E323E"/>
    <w:multiLevelType w:val="hybridMultilevel"/>
    <w:lvl w:ilvl="0">
      <w:lvlJc w:val="left"/>
      <w:lvlText w:val="%1)"/>
      <w:numFmt w:val="lowerLetter"/>
      <w:start w:val="1"/>
    </w:lvl>
  </w:abstractNum>
  <w:abstractNum w:abstractNumId="551">
    <w:nsid w:val="4CBECC2D"/>
    <w:multiLevelType w:val="hybridMultilevel"/>
    <w:lvl w:ilvl="0">
      <w:lvlJc w:val="left"/>
      <w:lvlText w:val="%1"/>
      <w:numFmt w:val="decimal"/>
      <w:start w:val="1"/>
    </w:lvl>
    <w:lvl w:ilvl="1">
      <w:lvlJc w:val="left"/>
      <w:lvlText w:val="%2)"/>
      <w:numFmt w:val="lowerLetter"/>
      <w:start w:val="2"/>
    </w:lvl>
  </w:abstractNum>
  <w:abstractNum w:abstractNumId="552">
    <w:nsid w:val="3CC28C6E"/>
    <w:multiLevelType w:val="hybridMultilevel"/>
    <w:lvl w:ilvl="0">
      <w:lvlJc w:val="left"/>
      <w:lvlText w:val="(%1)"/>
      <w:numFmt w:val="decimal"/>
      <w:start w:val="2"/>
    </w:lvl>
    <w:lvl w:ilvl="1">
      <w:lvlJc w:val="left"/>
      <w:lvlText w:val="%2"/>
      <w:numFmt w:val="lowerLetter"/>
      <w:start w:val="1"/>
    </w:lvl>
  </w:abstractNum>
  <w:abstractNum w:abstractNumId="553">
    <w:nsid w:val="68CBAF2D"/>
    <w:multiLevelType w:val="hybridMultilevel"/>
    <w:lvl w:ilvl="0">
      <w:lvlJc w:val="left"/>
      <w:lvlText w:val="%1."/>
      <w:numFmt w:val="decimal"/>
      <w:start w:val="224"/>
    </w:lvl>
  </w:abstractNum>
  <w:abstractNum w:abstractNumId="554">
    <w:nsid w:val="1094D84E"/>
    <w:multiLevelType w:val="hybridMultilevel"/>
    <w:lvl w:ilvl="0">
      <w:lvlJc w:val="left"/>
      <w:lvlText w:val="%1."/>
      <w:numFmt w:val="decimal"/>
      <w:start w:val="225"/>
    </w:lvl>
  </w:abstractNum>
  <w:abstractNum w:abstractNumId="555">
    <w:nsid w:val="529FF4EC"/>
    <w:multiLevelType w:val="hybridMultilevel"/>
    <w:lvl w:ilvl="0">
      <w:lvlJc w:val="left"/>
      <w:lvlText w:val="%1."/>
      <w:numFmt w:val="decimal"/>
      <w:start w:val="226"/>
    </w:lvl>
  </w:abstractNum>
  <w:abstractNum w:abstractNumId="556">
    <w:nsid w:val="75A18AC2"/>
    <w:multiLevelType w:val="hybridMultilevel"/>
    <w:lvl w:ilvl="0">
      <w:lvlJc w:val="left"/>
      <w:lvlText w:val="%1"/>
      <w:numFmt w:val="decimal"/>
      <w:start w:val="222"/>
    </w:lvl>
  </w:abstractNum>
  <w:abstractNum w:abstractNumId="557">
    <w:nsid w:val="45EB77E8"/>
    <w:multiLevelType w:val="hybridMultilevel"/>
    <w:lvl w:ilvl="0">
      <w:lvlJc w:val="left"/>
      <w:lvlText w:val="%1)"/>
      <w:numFmt w:val="lowerLetter"/>
      <w:start w:val="1"/>
    </w:lvl>
  </w:abstractNum>
  <w:abstractNum w:abstractNumId="558">
    <w:nsid w:val="469BE822"/>
    <w:multiLevelType w:val="hybridMultilevel"/>
    <w:lvl w:ilvl="0">
      <w:lvlJc w:val="left"/>
      <w:lvlText w:val="(%1)"/>
      <w:numFmt w:val="decimal"/>
      <w:start w:val="2"/>
    </w:lvl>
  </w:abstractNum>
  <w:abstractNum w:abstractNumId="559">
    <w:nsid w:val="618ED516"/>
    <w:multiLevelType w:val="hybridMultilevel"/>
    <w:lvl w:ilvl="0">
      <w:lvlJc w:val="left"/>
      <w:lvlText w:val="%1."/>
      <w:numFmt w:val="decimal"/>
      <w:start w:val="227"/>
    </w:lvl>
  </w:abstractNum>
  <w:abstractNum w:abstractNumId="560">
    <w:nsid w:val="5869DD6D"/>
    <w:multiLevelType w:val="hybridMultilevel"/>
    <w:lvl w:ilvl="0">
      <w:lvlJc w:val="left"/>
      <w:lvlText w:val="%1."/>
      <w:numFmt w:val="decimal"/>
      <w:start w:val="228"/>
    </w:lvl>
  </w:abstractNum>
  <w:abstractNum w:abstractNumId="561">
    <w:nsid w:val="1826E411"/>
    <w:multiLevelType w:val="hybridMultilevel"/>
    <w:lvl w:ilvl="0">
      <w:lvlJc w:val="left"/>
      <w:lvlText w:val="%1"/>
      <w:numFmt w:val="decimal"/>
      <w:start w:val="77"/>
    </w:lvl>
  </w:abstractNum>
  <w:abstractNum w:abstractNumId="562">
    <w:nsid w:val="21042191"/>
    <w:multiLevelType w:val="hybridMultilevel"/>
    <w:lvl w:ilvl="0">
      <w:lvlJc w:val="left"/>
      <w:lvlText w:val="(%1)"/>
      <w:numFmt w:val="lowerLetter"/>
      <w:start w:val="1"/>
    </w:lvl>
  </w:abstractNum>
  <w:abstractNum w:abstractNumId="563">
    <w:nsid w:val="39797F44"/>
    <w:multiLevelType w:val="hybridMultilevel"/>
    <w:lvl w:ilvl="0">
      <w:lvlJc w:val="left"/>
      <w:lvlText w:val="%1."/>
      <w:numFmt w:val="decimal"/>
      <w:start w:val="229"/>
    </w:lvl>
    <w:lvl w:ilvl="1">
      <w:lvlJc w:val="left"/>
      <w:lvlText w:val="%2)"/>
      <w:numFmt w:val="lowerLetter"/>
      <w:start w:val="1"/>
    </w:lvl>
  </w:abstractNum>
  <w:abstractNum w:abstractNumId="564">
    <w:nsid w:val="686F963D"/>
    <w:multiLevelType w:val="hybridMultilevel"/>
    <w:lvl w:ilvl="0">
      <w:lvlJc w:val="left"/>
      <w:lvlText w:val="%1."/>
      <w:numFmt w:val="decimal"/>
      <w:start w:val="230"/>
    </w:lvl>
  </w:abstractNum>
  <w:abstractNum w:abstractNumId="565">
    <w:nsid w:val="4676956C"/>
    <w:multiLevelType w:val="hybridMultilevel"/>
    <w:lvl w:ilvl="0">
      <w:lvlJc w:val="left"/>
      <w:lvlText w:val="(%1)"/>
      <w:numFmt w:val="lowerLetter"/>
      <w:start w:val="1"/>
    </w:lvl>
  </w:abstractNum>
  <w:abstractNum w:abstractNumId="566">
    <w:nsid w:val="7492AC41"/>
    <w:multiLevelType w:val="hybridMultilevel"/>
    <w:lvl w:ilvl="0">
      <w:lvlJc w:val="left"/>
      <w:lvlText w:val="(%1)"/>
      <w:numFmt w:val="decimal"/>
      <w:start w:val="2"/>
    </w:lvl>
  </w:abstractNum>
  <w:abstractNum w:abstractNumId="567">
    <w:nsid w:val="F777C5F"/>
    <w:multiLevelType w:val="hybridMultilevel"/>
    <w:lvl w:ilvl="0">
      <w:lvlJc w:val="left"/>
      <w:lvlText w:val="%1."/>
      <w:numFmt w:val="decimal"/>
      <w:start w:val="231"/>
    </w:lvl>
  </w:abstractNum>
  <w:abstractNum w:abstractNumId="568">
    <w:nsid w:val="582340F8"/>
    <w:multiLevelType w:val="hybridMultilevel"/>
    <w:lvl w:ilvl="0">
      <w:lvlJc w:val="left"/>
      <w:lvlText w:val="%1."/>
      <w:numFmt w:val="decimal"/>
      <w:start w:val="232"/>
    </w:lvl>
  </w:abstractNum>
  <w:abstractNum w:abstractNumId="569">
    <w:nsid w:val="19198108"/>
    <w:multiLevelType w:val="hybridMultilevel"/>
    <w:lvl w:ilvl="0">
      <w:lvlJc w:val="left"/>
      <w:lvlText w:val="%1)"/>
      <w:numFmt w:val="lowerLetter"/>
      <w:start w:val="1"/>
    </w:lvl>
  </w:abstractNum>
  <w:abstractNum w:abstractNumId="570">
    <w:nsid w:val="290F0F32"/>
    <w:multiLevelType w:val="hybridMultilevel"/>
    <w:lvl w:ilvl="0">
      <w:lvlJc w:val="left"/>
      <w:lvlText w:val="%1)"/>
      <w:numFmt w:val="lowerLetter"/>
      <w:start w:val="2"/>
    </w:lvl>
    <w:lvl w:ilvl="1">
      <w:lvlJc w:val="left"/>
      <w:lvlText w:val="%2)"/>
      <w:numFmt w:val="lowerRoman"/>
      <w:start w:val="1"/>
    </w:lvl>
  </w:abstractNum>
  <w:abstractNum w:abstractNumId="571">
    <w:nsid w:val="78C999B4"/>
    <w:multiLevelType w:val="hybridMultilevel"/>
    <w:lvl w:ilvl="0">
      <w:lvlJc w:val="left"/>
      <w:lvlText w:val="%1."/>
      <w:numFmt w:val="decimal"/>
      <w:start w:val="233"/>
    </w:lvl>
  </w:abstractNum>
  <w:abstractNum w:abstractNumId="572">
    <w:nsid w:val="62E5FD99"/>
    <w:multiLevelType w:val="hybridMultilevel"/>
    <w:lvl w:ilvl="0">
      <w:lvlJc w:val="left"/>
      <w:lvlText w:val="(%1)"/>
      <w:numFmt w:val="decimal"/>
      <w:start w:val="4"/>
    </w:lvl>
  </w:abstractNum>
  <w:abstractNum w:abstractNumId="573">
    <w:nsid w:val="C013BE2"/>
    <w:multiLevelType w:val="hybridMultilevel"/>
    <w:lvl w:ilvl="0">
      <w:lvlJc w:val="left"/>
      <w:lvlText w:val="%1."/>
      <w:numFmt w:val="decimal"/>
      <w:start w:val="234"/>
    </w:lvl>
  </w:abstractNum>
  <w:abstractNum w:abstractNumId="574">
    <w:nsid w:val="5ADA634"/>
    <w:multiLevelType w:val="hybridMultilevel"/>
    <w:lvl w:ilvl="0">
      <w:lvlJc w:val="left"/>
      <w:lvlText w:val="%1."/>
      <w:numFmt w:val="decimal"/>
      <w:start w:val="235"/>
    </w:lvl>
  </w:abstractNum>
  <w:abstractNum w:abstractNumId="575">
    <w:nsid w:val="2D0869EF"/>
    <w:multiLevelType w:val="hybridMultilevel"/>
    <w:lvl w:ilvl="0">
      <w:lvlJc w:val="left"/>
      <w:lvlText w:val="%1)"/>
      <w:numFmt w:val="lowerLetter"/>
      <w:start w:val="1"/>
    </w:lvl>
  </w:abstractNum>
  <w:abstractNum w:abstractNumId="576">
    <w:nsid w:val="46ECA72A"/>
    <w:multiLevelType w:val="hybridMultilevel"/>
    <w:lvl w:ilvl="0">
      <w:lvlJc w:val="left"/>
      <w:lvlText w:val="%1."/>
      <w:numFmt w:val="decimal"/>
      <w:start w:val="236"/>
    </w:lvl>
  </w:abstractNum>
  <w:abstractNum w:abstractNumId="577">
    <w:nsid w:val="2A4BBBE0"/>
    <w:multiLevelType w:val="hybridMultilevel"/>
    <w:lvl w:ilvl="0">
      <w:lvlJc w:val="left"/>
      <w:lvlText w:val="%1)"/>
      <w:numFmt w:val="lowerLetter"/>
      <w:start w:val="1"/>
    </w:lvl>
  </w:abstractNum>
  <w:abstractNum w:abstractNumId="578">
    <w:nsid w:val="3E11D757"/>
    <w:multiLevelType w:val="hybridMultilevel"/>
    <w:lvl w:ilvl="0">
      <w:lvlJc w:val="left"/>
      <w:lvlText w:val="(%1)"/>
      <w:numFmt w:val="upperLetter"/>
      <w:start w:val="9"/>
    </w:lvl>
    <w:lvl w:ilvl="1">
      <w:lvlJc w:val="left"/>
      <w:lvlText w:val="(%2)"/>
      <w:numFmt w:val="lowerLetter"/>
      <w:start w:val="1"/>
    </w:lvl>
  </w:abstractNum>
  <w:abstractNum w:abstractNumId="579">
    <w:nsid w:val="357F4A69"/>
    <w:multiLevelType w:val="hybridMultilevel"/>
    <w:lvl w:ilvl="0">
      <w:lvlJc w:val="left"/>
      <w:lvlText w:val="(%1)"/>
      <w:numFmt w:val="upperLetter"/>
      <w:start w:val="35"/>
    </w:lvl>
  </w:abstractNum>
  <w:abstractNum w:abstractNumId="580">
    <w:nsid w:val="5D603510"/>
    <w:multiLevelType w:val="hybridMultilevel"/>
    <w:lvl w:ilvl="0">
      <w:lvlJc w:val="left"/>
      <w:lvlText w:val="(%1)"/>
      <w:numFmt w:val="lowerLetter"/>
      <w:start w:val="2"/>
    </w:lvl>
  </w:abstractNum>
  <w:abstractNum w:abstractNumId="581">
    <w:nsid w:val="2600995"/>
    <w:multiLevelType w:val="hybridMultilevel"/>
    <w:lvl w:ilvl="0">
      <w:lvlJc w:val="left"/>
      <w:lvlText w:val="%1."/>
      <w:numFmt w:val="decimal"/>
      <w:start w:val="237"/>
    </w:lvl>
  </w:abstractNum>
  <w:abstractNum w:abstractNumId="582">
    <w:nsid w:val="23E1696"/>
    <w:multiLevelType w:val="hybridMultilevel"/>
    <w:lvl w:ilvl="0">
      <w:lvlJc w:val="left"/>
      <w:lvlText w:val="%1)"/>
      <w:numFmt w:val="lowerLetter"/>
      <w:start w:val="1"/>
    </w:lvl>
    <w:lvl w:ilvl="1">
      <w:lvlJc w:val="left"/>
      <w:lvlText w:val="(%2)"/>
      <w:numFmt w:val="lowerRoman"/>
      <w:start w:val="1"/>
    </w:lvl>
  </w:abstractNum>
  <w:abstractNum w:abstractNumId="583">
    <w:nsid w:val="1A22C17E"/>
    <w:multiLevelType w:val="hybridMultilevel"/>
    <w:lvl w:ilvl="0">
      <w:lvlJc w:val="left"/>
      <w:lvlText w:val="%1"/>
      <w:numFmt w:val="decimal"/>
      <w:start w:val="1"/>
    </w:lvl>
    <w:lvl w:ilvl="1">
      <w:lvlJc w:val="left"/>
      <w:lvlText w:val="%2"/>
      <w:numFmt w:val="lowerLetter"/>
      <w:start w:val="1"/>
    </w:lvl>
    <w:lvl w:ilvl="2">
      <w:lvlJc w:val="left"/>
      <w:lvlText w:val="(%3)"/>
      <w:numFmt w:val="lowerRoman"/>
      <w:start w:val="3"/>
    </w:lvl>
  </w:abstractNum>
  <w:abstractNum w:abstractNumId="584">
    <w:nsid w:val="6B2BB8C2"/>
    <w:multiLevelType w:val="hybridMultilevel"/>
    <w:lvl w:ilvl="0">
      <w:lvlJc w:val="left"/>
      <w:lvlText w:val="%1"/>
      <w:numFmt w:val="decimal"/>
      <w:start w:val="1"/>
    </w:lvl>
    <w:lvl w:ilvl="1">
      <w:lvlJc w:val="left"/>
      <w:lvlText w:val="%2)"/>
      <w:numFmt w:val="lowerLetter"/>
      <w:start w:val="3"/>
    </w:lvl>
    <w:lvl w:ilvl="2">
      <w:lvlJc w:val="left"/>
      <w:lvlText w:val="%3"/>
      <w:numFmt w:val="lowerRoman"/>
      <w:start w:val="1"/>
    </w:lvl>
  </w:abstractNum>
  <w:abstractNum w:abstractNumId="585">
    <w:nsid w:val="12D2EEE5"/>
    <w:multiLevelType w:val="hybridMultilevel"/>
    <w:lvl w:ilvl="0">
      <w:lvlJc w:val="left"/>
      <w:lvlText w:val="(%1)"/>
      <w:numFmt w:val="decimal"/>
      <w:start w:val="2"/>
    </w:lvl>
    <w:lvl w:ilvl="1">
      <w:lvlJc w:val="left"/>
      <w:lvlText w:val="%2"/>
      <w:numFmt w:val="lowerLetter"/>
      <w:start w:val="1"/>
    </w:lvl>
    <w:lvl w:ilvl="2">
      <w:lvlJc w:val="left"/>
      <w:lvlText w:val="%3"/>
      <w:numFmt w:val="lowerRoman"/>
      <w:start w:val="1"/>
    </w:lvl>
  </w:abstractNum>
  <w:abstractNum w:abstractNumId="586">
    <w:nsid w:val="6CC2B66A"/>
    <w:multiLevelType w:val="hybridMultilevel"/>
    <w:lvl w:ilvl="0">
      <w:lvlJc w:val="left"/>
      <w:lvlText w:val="%1."/>
      <w:numFmt w:val="decimal"/>
      <w:start w:val="238"/>
    </w:lvl>
  </w:abstractNum>
  <w:abstractNum w:abstractNumId="587">
    <w:nsid w:val="60CD4385"/>
    <w:multiLevelType w:val="hybridMultilevel"/>
    <w:lvl w:ilvl="0">
      <w:lvlJc w:val="left"/>
      <w:lvlText w:val="%1)"/>
      <w:numFmt w:val="lowerLetter"/>
      <w:start w:val="1"/>
    </w:lvl>
  </w:abstractNum>
  <w:abstractNum w:abstractNumId="588">
    <w:nsid w:val="58BE66CD"/>
    <w:multiLevelType w:val="hybridMultilevel"/>
    <w:lvl w:ilvl="0">
      <w:lvlJc w:val="left"/>
      <w:lvlText w:val="%1."/>
      <w:numFmt w:val="decimal"/>
      <w:start w:val="239"/>
    </w:lvl>
  </w:abstractNum>
  <w:abstractNum w:abstractNumId="589">
    <w:nsid w:val="335E9E8D"/>
    <w:multiLevelType w:val="hybridMultilevel"/>
    <w:lvl w:ilvl="0">
      <w:lvlJc w:val="left"/>
      <w:lvlText w:val="%1)"/>
      <w:numFmt w:val="lowerLetter"/>
      <w:start w:val="1"/>
    </w:lvl>
  </w:abstractNum>
  <w:abstractNum w:abstractNumId="590">
    <w:nsid w:val="425C189B"/>
    <w:multiLevelType w:val="hybridMultilevel"/>
    <w:lvl w:ilvl="0">
      <w:lvlJc w:val="left"/>
      <w:lvlText w:val="%1."/>
      <w:numFmt w:val="decimal"/>
      <w:start w:val="240"/>
    </w:lvl>
  </w:abstractNum>
  <w:abstractNum w:abstractNumId="591">
    <w:nsid w:val="3128443A"/>
    <w:multiLevelType w:val="hybridMultilevel"/>
    <w:lvl w:ilvl="0">
      <w:lvlJc w:val="left"/>
      <w:lvlText w:val="%1."/>
      <w:numFmt w:val="decimal"/>
      <w:start w:val="241"/>
    </w:lvl>
  </w:abstractNum>
  <w:abstractNum w:abstractNumId="592">
    <w:nsid w:val="4B85829E"/>
    <w:multiLevelType w:val="hybridMultilevel"/>
    <w:lvl w:ilvl="0">
      <w:lvlJc w:val="left"/>
      <w:lvlText w:val="%1."/>
      <w:numFmt w:val="decimal"/>
      <w:start w:val="242"/>
    </w:lvl>
  </w:abstractNum>
  <w:abstractNum w:abstractNumId="593">
    <w:nsid w:val="63603A2C"/>
    <w:multiLevelType w:val="hybridMultilevel"/>
    <w:lvl w:ilvl="0">
      <w:lvlJc w:val="left"/>
      <w:lvlText w:val="%1)"/>
      <w:numFmt w:val="lowerLetter"/>
      <w:start w:val="1"/>
    </w:lvl>
  </w:abstractNum>
  <w:abstractNum w:abstractNumId="594">
    <w:nsid w:val="6AA1C37E"/>
    <w:multiLevelType w:val="hybridMultilevel"/>
    <w:lvl w:ilvl="0">
      <w:lvlJc w:val="left"/>
      <w:lvlText w:val="%1."/>
      <w:numFmt w:val="decimal"/>
      <w:start w:val="243"/>
    </w:lvl>
  </w:abstractNum>
  <w:abstractNum w:abstractNumId="595">
    <w:nsid w:val="33F518DB"/>
    <w:multiLevelType w:val="hybridMultilevel"/>
    <w:lvl w:ilvl="0">
      <w:lvlJc w:val="left"/>
      <w:lvlText w:val="%1."/>
      <w:numFmt w:val="decimal"/>
      <w:start w:val="244"/>
    </w:lvl>
  </w:abstractNum>
  <w:abstractNum w:abstractNumId="596">
    <w:nsid w:val="29D6CF99"/>
    <w:multiLevelType w:val="hybridMultilevel"/>
    <w:lvl w:ilvl="0">
      <w:lvlJc w:val="left"/>
      <w:lvlText w:val="(%1)"/>
      <w:numFmt w:val="decimal"/>
      <w:start w:val="3"/>
    </w:lvl>
  </w:abstractNum>
  <w:abstractNum w:abstractNumId="597">
    <w:nsid w:val="5F346FC0"/>
    <w:multiLevelType w:val="hybridMultilevel"/>
    <w:lvl w:ilvl="0">
      <w:lvlJc w:val="left"/>
      <w:lvlText w:val="(%1)"/>
      <w:numFmt w:val="decimal"/>
      <w:start w:val="6"/>
    </w:lvl>
  </w:abstractNum>
  <w:abstractNum w:abstractNumId="598">
    <w:nsid w:val="436C953A"/>
    <w:multiLevelType w:val="hybridMultilevel"/>
    <w:lvl w:ilvl="0">
      <w:lvlJc w:val="left"/>
      <w:lvlText w:val="(%1)"/>
      <w:numFmt w:val="decimal"/>
      <w:start w:val="7"/>
    </w:lvl>
  </w:abstractNum>
  <w:abstractNum w:abstractNumId="599">
    <w:nsid w:val="1FA1091"/>
    <w:multiLevelType w:val="hybridMultilevel"/>
    <w:lvl w:ilvl="0">
      <w:lvlJc w:val="left"/>
      <w:lvlText w:val="%1."/>
      <w:numFmt w:val="decimal"/>
      <w:start w:val="245"/>
    </w:lvl>
  </w:abstractNum>
  <w:abstractNum w:abstractNumId="600">
    <w:nsid w:val="784DF0C8"/>
    <w:multiLevelType w:val="hybridMultilevel"/>
    <w:lvl w:ilvl="0">
      <w:lvlJc w:val="left"/>
      <w:lvlText w:val="%1)"/>
      <w:numFmt w:val="lowerLetter"/>
      <w:start w:val="1"/>
    </w:lvl>
  </w:abstractNum>
  <w:abstractNum w:abstractNumId="601">
    <w:nsid w:val="6C7BA46C"/>
    <w:multiLevelType w:val="hybridMultilevel"/>
    <w:lvl w:ilvl="0">
      <w:lvlJc w:val="left"/>
      <w:lvlText w:val="(%1)"/>
      <w:numFmt w:val="decimal"/>
      <w:start w:val="3"/>
    </w:lvl>
  </w:abstractNum>
  <w:abstractNum w:abstractNumId="602">
    <w:nsid w:val="7AC3AA45"/>
    <w:multiLevelType w:val="hybridMultilevel"/>
    <w:lvl w:ilvl="0">
      <w:lvlJc w:val="left"/>
      <w:lvlText w:val="%1."/>
      <w:numFmt w:val="decimal"/>
      <w:start w:val="246"/>
    </w:lvl>
  </w:abstractNum>
  <w:abstractNum w:abstractNumId="603">
    <w:nsid w:val="5B33EE61"/>
    <w:multiLevelType w:val="hybridMultilevel"/>
    <w:lvl w:ilvl="0">
      <w:lvlJc w:val="left"/>
      <w:lvlText w:val="(%1)"/>
      <w:numFmt w:val="decimal"/>
      <w:start w:val="4"/>
    </w:lvl>
  </w:abstractNum>
  <w:abstractNum w:abstractNumId="604">
    <w:nsid w:val="787CE04F"/>
    <w:multiLevelType w:val="hybridMultilevel"/>
    <w:lvl w:ilvl="0">
      <w:lvlJc w:val="left"/>
      <w:lvlText w:val="%1"/>
      <w:numFmt w:val="decimal"/>
      <w:start w:val="78"/>
    </w:lvl>
  </w:abstractNum>
  <w:abstractNum w:abstractNumId="605">
    <w:nsid w:val="715079"/>
    <w:multiLevelType w:val="hybridMultilevel"/>
    <w:lvl w:ilvl="0">
      <w:lvlJc w:val="left"/>
      <w:lvlText w:val="%1."/>
      <w:numFmt w:val="decimal"/>
      <w:start w:val="247"/>
    </w:lvl>
  </w:abstractNum>
  <w:abstractNum w:abstractNumId="606">
    <w:nsid w:val="83C5851"/>
    <w:multiLevelType w:val="hybridMultilevel"/>
    <w:lvl w:ilvl="0">
      <w:lvlJc w:val="left"/>
      <w:lvlText w:val="%1."/>
      <w:numFmt w:val="decimal"/>
      <w:start w:val="248"/>
    </w:lvl>
  </w:abstractNum>
  <w:abstractNum w:abstractNumId="607">
    <w:nsid w:val="3F698779"/>
    <w:multiLevelType w:val="hybridMultilevel"/>
    <w:lvl w:ilvl="0">
      <w:lvlJc w:val="left"/>
      <w:lvlText w:val="%1."/>
      <w:numFmt w:val="decimal"/>
      <w:start w:val="249"/>
    </w:lvl>
  </w:abstractNum>
  <w:abstractNum w:abstractNumId="608">
    <w:nsid w:val="2ABD0C5A"/>
    <w:multiLevelType w:val="hybridMultilevel"/>
    <w:lvl w:ilvl="0">
      <w:lvlJc w:val="left"/>
      <w:lvlText w:val="%1."/>
      <w:numFmt w:val="decimal"/>
      <w:start w:val="250"/>
    </w:lvl>
  </w:abstractNum>
  <w:abstractNum w:abstractNumId="609">
    <w:nsid w:val="464E2FA8"/>
    <w:multiLevelType w:val="hybridMultilevel"/>
    <w:lvl w:ilvl="0">
      <w:lvlJc w:val="left"/>
      <w:lvlText w:val="%1"/>
      <w:numFmt w:val="decimal"/>
      <w:start w:val="79"/>
    </w:lvl>
  </w:abstractNum>
  <w:abstractNum w:abstractNumId="610">
    <w:nsid w:val="74E8D1E3"/>
    <w:multiLevelType w:val="hybridMultilevel"/>
    <w:lvl w:ilvl="0">
      <w:lvlJc w:val="left"/>
      <w:lvlText w:val="(%1)"/>
      <w:numFmt w:val="decimal"/>
      <w:start w:val="3"/>
    </w:lvl>
  </w:abstractNum>
  <w:abstractNum w:abstractNumId="611">
    <w:nsid w:val="81D416A"/>
    <w:multiLevelType w:val="hybridMultilevel"/>
    <w:lvl w:ilvl="0">
      <w:lvlJc w:val="left"/>
      <w:lvlText w:val="(%1)"/>
      <w:numFmt w:val="decimal"/>
      <w:start w:val="5"/>
    </w:lvl>
  </w:abstractNum>
  <w:abstractNum w:abstractNumId="612">
    <w:nsid w:val="48AE393E"/>
    <w:multiLevelType w:val="hybridMultilevel"/>
    <w:lvl w:ilvl="0">
      <w:lvlJc w:val="left"/>
      <w:lvlText w:val="(%1)"/>
      <w:numFmt w:val="decimal"/>
      <w:start w:val="6"/>
    </w:lvl>
  </w:abstractNum>
  <w:abstractNum w:abstractNumId="613">
    <w:nsid w:val="7726E879"/>
    <w:multiLevelType w:val="hybridMultilevel"/>
    <w:lvl w:ilvl="0">
      <w:lvlJc w:val="left"/>
      <w:lvlText w:val="%1."/>
      <w:numFmt w:val="decimal"/>
      <w:start w:val="251"/>
    </w:lvl>
  </w:abstractNum>
  <w:abstractNum w:abstractNumId="614">
    <w:nsid w:val="224002E8"/>
    <w:multiLevelType w:val="hybridMultilevel"/>
    <w:lvl w:ilvl="0">
      <w:lvlJc w:val="left"/>
      <w:lvlText w:val="%1)"/>
      <w:numFmt w:val="lowerLetter"/>
      <w:start w:val="1"/>
    </w:lvl>
  </w:abstractNum>
  <w:abstractNum w:abstractNumId="615">
    <w:nsid w:val="33D9F200"/>
    <w:multiLevelType w:val="hybridMultilevel"/>
    <w:lvl w:ilvl="0">
      <w:lvlJc w:val="left"/>
      <w:lvlText w:val="%1."/>
      <w:numFmt w:val="decimal"/>
      <w:start w:val="252"/>
    </w:lvl>
  </w:abstractNum>
  <w:abstractNum w:abstractNumId="616">
    <w:nsid w:val="9F9D75E"/>
    <w:multiLevelType w:val="hybridMultilevel"/>
    <w:lvl w:ilvl="0">
      <w:lvlJc w:val="left"/>
      <w:lvlText w:val="%1)"/>
      <w:numFmt w:val="lowerLetter"/>
      <w:start w:val="1"/>
    </w:lvl>
  </w:abstractNum>
  <w:abstractNum w:abstractNumId="617">
    <w:nsid w:val="F02B952"/>
    <w:multiLevelType w:val="hybridMultilevel"/>
    <w:lvl w:ilvl="0">
      <w:lvlJc w:val="left"/>
      <w:lvlText w:val="(%1)"/>
      <w:numFmt w:val="lowerLetter"/>
      <w:start w:val="1"/>
    </w:lvl>
    <w:lvl w:ilvl="1">
      <w:lvlJc w:val="left"/>
      <w:lvlText w:val="(%2)"/>
      <w:numFmt w:val="lowerRoman"/>
      <w:start w:val="1"/>
    </w:lvl>
  </w:abstractNum>
  <w:abstractNum w:abstractNumId="618">
    <w:nsid w:val="14A73585"/>
    <w:multiLevelType w:val="hybridMultilevel"/>
    <w:lvl w:ilvl="0">
      <w:lvlJc w:val="left"/>
      <w:lvlText w:val="%1."/>
      <w:numFmt w:val="decimal"/>
      <w:start w:val="254"/>
    </w:lvl>
  </w:abstractNum>
  <w:abstractNum w:abstractNumId="619">
    <w:nsid w:val="62B83E2B"/>
    <w:multiLevelType w:val="hybridMultilevel"/>
    <w:lvl w:ilvl="0">
      <w:lvlJc w:val="left"/>
      <w:lvlText w:val="%1)"/>
      <w:numFmt w:val="lowerLetter"/>
      <w:start w:val="1"/>
    </w:lvl>
  </w:abstractNum>
  <w:abstractNum w:abstractNumId="620">
    <w:nsid w:val="426157DF"/>
    <w:multiLevelType w:val="hybridMultilevel"/>
    <w:lvl w:ilvl="0">
      <w:lvlJc w:val="left"/>
      <w:lvlText w:val="%1)"/>
      <w:numFmt w:val="lowerLetter"/>
      <w:start w:val="1"/>
    </w:lvl>
  </w:abstractNum>
  <w:abstractNum w:abstractNumId="621">
    <w:nsid w:val="57034E20"/>
    <w:multiLevelType w:val="hybridMultilevel"/>
    <w:lvl w:ilvl="0">
      <w:lvlJc w:val="left"/>
      <w:lvlText w:val="(%1)"/>
      <w:numFmt w:val="decimal"/>
      <w:start w:val="3"/>
    </w:lvl>
  </w:abstractNum>
  <w:abstractNum w:abstractNumId="622">
    <w:nsid w:val="13E08266"/>
    <w:multiLevelType w:val="hybridMultilevel"/>
    <w:lvl w:ilvl="0">
      <w:lvlJc w:val="left"/>
      <w:lvlText w:val="%1."/>
      <w:numFmt w:val="decimal"/>
      <w:start w:val="255"/>
    </w:lvl>
  </w:abstractNum>
  <w:abstractNum w:abstractNumId="623">
    <w:nsid w:val="DE6DA7D"/>
    <w:multiLevelType w:val="hybridMultilevel"/>
    <w:lvl w:ilvl="0">
      <w:lvlJc w:val="left"/>
      <w:lvlText w:val="%1."/>
      <w:numFmt w:val="decimal"/>
      <w:start w:val="256"/>
    </w:lvl>
  </w:abstractNum>
  <w:abstractNum w:abstractNumId="624">
    <w:nsid w:val="3A63884D"/>
    <w:multiLevelType w:val="hybridMultilevel"/>
    <w:lvl w:ilvl="0">
      <w:lvlJc w:val="left"/>
      <w:lvlText w:val="%1."/>
      <w:numFmt w:val="decimal"/>
      <w:start w:val="257"/>
    </w:lvl>
  </w:abstractNum>
  <w:abstractNum w:abstractNumId="625">
    <w:nsid w:val="7E8245E4"/>
    <w:multiLevelType w:val="hybridMultilevel"/>
    <w:lvl w:ilvl="0">
      <w:lvlJc w:val="left"/>
      <w:lvlText w:val="%1."/>
      <w:numFmt w:val="decimal"/>
      <w:start w:val="258"/>
    </w:lvl>
  </w:abstractNum>
  <w:abstractNum w:abstractNumId="626">
    <w:nsid w:val="41DBF358"/>
    <w:multiLevelType w:val="hybridMultilevel"/>
    <w:lvl w:ilvl="0">
      <w:lvlJc w:val="left"/>
      <w:lvlText w:val="%1."/>
      <w:numFmt w:val="decimal"/>
      <w:start w:val="259"/>
    </w:lvl>
  </w:abstractNum>
  <w:abstractNum w:abstractNumId="627">
    <w:nsid w:val="643A57E6"/>
    <w:multiLevelType w:val="hybridMultilevel"/>
    <w:lvl w:ilvl="0">
      <w:lvlJc w:val="left"/>
      <w:lvlText w:val="(%1)"/>
      <w:numFmt w:val="decimal"/>
      <w:start w:val="2"/>
    </w:lvl>
  </w:abstractNum>
  <w:abstractNum w:abstractNumId="628">
    <w:nsid w:val="5DB6B5A4"/>
    <w:multiLevelType w:val="hybridMultilevel"/>
    <w:lvl w:ilvl="0">
      <w:lvlJc w:val="left"/>
      <w:lvlText w:val="%1."/>
      <w:numFmt w:val="decimal"/>
      <w:start w:val="260"/>
    </w:lvl>
  </w:abstractNum>
  <w:abstractNum w:abstractNumId="629">
    <w:nsid w:val="5488892"/>
    <w:multiLevelType w:val="hybridMultilevel"/>
    <w:lvl w:ilvl="0">
      <w:lvlJc w:val="left"/>
      <w:lvlText w:val="(%1)"/>
      <w:numFmt w:val="decimal"/>
      <w:start w:val="5"/>
    </w:lvl>
  </w:abstractNum>
  <w:abstractNum w:abstractNumId="630">
    <w:nsid w:val="66346877"/>
    <w:multiLevelType w:val="hybridMultilevel"/>
    <w:lvl w:ilvl="0">
      <w:lvlJc w:val="left"/>
      <w:lvlText w:val="%1."/>
      <w:numFmt w:val="decimal"/>
      <w:start w:val="261"/>
    </w:lvl>
  </w:abstractNum>
  <w:abstractNum w:abstractNumId="631">
    <w:nsid w:val="5604A66D"/>
    <w:multiLevelType w:val="hybridMultilevel"/>
    <w:lvl w:ilvl="0">
      <w:lvlJc w:val="left"/>
      <w:lvlText w:val="(%1)"/>
      <w:numFmt w:val="decimal"/>
      <w:start w:val="6"/>
    </w:lvl>
  </w:abstractNum>
  <w:abstractNum w:abstractNumId="632">
    <w:nsid w:val="71C42CFF"/>
    <w:multiLevelType w:val="hybridMultilevel"/>
    <w:lvl w:ilvl="0">
      <w:lvlJc w:val="left"/>
      <w:lvlText w:val="%1."/>
      <w:numFmt w:val="decimal"/>
      <w:start w:val="262"/>
    </w:lvl>
  </w:abstractNum>
  <w:abstractNum w:abstractNumId="633">
    <w:nsid w:val="60F812BD"/>
    <w:multiLevelType w:val="hybridMultilevel"/>
    <w:lvl w:ilvl="0">
      <w:lvlJc w:val="left"/>
      <w:lvlText w:val="%1."/>
      <w:numFmt w:val="decimal"/>
      <w:start w:val="263"/>
    </w:lvl>
  </w:abstractNum>
  <w:abstractNum w:abstractNumId="634">
    <w:nsid w:val="313894CE"/>
    <w:multiLevelType w:val="hybridMultilevel"/>
    <w:lvl w:ilvl="0">
      <w:lvlJc w:val="left"/>
      <w:lvlText w:val="%1."/>
      <w:numFmt w:val="decimal"/>
      <w:start w:val="264"/>
    </w:lvl>
  </w:abstractNum>
  <w:abstractNum w:abstractNumId="635">
    <w:nsid w:val="6A410D4E"/>
    <w:multiLevelType w:val="hybridMultilevel"/>
    <w:lvl w:ilvl="0">
      <w:lvlJc w:val="left"/>
      <w:lvlText w:val="(%1)"/>
      <w:numFmt w:val="decimal"/>
      <w:start w:val="4"/>
    </w:lvl>
  </w:abstractNum>
  <w:abstractNum w:abstractNumId="636">
    <w:nsid w:val="61696336"/>
    <w:multiLevelType w:val="hybridMultilevel"/>
    <w:lvl w:ilvl="0">
      <w:lvlJc w:val="left"/>
      <w:lvlText w:val="(%1)"/>
      <w:numFmt w:val="decimal"/>
      <w:start w:val="5"/>
    </w:lvl>
  </w:abstractNum>
  <w:abstractNum w:abstractNumId="637">
    <w:nsid w:val="3974ED1F"/>
    <w:multiLevelType w:val="hybridMultilevel"/>
    <w:lvl w:ilvl="0">
      <w:lvlJc w:val="left"/>
      <w:lvlText w:val="%1."/>
      <w:numFmt w:val="decimal"/>
      <w:start w:val="265"/>
    </w:lvl>
  </w:abstractNum>
  <w:abstractNum w:abstractNumId="638">
    <w:nsid w:val="29AA94C7"/>
    <w:multiLevelType w:val="hybridMultilevel"/>
    <w:lvl w:ilvl="0">
      <w:lvlJc w:val="left"/>
      <w:lvlText w:val="%1."/>
      <w:numFmt w:val="decimal"/>
      <w:start w:val="266"/>
    </w:lvl>
  </w:abstractNum>
  <w:abstractNum w:abstractNumId="639">
    <w:nsid w:val="C266F90"/>
    <w:multiLevelType w:val="hybridMultilevel"/>
    <w:lvl w:ilvl="0">
      <w:lvlJc w:val="left"/>
      <w:lvlText w:val="%1"/>
      <w:numFmt w:val="decimal"/>
      <w:start w:val="84"/>
    </w:lvl>
  </w:abstractNum>
  <w:abstractNum w:abstractNumId="640">
    <w:nsid w:val="7FC31CC8"/>
    <w:multiLevelType w:val="hybridMultilevel"/>
    <w:lvl w:ilvl="0">
      <w:lvlJc w:val="left"/>
      <w:lvlText w:val="(%1)"/>
      <w:numFmt w:val="decimal"/>
      <w:start w:val="2"/>
    </w:lvl>
  </w:abstractNum>
  <w:abstractNum w:abstractNumId="641">
    <w:nsid w:val="1E9366AA"/>
    <w:multiLevelType w:val="hybridMultilevel"/>
    <w:lvl w:ilvl="0">
      <w:lvlJc w:val="left"/>
      <w:lvlText w:val="%1."/>
      <w:numFmt w:val="decimal"/>
      <w:start w:val="267"/>
    </w:lvl>
  </w:abstractNum>
  <w:abstractNum w:abstractNumId="642">
    <w:nsid w:val="1443B0FA"/>
    <w:multiLevelType w:val="hybridMultilevel"/>
    <w:lvl w:ilvl="0">
      <w:lvlJc w:val="left"/>
      <w:lvlText w:val="%1."/>
      <w:numFmt w:val="decimal"/>
      <w:start w:val="268"/>
    </w:lvl>
  </w:abstractNum>
  <w:abstractNum w:abstractNumId="643">
    <w:nsid w:val="48715606"/>
    <w:multiLevelType w:val="hybridMultilevel"/>
    <w:lvl w:ilvl="0">
      <w:lvlJc w:val="left"/>
      <w:lvlText w:val="(%1)"/>
      <w:numFmt w:val="decimal"/>
      <w:start w:val="3"/>
    </w:lvl>
    <w:lvl w:ilvl="1">
      <w:lvlJc w:val="left"/>
      <w:lvlText w:val="(%2)"/>
      <w:numFmt w:val="decimal"/>
      <w:start w:val="4"/>
    </w:lvl>
  </w:abstractNum>
  <w:abstractNum w:abstractNumId="644">
    <w:nsid w:val="15BA4F24"/>
    <w:multiLevelType w:val="hybridMultilevel"/>
    <w:lvl w:ilvl="0">
      <w:lvlJc w:val="left"/>
      <w:lvlText w:val="%1."/>
      <w:numFmt w:val="decimal"/>
      <w:start w:val="269"/>
    </w:lvl>
  </w:abstractNum>
  <w:abstractNum w:abstractNumId="645">
    <w:nsid w:val="3683B3E2"/>
    <w:multiLevelType w:val="hybridMultilevel"/>
    <w:lvl w:ilvl="0">
      <w:lvlJc w:val="left"/>
      <w:lvlText w:val="%1."/>
      <w:numFmt w:val="decimal"/>
      <w:start w:val="270"/>
    </w:lvl>
  </w:abstractNum>
  <w:abstractNum w:abstractNumId="646">
    <w:nsid w:val="7C4B4806"/>
    <w:multiLevelType w:val="hybridMultilevel"/>
    <w:lvl w:ilvl="0">
      <w:lvlJc w:val="left"/>
      <w:lvlText w:val="(%1)"/>
      <w:numFmt w:val="decimal"/>
      <w:start w:val="2"/>
    </w:lvl>
  </w:abstractNum>
  <w:abstractNum w:abstractNumId="647">
    <w:nsid w:val="1FB42682"/>
    <w:multiLevelType w:val="hybridMultilevel"/>
    <w:lvl w:ilvl="0">
      <w:lvlJc w:val="left"/>
      <w:lvlText w:val="%1."/>
      <w:numFmt w:val="decimal"/>
      <w:start w:val="271"/>
    </w:lvl>
  </w:abstractNum>
  <w:abstractNum w:abstractNumId="648">
    <w:nsid w:val="45866D35"/>
    <w:multiLevelType w:val="hybridMultilevel"/>
    <w:lvl w:ilvl="0">
      <w:lvlJc w:val="left"/>
      <w:lvlText w:val="%1."/>
      <w:numFmt w:val="decimal"/>
      <w:start w:val="272"/>
    </w:lvl>
  </w:abstractNum>
  <w:abstractNum w:abstractNumId="649">
    <w:nsid w:val="10F27D8C"/>
    <w:multiLevelType w:val="hybridMultilevel"/>
    <w:lvl w:ilvl="0">
      <w:lvlJc w:val="left"/>
      <w:lvlText w:val="(%1)"/>
      <w:numFmt w:val="decimal"/>
      <w:start w:val="2"/>
    </w:lvl>
  </w:abstractNum>
  <w:abstractNum w:abstractNumId="650">
    <w:nsid w:val="26C64AE"/>
    <w:multiLevelType w:val="hybridMultilevel"/>
    <w:lvl w:ilvl="0">
      <w:lvlJc w:val="left"/>
      <w:lvlText w:val="(%1)"/>
      <w:numFmt w:val="decimal"/>
      <w:start w:val="3"/>
    </w:lvl>
  </w:abstractNum>
  <w:abstractNum w:abstractNumId="651">
    <w:nsid w:val="7E7C514"/>
    <w:multiLevelType w:val="hybridMultilevel"/>
    <w:lvl w:ilvl="0">
      <w:lvlJc w:val="left"/>
      <w:lvlText w:val="%1."/>
      <w:numFmt w:val="decimal"/>
      <w:start w:val="273"/>
    </w:lvl>
  </w:abstractNum>
  <w:abstractNum w:abstractNumId="652">
    <w:nsid w:val="67F5CBAC"/>
    <w:multiLevelType w:val="hybridMultilevel"/>
    <w:lvl w:ilvl="0">
      <w:lvlJc w:val="left"/>
      <w:lvlText w:val="%1."/>
      <w:numFmt w:val="decimal"/>
      <w:start w:val="274"/>
    </w:lvl>
  </w:abstractNum>
  <w:abstractNum w:abstractNumId="653">
    <w:nsid w:val="164CE714"/>
    <w:multiLevelType w:val="hybridMultilevel"/>
    <w:lvl w:ilvl="0">
      <w:lvlJc w:val="left"/>
      <w:lvlText w:val="%1."/>
      <w:numFmt w:val="decimal"/>
      <w:start w:val="275"/>
    </w:lvl>
  </w:abstractNum>
  <w:abstractNum w:abstractNumId="654">
    <w:nsid w:val="15CE9F92"/>
    <w:multiLevelType w:val="hybridMultilevel"/>
    <w:lvl w:ilvl="0">
      <w:lvlJc w:val="left"/>
      <w:lvlText w:val="%1."/>
      <w:numFmt w:val="decimal"/>
      <w:start w:val="276"/>
    </w:lvl>
  </w:abstractNum>
  <w:abstractNum w:abstractNumId="655">
    <w:nsid w:val="225953F9"/>
    <w:multiLevelType w:val="hybridMultilevel"/>
    <w:lvl w:ilvl="0">
      <w:lvlJc w:val="left"/>
      <w:lvlText w:val="%1."/>
      <w:numFmt w:val="decimal"/>
      <w:start w:val="277"/>
    </w:lvl>
  </w:abstractNum>
  <w:abstractNum w:abstractNumId="656">
    <w:nsid w:val="14CF2CF8"/>
    <w:multiLevelType w:val="hybridMultilevel"/>
    <w:lvl w:ilvl="0">
      <w:lvlJc w:val="left"/>
      <w:lvlText w:val="%1."/>
      <w:numFmt w:val="decimal"/>
      <w:start w:val="278"/>
    </w:lvl>
  </w:abstractNum>
  <w:abstractNum w:abstractNumId="657">
    <w:nsid w:val="57AA92EA"/>
    <w:multiLevelType w:val="hybridMultilevel"/>
    <w:lvl w:ilvl="0">
      <w:lvlJc w:val="left"/>
      <w:lvlText w:val="%1."/>
      <w:numFmt w:val="decimal"/>
      <w:start w:val="279"/>
    </w:lvl>
  </w:abstractNum>
  <w:abstractNum w:abstractNumId="658">
    <w:nsid w:val="693ABDF"/>
    <w:multiLevelType w:val="hybridMultilevel"/>
    <w:lvl w:ilvl="0">
      <w:lvlJc w:val="left"/>
      <w:lvlText w:val="%1)"/>
      <w:numFmt w:val="lowerLetter"/>
      <w:start w:val="1"/>
    </w:lvl>
  </w:abstractNum>
  <w:abstractNum w:abstractNumId="659">
    <w:nsid w:val="7285E29D"/>
    <w:multiLevelType w:val="hybridMultilevel"/>
    <w:lvl w:ilvl="0">
      <w:lvlJc w:val="left"/>
      <w:lvlText w:val="%1)"/>
      <w:numFmt w:val="lowerLetter"/>
      <w:start w:val="5"/>
    </w:lvl>
  </w:abstractNum>
  <w:abstractNum w:abstractNumId="660">
    <w:nsid w:val="5CF31B7D"/>
    <w:multiLevelType w:val="hybridMultilevel"/>
    <w:lvl w:ilvl="0">
      <w:lvlJc w:val="left"/>
      <w:lvlText w:val="(%1)"/>
      <w:numFmt w:val="decimal"/>
      <w:start w:val="2"/>
    </w:lvl>
  </w:abstractNum>
  <w:abstractNum w:abstractNumId="661">
    <w:nsid w:val="6CC81457"/>
    <w:multiLevelType w:val="hybridMultilevel"/>
    <w:lvl w:ilvl="0">
      <w:lvlJc w:val="left"/>
      <w:lvlText w:val="(%1)"/>
      <w:numFmt w:val="decimal"/>
      <w:start w:val="8"/>
    </w:lvl>
  </w:abstractNum>
  <w:abstractNum w:abstractNumId="662">
    <w:nsid w:val="488A890A"/>
    <w:multiLevelType w:val="hybridMultilevel"/>
    <w:lvl w:ilvl="0">
      <w:lvlJc w:val="left"/>
      <w:lvlText w:val="%1)"/>
      <w:numFmt w:val="lowerLetter"/>
      <w:start w:val="1"/>
    </w:lvl>
  </w:abstractNum>
  <w:abstractNum w:abstractNumId="663">
    <w:nsid w:val="4EB7487C"/>
    <w:multiLevelType w:val="hybridMultilevel"/>
    <w:lvl w:ilvl="0">
      <w:lvlJc w:val="left"/>
      <w:lvlText w:val="%1."/>
      <w:numFmt w:val="decimal"/>
      <w:start w:val="280"/>
    </w:lvl>
  </w:abstractNum>
  <w:abstractNum w:abstractNumId="664">
    <w:nsid w:val="4DC02714"/>
    <w:multiLevelType w:val="hybridMultilevel"/>
    <w:lvl w:ilvl="0">
      <w:lvlJc w:val="left"/>
      <w:lvlText w:val="%1)"/>
      <w:numFmt w:val="lowerLetter"/>
      <w:start w:val="1"/>
    </w:lvl>
  </w:abstractNum>
  <w:abstractNum w:abstractNumId="665">
    <w:nsid w:val="79C31DD8"/>
    <w:multiLevelType w:val="hybridMultilevel"/>
    <w:lvl w:ilvl="0">
      <w:lvlJc w:val="left"/>
      <w:lvlText w:val="%1."/>
      <w:numFmt w:val="decimal"/>
      <w:start w:val="281"/>
    </w:lvl>
  </w:abstractNum>
  <w:abstractNum w:abstractNumId="666">
    <w:nsid w:val="38F855CA"/>
    <w:multiLevelType w:val="hybridMultilevel"/>
    <w:lvl w:ilvl="0">
      <w:lvlJc w:val="left"/>
      <w:lvlText w:val="%1."/>
      <w:numFmt w:val="decimal"/>
      <w:start w:val="282"/>
    </w:lvl>
    <w:lvl w:ilvl="1">
      <w:lvlJc w:val="left"/>
      <w:lvlText w:val="(%2)"/>
      <w:numFmt w:val="lowerLetter"/>
      <w:start w:val="1"/>
    </w:lvl>
  </w:abstractNum>
  <w:abstractNum w:abstractNumId="667">
    <w:nsid w:val="2F298A4A"/>
    <w:multiLevelType w:val="hybridMultilevel"/>
    <w:lvl w:ilvl="0">
      <w:lvlJc w:val="left"/>
      <w:lvlText w:val="(%1)"/>
      <w:numFmt w:val="decimal"/>
      <w:start w:val="3"/>
    </w:lvl>
  </w:abstractNum>
  <w:abstractNum w:abstractNumId="668">
    <w:nsid w:val="33380AF8"/>
    <w:multiLevelType w:val="hybridMultilevel"/>
    <w:lvl w:ilvl="0">
      <w:lvlJc w:val="left"/>
      <w:lvlText w:val="%1"/>
      <w:numFmt w:val="decimal"/>
      <w:start w:val="86"/>
    </w:lvl>
  </w:abstractNum>
  <w:abstractNum w:abstractNumId="669">
    <w:nsid w:val="62A2EA91"/>
    <w:multiLevelType w:val="hybridMultilevel"/>
    <w:lvl w:ilvl="0">
      <w:lvlJc w:val="left"/>
      <w:lvlText w:val="%1."/>
      <w:numFmt w:val="upperLetter"/>
      <w:start w:val="9"/>
    </w:lvl>
    <w:lvl w:ilvl="1">
      <w:lvlJc w:val="left"/>
      <w:lvlText w:val="%2"/>
      <w:numFmt w:val="upperLetter"/>
      <w:start w:val="1"/>
    </w:lvl>
  </w:abstractNum>
  <w:abstractNum w:abstractNumId="670">
    <w:nsid w:val="3B4FF9DB"/>
    <w:multiLevelType w:val="hybridMultilevel"/>
    <w:lvl w:ilvl="0">
      <w:lvlJc w:val="left"/>
      <w:lvlText w:val="%1."/>
      <w:numFmt w:val="upperLetter"/>
      <w:start w:val="35"/>
    </w:lvl>
    <w:lvl w:ilvl="1">
      <w:lvlJc w:val="left"/>
      <w:lvlText w:val="%2"/>
      <w:numFmt w:val="upperLetter"/>
      <w:start w:val="1"/>
    </w:lvl>
  </w:abstractNum>
  <w:abstractNum w:abstractNumId="671">
    <w:nsid w:val="32FB27C0"/>
    <w:multiLevelType w:val="hybridMultilevel"/>
    <w:lvl w:ilvl="0">
      <w:lvlJc w:val="left"/>
      <w:lvlText w:val="%1."/>
      <w:numFmt w:val="upperLetter"/>
      <w:start w:val="61"/>
    </w:lvl>
    <w:lvl w:ilvl="1">
      <w:lvlJc w:val="left"/>
      <w:lvlText w:val="%2"/>
      <w:numFmt w:val="upperLetter"/>
      <w:start w:val="1"/>
    </w:lvl>
  </w:abstractNum>
  <w:abstractNum w:abstractNumId="672">
    <w:nsid w:val="136513C"/>
    <w:multiLevelType w:val="hybridMultilevel"/>
    <w:lvl w:ilvl="0">
      <w:lvlJc w:val="left"/>
      <w:lvlText w:val="%1."/>
      <w:numFmt w:val="lowerLetter"/>
      <w:start w:val="1"/>
    </w:lvl>
    <w:lvl w:ilvl="1">
      <w:lvlJc w:val="left"/>
      <w:lvlText w:val="%2."/>
      <w:numFmt w:val="lowerRoman"/>
      <w:start w:val="1"/>
    </w:lvl>
    <w:lvl w:ilvl="2">
      <w:lvlJc w:val="left"/>
      <w:lvlText w:val="%3)"/>
      <w:numFmt w:val="lowerLetter"/>
      <w:start w:val="1"/>
    </w:lvl>
  </w:abstractNum>
  <w:abstractNum w:abstractNumId="673">
    <w:nsid w:val="4F93AAD5"/>
    <w:multiLevelType w:val="hybridMultilevel"/>
    <w:lvl w:ilvl="0">
      <w:lvlJc w:val="left"/>
      <w:lvlText w:val="%1)"/>
      <w:numFmt w:val="lowerLetter"/>
      <w:start w:val="1"/>
    </w:lvl>
  </w:abstractNum>
  <w:abstractNum w:abstractNumId="674">
    <w:nsid w:val="7B6C7DC6"/>
    <w:multiLevelType w:val="hybridMultilevel"/>
    <w:lvl w:ilvl="0">
      <w:lvlJc w:val="left"/>
      <w:lvlText w:val="(%1)"/>
      <w:numFmt w:val="decimal"/>
      <w:start w:val="1"/>
    </w:lvl>
  </w:abstractNum>
  <w:abstractNum w:abstractNumId="675">
    <w:nsid w:val="16F0A060"/>
    <w:multiLevelType w:val="hybridMultilevel"/>
    <w:lvl w:ilvl="0">
      <w:lvlJc w:val="left"/>
      <w:lvlText w:val="(%1)"/>
      <w:numFmt w:val="lowerLetter"/>
      <w:start w:val="1"/>
    </w:lvl>
    <w:lvl w:ilvl="1">
      <w:lvlJc w:val="left"/>
      <w:lvlText w:val="(%2)"/>
      <w:numFmt w:val="lowerRoman"/>
      <w:start w:val="1"/>
    </w:lvl>
  </w:abstractNum>
  <w:abstractNum w:abstractNumId="676">
    <w:nsid w:val="6175EB8"/>
    <w:multiLevelType w:val="hybridMultilevel"/>
    <w:lvl w:ilvl="0">
      <w:lvlJc w:val="left"/>
      <w:lvlText w:val="%1."/>
      <w:numFmt w:val="decimal"/>
      <w:start w:val="284"/>
    </w:lvl>
  </w:abstractNum>
  <w:abstractNum w:abstractNumId="677">
    <w:nsid w:val="77B7C5CC"/>
    <w:multiLevelType w:val="hybridMultilevel"/>
    <w:lvl w:ilvl="0">
      <w:lvlJc w:val="left"/>
      <w:lvlText w:val="%1)"/>
      <w:numFmt w:val="lowerLetter"/>
      <w:start w:val="1"/>
    </w:lvl>
  </w:abstractNum>
  <w:abstractNum w:abstractNumId="678">
    <w:nsid w:val="36A4C6E2"/>
    <w:multiLevelType w:val="hybridMultilevel"/>
    <w:lvl w:ilvl="0">
      <w:lvlJc w:val="left"/>
      <w:lvlText w:val="%1)"/>
      <w:numFmt w:val="lowerLetter"/>
      <w:start w:val="8"/>
    </w:lvl>
  </w:abstractNum>
  <w:abstractNum w:abstractNumId="679">
    <w:nsid w:val="4B9DCBED"/>
    <w:multiLevelType w:val="hybridMultilevel"/>
    <w:lvl w:ilvl="0">
      <w:lvlJc w:val="left"/>
      <w:lvlText w:val="(%1)"/>
      <w:numFmt w:val="decimal"/>
      <w:start w:val="4"/>
    </w:lvl>
  </w:abstractNum>
  <w:abstractNum w:abstractNumId="680">
    <w:nsid w:val="8AA4358"/>
    <w:multiLevelType w:val="hybridMultilevel"/>
    <w:lvl w:ilvl="0">
      <w:lvlJc w:val="left"/>
      <w:lvlText w:val="%1)"/>
      <w:numFmt w:val="lowerLetter"/>
      <w:start w:val="1"/>
    </w:lvl>
  </w:abstractNum>
  <w:abstractNum w:abstractNumId="681">
    <w:nsid w:val="39112B90"/>
    <w:multiLevelType w:val="hybridMultilevel"/>
    <w:lvl w:ilvl="0">
      <w:lvlJc w:val="left"/>
      <w:lvlText w:val="(%1)"/>
      <w:numFmt w:val="decimal"/>
      <w:start w:val="6"/>
    </w:lvl>
  </w:abstractNum>
  <w:abstractNum w:abstractNumId="682">
    <w:nsid w:val="53859101"/>
    <w:multiLevelType w:val="hybridMultilevel"/>
    <w:lvl w:ilvl="0">
      <w:lvlJc w:val="left"/>
      <w:lvlText w:val="%1"/>
      <w:numFmt w:val="decimal"/>
      <w:start w:val="91"/>
    </w:lvl>
  </w:abstractNum>
  <w:abstractNum w:abstractNumId="683">
    <w:nsid w:val="70A00F05"/>
    <w:multiLevelType w:val="hybridMultilevel"/>
    <w:lvl w:ilvl="0">
      <w:lvlJc w:val="left"/>
      <w:lvlText w:val="%1."/>
      <w:numFmt w:val="decimal"/>
      <w:start w:val="285"/>
    </w:lvl>
  </w:abstractNum>
  <w:abstractNum w:abstractNumId="684">
    <w:nsid w:val="4F5E12A4"/>
    <w:multiLevelType w:val="hybridMultilevel"/>
    <w:lvl w:ilvl="0">
      <w:lvlJc w:val="left"/>
      <w:lvlText w:val="%1."/>
      <w:numFmt w:val="decimal"/>
      <w:start w:val="286"/>
    </w:lvl>
  </w:abstractNum>
  <w:abstractNum w:abstractNumId="685">
    <w:nsid w:val="69543093"/>
    <w:multiLevelType w:val="hybridMultilevel"/>
    <w:lvl w:ilvl="0">
      <w:lvlJc w:val="left"/>
      <w:lvlText w:val="%1."/>
      <w:numFmt w:val="decimal"/>
      <w:start w:val="287"/>
    </w:lvl>
  </w:abstractNum>
  <w:abstractNum w:abstractNumId="686">
    <w:nsid w:val="12F962FE"/>
    <w:multiLevelType w:val="hybridMultilevel"/>
    <w:lvl w:ilvl="0">
      <w:lvlJc w:val="left"/>
      <w:lvlText w:val="%1"/>
      <w:numFmt w:val="decimal"/>
      <w:start w:val="92"/>
    </w:lvl>
    <w:lvl w:ilvl="1">
      <w:lvlJc w:val="left"/>
      <w:lvlText w:val="(%2)"/>
      <w:numFmt w:val="lowerLetter"/>
      <w:start w:val="1"/>
    </w:lvl>
  </w:abstractNum>
  <w:abstractNum w:abstractNumId="687">
    <w:nsid w:val="642D3F9D"/>
    <w:multiLevelType w:val="hybridMultilevel"/>
    <w:lvl w:ilvl="0">
      <w:lvlJc w:val="left"/>
      <w:lvlText w:val="%1."/>
      <w:numFmt w:val="decimal"/>
      <w:start w:val="288"/>
    </w:lvl>
    <w:lvl w:ilvl="1">
      <w:lvlJc w:val="left"/>
      <w:lvlText w:val="%2)"/>
      <w:numFmt w:val="lowerLetter"/>
      <w:start w:val="1"/>
    </w:lvl>
  </w:abstractNum>
  <w:abstractNum w:abstractNumId="688">
    <w:nsid w:val="40FEC37E"/>
    <w:multiLevelType w:val="hybridMultilevel"/>
    <w:lvl w:ilvl="0">
      <w:lvlJc w:val="left"/>
      <w:lvlText w:val="(%1)"/>
      <w:numFmt w:val="decimal"/>
      <w:start w:val="2"/>
    </w:lvl>
  </w:abstractNum>
  <w:abstractNum w:abstractNumId="689">
    <w:nsid w:val="198D0EDE"/>
    <w:multiLevelType w:val="hybridMultilevel"/>
    <w:lvl w:ilvl="0">
      <w:lvlJc w:val="left"/>
      <w:lvlText w:val="%1."/>
      <w:numFmt w:val="decimal"/>
      <w:start w:val="289"/>
    </w:lvl>
  </w:abstractNum>
  <w:abstractNum w:abstractNumId="690">
    <w:nsid w:val="56B3223A"/>
    <w:multiLevelType w:val="hybridMultilevel"/>
    <w:lvl w:ilvl="0">
      <w:lvlJc w:val="left"/>
      <w:lvlText w:val="%1."/>
      <w:numFmt w:val="decimal"/>
      <w:start w:val="290"/>
    </w:lvl>
  </w:abstractNum>
  <w:abstractNum w:abstractNumId="691">
    <w:nsid w:val="1DF1DEFB"/>
    <w:multiLevelType w:val="hybridMultilevel"/>
    <w:lvl w:ilvl="0">
      <w:lvlJc w:val="left"/>
      <w:lvlText w:val="%1)"/>
      <w:numFmt w:val="lowerLetter"/>
      <w:start w:val="1"/>
    </w:lvl>
  </w:abstractNum>
  <w:abstractNum w:abstractNumId="692">
    <w:nsid w:val="6552335"/>
    <w:multiLevelType w:val="hybridMultilevel"/>
    <w:lvl w:ilvl="0">
      <w:lvlJc w:val="left"/>
      <w:lvlText w:val="(%1)"/>
      <w:numFmt w:val="decimal"/>
      <w:start w:val="2"/>
    </w:lvl>
  </w:abstractNum>
  <w:abstractNum w:abstractNumId="693">
    <w:nsid w:val="1F3DAB44"/>
    <w:multiLevelType w:val="hybridMultilevel"/>
    <w:lvl w:ilvl="0">
      <w:lvlJc w:val="left"/>
      <w:lvlText w:val="%1"/>
      <w:numFmt w:val="decimal"/>
      <w:start w:val="98"/>
    </w:lvl>
  </w:abstractNum>
  <w:abstractNum w:abstractNumId="694">
    <w:nsid w:val="6CA92777"/>
    <w:multiLevelType w:val="hybridMultilevel"/>
    <w:lvl w:ilvl="0">
      <w:lvlJc w:val="left"/>
      <w:lvlText w:val="%1."/>
      <w:numFmt w:val="decimal"/>
      <w:start w:val="292"/>
    </w:lvl>
    <w:lvl w:ilvl="1">
      <w:lvlJc w:val="left"/>
      <w:lvlText w:val="(%2)"/>
      <w:numFmt w:val="lowerLetter"/>
      <w:start w:val="1"/>
    </w:lvl>
  </w:abstractNum>
  <w:abstractNum w:abstractNumId="695">
    <w:nsid w:val="54154A49"/>
    <w:multiLevelType w:val="hybridMultilevel"/>
    <w:lvl w:ilvl="0">
      <w:lvlJc w:val="left"/>
      <w:lvlText w:val="%1"/>
      <w:numFmt w:val="decimal"/>
      <w:start w:val="101"/>
    </w:lvl>
  </w:abstractNum>
  <w:abstractNum w:abstractNumId="696">
    <w:nsid w:val="1900C91C"/>
    <w:multiLevelType w:val="hybridMultilevel"/>
    <w:lvl w:ilvl="0">
      <w:lvlJc w:val="left"/>
      <w:lvlText w:val="%1."/>
      <w:numFmt w:val="decimal"/>
      <w:start w:val="292"/>
    </w:lvl>
  </w:abstractNum>
  <w:abstractNum w:abstractNumId="697">
    <w:nsid w:val="25A17D41"/>
    <w:multiLevelType w:val="hybridMultilevel"/>
    <w:lvl w:ilvl="0">
      <w:lvlJc w:val="left"/>
      <w:lvlText w:val="(%1)"/>
      <w:numFmt w:val="decimal"/>
      <w:start w:val="2"/>
    </w:lvl>
    <w:lvl w:ilvl="1">
      <w:lvlJc w:val="left"/>
      <w:lvlText w:val="(%2)"/>
      <w:numFmt w:val="lowerLetter"/>
      <w:start w:val="1"/>
    </w:lvl>
  </w:abstractNum>
  <w:abstractNum w:abstractNumId="698">
    <w:nsid w:val="33ED493"/>
    <w:multiLevelType w:val="hybridMultilevel"/>
    <w:lvl w:ilvl="0">
      <w:lvlJc w:val="left"/>
      <w:lvlText w:val="(%1)"/>
      <w:numFmt w:val="lowerLetter"/>
      <w:start w:val="2"/>
    </w:lvl>
  </w:abstractNum>
  <w:abstractNum w:abstractNumId="699">
    <w:nsid w:val="4C38D414"/>
    <w:multiLevelType w:val="hybridMultilevel"/>
    <w:lvl w:ilvl="0">
      <w:lvlJc w:val="left"/>
      <w:lvlText w:val="(%1)"/>
      <w:numFmt w:val="decimal"/>
      <w:start w:val="3"/>
    </w:lvl>
  </w:abstractNum>
  <w:abstractNum w:abstractNumId="700">
    <w:nsid w:val="84467D2"/>
    <w:multiLevelType w:val="hybridMultilevel"/>
    <w:lvl w:ilvl="0">
      <w:lvlJc w:val="left"/>
      <w:lvlText w:val="(%1)"/>
      <w:numFmt w:val="decimal"/>
      <w:start w:val="4"/>
    </w:lvl>
  </w:abstractNum>
  <w:abstractNum w:abstractNumId="701">
    <w:nsid w:val="3E8ECE6E"/>
    <w:multiLevelType w:val="hybridMultilevel"/>
    <w:lvl w:ilvl="0">
      <w:lvlJc w:val="left"/>
      <w:lvlText w:val="(%1)"/>
      <w:numFmt w:val="decimal"/>
      <w:start w:val="5"/>
    </w:lvl>
  </w:abstractNum>
  <w:abstractNum w:abstractNumId="702">
    <w:nsid w:val="7F33FBD4"/>
    <w:multiLevelType w:val="hybridMultilevel"/>
    <w:lvl w:ilvl="0">
      <w:lvlJc w:val="left"/>
      <w:lvlText w:val="(%1)"/>
      <w:numFmt w:val="lowerLetter"/>
      <w:start w:val="2"/>
    </w:lvl>
  </w:abstractNum>
  <w:abstractNum w:abstractNumId="703">
    <w:nsid w:val="97AB90E"/>
    <w:multiLevelType w:val="hybridMultilevel"/>
    <w:lvl w:ilvl="0">
      <w:lvlJc w:val="left"/>
      <w:lvlText w:val="%1."/>
      <w:numFmt w:val="decimal"/>
      <w:start w:val="293"/>
    </w:lvl>
  </w:abstractNum>
  <w:abstractNum w:abstractNumId="704">
    <w:nsid w:val="E227944"/>
    <w:multiLevelType w:val="hybridMultilevel"/>
    <w:lvl w:ilvl="0">
      <w:lvlJc w:val="left"/>
      <w:lvlText w:val="%1)"/>
      <w:numFmt w:val="lowerLetter"/>
      <w:start w:val="1"/>
    </w:lvl>
  </w:abstractNum>
  <w:abstractNum w:abstractNumId="705">
    <w:nsid w:val="7AA0799A"/>
    <w:multiLevelType w:val="hybridMultilevel"/>
    <w:lvl w:ilvl="0">
      <w:lvlJc w:val="left"/>
      <w:lvlText w:val="%1."/>
      <w:numFmt w:val="decimal"/>
      <w:start w:val="294"/>
    </w:lvl>
  </w:abstractNum>
  <w:abstractNum w:abstractNumId="706">
    <w:nsid w:val="206B596E"/>
    <w:multiLevelType w:val="hybridMultilevel"/>
    <w:lvl w:ilvl="0">
      <w:lvlJc w:val="left"/>
      <w:lvlText w:val="(%1)"/>
      <w:numFmt w:val="decimal"/>
      <w:start w:val="3"/>
    </w:lvl>
  </w:abstractNum>
  <w:abstractNum w:abstractNumId="707">
    <w:nsid w:val="1439D7FC"/>
    <w:multiLevelType w:val="hybridMultilevel"/>
    <w:lvl w:ilvl="0">
      <w:lvlJc w:val="left"/>
      <w:lvlText w:val="%1."/>
      <w:numFmt w:val="decimal"/>
      <w:start w:val="295"/>
    </w:lvl>
  </w:abstractNum>
  <w:abstractNum w:abstractNumId="708">
    <w:nsid w:val="72583F67"/>
    <w:multiLevelType w:val="hybridMultilevel"/>
    <w:lvl w:ilvl="0">
      <w:lvlJc w:val="left"/>
      <w:lvlText w:val="%1"/>
      <w:numFmt w:val="decimal"/>
      <w:start w:val="103"/>
    </w:lvl>
  </w:abstractNum>
  <w:abstractNum w:abstractNumId="709">
    <w:nsid w:val="57102051"/>
    <w:multiLevelType w:val="hybridMultilevel"/>
    <w:lvl w:ilvl="0">
      <w:lvlJc w:val="left"/>
      <w:lvlText w:val="(%1)"/>
      <w:numFmt w:val="decimal"/>
      <w:start w:val="2"/>
    </w:lvl>
  </w:abstractNum>
  <w:abstractNum w:abstractNumId="710">
    <w:nsid w:val="5FD7A3E9"/>
    <w:multiLevelType w:val="hybridMultilevel"/>
    <w:lvl w:ilvl="0">
      <w:lvlJc w:val="left"/>
      <w:lvlText w:val="%1)"/>
      <w:numFmt w:val="lowerLetter"/>
      <w:start w:val="1"/>
    </w:lvl>
  </w:abstractNum>
  <w:abstractNum w:abstractNumId="711">
    <w:nsid w:val="7B0282BF"/>
    <w:multiLevelType w:val="hybridMultilevel"/>
    <w:lvl w:ilvl="0">
      <w:lvlJc w:val="left"/>
      <w:lvlText w:val="(%1)"/>
      <w:numFmt w:val="lowerLetter"/>
      <w:start w:val="1"/>
    </w:lvl>
  </w:abstractNum>
  <w:abstractNum w:abstractNumId="712">
    <w:nsid w:val="10214BE1"/>
    <w:multiLevelType w:val="hybridMultilevel"/>
    <w:lvl w:ilvl="0">
      <w:lvlJc w:val="left"/>
      <w:lvlText w:val="%1"/>
      <w:numFmt w:val="decimal"/>
      <w:start w:val="1"/>
    </w:lvl>
    <w:lvl w:ilvl="1">
      <w:lvlJc w:val="left"/>
      <w:lvlText w:val="(%2)"/>
      <w:numFmt w:val="lowerLetter"/>
      <w:start w:val="4"/>
    </w:lvl>
  </w:abstractNum>
  <w:abstractNum w:abstractNumId="713">
    <w:nsid w:val="335D34EA"/>
    <w:multiLevelType w:val="hybridMultilevel"/>
    <w:lvl w:ilvl="0">
      <w:lvlJc w:val="left"/>
      <w:lvlText w:val="(%1)"/>
      <w:numFmt w:val="decimal"/>
      <w:start w:val="2"/>
    </w:lvl>
    <w:lvl w:ilvl="1">
      <w:lvlJc w:val="left"/>
      <w:lvlText w:val="%2"/>
      <w:numFmt w:val="lowerLetter"/>
      <w:start w:val="1"/>
    </w:lvl>
  </w:abstractNum>
  <w:abstractNum w:abstractNumId="714">
    <w:nsid w:val="6BA291C4"/>
    <w:multiLevelType w:val="hybridMultilevel"/>
    <w:lvl w:ilvl="0">
      <w:lvlJc w:val="left"/>
      <w:lvlText w:val="%1)"/>
      <w:numFmt w:val="lowerLetter"/>
      <w:start w:val="1"/>
    </w:lvl>
  </w:abstractNum>
  <w:abstractNum w:abstractNumId="715">
    <w:nsid w:val="5F7F5E86"/>
    <w:multiLevelType w:val="hybridMultilevel"/>
    <w:lvl w:ilvl="0">
      <w:lvlJc w:val="left"/>
      <w:lvlText w:val="(%1)"/>
      <w:numFmt w:val="decimal"/>
      <w:start w:val="2"/>
    </w:lvl>
  </w:abstractNum>
  <w:abstractNum w:abstractNumId="716">
    <w:nsid w:val="1CB1657E"/>
    <w:multiLevelType w:val="hybridMultilevel"/>
    <w:lvl w:ilvl="0">
      <w:lvlJc w:val="left"/>
      <w:lvlText w:val="%1)"/>
      <w:numFmt w:val="lowerLetter"/>
      <w:start w:val="1"/>
    </w:lvl>
  </w:abstractNum>
  <w:abstractNum w:abstractNumId="717">
    <w:nsid w:val="7E9BF4C3"/>
    <w:multiLevelType w:val="hybridMultilevel"/>
    <w:lvl w:ilvl="0">
      <w:lvlJc w:val="left"/>
      <w:lvlText w:val="%1)"/>
      <w:numFmt w:val="lowerLetter"/>
      <w:start w:val="2"/>
    </w:lvl>
  </w:abstractNum>
  <w:abstractNum w:abstractNumId="718">
    <w:nsid w:val="43AC9E23"/>
    <w:multiLevelType w:val="hybridMultilevel"/>
    <w:lvl w:ilvl="0">
      <w:lvlJc w:val="left"/>
      <w:lvlText w:val="(%1)"/>
      <w:numFmt w:val="decimal"/>
      <w:start w:val="1"/>
    </w:lvl>
    <w:lvl w:ilvl="1">
      <w:lvlJc w:val="left"/>
      <w:lvlText w:val="(%2)"/>
      <w:numFmt w:val="lowerLetter"/>
      <w:start w:val="1"/>
    </w:lvl>
  </w:abstractNum>
  <w:abstractNum w:abstractNumId="719">
    <w:nsid w:val="5DB028FC"/>
    <w:multiLevelType w:val="hybridMultilevel"/>
    <w:lvl w:ilvl="0">
      <w:lvlJc w:val="left"/>
      <w:lvlText w:val="(%1)"/>
      <w:numFmt w:val="decimal"/>
      <w:start w:val="4"/>
    </w:lvl>
  </w:abstractNum>
  <w:abstractNum w:abstractNumId="720">
    <w:nsid w:val="182903A1"/>
    <w:multiLevelType w:val="hybridMultilevel"/>
    <w:lvl w:ilvl="0">
      <w:lvlJc w:val="left"/>
      <w:lvlText w:val="(%1)"/>
      <w:numFmt w:val="decimal"/>
      <w:start w:val="1"/>
    </w:lvl>
    <w:lvl w:ilvl="1">
      <w:lvlJc w:val="left"/>
      <w:lvlText w:val="%2)"/>
      <w:numFmt w:val="lowerLetter"/>
      <w:start w:val="1"/>
    </w:lvl>
  </w:abstractNum>
  <w:abstractNum w:abstractNumId="721">
    <w:nsid w:val="1A5FC05D"/>
    <w:multiLevelType w:val="hybridMultilevel"/>
    <w:lvl w:ilvl="0">
      <w:lvlJc w:val="left"/>
      <w:lvlText w:val="%1"/>
      <w:numFmt w:val="decimal"/>
      <w:start w:val="1"/>
    </w:lvl>
    <w:lvl w:ilvl="1">
      <w:lvlJc w:val="left"/>
      <w:lvlText w:val="%2)"/>
      <w:numFmt w:val="lowerLetter"/>
      <w:start w:val="4"/>
    </w:lvl>
  </w:abstractNum>
  <w:abstractNum w:abstractNumId="722">
    <w:nsid w:val="7BA207F7"/>
    <w:multiLevelType w:val="hybridMultilevel"/>
    <w:lvl w:ilvl="0">
      <w:lvlJc w:val="left"/>
      <w:lvlText w:val="(%1)"/>
      <w:numFmt w:val="decimal"/>
      <w:start w:val="3"/>
    </w:lvl>
    <w:lvl w:ilvl="1">
      <w:lvlJc w:val="left"/>
      <w:lvlText w:val="%2"/>
      <w:numFmt w:val="lowerLetter"/>
      <w:start w:val="1"/>
    </w:lvl>
  </w:abstractNum>
  <w:abstractNum w:abstractNumId="723">
    <w:nsid w:val="1E7E26D6"/>
    <w:multiLevelType w:val="hybridMultilevel"/>
    <w:lvl w:ilvl="0">
      <w:lvlJc w:val="left"/>
      <w:lvlText w:val="(%1)"/>
      <w:numFmt w:val="decimal"/>
      <w:start w:val="4"/>
    </w:lvl>
  </w:abstractNum>
  <w:abstractNum w:abstractNumId="724">
    <w:nsid w:val="399D6BA1"/>
    <w:multiLevelType w:val="hybridMultilevel"/>
    <w:lvl w:ilvl="0">
      <w:lvlJc w:val="left"/>
      <w:lvlText w:val="(%1)"/>
      <w:numFmt w:val="decimal"/>
      <w:start w:val="9"/>
    </w:lvl>
  </w:abstractNum>
  <w:abstractNum w:abstractNumId="725">
    <w:nsid w:val="684B2F6E"/>
    <w:multiLevelType w:val="hybridMultilevel"/>
    <w:lvl w:ilvl="0">
      <w:lvlJc w:val="left"/>
      <w:lvlText w:val="(%1)"/>
      <w:numFmt w:val="decimal"/>
      <w:start w:val="1"/>
    </w:lvl>
  </w:abstractNum>
  <w:abstractNum w:abstractNumId="726">
    <w:nsid w:val="7293711F"/>
    <w:multiLevelType w:val="hybridMultilevel"/>
    <w:lvl w:ilvl="0">
      <w:lvlJc w:val="left"/>
      <w:lvlText w:val="(%1)"/>
      <w:numFmt w:val="lowerLetter"/>
      <w:start w:val="1"/>
    </w:lvl>
  </w:abstractNum>
  <w:abstractNum w:abstractNumId="727">
    <w:nsid w:val="529E34BD"/>
    <w:multiLevelType w:val="hybridMultilevel"/>
    <w:lvl w:ilvl="0">
      <w:lvlJc w:val="left"/>
      <w:lvlText w:val="%1"/>
      <w:numFmt w:val="decimal"/>
      <w:start w:val="104"/>
    </w:lvl>
  </w:abstractNum>
  <w:abstractNum w:abstractNumId="728">
    <w:nsid w:val="DECACAF"/>
    <w:multiLevelType w:val="hybridMultilevel"/>
    <w:lvl w:ilvl="0">
      <w:lvlJc w:val="left"/>
      <w:lvlText w:val="%1."/>
      <w:numFmt w:val="decimal"/>
      <w:start w:val="1"/>
    </w:lvl>
  </w:abstractNum>
  <w:abstractNum w:abstractNumId="729">
    <w:nsid w:val="75D245B2"/>
    <w:multiLevelType w:val="hybridMultilevel"/>
    <w:lvl w:ilvl="0">
      <w:lvlJc w:val="left"/>
      <w:lvlText w:val="%1"/>
      <w:numFmt w:val="decimal"/>
      <w:start w:val="105"/>
    </w:lvl>
  </w:abstractNum>
  <w:abstractNum w:abstractNumId="730">
    <w:nsid w:val="1ED708D2"/>
    <w:multiLevelType w:val="hybridMultilevel"/>
    <w:lvl w:ilvl="0">
      <w:lvlJc w:val="left"/>
      <w:lvlText w:val="%1"/>
      <w:numFmt w:val="decimal"/>
      <w:start w:val="106"/>
    </w:lvl>
  </w:abstractNum>
  <w:abstractNum w:abstractNumId="731">
    <w:nsid w:val="16311481"/>
    <w:multiLevelType w:val="hybridMultilevel"/>
    <w:lvl w:ilvl="0">
      <w:lvlJc w:val="left"/>
      <w:lvlText w:val="%1."/>
      <w:numFmt w:val="decimal"/>
      <w:start w:val="1"/>
    </w:lvl>
  </w:abstractNum>
  <w:abstractNum w:abstractNumId="732">
    <w:nsid w:val="34611421"/>
    <w:multiLevelType w:val="hybridMultilevel"/>
    <w:lvl w:ilvl="0">
      <w:lvlJc w:val="left"/>
      <w:lvlText w:val="%1"/>
      <w:numFmt w:val="decimal"/>
      <w:start w:val="107"/>
    </w:lvl>
  </w:abstractNum>
  <w:abstractNum w:abstractNumId="733">
    <w:nsid w:val="1E0B04A6"/>
    <w:multiLevelType w:val="hybridMultilevel"/>
    <w:lvl w:ilvl="0">
      <w:lvlJc w:val="left"/>
      <w:lvlText w:val="(%1)"/>
      <w:numFmt w:val="lowerLetter"/>
      <w:start w:val="4"/>
    </w:lvl>
  </w:abstractNum>
  <w:abstractNum w:abstractNumId="734">
    <w:nsid w:val="1FABCD90"/>
    <w:multiLevelType w:val="hybridMultilevel"/>
    <w:lvl w:ilvl="0">
      <w:lvlJc w:val="left"/>
      <w:lvlText w:val="(%1)"/>
      <w:numFmt w:val="decimal"/>
      <w:start w:val="1"/>
    </w:lvl>
  </w:abstractNum>
  <w:abstractNum w:abstractNumId="735">
    <w:nsid w:val="42838D65"/>
    <w:multiLevelType w:val="hybridMultilevel"/>
    <w:lvl w:ilvl="0">
      <w:lvlJc w:val="left"/>
      <w:lvlText w:val="(%1)"/>
      <w:numFmt w:val="lowerLetter"/>
      <w:start w:val="1"/>
    </w:lvl>
  </w:abstractNum>
  <w:abstractNum w:abstractNumId="736">
    <w:nsid w:val="18AB7E41"/>
    <w:multiLevelType w:val="hybridMultilevel"/>
    <w:lvl w:ilvl="0">
      <w:lvlJc w:val="left"/>
      <w:lvlText w:val="(%1)"/>
      <w:numFmt w:val="decimal"/>
      <w:start w:val="1"/>
    </w:lvl>
  </w:abstractNum>
  <w:abstractNum w:abstractNumId="737">
    <w:nsid w:val="401726FE"/>
    <w:multiLevelType w:val="hybridMultilevel"/>
    <w:lvl w:ilvl="0">
      <w:lvlJc w:val="left"/>
      <w:lvlText w:val="%1"/>
      <w:numFmt w:val="decimal"/>
      <w:start w:val="1"/>
    </w:lvl>
    <w:lvl w:ilvl="1">
      <w:lvlJc w:val="left"/>
      <w:lvlText w:val="(%2)"/>
      <w:numFmt w:val="lowerLetter"/>
      <w:start w:val="1"/>
    </w:lvl>
  </w:abstractNum>
  <w:abstractNum w:abstractNumId="738">
    <w:nsid w:val="56BD6561"/>
    <w:multiLevelType w:val="hybridMultilevel"/>
    <w:lvl w:ilvl="0">
      <w:lvlJc w:val="left"/>
      <w:lvlText w:val="(%1)"/>
      <w:numFmt w:val="decimal"/>
      <w:start w:val="3"/>
    </w:lvl>
    <w:lvl w:ilvl="1">
      <w:lvlJc w:val="left"/>
      <w:lvlText w:val="%2"/>
      <w:numFmt w:val="lowerLetter"/>
      <w:start w:val="1"/>
    </w:lvl>
  </w:abstractNum>
  <w:abstractNum w:abstractNumId="739">
    <w:nsid w:val="B03BDA8"/>
    <w:multiLevelType w:val="hybridMultilevel"/>
    <w:lvl w:ilvl="0">
      <w:lvlJc w:val="left"/>
      <w:lvlText w:val="(%1)"/>
      <w:numFmt w:val="decimal"/>
      <w:start w:val="8"/>
    </w:lvl>
  </w:abstractNum>
  <w:abstractNum w:abstractNumId="740">
    <w:nsid w:val="1727474F"/>
    <w:multiLevelType w:val="hybridMultilevel"/>
    <w:lvl w:ilvl="0">
      <w:lvlJc w:val="left"/>
      <w:lvlText w:val="(%1)"/>
      <w:numFmt w:val="decimal"/>
      <w:start w:val="9"/>
    </w:lvl>
  </w:abstractNum>
  <w:abstractNum w:abstractNumId="741">
    <w:nsid w:val="3695094A"/>
    <w:multiLevelType w:val="hybridMultilevel"/>
    <w:lvl w:ilvl="0">
      <w:lvlJc w:val="left"/>
      <w:lvlText w:val="(%1)"/>
      <w:numFmt w:val="lowerLetter"/>
      <w:start w:val="1"/>
    </w:lvl>
  </w:abstractNum>
  <w:abstractNum w:abstractNumId="742">
    <w:nsid w:val="6064067"/>
    <w:multiLevelType w:val="hybridMultilevel"/>
    <w:lvl w:ilvl="0">
      <w:lvlJc w:val="left"/>
      <w:lvlText w:val="%1"/>
      <w:numFmt w:val="decimal"/>
      <w:start w:val="108"/>
    </w:lvl>
  </w:abstractNum>
  <w:abstractNum w:abstractNumId="743">
    <w:nsid w:val="27489331"/>
    <w:multiLevelType w:val="hybridMultilevel"/>
    <w:lvl w:ilvl="0">
      <w:lvlJc w:val="left"/>
      <w:lvlText w:val="%1."/>
      <w:numFmt w:val="decimal"/>
      <w:start w:val="26"/>
    </w:lvl>
  </w:abstractNum>
  <w:abstractNum w:abstractNumId="744">
    <w:nsid w:val="69F23E34"/>
    <w:multiLevelType w:val="hybridMultilevel"/>
    <w:lvl w:ilvl="0">
      <w:lvlJc w:val="left"/>
      <w:lvlText w:val="%1"/>
      <w:numFmt w:val="decimal"/>
      <w:start w:val="109"/>
    </w:lvl>
  </w:abstractNum>
  <w:abstractNum w:abstractNumId="745">
    <w:nsid w:val="71A8D22C"/>
    <w:multiLevelType w:val="hybridMultilevel"/>
    <w:lvl w:ilvl="0">
      <w:lvlJc w:val="left"/>
      <w:lvlText w:val="%1."/>
      <w:numFmt w:val="decimal"/>
      <w:start w:val="26"/>
    </w:lvl>
  </w:abstractNum>
  <w:abstractNum w:abstractNumId="746">
    <w:nsid w:val="6C7F1B7"/>
    <w:multiLevelType w:val="hybridMultilevel"/>
    <w:lvl w:ilvl="0">
      <w:lvlJc w:val="left"/>
      <w:lvlText w:val="(%1)"/>
      <w:numFmt w:val="decimal"/>
      <w:start w:val="1"/>
    </w:lvl>
    <w:lvl w:ilvl="1">
      <w:lvlJc w:val="left"/>
      <w:lvlText w:val="(%2)"/>
      <w:numFmt w:val="lowerLetter"/>
      <w:start w:val="1"/>
    </w:lvl>
  </w:abstractNum>
  <w:abstractNum w:abstractNumId="747">
    <w:nsid w:val="6A3A3B2"/>
    <w:multiLevelType w:val="hybridMultilevel"/>
    <w:lvl w:ilvl="0">
      <w:lvlJc w:val="left"/>
      <w:lvlText w:val="%1"/>
      <w:numFmt w:val="decimal"/>
      <w:start w:val="1"/>
    </w:lvl>
    <w:lvl w:ilvl="1">
      <w:lvlJc w:val="left"/>
      <w:lvlText w:val="(%2)"/>
      <w:numFmt w:val="lowerLetter"/>
      <w:start w:val="2"/>
    </w:lvl>
    <w:lvl w:ilvl="2">
      <w:lvlJc w:val="left"/>
      <w:lvlText w:val="(%3)"/>
      <w:numFmt w:val="lowerLetter"/>
      <w:start w:val="5"/>
    </w:lvl>
  </w:abstractNum>
  <w:abstractNum w:abstractNumId="748">
    <w:nsid w:val="7044C6EF"/>
    <w:multiLevelType w:val="hybridMultilevel"/>
    <w:lvl w:ilvl="0">
      <w:lvlJc w:val="left"/>
      <w:lvlText w:val="(%1)"/>
      <w:numFmt w:val="decimal"/>
      <w:start w:val="4"/>
    </w:lvl>
    <w:lvl w:ilvl="1">
      <w:lvlJc w:val="left"/>
      <w:lvlText w:val="%2"/>
      <w:numFmt w:val="lowerLetter"/>
      <w:start w:val="1"/>
    </w:lvl>
    <w:lvl w:ilvl="2">
      <w:lvlJc w:val="left"/>
      <w:lvlText w:val="%3"/>
      <w:numFmt w:val="lowerLetter"/>
      <w:start w:val="1"/>
    </w:lvl>
  </w:abstractNum>
  <w:abstractNum w:abstractNumId="749">
    <w:nsid w:val="4A748FDA"/>
    <w:multiLevelType w:val="hybridMultilevel"/>
    <w:lvl w:ilvl="0">
      <w:lvlJc w:val="left"/>
      <w:lvlText w:val="(%1)"/>
      <w:numFmt w:val="decimal"/>
      <w:start w:val="1"/>
    </w:lvl>
  </w:abstractNum>
  <w:abstractNum w:abstractNumId="750">
    <w:nsid w:val="6453CCAE"/>
    <w:multiLevelType w:val="hybridMultilevel"/>
    <w:lvl w:ilvl="0">
      <w:lvlJc w:val="left"/>
      <w:lvlText w:val="(%1)"/>
      <w:numFmt w:val="decimal"/>
      <w:start w:val="2"/>
    </w:lvl>
  </w:abstractNum>
  <w:abstractNum w:abstractNumId="751">
    <w:nsid w:val="86DCA90"/>
    <w:multiLevelType w:val="hybridMultilevel"/>
    <w:lvl w:ilvl="0">
      <w:lvlJc w:val="left"/>
      <w:lvlText w:val="(%1)"/>
      <w:numFmt w:val="decimal"/>
      <w:start w:val="1"/>
    </w:lvl>
  </w:abstractNum>
  <w:abstractNum w:abstractNumId="752">
    <w:nsid w:val="64D45037"/>
    <w:multiLevelType w:val="hybridMultilevel"/>
    <w:lvl w:ilvl="0">
      <w:lvlJc w:val="left"/>
      <w:lvlText w:val="(%1)"/>
      <w:numFmt w:val="decimal"/>
      <w:start w:val="5"/>
    </w:lvl>
  </w:abstractNum>
  <w:abstractNum w:abstractNumId="753">
    <w:nsid w:val="5FF5D4A5"/>
    <w:multiLevelType w:val="hybridMultilevel"/>
    <w:lvl w:ilvl="0">
      <w:lvlJc w:val="left"/>
      <w:lvlText w:val="(%1)"/>
      <w:numFmt w:val="decimal"/>
      <w:start w:val="1"/>
    </w:lvl>
  </w:abstractNum>
  <w:abstractNum w:abstractNumId="754">
    <w:nsid w:val="26EBF166"/>
    <w:multiLevelType w:val="hybridMultilevel"/>
    <w:lvl w:ilvl="0">
      <w:lvlJc w:val="left"/>
      <w:lvlText w:val="(%1)"/>
      <w:numFmt w:val="decimal"/>
      <w:start w:val="1"/>
    </w:lvl>
  </w:abstractNum>
  <w:abstractNum w:abstractNumId="755">
    <w:nsid w:val="1E71BBD8"/>
    <w:multiLevelType w:val="hybridMultilevel"/>
    <w:lvl w:ilvl="0">
      <w:lvlJc w:val="left"/>
      <w:lvlText w:val="(%1)"/>
      <w:numFmt w:val="decimal"/>
      <w:start w:val="1"/>
    </w:lvl>
  </w:abstractNum>
  <w:abstractNum w:abstractNumId="756">
    <w:nsid w:val="48410413"/>
    <w:multiLevelType w:val="hybridMultilevel"/>
    <w:lvl w:ilvl="0">
      <w:lvlJc w:val="left"/>
      <w:lvlText w:val="%1"/>
      <w:numFmt w:val="decimal"/>
      <w:start w:val="1"/>
    </w:lvl>
    <w:lvl w:ilvl="1">
      <w:lvlJc w:val="left"/>
      <w:lvlText w:val="%2"/>
      <w:numFmt w:val="decimal"/>
      <w:start w:val="1"/>
    </w:lvl>
    <w:lvl w:ilvl="2">
      <w:lvlJc w:val="left"/>
      <w:lvlText w:val="(%3)"/>
      <w:numFmt w:val="lowerLetter"/>
      <w:start w:val="1"/>
    </w:lvl>
  </w:abstractNum>
  <w:abstractNum w:abstractNumId="757">
    <w:nsid w:val="197F6285"/>
    <w:multiLevelType w:val="hybridMultilevel"/>
    <w:lvl w:ilvl="0">
      <w:lvlJc w:val="left"/>
      <w:lvlText w:val="(%1)"/>
      <w:numFmt w:val="decimal"/>
      <w:start w:val="5"/>
    </w:lvl>
    <w:lvl w:ilvl="1">
      <w:lvlJc w:val="left"/>
      <w:lvlText w:val="(%2)"/>
      <w:numFmt w:val="decimal"/>
      <w:start w:val="3"/>
    </w:lvl>
    <w:lvl w:ilvl="2">
      <w:lvlJc w:val="left"/>
      <w:lvlText w:val="%3"/>
      <w:numFmt w:val="lowerLetter"/>
      <w:start w:val="1"/>
    </w:lvl>
  </w:abstractNum>
  <w:abstractNum w:abstractNumId="758">
    <w:nsid w:val="710FF095"/>
    <w:multiLevelType w:val="hybridMultilevel"/>
    <w:lvl w:ilvl="0">
      <w:lvlJc w:val="left"/>
      <w:lvlText w:val="(%1)"/>
      <w:numFmt w:val="decimal"/>
      <w:start w:val="11"/>
    </w:lvl>
  </w:abstractNum>
  <w:abstractNum w:abstractNumId="759">
    <w:nsid w:val="562DB0C2"/>
    <w:multiLevelType w:val="hybridMultilevel"/>
    <w:lvl w:ilvl="0">
      <w:lvlJc w:val="left"/>
      <w:lvlText w:val="(%1)"/>
      <w:numFmt w:val="lowerLetter"/>
      <w:start w:val="1"/>
    </w:lvl>
  </w:abstractNum>
  <w:abstractNum w:abstractNumId="760">
    <w:nsid w:val="F51A837"/>
    <w:multiLevelType w:val="hybridMultilevel"/>
    <w:lvl w:ilvl="0">
      <w:lvlJc w:val="left"/>
      <w:lvlText w:val="(%1)"/>
      <w:numFmt w:val="lowerLetter"/>
      <w:start w:val="3"/>
    </w:lvl>
  </w:abstractNum>
  <w:abstractNum w:abstractNumId="761">
    <w:nsid w:val="FE6F967"/>
    <w:multiLevelType w:val="hybridMultilevel"/>
    <w:lvl w:ilvl="0">
      <w:lvlJc w:val="left"/>
      <w:lvlText w:val="(%1)"/>
      <w:numFmt w:val="lowerLetter"/>
      <w:start w:val="1"/>
    </w:lvl>
  </w:abstractNum>
  <w:abstractNum w:abstractNumId="762">
    <w:nsid w:val="6C5EC544"/>
    <w:multiLevelType w:val="hybridMultilevel"/>
    <w:lvl w:ilvl="0">
      <w:lvlJc w:val="left"/>
      <w:lvlText w:val="(%1)"/>
      <w:numFmt w:val="decimal"/>
      <w:start w:val="1"/>
    </w:lvl>
    <w:lvl w:ilvl="1">
      <w:lvlJc w:val="left"/>
      <w:lvlText w:val="(%2)"/>
      <w:numFmt w:val="lowerLetter"/>
      <w:start w:val="1"/>
    </w:lvl>
    <w:lvl w:ilvl="2">
      <w:lvlJc w:val="left"/>
      <w:lvlText w:val="(%3)"/>
      <w:numFmt w:val="decimal"/>
      <w:start w:val="1"/>
    </w:lvl>
    <w:lvl w:ilvl="3">
      <w:lvlJc w:val="left"/>
      <w:lvlText w:val="%4)"/>
      <w:numFmt w:val="lowerLetter"/>
      <w:start w:val="1"/>
    </w:lvl>
  </w:abstractNum>
  <w:abstractNum w:abstractNumId="763">
    <w:nsid w:val="43B2BC58"/>
    <w:multiLevelType w:val="hybridMultilevel"/>
    <w:lvl w:ilvl="0">
      <w:lvlJc w:val="left"/>
      <w:lvlText w:val="%1)"/>
      <w:numFmt w:val="lowerLetter"/>
      <w:start w:val="5"/>
    </w:lvl>
  </w:abstractNum>
  <w:abstractNum w:abstractNumId="764">
    <w:nsid w:val="2DF1FE0E"/>
    <w:multiLevelType w:val="hybridMultilevel"/>
    <w:lvl w:ilvl="0">
      <w:lvlJc w:val="left"/>
      <w:lvlText w:val="%1)"/>
      <w:numFmt w:val="lowerLetter"/>
      <w:start w:val="11"/>
    </w:lvl>
    <w:lvl w:ilvl="1">
      <w:lvlJc w:val="left"/>
      <w:lvlText w:val="(%2)"/>
      <w:numFmt w:val="lowerRoman"/>
      <w:start w:val="1"/>
    </w:lvl>
  </w:abstractNum>
  <w:abstractNum w:abstractNumId="765">
    <w:nsid w:val="C0A92D4"/>
    <w:multiLevelType w:val="hybridMultilevel"/>
    <w:lvl w:ilvl="0">
      <w:lvlJc w:val="left"/>
      <w:lvlText w:val="%1"/>
      <w:numFmt w:val="decimal"/>
      <w:start w:val="1"/>
    </w:lvl>
    <w:lvl w:ilvl="1">
      <w:lvlJc w:val="left"/>
      <w:lvlText w:val="%2"/>
      <w:numFmt w:val="upperLetter"/>
      <w:start w:val="1"/>
    </w:lvl>
    <w:lvl w:ilvl="2">
      <w:lvlJc w:val="left"/>
      <w:lvlText w:val="(%3)"/>
      <w:numFmt w:val="lowerLetter"/>
      <w:start w:val="2"/>
    </w:lvl>
    <w:lvl w:ilvl="3">
      <w:lvlJc w:val="left"/>
      <w:lvlText w:val="%4"/>
      <w:numFmt w:val="lowerLetter"/>
      <w:start w:val="1"/>
    </w:lvl>
  </w:abstractNum>
  <w:abstractNum w:abstractNumId="766">
    <w:nsid w:val="63649BD"/>
    <w:multiLevelType w:val="hybridMultilevel"/>
    <w:lvl w:ilvl="0">
      <w:lvlJc w:val="left"/>
      <w:lvlText w:val="(%1)"/>
      <w:numFmt w:val="decimal"/>
      <w:start w:val="2"/>
    </w:lvl>
    <w:lvl w:ilvl="1">
      <w:lvlJc w:val="left"/>
      <w:lvlText w:val="(%2)"/>
      <w:numFmt w:val="upperLetter"/>
      <w:start w:val="1"/>
    </w:lvl>
    <w:lvl w:ilvl="2">
      <w:lvlJc w:val="left"/>
      <w:lvlText w:val="%3"/>
      <w:numFmt w:val="lowerLetter"/>
      <w:start w:val="1"/>
    </w:lvl>
    <w:lvl w:ilvl="3">
      <w:lvlJc w:val="left"/>
      <w:lvlText w:val="%4."/>
      <w:numFmt w:val="lowerLetter"/>
      <w:start w:val="1"/>
    </w:lvl>
  </w:abstractNum>
  <w:abstractNum w:abstractNumId="767">
    <w:nsid w:val="469D7C4F"/>
    <w:multiLevelType w:val="hybridMultilevel"/>
    <w:lvl w:ilvl="0">
      <w:lvlJc w:val="left"/>
      <w:lvlText w:val="%1"/>
      <w:numFmt w:val="decimal"/>
      <w:start w:val="1"/>
    </w:lvl>
    <w:lvl w:ilvl="1">
      <w:lvlJc w:val="left"/>
      <w:lvlText w:val="(%2)"/>
      <w:numFmt w:val="upperLetter"/>
      <w:start w:val="10"/>
    </w:lvl>
    <w:lvl w:ilvl="2">
      <w:lvlJc w:val="left"/>
      <w:lvlText w:val="%3"/>
      <w:numFmt w:val="decimal"/>
      <w:start w:val="1"/>
    </w:lvl>
  </w:abstractNum>
  <w:abstractNum w:abstractNumId="768">
    <w:nsid w:val="4C21B9D2"/>
    <w:multiLevelType w:val="hybridMultilevel"/>
    <w:lvl w:ilvl="0">
      <w:lvlJc w:val="left"/>
      <w:lvlText w:val="(%1)"/>
      <w:numFmt w:val="decimal"/>
      <w:start w:val="5"/>
    </w:lvl>
    <w:lvl w:ilvl="1">
      <w:lvlJc w:val="left"/>
      <w:lvlText w:val="(%2)"/>
      <w:numFmt w:val="upperLetter"/>
      <w:start w:val="1"/>
    </w:lvl>
    <w:lvl w:ilvl="2">
      <w:lvlJc w:val="left"/>
      <w:lvlText w:val="(%3)"/>
      <w:numFmt w:val="decimal"/>
      <w:start w:val="1"/>
    </w:lvl>
  </w:abstractNum>
  <w:abstractNum w:abstractNumId="769">
    <w:nsid w:val="5CF3AF1E"/>
    <w:multiLevelType w:val="hybridMultilevel"/>
    <w:lvl w:ilvl="0">
      <w:lvlJc w:val="left"/>
      <w:lvlText w:val="(%1)"/>
      <w:numFmt w:val="upperLetter"/>
      <w:start w:val="6"/>
    </w:lvl>
    <w:lvl w:ilvl="1">
      <w:lvlJc w:val="left"/>
      <w:lvlText w:val="(%2)"/>
      <w:numFmt w:val="decimal"/>
      <w:start w:val="1"/>
    </w:lvl>
  </w:abstractNum>
  <w:abstractNum w:abstractNumId="770">
    <w:nsid w:val="51A139F7"/>
    <w:multiLevelType w:val="hybridMultilevel"/>
    <w:lvl w:ilvl="0">
      <w:lvlJc w:val="left"/>
      <w:lvlText w:val="(%1)"/>
      <w:numFmt w:val="decimal"/>
      <w:start w:val="13"/>
    </w:lvl>
  </w:abstractNum>
  <w:abstractNum w:abstractNumId="771">
    <w:nsid w:val="63490122"/>
    <w:multiLevelType w:val="hybridMultilevel"/>
    <w:lvl w:ilvl="0">
      <w:lvlJc w:val="left"/>
      <w:lvlText w:val="(%1)"/>
      <w:numFmt w:val="decimal"/>
      <w:start w:val="25"/>
    </w:lvl>
  </w:abstractNum>
  <w:abstractNum w:abstractNumId="772">
    <w:nsid w:val="1388B868"/>
    <w:multiLevelType w:val="hybridMultilevel"/>
    <w:lvl w:ilvl="0">
      <w:lvlJc w:val="left"/>
      <w:lvlText w:val="%1"/>
      <w:numFmt w:val="decimal"/>
      <w:start w:val="1"/>
    </w:lvl>
    <w:lvl w:ilvl="1">
      <w:lvlJc w:val="left"/>
      <w:lvlText w:val="%2"/>
      <w:numFmt w:val="upperLetter"/>
      <w:start w:val="1"/>
    </w:lvl>
    <w:lvl w:ilvl="2">
      <w:lvlJc w:val="left"/>
      <w:lvlText w:val="(%3)"/>
      <w:numFmt w:val="decimal"/>
      <w:start w:val="26"/>
    </w:lvl>
  </w:abstractNum>
  <w:abstractNum w:abstractNumId="773">
    <w:nsid w:val="57A77A5E"/>
    <w:multiLevelType w:val="hybridMultilevel"/>
    <w:lvl w:ilvl="0">
      <w:lvlJc w:val="left"/>
      <w:lvlText w:val="(%1)"/>
      <w:numFmt w:val="decimal"/>
      <w:start w:val="6"/>
    </w:lvl>
    <w:lvl w:ilvl="1">
      <w:lvlJc w:val="left"/>
      <w:lvlText w:val="(%2)"/>
      <w:numFmt w:val="upperLetter"/>
      <w:start w:val="1"/>
    </w:lvl>
    <w:lvl w:ilvl="2">
      <w:lvlJc w:val="left"/>
      <w:lvlText w:val="%3"/>
      <w:numFmt w:val="decimal"/>
      <w:start w:val="1"/>
    </w:lvl>
  </w:abstractNum>
  <w:abstractNum w:abstractNumId="774">
    <w:nsid w:val="A919453"/>
    <w:multiLevelType w:val="hybridMultilevel"/>
    <w:lvl w:ilvl="0">
      <w:lvlJc w:val="left"/>
      <w:lvlText w:val="(%1)"/>
      <w:numFmt w:val="upperLetter"/>
      <w:start w:val="6"/>
    </w:lvl>
    <w:lvl w:ilvl="1">
      <w:lvlJc w:val="left"/>
      <w:lvlText w:val="(%2)"/>
      <w:numFmt w:val="lowerLetter"/>
      <w:start w:val="1"/>
    </w:lvl>
  </w:abstractNum>
  <w:abstractNum w:abstractNumId="775">
    <w:nsid w:val="7D7AF69D"/>
    <w:multiLevelType w:val="hybridMultilevel"/>
    <w:lvl w:ilvl="0">
      <w:lvlJc w:val="left"/>
      <w:lvlText w:val="%1"/>
      <w:numFmt w:val="decimal"/>
      <w:start w:val="1"/>
    </w:lvl>
    <w:lvl w:ilvl="1">
      <w:lvlJc w:val="left"/>
      <w:lvlText w:val="%2"/>
      <w:numFmt w:val="upperLetter"/>
      <w:start w:val="1"/>
    </w:lvl>
    <w:lvl w:ilvl="2">
      <w:lvlJc w:val="left"/>
      <w:lvlText w:val="(%3)"/>
      <w:numFmt w:val="lowerLetter"/>
      <w:start w:val="2"/>
    </w:lvl>
  </w:abstractNum>
  <w:abstractNum w:abstractNumId="776">
    <w:nsid w:val="49504C8A"/>
    <w:multiLevelType w:val="hybridMultilevel"/>
    <w:lvl w:ilvl="0">
      <w:lvlJc w:val="left"/>
      <w:lvlText w:val="%1"/>
      <w:numFmt w:val="decimal"/>
      <w:start w:val="1"/>
    </w:lvl>
    <w:lvl w:ilvl="1">
      <w:lvlJc w:val="left"/>
      <w:lvlText w:val="(%2)"/>
      <w:numFmt w:val="upperLetter"/>
      <w:start w:val="16"/>
    </w:lvl>
    <w:lvl w:ilvl="2">
      <w:lvlJc w:val="left"/>
      <w:lvlText w:val="(%3)"/>
      <w:numFmt w:val="lowerLetter"/>
      <w:start w:val="1"/>
    </w:lvl>
  </w:abstractNum>
  <w:abstractNum w:abstractNumId="777">
    <w:nsid w:val="1159860A"/>
    <w:multiLevelType w:val="hybridMultilevel"/>
    <w:lvl w:ilvl="0">
      <w:lvlJc w:val="left"/>
      <w:lvlText w:val="(%1)"/>
      <w:numFmt w:val="decimal"/>
      <w:start w:val="8"/>
    </w:lvl>
    <w:lvl w:ilvl="1">
      <w:lvlJc w:val="left"/>
      <w:lvlText w:val="(%2)"/>
      <w:numFmt w:val="upperLetter"/>
      <w:start w:val="1"/>
    </w:lvl>
    <w:lvl w:ilvl="2">
      <w:lvlJc w:val="left"/>
      <w:lvlText w:val="%3"/>
      <w:numFmt w:val="lowerLetter"/>
      <w:start w:val="1"/>
    </w:lvl>
  </w:abstractNum>
  <w:abstractNum w:abstractNumId="778">
    <w:nsid w:val="41E9A4F"/>
    <w:multiLevelType w:val="hybridMultilevel"/>
    <w:lvl w:ilvl="0">
      <w:lvlJc w:val="left"/>
      <w:lvlText w:val="%1"/>
      <w:numFmt w:val="upperLetter"/>
      <w:start w:val="1"/>
    </w:lvl>
    <w:lvl w:ilvl="1">
      <w:lvlJc w:val="left"/>
      <w:lvlText w:val="(%2)"/>
      <w:numFmt w:val="lowerLetter"/>
      <w:start w:val="1"/>
    </w:lvl>
    <w:lvl w:ilvl="2">
      <w:lvlJc w:val="left"/>
      <w:lvlText w:val="(%3)"/>
      <w:numFmt w:val="lowerRoman"/>
      <w:start w:val="1"/>
    </w:lvl>
  </w:abstractNum>
  <w:abstractNum w:abstractNumId="779">
    <w:nsid w:val="39951379"/>
    <w:multiLevelType w:val="hybridMultilevel"/>
    <w:lvl w:ilvl="0">
      <w:lvlJc w:val="left"/>
      <w:lvlText w:val="(%1)"/>
      <w:numFmt w:val="upperLetter"/>
      <w:start w:val="2"/>
    </w:lvl>
    <w:lvl w:ilvl="1">
      <w:lvlJc w:val="left"/>
      <w:lvlText w:val="(%2)"/>
      <w:numFmt w:val="lowerLetter"/>
      <w:start w:val="1"/>
    </w:lvl>
    <w:lvl w:ilvl="2">
      <w:lvlJc w:val="left"/>
      <w:lvlText w:val="%3"/>
      <w:numFmt w:val="lowerRoman"/>
      <w:start w:val="1"/>
    </w:lvl>
  </w:abstractNum>
  <w:abstractNum w:abstractNumId="780">
    <w:nsid w:val="5BCE15E4"/>
    <w:multiLevelType w:val="hybridMultilevel"/>
    <w:lvl w:ilvl="0">
      <w:lvlJc w:val="left"/>
      <w:lvlText w:val="%1"/>
      <w:numFmt w:val="lowerLetter"/>
      <w:start w:val="1"/>
    </w:lvl>
    <w:lvl w:ilvl="1">
      <w:lvlJc w:val="left"/>
      <w:lvlText w:val="(%2)"/>
      <w:numFmt w:val="lowerRoman"/>
      <w:start w:val="1"/>
    </w:lvl>
  </w:abstractNum>
  <w:abstractNum w:abstractNumId="781">
    <w:nsid w:val="687266FE"/>
    <w:multiLevelType w:val="hybridMultilevel"/>
    <w:lvl w:ilvl="0">
      <w:lvlJc w:val="left"/>
      <w:lvlText w:val="(%1)"/>
      <w:numFmt w:val="lowerLetter"/>
      <w:start w:val="7"/>
    </w:lvl>
    <w:lvl w:ilvl="1">
      <w:lvlJc w:val="left"/>
      <w:lvlText w:val="%2"/>
      <w:numFmt w:val="lowerRoman"/>
      <w:start w:val="1"/>
    </w:lvl>
  </w:abstractNum>
  <w:abstractNum w:abstractNumId="782">
    <w:nsid w:val="4202DE09"/>
    <w:multiLevelType w:val="hybridMultilevel"/>
    <w:lvl w:ilvl="0">
      <w:lvlJc w:val="left"/>
      <w:lvlText w:val="(%1)"/>
      <w:numFmt w:val="lowerLetter"/>
      <w:start w:val="9"/>
    </w:lvl>
    <w:lvl w:ilvl="1">
      <w:lvlJc w:val="left"/>
      <w:lvlText w:val="(%2)"/>
      <w:numFmt w:val="lowerRoman"/>
      <w:start w:val="1"/>
    </w:lvl>
    <w:lvl w:ilvl="2">
      <w:lvlJc w:val="left"/>
      <w:lvlText w:val="(%3)"/>
      <w:numFmt w:val="lowerRoman"/>
      <w:start w:val="1"/>
    </w:lvl>
  </w:abstractNum>
  <w:abstractNum w:abstractNumId="783">
    <w:nsid w:val="40A2661B"/>
    <w:multiLevelType w:val="hybridMultilevel"/>
    <w:lvl w:ilvl="0">
      <w:lvlJc w:val="left"/>
      <w:lvlText w:val="%1"/>
      <w:numFmt w:val="lowerLetter"/>
      <w:start w:val="1"/>
    </w:lvl>
    <w:lvl w:ilvl="1">
      <w:lvlJc w:val="left"/>
      <w:lvlText w:val="(%2)"/>
      <w:numFmt w:val="lowerRoman"/>
      <w:start w:val="4"/>
    </w:lvl>
  </w:abstractNum>
  <w:abstractNum w:abstractNumId="784">
    <w:nsid w:val="48683BA3"/>
    <w:multiLevelType w:val="hybridMultilevel"/>
    <w:lvl w:ilvl="0">
      <w:lvlJc w:val="left"/>
      <w:lvlText w:val="(%1)"/>
      <w:numFmt w:val="lowerLetter"/>
      <w:start w:val="12"/>
    </w:lvl>
    <w:lvl w:ilvl="1">
      <w:lvlJc w:val="left"/>
      <w:lvlText w:val="%2"/>
      <w:numFmt w:val="lowerRoman"/>
      <w:start w:val="1"/>
    </w:lvl>
  </w:abstractNum>
  <w:abstractNum w:abstractNumId="785">
    <w:nsid w:val="68EECF6F"/>
    <w:multiLevelType w:val="hybridMultilevel"/>
    <w:lvl w:ilvl="0">
      <w:lvlJc w:val="left"/>
      <w:lvlText w:val="(%1)"/>
      <w:numFmt w:val="lowerLetter"/>
      <w:start w:val="14"/>
    </w:lvl>
    <w:lvl w:ilvl="1">
      <w:lvlJc w:val="left"/>
      <w:lvlText w:val="(%2)"/>
      <w:numFmt w:val="lowerRoman"/>
      <w:start w:val="1"/>
    </w:lvl>
    <w:lvl w:ilvl="2">
      <w:lvlJc w:val="left"/>
      <w:lvlText w:val=""/>
      <w:numFmt w:val="bullet"/>
      <w:start w:val="1"/>
    </w:lvl>
  </w:abstractNum>
  <w:abstractNum w:abstractNumId="786">
    <w:nsid w:val="5F1421F3"/>
    <w:multiLevelType w:val="hybridMultilevel"/>
    <w:lvl w:ilvl="0">
      <w:lvlJc w:val="left"/>
      <w:lvlText w:val="%1"/>
      <w:numFmt w:val="lowerRoman"/>
      <w:start w:val="1"/>
    </w:lvl>
    <w:lvl w:ilvl="1">
      <w:lvlJc w:val="left"/>
      <w:lvlText w:val="(%2)"/>
      <w:numFmt w:val="lowerRoman"/>
      <w:start w:val="10"/>
    </w:lvl>
    <w:lvl w:ilvl="2">
      <w:lvlJc w:val="left"/>
      <w:lvlText w:val=""/>
      <w:numFmt w:val="bullet"/>
      <w:start w:val="1"/>
    </w:lvl>
  </w:abstractNum>
  <w:abstractNum w:abstractNumId="787">
    <w:nsid w:val="10A93FB7"/>
    <w:multiLevelType w:val="hybridMultilevel"/>
    <w:lvl w:ilvl="0">
      <w:lvlJc w:val="left"/>
      <w:lvlText w:val="(%1)"/>
      <w:numFmt w:val="lowerRoman"/>
      <w:start w:val="14"/>
    </w:lvl>
    <w:lvl w:ilvl="1">
      <w:lvlJc w:val="left"/>
      <w:lvlText w:val="%2"/>
      <w:numFmt w:val="lowerRoman"/>
      <w:start w:val="1"/>
    </w:lvl>
    <w:lvl w:ilvl="2">
      <w:lvlJc w:val="left"/>
      <w:lvlText w:val=""/>
      <w:numFmt w:val="bullet"/>
      <w:start w:val="1"/>
    </w:lvl>
  </w:abstractNum>
  <w:abstractNum w:abstractNumId="788">
    <w:nsid w:val="26E31F4"/>
    <w:multiLevelType w:val="hybridMultilevel"/>
    <w:lvl w:ilvl="0">
      <w:lvlJc w:val="left"/>
      <w:lvlText w:val="%1"/>
      <w:numFmt w:val="decimal"/>
      <w:start w:val="1"/>
    </w:lvl>
    <w:lvl w:ilvl="1">
      <w:lvlJc w:val="left"/>
      <w:lvlText w:val="%2"/>
      <w:numFmt w:val="upperLetter"/>
      <w:start w:val="1"/>
    </w:lvl>
    <w:lvl w:ilvl="2">
      <w:lvlJc w:val="left"/>
      <w:lvlText w:val="%3"/>
      <w:numFmt w:val="decimal"/>
      <w:start w:val="1"/>
    </w:lvl>
    <w:lvl w:ilvl="3">
      <w:lvlJc w:val="left"/>
      <w:lvlText w:val="%4"/>
      <w:numFmt w:val="lowerLetter"/>
      <w:start w:val="1"/>
    </w:lvl>
    <w:lvl w:ilvl="4">
      <w:lvlJc w:val="left"/>
      <w:lvlText w:val="(%5)"/>
      <w:numFmt w:val="lowerRoman"/>
      <w:start w:val="17"/>
    </w:lvl>
    <w:lvl w:ilvl="5">
      <w:lvlJc w:val="left"/>
      <w:lvlText w:val="•"/>
      <w:numFmt w:val="bullet"/>
      <w:start w:val="1"/>
    </w:lvl>
  </w:abstractNum>
  <w:abstractNum w:abstractNumId="789">
    <w:nsid w:val="50241288"/>
    <w:multiLevelType w:val="hybridMultilevel"/>
    <w:lvl w:ilvl="0">
      <w:lvlJc w:val="left"/>
      <w:lvlText w:val="%1"/>
      <w:numFmt w:val="decimal"/>
      <w:start w:val="1"/>
    </w:lvl>
    <w:lvl w:ilvl="1">
      <w:lvlJc w:val="left"/>
      <w:lvlText w:val="%2"/>
      <w:numFmt w:val="upperLetter"/>
      <w:start w:val="1"/>
    </w:lvl>
    <w:lvl w:ilvl="2">
      <w:lvlJc w:val="left"/>
      <w:lvlText w:val="%3"/>
      <w:numFmt w:val="decimal"/>
      <w:start w:val="1"/>
    </w:lvl>
    <w:lvl w:ilvl="3">
      <w:lvlJc w:val="left"/>
      <w:lvlText w:val="(%4)"/>
      <w:numFmt w:val="lowerLetter"/>
      <w:start w:val="17"/>
    </w:lvl>
    <w:lvl w:ilvl="4">
      <w:lvlJc w:val="left"/>
      <w:lvlText w:val="%5"/>
      <w:numFmt w:val="lowerRoman"/>
      <w:start w:val="1"/>
    </w:lvl>
    <w:lvl w:ilvl="5">
      <w:lvlJc w:val="left"/>
      <w:lvlText w:val="•"/>
      <w:numFmt w:val="bullet"/>
      <w:start w:val="1"/>
    </w:lvl>
  </w:abstractNum>
  <w:abstractNum w:abstractNumId="790">
    <w:nsid w:val="66D6F079"/>
    <w:multiLevelType w:val="hybridMultilevel"/>
    <w:lvl w:ilvl="0">
      <w:lvlJc w:val="left"/>
      <w:lvlText w:val="(%1)"/>
      <w:numFmt w:val="decimal"/>
      <w:start w:val="9"/>
    </w:lvl>
    <w:lvl w:ilvl="1">
      <w:lvlJc w:val="left"/>
      <w:lvlText w:val="(%2)"/>
      <w:numFmt w:val="upperLetter"/>
      <w:start w:val="1"/>
    </w:lvl>
    <w:lvl w:ilvl="2">
      <w:lvlJc w:val="left"/>
      <w:lvlText w:val="(%3)"/>
      <w:numFmt w:val="decimal"/>
      <w:start w:val="1"/>
    </w:lvl>
    <w:lvl w:ilvl="3">
      <w:lvlJc w:val="left"/>
      <w:lvlText w:val="%4"/>
      <w:numFmt w:val="lowerLetter"/>
      <w:start w:val="1"/>
    </w:lvl>
    <w:lvl w:ilvl="4">
      <w:lvlJc w:val="left"/>
      <w:lvlText w:val="%5"/>
      <w:numFmt w:val="lowerRoman"/>
      <w:start w:val="1"/>
    </w:lvl>
    <w:lvl w:ilvl="5">
      <w:lvlJc w:val="left"/>
      <w:lvlText w:val="•"/>
      <w:numFmt w:val="bullet"/>
      <w:start w:val="1"/>
    </w:lvl>
  </w:abstractNum>
  <w:abstractNum w:abstractNumId="791">
    <w:nsid w:val="11BFDA2C"/>
    <w:multiLevelType w:val="hybridMultilevel"/>
    <w:lvl w:ilvl="0">
      <w:lvlJc w:val="left"/>
      <w:lvlText w:val="%1"/>
      <w:numFmt w:val="decimal"/>
      <w:start w:val="1"/>
    </w:lvl>
    <w:lvl w:ilvl="1">
      <w:lvlJc w:val="left"/>
      <w:lvlText w:val="(%2)"/>
      <w:numFmt w:val="lowerLetter"/>
      <w:start w:val="1"/>
    </w:lvl>
  </w:abstractNum>
  <w:abstractNum w:abstractNumId="792">
    <w:nsid w:val="600B0BF0"/>
    <w:multiLevelType w:val="hybridMultilevel"/>
    <w:lvl w:ilvl="0">
      <w:lvlJc w:val="left"/>
      <w:lvlText w:val="(%1)"/>
      <w:numFmt w:val="decimal"/>
      <w:start w:val="3"/>
    </w:lvl>
    <w:lvl w:ilvl="1">
      <w:lvlJc w:val="left"/>
      <w:lvlText w:val="%2"/>
      <w:numFmt w:val="lowerLetter"/>
      <w:start w:val="1"/>
    </w:lvl>
  </w:abstractNum>
  <w:abstractNum w:abstractNumId="793">
    <w:nsid w:val="5335B5BD"/>
    <w:multiLevelType w:val="hybridMultilevel"/>
    <w:lvl w:ilvl="0">
      <w:lvlJc w:val="left"/>
      <w:lvlText w:val="%1"/>
      <w:numFmt w:val="decimal"/>
      <w:start w:val="1"/>
    </w:lvl>
    <w:lvl w:ilvl="1">
      <w:lvlJc w:val="left"/>
      <w:lvlText w:val="(%2)"/>
      <w:numFmt w:val="lowerLetter"/>
      <w:start w:val="1"/>
    </w:lvl>
  </w:abstractNum>
  <w:abstractNum w:abstractNumId="794">
    <w:nsid w:val="55729684"/>
    <w:multiLevelType w:val="hybridMultilevel"/>
    <w:lvl w:ilvl="0">
      <w:lvlJc w:val="left"/>
      <w:lvlText w:val="(%1)"/>
      <w:numFmt w:val="decimal"/>
      <w:start w:val="4"/>
    </w:lvl>
    <w:lvl w:ilvl="1">
      <w:lvlJc w:val="left"/>
      <w:lvlText w:val="(%2)"/>
      <w:numFmt w:val="lowerLetter"/>
      <w:start w:val="1"/>
    </w:lvl>
  </w:abstractNum>
  <w:abstractNum w:abstractNumId="795">
    <w:nsid w:val="DFD09FE"/>
    <w:multiLevelType w:val="hybridMultilevel"/>
    <w:lvl w:ilvl="0">
      <w:lvlJc w:val="left"/>
      <w:lvlText w:val="%1"/>
      <w:numFmt w:val="decimal"/>
      <w:start w:val="1"/>
    </w:lvl>
    <w:lvl w:ilvl="1">
      <w:lvlJc w:val="left"/>
      <w:lvlText w:val="(%2)"/>
      <w:numFmt w:val="lowerLetter"/>
      <w:start w:val="1"/>
    </w:lvl>
    <w:lvl w:ilvl="2">
      <w:lvlJc w:val="left"/>
      <w:lvlText w:val="%3"/>
      <w:numFmt w:val="lowerRoman"/>
      <w:start w:val="1"/>
    </w:lvl>
  </w:abstractNum>
  <w:abstractNum w:abstractNumId="796">
    <w:nsid w:val="5F404891"/>
    <w:multiLevelType w:val="hybridMultilevel"/>
    <w:lvl w:ilvl="0">
      <w:lvlJc w:val="left"/>
      <w:lvlText w:val="(%1)"/>
      <w:numFmt w:val="decimal"/>
      <w:start w:val="7"/>
    </w:lvl>
    <w:lvl w:ilvl="1">
      <w:lvlJc w:val="left"/>
      <w:lvlText w:val="(%2)"/>
      <w:numFmt w:val="lowerLetter"/>
      <w:start w:val="1"/>
    </w:lvl>
    <w:lvl w:ilvl="2">
      <w:lvlJc w:val="left"/>
      <w:lvlText w:val="%3)"/>
      <w:numFmt w:val="lowerRoman"/>
      <w:start w:val="1"/>
    </w:lvl>
  </w:abstractNum>
  <w:abstractNum w:abstractNumId="797">
    <w:nsid w:val="5BA8E042"/>
    <w:multiLevelType w:val="hybridMultilevel"/>
    <w:lvl w:ilvl="0">
      <w:lvlJc w:val="left"/>
      <w:lvlText w:val="(%1)"/>
      <w:numFmt w:val="decimal"/>
      <w:start w:val="8"/>
    </w:lvl>
    <w:lvl w:ilvl="1">
      <w:lvlJc w:val="left"/>
      <w:lvlText w:val="(%2)"/>
      <w:numFmt w:val="lowerLetter"/>
      <w:start w:val="1"/>
    </w:lvl>
  </w:abstractNum>
  <w:abstractNum w:abstractNumId="798">
    <w:nsid w:val="549A864D"/>
    <w:multiLevelType w:val="hybridMultilevel"/>
    <w:lvl w:ilvl="0">
      <w:lvlJc w:val="left"/>
      <w:lvlText w:val="%1"/>
      <w:numFmt w:val="decimal"/>
      <w:start w:val="1"/>
    </w:lvl>
    <w:lvl w:ilvl="1">
      <w:lvlJc w:val="left"/>
      <w:lvlText w:val="(%2)"/>
      <w:numFmt w:val="lowerLetter"/>
      <w:start w:val="9"/>
    </w:lvl>
  </w:abstractNum>
  <w:abstractNum w:abstractNumId="799">
    <w:nsid w:val="2B620264"/>
    <w:multiLevelType w:val="hybridMultilevel"/>
    <w:lvl w:ilvl="0">
      <w:lvlJc w:val="left"/>
      <w:lvlText w:val="(%1)"/>
      <w:numFmt w:val="lowerRoman"/>
      <w:start w:val="4"/>
    </w:lvl>
  </w:abstractNum>
  <w:abstractNum w:abstractNumId="800">
    <w:nsid w:val="389C8F60"/>
    <w:multiLevelType w:val="hybridMultilevel"/>
    <w:lvl w:ilvl="0">
      <w:lvlJc w:val="left"/>
      <w:lvlText w:val="%1"/>
      <w:numFmt w:val="upperLetter"/>
      <w:start w:val="1"/>
    </w:lvl>
    <w:lvl w:ilvl="1">
      <w:lvlJc w:val="left"/>
      <w:lvlText w:val="%2"/>
      <w:numFmt w:val="upperLetter"/>
      <w:start w:val="1"/>
    </w:lvl>
    <w:lvl w:ilvl="2">
      <w:lvlJc w:val="left"/>
      <w:lvlText w:val="(%3)"/>
      <w:numFmt w:val="decimal"/>
      <w:start w:val="10"/>
    </w:lvl>
  </w:abstractNum>
  <w:abstractNum w:abstractNumId="801">
    <w:nsid w:val="263BC044"/>
    <w:multiLevelType w:val="hybridMultilevel"/>
    <w:lvl w:ilvl="0">
      <w:lvlJc w:val="left"/>
      <w:lvlText w:val="%1"/>
      <w:numFmt w:val="upperLetter"/>
      <w:start w:val="1"/>
    </w:lvl>
    <w:lvl w:ilvl="1">
      <w:lvlJc w:val="left"/>
      <w:lvlText w:val="(%2)"/>
      <w:numFmt w:val="upperLetter"/>
      <w:start w:val="2"/>
    </w:lvl>
    <w:lvl w:ilvl="2">
      <w:lvlJc w:val="left"/>
      <w:lvlText w:val="(%3)"/>
      <w:numFmt w:val="decimal"/>
      <w:start w:val="1"/>
    </w:lvl>
  </w:abstractNum>
  <w:abstractNum w:abstractNumId="802">
    <w:nsid w:val="EAB0386"/>
    <w:multiLevelType w:val="hybridMultilevel"/>
    <w:lvl w:ilvl="0">
      <w:lvlJc w:val="left"/>
      <w:lvlText w:val="(%1)"/>
      <w:numFmt w:val="upperLetter"/>
      <w:start w:val="3"/>
    </w:lvl>
    <w:lvl w:ilvl="1">
      <w:lvlJc w:val="left"/>
      <w:lvlText w:val="%2"/>
      <w:numFmt w:val="upperLetter"/>
      <w:start w:val="1"/>
    </w:lvl>
    <w:lvl w:ilvl="2">
      <w:lvlJc w:val="left"/>
      <w:lvlText w:val="(%3)"/>
      <w:numFmt w:val="decimal"/>
      <w:start w:val="1"/>
    </w:lvl>
  </w:abstractNum>
  <w:abstractNum w:abstractNumId="803">
    <w:nsid w:val="4C2547C9"/>
    <w:multiLevelType w:val="hybridMultilevel"/>
    <w:lvl w:ilvl="0">
      <w:lvlJc w:val="left"/>
      <w:lvlText w:val="%1"/>
      <w:numFmt w:val="upperLetter"/>
      <w:start w:val="1"/>
    </w:lvl>
    <w:lvl w:ilvl="1">
      <w:lvlJc w:val="left"/>
      <w:lvlText w:val="(%2)"/>
      <w:numFmt w:val="decimal"/>
      <w:start w:val="4"/>
    </w:lvl>
  </w:abstractNum>
  <w:abstractNum w:abstractNumId="804">
    <w:nsid w:val="7DE33AA2"/>
    <w:multiLevelType w:val="hybridMultilevel"/>
    <w:lvl w:ilvl="0">
      <w:lvlJc w:val="left"/>
      <w:lvlText w:val="(%1)"/>
      <w:numFmt w:val="upperLetter"/>
      <w:start w:val="5"/>
    </w:lvl>
    <w:lvl w:ilvl="1">
      <w:lvlJc w:val="left"/>
      <w:lvlText w:val="(%2)"/>
      <w:numFmt w:val="decimal"/>
      <w:start w:val="1"/>
    </w:lvl>
  </w:abstractNum>
  <w:abstractNum w:abstractNumId="805">
    <w:nsid w:val="193C97D9"/>
    <w:multiLevelType w:val="hybridMultilevel"/>
    <w:lvl w:ilvl="0">
      <w:lvlJc w:val="left"/>
      <w:lvlText w:val="%1"/>
      <w:numFmt w:val="upperLetter"/>
      <w:start w:val="1"/>
    </w:lvl>
    <w:lvl w:ilvl="1">
      <w:lvlJc w:val="left"/>
      <w:lvlText w:val="(%2)"/>
      <w:numFmt w:val="decimal"/>
      <w:start w:val="4"/>
    </w:lvl>
    <w:lvl w:ilvl="2">
      <w:lvlJc w:val="left"/>
      <w:lvlText w:val="%3"/>
      <w:numFmt w:val="lowerLetter"/>
      <w:start w:val="1"/>
    </w:lvl>
  </w:abstractNum>
  <w:abstractNum w:abstractNumId="806">
    <w:nsid w:val="49A03E66"/>
    <w:multiLevelType w:val="hybridMultilevel"/>
    <w:lvl w:ilvl="0">
      <w:lvlJc w:val="left"/>
      <w:lvlText w:val="(%1)"/>
      <w:numFmt w:val="upperLetter"/>
      <w:start w:val="11"/>
    </w:lvl>
    <w:lvl w:ilvl="1">
      <w:lvlJc w:val="left"/>
      <w:lvlText w:val="(%2)"/>
      <w:numFmt w:val="decimal"/>
      <w:start w:val="1"/>
    </w:lvl>
    <w:lvl w:ilvl="2">
      <w:lvlJc w:val="left"/>
      <w:lvlText w:val="(%3)"/>
      <w:numFmt w:val="lowerLetter"/>
      <w:start w:val="1"/>
    </w:lvl>
  </w:abstractNum>
  <w:abstractNum w:abstractNumId="807">
    <w:nsid w:val="4733872D"/>
    <w:multiLevelType w:val="hybridMultilevel"/>
    <w:lvl w:ilvl="0">
      <w:lvlJc w:val="left"/>
      <w:lvlText w:val="(%1)"/>
      <w:numFmt w:val="lowerLetter"/>
      <w:start w:val="6"/>
    </w:lvl>
    <w:lvl w:ilvl="1">
      <w:lvlJc w:val="left"/>
      <w:lvlText w:val="*"/>
      <w:numFmt w:val="bullet"/>
      <w:start w:val="1"/>
    </w:lvl>
    <w:lvl w:ilvl="2">
      <w:lvlJc w:val="left"/>
      <w:lvlText w:val="(%3)"/>
      <w:numFmt w:val="lowerLetter"/>
      <w:start w:val="6"/>
    </w:lvl>
    <w:lvl w:ilvl="3">
      <w:lvlJc w:val="left"/>
      <w:lvlText w:val=""/>
      <w:numFmt w:val="bullet"/>
      <w:start w:val="1"/>
    </w:lvl>
  </w:abstractNum>
  <w:abstractNum w:abstractNumId="808">
    <w:nsid w:val="2A961DE3"/>
    <w:multiLevelType w:val="hybridMultilevel"/>
    <w:lvl w:ilvl="0">
      <w:lvlJc w:val="left"/>
      <w:lvlText w:val="(%1)"/>
      <w:numFmt w:val="lowerLetter"/>
      <w:start w:val="8"/>
    </w:lvl>
  </w:abstractNum>
  <w:abstractNum w:abstractNumId="809">
    <w:nsid w:val="4DBED8B5"/>
    <w:multiLevelType w:val="hybridMultilevel"/>
    <w:lvl w:ilvl="0">
      <w:lvlJc w:val="left"/>
      <w:lvlText w:val="%1"/>
      <w:numFmt w:val="decimal"/>
      <w:start w:val="1"/>
    </w:lvl>
    <w:lvl w:ilvl="1">
      <w:lvlJc w:val="left"/>
      <w:lvlText w:val="%2"/>
      <w:numFmt w:val="upperLetter"/>
      <w:start w:val="1"/>
    </w:lvl>
    <w:lvl w:ilvl="2">
      <w:lvlJc w:val="left"/>
      <w:lvlText w:val="%3"/>
      <w:numFmt w:val="upperLetter"/>
      <w:start w:val="1"/>
    </w:lvl>
    <w:lvl w:ilvl="3">
      <w:lvlJc w:val="left"/>
      <w:lvlText w:val="%4"/>
      <w:numFmt w:val="decimal"/>
      <w:start w:val="1"/>
    </w:lvl>
    <w:lvl w:ilvl="4">
      <w:lvlJc w:val="left"/>
      <w:lvlText w:val="%5"/>
      <w:numFmt w:val="lowerLetter"/>
      <w:start w:val="1"/>
    </w:lvl>
    <w:lvl w:ilvl="5">
      <w:lvlJc w:val="left"/>
      <w:lvlText w:val="(%6)"/>
      <w:numFmt w:val="lowerLetter"/>
      <w:start w:val="11"/>
    </w:lvl>
    <w:lvl w:ilvl="6">
      <w:lvlJc w:val="left"/>
      <w:lvlText w:val="%7"/>
      <w:numFmt w:val="lowerRoman"/>
      <w:start w:val="1"/>
    </w:lvl>
  </w:abstractNum>
  <w:abstractNum w:abstractNumId="810">
    <w:nsid w:val="C89AA6"/>
    <w:multiLevelType w:val="hybridMultilevel"/>
    <w:lvl w:ilvl="0">
      <w:lvlJc w:val="left"/>
      <w:lvlText w:val="%1"/>
      <w:numFmt w:val="decimal"/>
      <w:start w:val="1"/>
    </w:lvl>
    <w:lvl w:ilvl="1">
      <w:lvlJc w:val="left"/>
      <w:lvlText w:val="%2"/>
      <w:numFmt w:val="upperLetter"/>
      <w:start w:val="1"/>
    </w:lvl>
    <w:lvl w:ilvl="2">
      <w:lvlJc w:val="left"/>
      <w:lvlText w:val="%3"/>
      <w:numFmt w:val="upperLetter"/>
      <w:start w:val="1"/>
    </w:lvl>
    <w:lvl w:ilvl="3">
      <w:lvlJc w:val="left"/>
      <w:lvlText w:val="(%4)"/>
      <w:numFmt w:val="decimal"/>
      <w:start w:val="2"/>
    </w:lvl>
    <w:lvl w:ilvl="4">
      <w:lvlJc w:val="left"/>
      <w:lvlText w:val="%5"/>
      <w:numFmt w:val="lowerLetter"/>
      <w:start w:val="1"/>
    </w:lvl>
    <w:lvl w:ilvl="5">
      <w:lvlJc w:val="left"/>
      <w:lvlText w:val="%6"/>
      <w:numFmt w:val="lowerLetter"/>
      <w:start w:val="1"/>
    </w:lvl>
    <w:lvl w:ilvl="6">
      <w:lvlJc w:val="left"/>
      <w:lvlText w:val="%7"/>
      <w:numFmt w:val="lowerRoman"/>
      <w:start w:val="1"/>
    </w:lvl>
  </w:abstractNum>
  <w:abstractNum w:abstractNumId="811">
    <w:nsid w:val="66433C7"/>
    <w:multiLevelType w:val="hybridMultilevel"/>
    <w:lvl w:ilvl="0">
      <w:lvlJc w:val="left"/>
      <w:lvlText w:val="%1"/>
      <w:numFmt w:val="decimal"/>
      <w:start w:val="1"/>
    </w:lvl>
    <w:lvl w:ilvl="1">
      <w:lvlJc w:val="left"/>
      <w:lvlText w:val="(%2)"/>
      <w:numFmt w:val="upperLetter"/>
      <w:start w:val="12"/>
    </w:lvl>
    <w:lvl w:ilvl="2">
      <w:lvlJc w:val="left"/>
      <w:lvlText w:val="%3"/>
      <w:numFmt w:val="upperLetter"/>
      <w:start w:val="1"/>
    </w:lvl>
    <w:lvl w:ilvl="3">
      <w:lvlJc w:val="left"/>
      <w:lvlText w:val="%4"/>
      <w:numFmt w:val="decimal"/>
      <w:start w:val="1"/>
    </w:lvl>
    <w:lvl w:ilvl="4">
      <w:lvlJc w:val="left"/>
      <w:lvlText w:val="%5"/>
      <w:numFmt w:val="lowerLetter"/>
      <w:start w:val="1"/>
    </w:lvl>
    <w:lvl w:ilvl="5">
      <w:lvlJc w:val="left"/>
      <w:lvlText w:val="%6"/>
      <w:numFmt w:val="lowerLetter"/>
      <w:start w:val="1"/>
    </w:lvl>
    <w:lvl w:ilvl="6">
      <w:lvlJc w:val="left"/>
      <w:lvlText w:val="%7"/>
      <w:numFmt w:val="lowerRoman"/>
      <w:start w:val="1"/>
    </w:lvl>
  </w:abstractNum>
  <w:abstractNum w:abstractNumId="812">
    <w:nsid w:val="36313FB3"/>
    <w:multiLevelType w:val="hybridMultilevel"/>
    <w:lvl w:ilvl="0">
      <w:lvlJc w:val="left"/>
      <w:lvlText w:val="(%1)"/>
      <w:numFmt w:val="decimal"/>
      <w:start w:val="10"/>
    </w:lvl>
    <w:lvl w:ilvl="1">
      <w:lvlJc w:val="left"/>
      <w:lvlText w:val="%2"/>
      <w:numFmt w:val="upperLetter"/>
      <w:start w:val="1"/>
    </w:lvl>
    <w:lvl w:ilvl="2">
      <w:lvlJc w:val="left"/>
      <w:lvlText w:val="(%3)"/>
      <w:numFmt w:val="upperLetter"/>
      <w:start w:val="1"/>
    </w:lvl>
    <w:lvl w:ilvl="3">
      <w:lvlJc w:val="left"/>
      <w:lvlText w:val="(%4)"/>
      <w:numFmt w:val="decimal"/>
      <w:start w:val="1"/>
    </w:lvl>
    <w:lvl w:ilvl="4">
      <w:lvlJc w:val="left"/>
      <w:lvlText w:val="(%5)"/>
      <w:numFmt w:val="lowerLetter"/>
      <w:start w:val="1"/>
    </w:lvl>
    <w:lvl w:ilvl="5">
      <w:lvlJc w:val="left"/>
      <w:lvlText w:val="%6"/>
      <w:numFmt w:val="lowerLetter"/>
      <w:start w:val="1"/>
    </w:lvl>
    <w:lvl w:ilvl="6">
      <w:lvlJc w:val="left"/>
      <w:lvlText w:val="(%7)"/>
      <w:numFmt w:val="lowerRoman"/>
      <w:start w:val="1"/>
    </w:lvl>
  </w:abstractNum>
  <w:abstractNum w:abstractNumId="813">
    <w:nsid w:val="42CB78B0"/>
    <w:multiLevelType w:val="hybridMultilevel"/>
    <w:lvl w:ilvl="0">
      <w:lvlJc w:val="left"/>
      <w:lvlText w:val="%1"/>
      <w:numFmt w:val="upperLetter"/>
      <w:start w:val="1"/>
    </w:lvl>
    <w:lvl w:ilvl="1">
      <w:lvlJc w:val="left"/>
      <w:lvlText w:val="(%2)"/>
      <w:numFmt w:val="decimal"/>
      <w:start w:val="3"/>
    </w:lvl>
    <w:lvl w:ilvl="2">
      <w:lvlJc w:val="left"/>
      <w:lvlText w:val="(%3)"/>
      <w:numFmt w:val="lowerLetter"/>
      <w:start w:val="1"/>
    </w:lvl>
    <w:lvl w:ilvl="3">
      <w:lvlJc w:val="left"/>
      <w:lvlText w:val="%4"/>
      <w:numFmt w:val="lowerRoman"/>
      <w:start w:val="1"/>
    </w:lvl>
  </w:abstractNum>
  <w:abstractNum w:abstractNumId="814">
    <w:nsid w:val="470699E2"/>
    <w:multiLevelType w:val="hybridMultilevel"/>
    <w:lvl w:ilvl="0">
      <w:lvlJc w:val="left"/>
      <w:lvlText w:val="(%1)"/>
      <w:numFmt w:val="upperLetter"/>
      <w:start w:val="3"/>
    </w:lvl>
    <w:lvl w:ilvl="1">
      <w:lvlJc w:val="left"/>
      <w:lvlText w:val="(%2)"/>
      <w:numFmt w:val="decimal"/>
      <w:start w:val="1"/>
    </w:lvl>
    <w:lvl w:ilvl="2">
      <w:lvlJc w:val="left"/>
      <w:lvlText w:val="(%3)"/>
      <w:numFmt w:val="lowerLetter"/>
      <w:start w:val="1"/>
    </w:lvl>
    <w:lvl w:ilvl="3">
      <w:lvlJc w:val="left"/>
      <w:lvlText w:val="(%4)"/>
      <w:numFmt w:val="lowerRoman"/>
      <w:start w:val="1"/>
    </w:lvl>
  </w:abstractNum>
  <w:abstractNum w:abstractNumId="815">
    <w:nsid w:val="7E997B57"/>
    <w:multiLevelType w:val="hybridMultilevel"/>
    <w:lvl w:ilvl="0">
      <w:lvlJc w:val="left"/>
      <w:lvlText w:val="%1"/>
      <w:numFmt w:val="upperLetter"/>
      <w:start w:val="1"/>
    </w:lvl>
    <w:lvl w:ilvl="1">
      <w:lvlJc w:val="left"/>
      <w:lvlText w:val="(%2)"/>
      <w:numFmt w:val="decimal"/>
      <w:start w:val="2"/>
    </w:lvl>
    <w:lvl w:ilvl="2">
      <w:lvlJc w:val="left"/>
      <w:lvlText w:val="(%3)"/>
      <w:numFmt w:val="lowerLetter"/>
      <w:start w:val="1"/>
    </w:lvl>
  </w:abstractNum>
  <w:abstractNum w:abstractNumId="816">
    <w:nsid w:val="2BBA481F"/>
    <w:multiLevelType w:val="hybridMultilevel"/>
    <w:lvl w:ilvl="0">
      <w:lvlJc w:val="left"/>
      <w:lvlText w:val="(%1)"/>
      <w:numFmt w:val="upperLetter"/>
      <w:start w:val="5"/>
    </w:lvl>
    <w:lvl w:ilvl="1">
      <w:lvlJc w:val="left"/>
      <w:lvlText w:val="%2"/>
      <w:numFmt w:val="decimal"/>
      <w:start w:val="1"/>
    </w:lvl>
    <w:lvl w:ilvl="2">
      <w:lvlJc w:val="left"/>
      <w:lvlText w:val="%3"/>
      <w:numFmt w:val="lowerLetter"/>
      <w:start w:val="1"/>
    </w:lvl>
  </w:abstractNum>
  <w:abstractNum w:abstractNumId="817">
    <w:nsid w:val="261ABBD5"/>
    <w:multiLevelType w:val="hybridMultilevel"/>
    <w:lvl w:ilvl="0">
      <w:lvlJc w:val="left"/>
      <w:lvlText w:val="(%1)"/>
      <w:numFmt w:val="lowerLetter"/>
      <w:start w:val="1"/>
    </w:lvl>
  </w:abstractNum>
  <w:abstractNum w:abstractNumId="818">
    <w:nsid w:val="F42BB0E"/>
    <w:multiLevelType w:val="hybridMultilevel"/>
    <w:lvl w:ilvl="0">
      <w:lvlJc w:val="left"/>
      <w:lvlText w:val="(%1)"/>
      <w:numFmt w:val="upperLetter"/>
      <w:start w:val="6"/>
    </w:lvl>
  </w:abstractNum>
  <w:abstractNum w:abstractNumId="819">
    <w:nsid w:val="2E287A14"/>
    <w:multiLevelType w:val="hybridMultilevel"/>
    <w:lvl w:ilvl="0">
      <w:lvlJc w:val="left"/>
      <w:lvlText w:val="(%1)"/>
      <w:numFmt w:val="lowerLetter"/>
      <w:start w:val="1"/>
    </w:lvl>
    <w:lvl w:ilvl="1">
      <w:lvlJc w:val="left"/>
      <w:lvlText w:val="(%2)"/>
      <w:numFmt w:val="lowerRoman"/>
      <w:start w:val="1"/>
    </w:lvl>
    <w:lvl w:ilvl="2">
      <w:lvlJc w:val="left"/>
      <w:lvlText w:val="(%3)"/>
      <w:numFmt w:val="lowerLetter"/>
      <w:start w:val="1"/>
    </w:lvl>
  </w:abstractNum>
  <w:abstractNum w:abstractNumId="820">
    <w:nsid w:val="763ECE5D"/>
    <w:multiLevelType w:val="hybridMultilevel"/>
    <w:lvl w:ilvl="0">
      <w:lvlJc w:val="left"/>
      <w:lvlText w:val="(%1)"/>
      <w:numFmt w:val="lowerRoman"/>
      <w:start w:val="3"/>
    </w:lvl>
    <w:lvl w:ilvl="1">
      <w:lvlJc w:val="left"/>
      <w:lvlText w:val="(%2)"/>
      <w:numFmt w:val="lowerRoman"/>
      <w:start w:val="3"/>
    </w:lvl>
    <w:lvl w:ilvl="2">
      <w:lvlJc w:val="left"/>
      <w:lvlText w:val=""/>
      <w:numFmt w:val="bullet"/>
      <w:start w:val="1"/>
    </w:lvl>
  </w:abstractNum>
  <w:abstractNum w:abstractNumId="821">
    <w:nsid w:val="7619AB87"/>
    <w:multiLevelType w:val="hybridMultilevel"/>
    <w:lvl w:ilvl="0">
      <w:lvlJc w:val="left"/>
      <w:lvlText w:val="%1"/>
      <w:numFmt w:val="lowerLetter"/>
      <w:start w:val="1"/>
    </w:lvl>
    <w:lvl w:ilvl="1">
      <w:lvlJc w:val="left"/>
      <w:lvlText w:val="%2"/>
      <w:numFmt w:val="lowerRoman"/>
      <w:start w:val="1"/>
    </w:lvl>
    <w:lvl w:ilvl="2">
      <w:lvlJc w:val="left"/>
      <w:lvlText w:val="(%3)"/>
      <w:numFmt w:val="lowerRoman"/>
      <w:start w:val="5"/>
    </w:lvl>
  </w:abstractNum>
  <w:abstractNum w:abstractNumId="822">
    <w:nsid w:val="3FE85440"/>
    <w:multiLevelType w:val="hybridMultilevel"/>
    <w:lvl w:ilvl="0">
      <w:lvlJc w:val="left"/>
      <w:lvlText w:val="(%1)"/>
      <w:numFmt w:val="lowerLetter"/>
      <w:start w:val="2"/>
    </w:lvl>
    <w:lvl w:ilvl="1">
      <w:lvlJc w:val="left"/>
      <w:lvlText w:val="%2)"/>
      <w:numFmt w:val="lowerRoman"/>
      <w:start w:val="1"/>
    </w:lvl>
    <w:lvl w:ilvl="2">
      <w:lvlJc w:val="left"/>
      <w:lvlText w:val="(%3)"/>
      <w:numFmt w:val="lowerRoman"/>
      <w:start w:val="1"/>
    </w:lvl>
  </w:abstractNum>
  <w:abstractNum w:abstractNumId="823">
    <w:nsid w:val="5649DA4D"/>
    <w:multiLevelType w:val="hybridMultilevel"/>
    <w:lvl w:ilvl="0">
      <w:lvlJc w:val="left"/>
      <w:lvlText w:val="(%1)"/>
      <w:numFmt w:val="lowerLetter"/>
      <w:start w:val="5"/>
    </w:lvl>
    <w:lvl w:ilvl="1">
      <w:lvlJc w:val="left"/>
      <w:lvlText w:val="(%2)"/>
      <w:numFmt w:val="lowerRoman"/>
      <w:start w:val="1"/>
    </w:lvl>
  </w:abstractNum>
  <w:abstractNum w:abstractNumId="824">
    <w:nsid w:val="494F6145"/>
    <w:multiLevelType w:val="hybridMultilevel"/>
    <w:lvl w:ilvl="0">
      <w:lvlJc w:val="left"/>
      <w:lvlText w:val="%1"/>
      <w:numFmt w:val="upperLetter"/>
      <w:start w:val="1"/>
    </w:lvl>
    <w:lvl w:ilvl="1">
      <w:lvlJc w:val="left"/>
      <w:lvlText w:val="%2"/>
      <w:numFmt w:val="lowerLetter"/>
      <w:start w:val="1"/>
    </w:lvl>
    <w:lvl w:ilvl="2">
      <w:lvlJc w:val="left"/>
      <w:lvlText w:val="(%3)"/>
      <w:numFmt w:val="lowerRoman"/>
      <w:start w:val="6"/>
    </w:lvl>
    <w:lvl w:ilvl="3">
      <w:lvlJc w:val="left"/>
      <w:lvlText w:val=""/>
      <w:numFmt w:val="bullet"/>
      <w:start w:val="1"/>
    </w:lvl>
  </w:abstractNum>
  <w:abstractNum w:abstractNumId="825">
    <w:nsid w:val="155AEAC4"/>
    <w:multiLevelType w:val="hybridMultilevel"/>
    <w:lvl w:ilvl="0">
      <w:lvlJc w:val="left"/>
      <w:lvlText w:val="(%1)"/>
      <w:numFmt w:val="upperLetter"/>
      <w:start w:val="7"/>
    </w:lvl>
    <w:lvl w:ilvl="1">
      <w:lvlJc w:val="left"/>
      <w:lvlText w:val="(%2)"/>
      <w:numFmt w:val="lowerLetter"/>
      <w:start w:val="1"/>
    </w:lvl>
    <w:lvl w:ilvl="2">
      <w:lvlJc w:val="left"/>
      <w:lvlText w:val="(%3)"/>
      <w:numFmt w:val="lowerRoman"/>
      <w:start w:val="1"/>
    </w:lvl>
    <w:lvl w:ilvl="3">
      <w:lvlJc w:val="left"/>
      <w:lvlText w:val=""/>
      <w:numFmt w:val="bullet"/>
      <w:start w:val="1"/>
    </w:lvl>
  </w:abstractNum>
  <w:abstractNum w:abstractNumId="826">
    <w:nsid w:val="6446E44B"/>
    <w:multiLevelType w:val="hybridMultilevel"/>
    <w:lvl w:ilvl="0">
      <w:lvlJc w:val="left"/>
      <w:lvlText w:val="%1"/>
      <w:numFmt w:val="lowerLetter"/>
      <w:start w:val="1"/>
    </w:lvl>
    <w:lvl w:ilvl="1">
      <w:lvlJc w:val="left"/>
      <w:lvlText w:val="(%2)"/>
      <w:numFmt w:val="lowerRoman"/>
      <w:start w:val="2"/>
    </w:lvl>
    <w:lvl w:ilvl="2">
      <w:lvlJc w:val="left"/>
      <w:lvlText w:val="%3"/>
      <w:numFmt w:val="lowerLetter"/>
      <w:start w:val="1"/>
    </w:lvl>
    <w:lvl w:ilvl="3">
      <w:lvlJc w:val="left"/>
      <w:lvlText w:val=""/>
      <w:numFmt w:val="bullet"/>
      <w:start w:val="1"/>
    </w:lvl>
  </w:abstractNum>
  <w:abstractNum w:abstractNumId="827">
    <w:nsid w:val="288FA9D6"/>
    <w:multiLevelType w:val="hybridMultilevel"/>
    <w:lvl w:ilvl="0">
      <w:lvlJc w:val="left"/>
      <w:lvlText w:val="(%1)"/>
      <w:numFmt w:val="lowerLetter"/>
      <w:start w:val="3"/>
    </w:lvl>
    <w:lvl w:ilvl="1">
      <w:lvlJc w:val="left"/>
      <w:lvlText w:val="(%2)"/>
      <w:numFmt w:val="lowerRoman"/>
      <w:start w:val="1"/>
    </w:lvl>
    <w:lvl w:ilvl="2">
      <w:lvlJc w:val="left"/>
      <w:lvlText w:val="(%3)"/>
      <w:numFmt w:val="lowerLetter"/>
      <w:start w:val="1"/>
    </w:lvl>
    <w:lvl w:ilvl="3">
      <w:lvlJc w:val="left"/>
      <w:lvlText w:val=""/>
      <w:numFmt w:val="bullet"/>
      <w:start w:val="1"/>
    </w:lvl>
  </w:abstractNum>
  <w:abstractNum w:abstractNumId="828">
    <w:nsid w:val="7103CB06"/>
    <w:multiLevelType w:val="hybridMultilevel"/>
    <w:lvl w:ilvl="0">
      <w:lvlJc w:val="left"/>
      <w:lvlText w:val="%1"/>
      <w:numFmt w:val="lowerLetter"/>
      <w:start w:val="1"/>
    </w:lvl>
    <w:lvl w:ilvl="1">
      <w:lvlJc w:val="left"/>
      <w:lvlText w:val="(%2)"/>
      <w:numFmt w:val="lowerRoman"/>
      <w:start w:val="5"/>
    </w:lvl>
  </w:abstractNum>
  <w:abstractNum w:abstractNumId="829">
    <w:nsid w:val="38E16A98"/>
    <w:multiLevelType w:val="hybridMultilevel"/>
    <w:lvl w:ilvl="0">
      <w:lvlJc w:val="left"/>
      <w:lvlText w:val="(%1)"/>
      <w:numFmt w:val="lowerLetter"/>
      <w:start w:val="4"/>
    </w:lvl>
    <w:lvl w:ilvl="1">
      <w:lvlJc w:val="left"/>
      <w:lvlText w:val="(%2)"/>
      <w:numFmt w:val="lowerRoman"/>
      <w:start w:val="1"/>
    </w:lvl>
  </w:abstractNum>
  <w:abstractNum w:abstractNumId="830">
    <w:nsid w:val="53F1AC3A"/>
    <w:multiLevelType w:val="hybridMultilevel"/>
    <w:lvl w:ilvl="0">
      <w:lvlJc w:val="left"/>
      <w:lvlText w:val="%1"/>
      <w:numFmt w:val="upperLetter"/>
      <w:start w:val="1"/>
    </w:lvl>
    <w:lvl w:ilvl="1">
      <w:lvlJc w:val="left"/>
      <w:lvlText w:val="(%2)"/>
      <w:numFmt w:val="lowerLetter"/>
      <w:start w:val="9"/>
    </w:lvl>
  </w:abstractNum>
  <w:abstractNum w:abstractNumId="831">
    <w:nsid w:val="29A05A67"/>
    <w:multiLevelType w:val="hybridMultilevel"/>
    <w:lvl w:ilvl="0">
      <w:lvlJc w:val="left"/>
      <w:lvlText w:val="(%1)"/>
      <w:numFmt w:val="upperLetter"/>
      <w:start w:val="8"/>
    </w:lvl>
    <w:lvl w:ilvl="1">
      <w:lvlJc w:val="left"/>
      <w:lvlText w:val="%2"/>
      <w:numFmt w:val="lowerLetter"/>
      <w:start w:val="1"/>
    </w:lvl>
  </w:abstractNum>
  <w:abstractNum w:abstractNumId="832">
    <w:nsid w:val="5F1D2ADC"/>
    <w:multiLevelType w:val="hybridMultilevel"/>
    <w:lvl w:ilvl="0">
      <w:lvlJc w:val="left"/>
      <w:lvlText w:val="(%1)"/>
      <w:numFmt w:val="decimal"/>
      <w:start w:val="11"/>
    </w:lvl>
  </w:abstractNum>
  <w:abstractNum w:abstractNumId="833">
    <w:nsid w:val="629CAFC0"/>
    <w:multiLevelType w:val="hybridMultilevel"/>
    <w:lvl w:ilvl="0">
      <w:lvlJc w:val="left"/>
      <w:lvlText w:val="(%1)"/>
      <w:numFmt w:val="upperLetter"/>
      <w:start w:val="9"/>
    </w:lvl>
  </w:abstractNum>
  <w:abstractNum w:abstractNumId="834">
    <w:nsid w:val="75C5A230"/>
    <w:multiLevelType w:val="hybridMultilevel"/>
    <w:lvl w:ilvl="0">
      <w:lvlJc w:val="left"/>
      <w:lvlText w:val="(%1)"/>
      <w:numFmt w:val="upperLetter"/>
      <w:start w:val="1"/>
    </w:lvl>
    <w:lvl w:ilvl="1">
      <w:lvlJc w:val="left"/>
      <w:lvlText w:val="(%2)"/>
      <w:numFmt w:val="lowerRoman"/>
      <w:start w:val="1"/>
    </w:lvl>
  </w:abstractNum>
  <w:abstractNum w:abstractNumId="835">
    <w:nsid w:val="5D00657F"/>
    <w:multiLevelType w:val="hybridMultilevel"/>
    <w:lvl w:ilvl="0">
      <w:lvlJc w:val="left"/>
      <w:lvlText w:val="(%1)"/>
      <w:numFmt w:val="lowerLetter"/>
      <w:start w:val="1"/>
    </w:lvl>
  </w:abstractNum>
  <w:abstractNum w:abstractNumId="836">
    <w:nsid w:val="7BD94799"/>
    <w:multiLevelType w:val="hybridMultilevel"/>
    <w:lvl w:ilvl="0">
      <w:lvlJc w:val="left"/>
      <w:lvlText w:val="%1"/>
      <w:numFmt w:val="lowerLetter"/>
      <w:start w:val="1"/>
    </w:lvl>
    <w:lvl w:ilvl="1">
      <w:lvlJc w:val="left"/>
      <w:lvlText w:val="(%2)"/>
      <w:numFmt w:val="lowerLetter"/>
      <w:start w:val="6"/>
    </w:lvl>
    <w:lvl w:ilvl="2">
      <w:lvlJc w:val="left"/>
      <w:lvlText w:val=""/>
      <w:numFmt w:val="bullet"/>
      <w:start w:val="1"/>
    </w:lvl>
  </w:abstractNum>
  <w:abstractNum w:abstractNumId="837">
    <w:nsid w:val="3F65E096"/>
    <w:multiLevelType w:val="hybridMultilevel"/>
    <w:lvl w:ilvl="0">
      <w:lvlJc w:val="left"/>
      <w:lvlText w:val="(%1)"/>
      <w:numFmt w:val="lowerLetter"/>
      <w:start w:val="35"/>
    </w:lvl>
    <w:lvl w:ilvl="1">
      <w:lvlJc w:val="left"/>
      <w:lvlText w:val="(%2)"/>
      <w:numFmt w:val="lowerLetter"/>
      <w:start w:val="1"/>
    </w:lvl>
    <w:lvl w:ilvl="2">
      <w:lvlJc w:val="left"/>
      <w:lvlText w:val=""/>
      <w:numFmt w:val="bullet"/>
      <w:start w:val="1"/>
    </w:lvl>
  </w:abstractNum>
  <w:abstractNum w:abstractNumId="838">
    <w:nsid w:val="2433ECAC"/>
    <w:multiLevelType w:val="hybridMultilevel"/>
    <w:lvl w:ilvl="0">
      <w:lvlJc w:val="left"/>
      <w:lvlText w:val="%1"/>
      <w:numFmt w:val="upperLetter"/>
      <w:start w:val="1"/>
    </w:lvl>
    <w:lvl w:ilvl="1">
      <w:lvlJc w:val="left"/>
      <w:lvlText w:val="%2"/>
      <w:numFmt w:val="lowerRoman"/>
      <w:start w:val="1"/>
    </w:lvl>
    <w:lvl w:ilvl="2">
      <w:lvlJc w:val="left"/>
      <w:lvlText w:val="(%3)"/>
      <w:numFmt w:val="lowerLetter"/>
      <w:start w:val="3"/>
    </w:lvl>
    <w:lvl w:ilvl="3">
      <w:lvlJc w:val="left"/>
      <w:lvlText w:val=""/>
      <w:numFmt w:val="bullet"/>
      <w:start w:val="1"/>
    </w:lvl>
  </w:abstractNum>
  <w:abstractNum w:abstractNumId="839">
    <w:nsid w:val="266F657C"/>
    <w:multiLevelType w:val="hybridMultilevel"/>
    <w:lvl w:ilvl="0">
      <w:lvlJc w:val="left"/>
      <w:lvlText w:val="(%1)"/>
      <w:numFmt w:val="upperLetter"/>
      <w:start w:val="2"/>
    </w:lvl>
    <w:lvl w:ilvl="1">
      <w:lvlJc w:val="left"/>
      <w:lvlText w:val="(%2)"/>
      <w:numFmt w:val="lowerRoman"/>
      <w:start w:val="1"/>
    </w:lvl>
    <w:lvl w:ilvl="2">
      <w:lvlJc w:val="left"/>
      <w:lvlText w:val="%3"/>
      <w:numFmt w:val="lowerLetter"/>
      <w:start w:val="1"/>
    </w:lvl>
    <w:lvl w:ilvl="3">
      <w:lvlJc w:val="left"/>
      <w:lvlText w:val=""/>
      <w:numFmt w:val="bullet"/>
      <w:start w:val="1"/>
    </w:lvl>
  </w:abstractNum>
  <w:abstractNum w:abstractNumId="840">
    <w:nsid w:val="D24B94B"/>
    <w:multiLevelType w:val="hybridMultilevel"/>
    <w:lvl w:ilvl="0">
      <w:lvlJc w:val="left"/>
      <w:lvlText w:val="%1"/>
      <w:numFmt w:val="upperLetter"/>
      <w:start w:val="1"/>
    </w:lvl>
    <w:lvl w:ilvl="1">
      <w:lvlJc w:val="left"/>
      <w:lvlText w:val="(%2)"/>
      <w:numFmt w:val="lowerRoman"/>
      <w:start w:val="3"/>
    </w:lvl>
  </w:abstractNum>
  <w:abstractNum w:abstractNumId="841">
    <w:nsid w:val="24FC8752"/>
    <w:multiLevelType w:val="hybridMultilevel"/>
    <w:lvl w:ilvl="0">
      <w:lvlJc w:val="left"/>
      <w:lvlText w:val="(%1)"/>
      <w:numFmt w:val="upperLetter"/>
      <w:start w:val="3"/>
    </w:lvl>
    <w:lvl w:ilvl="1">
      <w:lvlJc w:val="left"/>
      <w:lvlText w:val="(%2)"/>
      <w:numFmt w:val="lowerRoman"/>
      <w:start w:val="1"/>
    </w:lvl>
  </w:abstractNum>
  <w:abstractNum w:abstractNumId="842">
    <w:nsid w:val="2CD39943"/>
    <w:multiLevelType w:val="hybridMultilevel"/>
    <w:lvl w:ilvl="0">
      <w:lvlJc w:val="left"/>
      <w:lvlText w:val="%1"/>
      <w:numFmt w:val="lowerRoman"/>
      <w:start w:val="1"/>
    </w:lvl>
    <w:lvl w:ilvl="1">
      <w:lvlJc w:val="left"/>
      <w:lvlText w:val="%2."/>
      <w:numFmt w:val="lowerLetter"/>
      <w:start w:val="1"/>
    </w:lvl>
    <w:lvl w:ilvl="2">
      <w:lvlJc w:val="left"/>
      <w:lvlText w:val="%3"/>
      <w:numFmt w:val="lowerLetter"/>
      <w:start w:val="1"/>
    </w:lvl>
  </w:abstractNum>
  <w:abstractNum w:abstractNumId="843">
    <w:nsid w:val="4355F8FF"/>
    <w:multiLevelType w:val="hybridMultilevel"/>
    <w:lvl w:ilvl="0">
      <w:lvlJc w:val="left"/>
      <w:lvlText w:val="(%1)"/>
      <w:numFmt w:val="lowerRoman"/>
      <w:start w:val="2"/>
    </w:lvl>
    <w:lvl w:ilvl="1">
      <w:lvlJc w:val="left"/>
      <w:lvlText w:val="%2."/>
      <w:numFmt w:val="lowerLetter"/>
      <w:start w:val="1"/>
    </w:lvl>
    <w:lvl w:ilvl="2">
      <w:lvlJc w:val="left"/>
      <w:lvlText w:val="%3."/>
      <w:numFmt w:val="lowerLetter"/>
      <w:start w:val="1"/>
    </w:lvl>
  </w:abstractNum>
  <w:abstractNum w:abstractNumId="844">
    <w:nsid w:val="67C80002"/>
    <w:multiLevelType w:val="hybridMultilevel"/>
    <w:lvl w:ilvl="0">
      <w:lvlJc w:val="left"/>
      <w:lvlText w:val="%1"/>
      <w:numFmt w:val="upperLetter"/>
      <w:start w:val="1"/>
    </w:lvl>
    <w:lvl w:ilvl="1">
      <w:lvlJc w:val="left"/>
      <w:lvlText w:val="%2"/>
      <w:numFmt w:val="lowerRoman"/>
      <w:start w:val="1"/>
    </w:lvl>
    <w:lvl w:ilvl="2">
      <w:lvlJc w:val="left"/>
      <w:lvlText w:val="%3."/>
      <w:numFmt w:val="lowerLetter"/>
      <w:start w:val="3"/>
    </w:lvl>
  </w:abstractNum>
  <w:abstractNum w:abstractNumId="845">
    <w:nsid w:val="73DA3325"/>
    <w:multiLevelType w:val="hybridMultilevel"/>
    <w:lvl w:ilvl="0">
      <w:lvlJc w:val="left"/>
      <w:lvlText w:val="%1"/>
      <w:numFmt w:val="upperLetter"/>
      <w:start w:val="1"/>
    </w:lvl>
    <w:lvl w:ilvl="1">
      <w:lvlJc w:val="left"/>
      <w:lvlText w:val="(%2)"/>
      <w:numFmt w:val="lowerRoman"/>
      <w:start w:val="5"/>
    </w:lvl>
    <w:lvl w:ilvl="2">
      <w:lvlJc w:val="left"/>
      <w:lvlText w:val="%3"/>
      <w:numFmt w:val="lowerLetter"/>
      <w:start w:val="1"/>
    </w:lvl>
  </w:abstractNum>
  <w:abstractNum w:abstractNumId="846">
    <w:nsid w:val="41EF7456"/>
    <w:multiLevelType w:val="hybridMultilevel"/>
    <w:lvl w:ilvl="0">
      <w:lvlJc w:val="left"/>
      <w:lvlText w:val="(%1)"/>
      <w:numFmt w:val="upperLetter"/>
      <w:start w:val="4"/>
    </w:lvl>
    <w:lvl w:ilvl="1">
      <w:lvlJc w:val="left"/>
      <w:lvlText w:val="(%2)"/>
      <w:numFmt w:val="lowerRoman"/>
      <w:start w:val="1"/>
    </w:lvl>
    <w:lvl w:ilvl="2">
      <w:lvlJc w:val="left"/>
      <w:lvlText w:val="%3"/>
      <w:numFmt w:val="lowerLetter"/>
      <w:start w:val="1"/>
    </w:lvl>
  </w:abstractNum>
  <w:abstractNum w:abstractNumId="847">
    <w:nsid w:val="13824822"/>
    <w:multiLevelType w:val="hybridMultilevel"/>
    <w:lvl w:ilvl="0">
      <w:lvlJc w:val="left"/>
      <w:lvlText w:val="(%1)"/>
      <w:numFmt w:val="upperLetter"/>
      <w:start w:val="35"/>
    </w:lvl>
  </w:abstractNum>
  <w:abstractNum w:abstractNumId="848">
    <w:nsid w:val="19F4EEFA"/>
    <w:multiLevelType w:val="hybridMultilevel"/>
    <w:lvl w:ilvl="0">
      <w:lvlJc w:val="left"/>
      <w:lvlText w:val="(%1)"/>
      <w:numFmt w:val="upperLetter"/>
      <w:start w:val="1"/>
    </w:lvl>
    <w:lvl w:ilvl="1">
      <w:lvlJc w:val="left"/>
      <w:lvlText w:val="(%2)"/>
      <w:numFmt w:val="lowerLetter"/>
      <w:start w:val="9"/>
    </w:lvl>
    <w:lvl w:ilvl="2">
      <w:lvlJc w:val="left"/>
      <w:lvlText w:val="(%3)"/>
      <w:numFmt w:val="lowerLetter"/>
      <w:start w:val="1"/>
    </w:lvl>
  </w:abstractNum>
  <w:abstractNum w:abstractNumId="849">
    <w:nsid w:val="51322F64"/>
    <w:multiLevelType w:val="hybridMultilevel"/>
    <w:lvl w:ilvl="0">
      <w:lvlJc w:val="left"/>
      <w:lvlText w:val="(%1)"/>
      <w:numFmt w:val="lowerLetter"/>
      <w:start w:val="2"/>
    </w:lvl>
  </w:abstractNum>
  <w:abstractNum w:abstractNumId="850">
    <w:nsid w:val="41AAC236"/>
    <w:multiLevelType w:val="hybridMultilevel"/>
    <w:lvl w:ilvl="0">
      <w:lvlJc w:val="left"/>
      <w:lvlText w:val="%1"/>
      <w:numFmt w:val="lowerLetter"/>
      <w:start w:val="1"/>
    </w:lvl>
    <w:lvl w:ilvl="1">
      <w:lvlJc w:val="left"/>
      <w:lvlText w:val="(%2)"/>
      <w:numFmt w:val="lowerLetter"/>
      <w:start w:val="6"/>
    </w:lvl>
    <w:lvl w:ilvl="2">
      <w:lvlJc w:val="left"/>
      <w:lvlText w:val=""/>
      <w:numFmt w:val="bullet"/>
      <w:start w:val="1"/>
    </w:lvl>
    <w:lvl w:ilvl="3">
      <w:lvlJc w:val="left"/>
      <w:lvlText w:val="%4."/>
      <w:numFmt w:val="lowerRoman"/>
      <w:start w:val="1"/>
    </w:lvl>
  </w:abstractNum>
  <w:abstractNum w:abstractNumId="851">
    <w:nsid w:val="1033BD58"/>
    <w:multiLevelType w:val="hybridMultilevel"/>
    <w:lvl w:ilvl="0">
      <w:lvlJc w:val="left"/>
      <w:lvlText w:val="(%1)"/>
      <w:numFmt w:val="lowerLetter"/>
      <w:start w:val="35"/>
    </w:lvl>
    <w:lvl w:ilvl="1">
      <w:lvlJc w:val="left"/>
      <w:lvlText w:val="(%2)"/>
      <w:numFmt w:val="lowerLetter"/>
      <w:start w:val="1"/>
    </w:lvl>
    <w:lvl w:ilvl="2">
      <w:lvlJc w:val="left"/>
      <w:lvlText w:val=""/>
      <w:numFmt w:val="bullet"/>
      <w:start w:val="1"/>
    </w:lvl>
    <w:lvl w:ilvl="3">
      <w:lvlJc w:val="left"/>
      <w:lvlText w:val="%4"/>
      <w:numFmt w:val="lowerRoman"/>
      <w:start w:val="1"/>
    </w:lvl>
  </w:abstractNum>
  <w:abstractNum w:abstractNumId="852">
    <w:nsid w:val="474BDAEB"/>
    <w:multiLevelType w:val="hybridMultilevel"/>
    <w:lvl w:ilvl="0">
      <w:lvlJc w:val="left"/>
      <w:lvlText w:val="%1"/>
      <w:numFmt w:val="upperLetter"/>
      <w:start w:val="1"/>
    </w:lvl>
    <w:lvl w:ilvl="1">
      <w:lvlJc w:val="left"/>
      <w:lvlText w:val="%2"/>
      <w:numFmt w:val="lowerRoman"/>
      <w:start w:val="1"/>
    </w:lvl>
    <w:lvl w:ilvl="2">
      <w:lvlJc w:val="left"/>
      <w:lvlText w:val=""/>
      <w:numFmt w:val="bullet"/>
      <w:start w:val="1"/>
    </w:lvl>
    <w:lvl w:ilvl="3">
      <w:lvlJc w:val="left"/>
      <w:lvlText w:val="(%4)"/>
      <w:numFmt w:val="lowerLetter"/>
      <w:start w:val="3"/>
    </w:lvl>
  </w:abstractNum>
  <w:abstractNum w:abstractNumId="853">
    <w:nsid w:val="1931676"/>
    <w:multiLevelType w:val="hybridMultilevel"/>
    <w:lvl w:ilvl="0">
      <w:lvlJc w:val="left"/>
      <w:lvlText w:val="(%1)"/>
      <w:numFmt w:val="upperLetter"/>
      <w:start w:val="2"/>
    </w:lvl>
    <w:lvl w:ilvl="1">
      <w:lvlJc w:val="left"/>
      <w:lvlText w:val="(%2)"/>
      <w:numFmt w:val="lowerRoman"/>
      <w:start w:val="1"/>
    </w:lvl>
    <w:lvl w:ilvl="2">
      <w:lvlJc w:val="left"/>
      <w:lvlText w:val=""/>
      <w:numFmt w:val="bullet"/>
      <w:start w:val="1"/>
    </w:lvl>
    <w:lvl w:ilvl="3">
      <w:lvlJc w:val="left"/>
      <w:lvlText w:val="%4"/>
      <w:numFmt w:val="lowerLetter"/>
      <w:start w:val="1"/>
    </w:lvl>
  </w:abstractNum>
  <w:abstractNum w:abstractNumId="854">
    <w:nsid w:val="667D97A5"/>
    <w:multiLevelType w:val="hybridMultilevel"/>
    <w:lvl w:ilvl="0">
      <w:lvlJc w:val="left"/>
      <w:lvlText w:val="%1"/>
      <w:numFmt w:val="upperLetter"/>
      <w:start w:val="1"/>
    </w:lvl>
    <w:lvl w:ilvl="1">
      <w:lvlJc w:val="left"/>
      <w:lvlText w:val="(%2)"/>
      <w:numFmt w:val="lowerRoman"/>
      <w:start w:val="3"/>
    </w:lvl>
    <w:lvl w:ilvl="2">
      <w:lvlJc w:val="left"/>
      <w:lvlText w:val="%3"/>
      <w:numFmt w:val="lowerLetter"/>
      <w:start w:val="1"/>
    </w:lvl>
  </w:abstractNum>
  <w:abstractNum w:abstractNumId="855">
    <w:nsid w:val="109B3C30"/>
    <w:multiLevelType w:val="hybridMultilevel"/>
    <w:lvl w:ilvl="0">
      <w:lvlJc w:val="left"/>
      <w:lvlText w:val="(%1)"/>
      <w:numFmt w:val="upperLetter"/>
      <w:start w:val="3"/>
    </w:lvl>
    <w:lvl w:ilvl="1">
      <w:lvlJc w:val="left"/>
      <w:lvlText w:val="(%2)"/>
      <w:numFmt w:val="lowerRoman"/>
      <w:start w:val="1"/>
    </w:lvl>
    <w:lvl w:ilvl="2">
      <w:lvlJc w:val="left"/>
      <w:lvlText w:val="%3."/>
      <w:numFmt w:val="lowerLetter"/>
      <w:start w:val="1"/>
    </w:lvl>
  </w:abstractNum>
  <w:abstractNum w:abstractNumId="856">
    <w:nsid w:val="16EE013A"/>
    <w:multiLevelType w:val="hybridMultilevel"/>
    <w:lvl w:ilvl="0">
      <w:lvlJc w:val="left"/>
      <w:lvlText w:val="%1"/>
      <w:numFmt w:val="lowerRoman"/>
      <w:start w:val="1"/>
    </w:lvl>
    <w:lvl w:ilvl="1">
      <w:lvlJc w:val="left"/>
      <w:lvlText w:val="%2"/>
      <w:numFmt w:val="lowerRoman"/>
      <w:start w:val="1"/>
    </w:lvl>
    <w:lvl w:ilvl="2">
      <w:lvlJc w:val="left"/>
      <w:lvlText w:val="%3."/>
      <w:numFmt w:val="lowerLetter"/>
      <w:start w:val="3"/>
    </w:lvl>
  </w:abstractNum>
  <w:abstractNum w:abstractNumId="857">
    <w:nsid w:val="4AC47BF1"/>
    <w:multiLevelType w:val="hybridMultilevel"/>
    <w:lvl w:ilvl="0">
      <w:lvlJc w:val="left"/>
      <w:lvlText w:val="(%1)"/>
      <w:numFmt w:val="lowerRoman"/>
      <w:start w:val="2"/>
    </w:lvl>
    <w:lvl w:ilvl="1">
      <w:lvlJc w:val="left"/>
      <w:lvlText w:val="(%2)"/>
      <w:numFmt w:val="lowerRoman"/>
      <w:start w:val="3"/>
    </w:lvl>
    <w:lvl w:ilvl="2">
      <w:lvlJc w:val="left"/>
      <w:lvlText w:val="%3."/>
      <w:numFmt w:val="lowerLetter"/>
      <w:start w:val="1"/>
    </w:lvl>
  </w:abstractNum>
  <w:abstractNum w:abstractNumId="858">
    <w:nsid w:val="392AE607"/>
    <w:multiLevelType w:val="hybridMultilevel"/>
    <w:lvl w:ilvl="0">
      <w:lvlJc w:val="left"/>
      <w:lvlText w:val="%1"/>
      <w:numFmt w:val="upperLetter"/>
      <w:start w:val="1"/>
    </w:lvl>
    <w:lvl w:ilvl="1">
      <w:lvlJc w:val="left"/>
      <w:lvlText w:val="%2"/>
      <w:numFmt w:val="lowerRoman"/>
      <w:start w:val="1"/>
    </w:lvl>
    <w:lvl w:ilvl="2">
      <w:lvlJc w:val="left"/>
      <w:lvlText w:val="%3"/>
      <w:numFmt w:val="lowerRoman"/>
      <w:start w:val="1"/>
    </w:lvl>
    <w:lvl w:ilvl="3">
      <w:lvlJc w:val="left"/>
      <w:lvlText w:val="%4."/>
      <w:numFmt w:val="lowerLetter"/>
      <w:start w:val="4"/>
    </w:lvl>
  </w:abstractNum>
  <w:abstractNum w:abstractNumId="859">
    <w:nsid w:val="7F1CC41"/>
    <w:multiLevelType w:val="hybridMultilevel"/>
    <w:lvl w:ilvl="0">
      <w:lvlJc w:val="left"/>
      <w:lvlText w:val="%1"/>
      <w:numFmt w:val="upperLetter"/>
      <w:start w:val="1"/>
    </w:lvl>
    <w:lvl w:ilvl="1">
      <w:lvlJc w:val="left"/>
      <w:lvlText w:val="%2"/>
      <w:numFmt w:val="lowerRoman"/>
      <w:start w:val="1"/>
    </w:lvl>
    <w:lvl w:ilvl="2">
      <w:lvlJc w:val="left"/>
      <w:lvlText w:val="(%3)"/>
      <w:numFmt w:val="lowerRoman"/>
      <w:start w:val="5"/>
    </w:lvl>
    <w:lvl w:ilvl="3">
      <w:lvlJc w:val="left"/>
      <w:lvlText w:val="%4"/>
      <w:numFmt w:val="lowerLetter"/>
      <w:start w:val="1"/>
    </w:lvl>
  </w:abstractNum>
  <w:abstractNum w:abstractNumId="860">
    <w:nsid w:val="3A5E689"/>
    <w:multiLevelType w:val="hybridMultilevel"/>
    <w:lvl w:ilvl="0">
      <w:lvlJc w:val="left"/>
      <w:lvlText w:val="(%1)"/>
      <w:numFmt w:val="upperLetter"/>
      <w:start w:val="4"/>
    </w:lvl>
    <w:lvl w:ilvl="1">
      <w:lvlJc w:val="left"/>
      <w:lvlText w:val="(%2)"/>
      <w:numFmt w:val="lowerRoman"/>
      <w:start w:val="1"/>
    </w:lvl>
    <w:lvl w:ilvl="2">
      <w:lvlJc w:val="left"/>
      <w:lvlText w:val="%3"/>
      <w:numFmt w:val="lowerRoman"/>
      <w:start w:val="1"/>
    </w:lvl>
    <w:lvl w:ilvl="3">
      <w:lvlJc w:val="left"/>
      <w:lvlText w:val="%4"/>
      <w:numFmt w:val="lowerLetter"/>
      <w:start w:val="1"/>
    </w:lvl>
  </w:abstractNum>
  <w:abstractNum w:abstractNumId="861">
    <w:nsid w:val="D1C9241"/>
    <w:multiLevelType w:val="hybridMultilevel"/>
    <w:lvl w:ilvl="0">
      <w:lvlJc w:val="left"/>
      <w:lvlText w:val="(%1)"/>
      <w:numFmt w:val="upperLetter"/>
      <w:start w:val="61"/>
    </w:lvl>
    <w:lvl w:ilvl="1">
      <w:lvlJc w:val="left"/>
      <w:lvlText w:val="(%2)"/>
      <w:numFmt w:val="lowerRoman"/>
      <w:start w:val="1"/>
    </w:lvl>
    <w:lvl w:ilvl="2">
      <w:lvlJc w:val="left"/>
      <w:lvlText w:val="(%3)"/>
      <w:numFmt w:val="upperLetter"/>
      <w:start w:val="2"/>
    </w:lvl>
  </w:abstractNum>
  <w:abstractNum w:abstractNumId="862">
    <w:nsid w:val="319226A8"/>
    <w:multiLevelType w:val="hybridMultilevel"/>
    <w:lvl w:ilvl="0">
      <w:lvlJc w:val="left"/>
      <w:lvlText w:val="%1"/>
      <w:numFmt w:val="lowerRoman"/>
      <w:start w:val="1"/>
    </w:lvl>
    <w:lvl w:ilvl="1">
      <w:lvlJc w:val="left"/>
      <w:lvlText w:val="%2."/>
      <w:numFmt w:val="lowerLetter"/>
      <w:start w:val="1"/>
    </w:lvl>
  </w:abstractNum>
  <w:abstractNum w:abstractNumId="863">
    <w:nsid w:val="62C31166"/>
    <w:multiLevelType w:val="hybridMultilevel"/>
    <w:lvl w:ilvl="0">
      <w:lvlJc w:val="left"/>
      <w:lvlText w:val="(%1)"/>
      <w:numFmt w:val="lowerRoman"/>
      <w:start w:val="2"/>
    </w:lvl>
    <w:lvl w:ilvl="1">
      <w:lvlJc w:val="left"/>
      <w:lvlText w:val="%2."/>
      <w:numFmt w:val="lowerLetter"/>
      <w:start w:val="1"/>
    </w:lvl>
  </w:abstractNum>
  <w:abstractNum w:abstractNumId="864">
    <w:nsid w:val="6FB94202"/>
    <w:multiLevelType w:val="hybridMultilevel"/>
    <w:lvl w:ilvl="0">
      <w:lvlJc w:val="left"/>
      <w:lvlText w:val="%1"/>
      <w:numFmt w:val="lowerRoman"/>
      <w:start w:val="1"/>
    </w:lvl>
    <w:lvl w:ilvl="1">
      <w:lvlJc w:val="left"/>
      <w:lvlText w:val="%2."/>
      <w:numFmt w:val="lowerLetter"/>
      <w:start w:val="2"/>
    </w:lvl>
    <w:lvl w:ilvl="2">
      <w:lvlJc w:val="left"/>
      <w:lvlText w:val=""/>
      <w:numFmt w:val="bullet"/>
      <w:start w:val="1"/>
    </w:lvl>
  </w:abstractNum>
  <w:abstractNum w:abstractNumId="865">
    <w:nsid w:val="2757C8D8"/>
    <w:multiLevelType w:val="hybridMultilevel"/>
    <w:lvl w:ilvl="0">
      <w:lvlJc w:val="left"/>
      <w:lvlText w:val="(%1)"/>
      <w:numFmt w:val="lowerRoman"/>
      <w:start w:val="4"/>
    </w:lvl>
    <w:lvl w:ilvl="1">
      <w:lvlJc w:val="left"/>
      <w:lvlText w:val="%2."/>
      <w:numFmt w:val="lowerLetter"/>
      <w:start w:val="1"/>
    </w:lvl>
    <w:lvl w:ilvl="2">
      <w:lvlJc w:val="left"/>
      <w:lvlText w:val=""/>
      <w:numFmt w:val="bullet"/>
      <w:start w:val="1"/>
    </w:lvl>
  </w:abstractNum>
  <w:abstractNum w:abstractNumId="866">
    <w:nsid w:val="3FC376E5"/>
    <w:multiLevelType w:val="hybridMultilevel"/>
    <w:lvl w:ilvl="0">
      <w:lvlJc w:val="left"/>
      <w:lvlText w:val="(%1)"/>
      <w:numFmt w:val="lowerRoman"/>
      <w:start w:val="9"/>
    </w:lvl>
    <w:lvl w:ilvl="1">
      <w:lvlJc w:val="left"/>
      <w:lvlText w:val="%2."/>
      <w:numFmt w:val="lowerLetter"/>
      <w:start w:val="1"/>
    </w:lvl>
  </w:abstractNum>
  <w:abstractNum w:abstractNumId="867">
    <w:nsid w:val="6B92899B"/>
    <w:multiLevelType w:val="hybridMultilevel"/>
    <w:lvl w:ilvl="0">
      <w:lvlJc w:val="left"/>
      <w:lvlText w:val="%1"/>
      <w:numFmt w:val="lowerRoman"/>
      <w:start w:val="1"/>
    </w:lvl>
    <w:lvl w:ilvl="1">
      <w:lvlJc w:val="left"/>
      <w:lvlText w:val="%2"/>
      <w:numFmt w:val="lowerLetter"/>
      <w:start w:val="1"/>
    </w:lvl>
    <w:lvl w:ilvl="2">
      <w:lvlJc w:val="left"/>
      <w:lvlText w:val="%3."/>
      <w:numFmt w:val="lowerLetter"/>
      <w:start w:val="1"/>
    </w:lvl>
  </w:abstractNum>
  <w:abstractNum w:abstractNumId="868">
    <w:nsid w:val="66BDA96E"/>
    <w:multiLevelType w:val="hybridMultilevel"/>
    <w:lvl w:ilvl="0">
      <w:lvlJc w:val="left"/>
      <w:lvlText w:val="(%1)"/>
      <w:numFmt w:val="lowerRoman"/>
      <w:start w:val="14"/>
    </w:lvl>
    <w:lvl w:ilvl="1">
      <w:lvlJc w:val="left"/>
      <w:lvlText w:val="%2."/>
      <w:numFmt w:val="lowerLetter"/>
      <w:start w:val="1"/>
    </w:lvl>
    <w:lvl w:ilvl="2">
      <w:lvlJc w:val="left"/>
      <w:lvlText w:val="%3"/>
      <w:numFmt w:val="lowerLetter"/>
      <w:start w:val="1"/>
    </w:lvl>
  </w:abstractNum>
  <w:abstractNum w:abstractNumId="869">
    <w:nsid w:val="63F76391"/>
    <w:multiLevelType w:val="hybridMultilevel"/>
    <w:lvl w:ilvl="0">
      <w:lvlJc w:val="left"/>
      <w:lvlText w:val="%1"/>
      <w:numFmt w:val="decimal"/>
      <w:start w:val="1"/>
    </w:lvl>
    <w:lvl w:ilvl="1">
      <w:lvlJc w:val="left"/>
      <w:lvlText w:val="%2."/>
      <w:numFmt w:val="lowerLetter"/>
      <w:start w:val="6"/>
    </w:lvl>
  </w:abstractNum>
  <w:abstractNum w:abstractNumId="870">
    <w:nsid w:val="1201EF18"/>
    <w:multiLevelType w:val="hybridMultilevel"/>
    <w:lvl w:ilvl="0">
      <w:lvlJc w:val="left"/>
      <w:lvlText w:val="(%1)"/>
      <w:numFmt w:val="decimal"/>
      <w:start w:val="12"/>
    </w:lvl>
    <w:lvl w:ilvl="1">
      <w:lvlJc w:val="left"/>
      <w:lvlText w:val="%2"/>
      <w:numFmt w:val="lowerLetter"/>
      <w:start w:val="1"/>
    </w:lvl>
  </w:abstractNum>
  <w:abstractNum w:abstractNumId="871">
    <w:nsid w:val="73E262B9"/>
    <w:multiLevelType w:val="hybridMultilevel"/>
    <w:lvl w:ilvl="0">
      <w:lvlJc w:val="left"/>
      <w:lvlText w:val="(%1)"/>
      <w:numFmt w:val="upperLetter"/>
      <w:start w:val="1"/>
    </w:lvl>
    <w:lvl w:ilvl="1">
      <w:lvlJc w:val="left"/>
      <w:lvlText w:val="(%2)"/>
      <w:numFmt w:val="decimal"/>
      <w:start w:val="1"/>
    </w:lvl>
    <w:lvl w:ilvl="2">
      <w:lvlJc w:val="left"/>
      <w:lvlText w:val="(%3)"/>
      <w:numFmt w:val="decimal"/>
      <w:start w:val="1"/>
    </w:lvl>
    <w:lvl w:ilvl="3">
      <w:lvlJc w:val="left"/>
      <w:lvlText w:val="(%4)"/>
      <w:numFmt w:val="decimal"/>
      <w:start w:val="2"/>
    </w:lvl>
    <w:lvl w:ilvl="4">
      <w:lvlJc w:val="left"/>
      <w:lvlText w:val="(%5)"/>
      <w:numFmt w:val="lowerRoman"/>
      <w:start w:val="1"/>
    </w:lvl>
  </w:abstractNum>
  <w:abstractNum w:abstractNumId="872">
    <w:nsid w:val="8F3EAE3"/>
    <w:multiLevelType w:val="hybridMultilevel"/>
    <w:lvl w:ilvl="0">
      <w:lvlJc w:val="left"/>
      <w:lvlText w:val="%1"/>
      <w:numFmt w:val="decimal"/>
      <w:start w:val="1"/>
    </w:lvl>
    <w:lvl w:ilvl="1">
      <w:lvlJc w:val="left"/>
      <w:lvlText w:val="%2"/>
      <w:numFmt w:val="upperLetter"/>
      <w:start w:val="1"/>
    </w:lvl>
    <w:lvl w:ilvl="2">
      <w:lvlJc w:val="left"/>
      <w:lvlText w:val="%3"/>
      <w:numFmt w:val="upperLetter"/>
      <w:start w:val="1"/>
    </w:lvl>
    <w:lvl w:ilvl="3">
      <w:lvlJc w:val="left"/>
      <w:lvlText w:val="%4"/>
      <w:numFmt w:val="lowerRoman"/>
      <w:start w:val="1"/>
    </w:lvl>
    <w:lvl w:ilvl="4">
      <w:lvlJc w:val="left"/>
      <w:lvlText w:val="(%5)"/>
      <w:numFmt w:val="decimal"/>
      <w:start w:val="4"/>
    </w:lvl>
    <w:lvl w:ilvl="5">
      <w:lvlJc w:val="left"/>
      <w:lvlText w:val="%6"/>
      <w:numFmt w:val="decimal"/>
      <w:start w:val="1"/>
    </w:lvl>
    <w:lvl w:ilvl="6">
      <w:lvlJc w:val="left"/>
      <w:lvlText w:val="(%7)"/>
      <w:numFmt w:val="lowerLetter"/>
      <w:start w:val="1"/>
    </w:lvl>
  </w:abstractNum>
  <w:abstractNum w:abstractNumId="873">
    <w:nsid w:val="3ED5885B"/>
    <w:multiLevelType w:val="hybridMultilevel"/>
    <w:lvl w:ilvl="0">
      <w:lvlJc w:val="left"/>
      <w:lvlText w:val="%1"/>
      <w:numFmt w:val="decimal"/>
      <w:start w:val="1"/>
    </w:lvl>
    <w:lvl w:ilvl="1">
      <w:lvlJc w:val="left"/>
      <w:lvlText w:val="%2"/>
      <w:numFmt w:val="upperLetter"/>
      <w:start w:val="1"/>
    </w:lvl>
    <w:lvl w:ilvl="2">
      <w:lvlJc w:val="left"/>
      <w:lvlText w:val="(%3)"/>
      <w:numFmt w:val="upperLetter"/>
      <w:start w:val="2"/>
    </w:lvl>
    <w:lvl w:ilvl="3">
      <w:lvlJc w:val="left"/>
      <w:lvlText w:val="%4"/>
      <w:numFmt w:val="lowerRoman"/>
      <w:start w:val="1"/>
    </w:lvl>
    <w:lvl w:ilvl="4">
      <w:lvlJc w:val="left"/>
      <w:lvlText w:val="%5"/>
      <w:numFmt w:val="decimal"/>
      <w:start w:val="1"/>
    </w:lvl>
    <w:lvl w:ilvl="5">
      <w:lvlJc w:val="left"/>
      <w:lvlText w:val="(%6)"/>
      <w:numFmt w:val="decimal"/>
      <w:start w:val="1"/>
    </w:lvl>
    <w:lvl w:ilvl="6">
      <w:lvlJc w:val="left"/>
      <w:lvlText w:val="%7"/>
      <w:numFmt w:val="lowerLetter"/>
      <w:start w:val="1"/>
    </w:lvl>
  </w:abstractNum>
  <w:abstractNum w:abstractNumId="874">
    <w:nsid w:val="37385BB8"/>
    <w:multiLevelType w:val="hybridMultilevel"/>
    <w:lvl w:ilvl="0">
      <w:lvlJc w:val="left"/>
      <w:lvlText w:val="(%1)"/>
      <w:numFmt w:val="decimal"/>
      <w:start w:val="13"/>
    </w:lvl>
    <w:lvl w:ilvl="1">
      <w:lvlJc w:val="left"/>
      <w:lvlText w:val="(%2)"/>
      <w:numFmt w:val="upperLetter"/>
      <w:start w:val="1"/>
    </w:lvl>
    <w:lvl w:ilvl="2">
      <w:lvlJc w:val="left"/>
      <w:lvlText w:val="%3"/>
      <w:numFmt w:val="upperLetter"/>
      <w:start w:val="1"/>
    </w:lvl>
    <w:lvl w:ilvl="3">
      <w:lvlJc w:val="left"/>
      <w:lvlText w:val="(%4)"/>
      <w:numFmt w:val="lowerRoman"/>
      <w:start w:val="1"/>
    </w:lvl>
    <w:lvl w:ilvl="4">
      <w:lvlJc w:val="left"/>
      <w:lvlText w:val="%5"/>
      <w:numFmt w:val="decimal"/>
      <w:start w:val="1"/>
    </w:lvl>
    <w:lvl w:ilvl="5">
      <w:lvlJc w:val="left"/>
      <w:lvlText w:val="%6"/>
      <w:numFmt w:val="decimal"/>
      <w:start w:val="1"/>
    </w:lvl>
    <w:lvl w:ilvl="6">
      <w:lvlJc w:val="left"/>
      <w:lvlText w:val="%7"/>
      <w:numFmt w:val="lowerLetter"/>
      <w:start w:val="1"/>
    </w:lvl>
  </w:abstractNum>
  <w:abstractNum w:abstractNumId="875">
    <w:nsid w:val="70BBEAE6"/>
    <w:multiLevelType w:val="hybridMultilevel"/>
    <w:lvl w:ilvl="0">
      <w:lvlJc w:val="left"/>
      <w:lvlText w:val="%1"/>
      <w:numFmt w:val="upperLetter"/>
      <w:start w:val="1"/>
    </w:lvl>
    <w:lvl w:ilvl="1">
      <w:lvlJc w:val="left"/>
      <w:lvlText w:val="(%2)"/>
      <w:numFmt w:val="lowerRoman"/>
      <w:start w:val="4"/>
    </w:lvl>
  </w:abstractNum>
  <w:abstractNum w:abstractNumId="876">
    <w:nsid w:val="32AFBB81"/>
    <w:multiLevelType w:val="hybridMultilevel"/>
    <w:lvl w:ilvl="0">
      <w:lvlJc w:val="left"/>
      <w:lvlText w:val="(%1)"/>
      <w:numFmt w:val="upperLetter"/>
      <w:start w:val="2"/>
    </w:lvl>
    <w:lvl w:ilvl="1">
      <w:lvlJc w:val="left"/>
      <w:lvlText w:val="(%2)"/>
      <w:numFmt w:val="lowerRoman"/>
      <w:start w:val="1"/>
    </w:lvl>
  </w:abstractNum>
  <w:abstractNum w:abstractNumId="877">
    <w:nsid w:val="7927D00E"/>
    <w:multiLevelType w:val="hybridMultilevel"/>
    <w:lvl w:ilvl="0">
      <w:lvlJc w:val="left"/>
      <w:lvlText w:val="%1"/>
      <w:numFmt w:val="decimal"/>
      <w:start w:val="1"/>
    </w:lvl>
    <w:lvl w:ilvl="1">
      <w:lvlJc w:val="left"/>
      <w:lvlText w:val="%2"/>
      <w:numFmt w:val="upperLetter"/>
      <w:start w:val="1"/>
    </w:lvl>
    <w:lvl w:ilvl="2">
      <w:lvlJc w:val="left"/>
      <w:lvlText w:val="(%3)"/>
      <w:numFmt w:val="lowerRoman"/>
      <w:start w:val="1"/>
    </w:lvl>
    <w:lvl w:ilvl="3">
      <w:lvlJc w:val="left"/>
      <w:lvlText w:val="%4"/>
      <w:numFmt w:val="decimal"/>
      <w:start w:val="1"/>
    </w:lvl>
  </w:abstractNum>
  <w:abstractNum w:abstractNumId="878">
    <w:nsid w:val="43E3308"/>
    <w:multiLevelType w:val="hybridMultilevel"/>
    <w:lvl w:ilvl="0">
      <w:lvlJc w:val="left"/>
      <w:lvlText w:val="(%1)"/>
      <w:numFmt w:val="decimal"/>
      <w:start w:val="14"/>
    </w:lvl>
    <w:lvl w:ilvl="1">
      <w:lvlJc w:val="left"/>
      <w:lvlText w:val="(%2)"/>
      <w:numFmt w:val="upperLetter"/>
      <w:start w:val="1"/>
    </w:lvl>
    <w:lvl w:ilvl="2">
      <w:lvlJc w:val="left"/>
      <w:lvlText w:val="%3"/>
      <w:numFmt w:val="lowerRoman"/>
      <w:start w:val="1"/>
    </w:lvl>
    <w:lvl w:ilvl="3">
      <w:lvlJc w:val="left"/>
      <w:lvlText w:val="(%4)"/>
      <w:numFmt w:val="decimal"/>
      <w:start w:val="1"/>
    </w:lvl>
  </w:abstractNum>
  <w:abstractNum w:abstractNumId="879">
    <w:nsid w:val="4CA4AA7B"/>
    <w:multiLevelType w:val="hybridMultilevel"/>
    <w:lvl w:ilvl="0">
      <w:lvlJc w:val="left"/>
      <w:lvlText w:val="%1"/>
      <w:numFmt w:val="upperLetter"/>
      <w:start w:val="1"/>
    </w:lvl>
    <w:lvl w:ilvl="1">
      <w:lvlJc w:val="left"/>
      <w:lvlText w:val="(%2)"/>
      <w:numFmt w:val="decimal"/>
      <w:start w:val="2"/>
    </w:lvl>
  </w:abstractNum>
  <w:abstractNum w:abstractNumId="880">
    <w:nsid w:val="4A59FF72"/>
    <w:multiLevelType w:val="hybridMultilevel"/>
    <w:lvl w:ilvl="0">
      <w:lvlJc w:val="left"/>
      <w:lvlText w:val="(%1)"/>
      <w:numFmt w:val="upperLetter"/>
      <w:start w:val="8"/>
    </w:lvl>
    <w:lvl w:ilvl="1">
      <w:lvlJc w:val="left"/>
      <w:lvlText w:val="%2"/>
      <w:numFmt w:val="decimal"/>
      <w:start w:val="1"/>
    </w:lvl>
  </w:abstractNum>
  <w:abstractNum w:abstractNumId="881">
    <w:nsid w:val="45E8F53E"/>
    <w:multiLevelType w:val="hybridMultilevel"/>
    <w:lvl w:ilvl="0">
      <w:lvlJc w:val="left"/>
      <w:lvlText w:val="(%1)"/>
      <w:numFmt w:val="upperLetter"/>
      <w:start w:val="11"/>
    </w:lvl>
    <w:lvl w:ilvl="1">
      <w:lvlJc w:val="left"/>
      <w:lvlText w:val="(%2)"/>
      <w:numFmt w:val="decimal"/>
      <w:start w:val="1"/>
    </w:lvl>
    <w:lvl w:ilvl="2">
      <w:lvlJc w:val="left"/>
      <w:lvlText w:val="(%3)"/>
      <w:numFmt w:val="lowerLetter"/>
      <w:start w:val="1"/>
    </w:lvl>
  </w:abstractNum>
  <w:abstractNum w:abstractNumId="882">
    <w:nsid w:val="5CD867D3"/>
    <w:multiLevelType w:val="hybridMultilevel"/>
    <w:lvl w:ilvl="0">
      <w:lvlJc w:val="left"/>
      <w:lvlText w:val="%1"/>
      <w:numFmt w:val="upperLetter"/>
      <w:start w:val="1"/>
    </w:lvl>
    <w:lvl w:ilvl="1">
      <w:lvlJc w:val="left"/>
      <w:lvlText w:val="(%2)"/>
      <w:numFmt w:val="lowerLetter"/>
      <w:start w:val="2"/>
    </w:lvl>
  </w:abstractNum>
  <w:abstractNum w:abstractNumId="883">
    <w:nsid w:val="11A5DA5E"/>
    <w:multiLevelType w:val="hybridMultilevel"/>
    <w:lvl w:ilvl="0">
      <w:lvlJc w:val="left"/>
      <w:lvlText w:val="(%1)"/>
      <w:numFmt w:val="upperLetter"/>
      <w:start w:val="18"/>
    </w:lvl>
    <w:lvl w:ilvl="1">
      <w:lvlJc w:val="left"/>
      <w:lvlText w:val="%2"/>
      <w:numFmt w:val="lowerLetter"/>
      <w:start w:val="1"/>
    </w:lvl>
  </w:abstractNum>
  <w:abstractNum w:abstractNumId="884">
    <w:nsid w:val="477C0BB4"/>
    <w:multiLevelType w:val="hybridMultilevel"/>
    <w:lvl w:ilvl="0">
      <w:lvlJc w:val="left"/>
      <w:lvlText w:val="%1."/>
      <w:numFmt w:val="decimal"/>
      <w:start w:val="5"/>
    </w:lvl>
  </w:abstractNum>
  <w:abstractNum w:abstractNumId="885">
    <w:nsid w:val="4355FF79"/>
    <w:multiLevelType w:val="hybridMultilevel"/>
    <w:lvl w:ilvl="0">
      <w:lvlJc w:val="left"/>
      <w:lvlText w:val="(%1)"/>
      <w:numFmt w:val="upperLetter"/>
      <w:start w:val="19"/>
    </w:lvl>
    <w:lvl w:ilvl="1">
      <w:lvlJc w:val="left"/>
      <w:lvlText w:val="(%2)"/>
      <w:numFmt w:val="decimal"/>
      <w:start w:val="1"/>
    </w:lvl>
  </w:abstractNum>
  <w:abstractNum w:abstractNumId="886">
    <w:nsid w:val="2241168E"/>
    <w:multiLevelType w:val="hybridMultilevel"/>
    <w:lvl w:ilvl="0">
      <w:lvlJc w:val="left"/>
      <w:lvlText w:val="%1"/>
      <w:numFmt w:val="decimal"/>
      <w:start w:val="1"/>
    </w:lvl>
    <w:lvl w:ilvl="1">
      <w:lvlJc w:val="left"/>
      <w:lvlText w:val="%2"/>
      <w:numFmt w:val="upperLetter"/>
      <w:start w:val="1"/>
    </w:lvl>
    <w:lvl w:ilvl="2">
      <w:lvlJc w:val="left"/>
      <w:lvlText w:val="(%3)"/>
      <w:numFmt w:val="decimal"/>
      <w:start w:val="4"/>
    </w:lvl>
  </w:abstractNum>
  <w:abstractNum w:abstractNumId="887">
    <w:nsid w:val="5E6A0CEE"/>
    <w:multiLevelType w:val="hybridMultilevel"/>
    <w:lvl w:ilvl="0">
      <w:lvlJc w:val="left"/>
      <w:lvlText w:val="%1"/>
      <w:numFmt w:val="decimal"/>
      <w:start w:val="1"/>
    </w:lvl>
    <w:lvl w:ilvl="1">
      <w:lvlJc w:val="left"/>
      <w:lvlText w:val="(%2)"/>
      <w:numFmt w:val="upperLetter"/>
      <w:start w:val="20"/>
    </w:lvl>
    <w:lvl w:ilvl="2">
      <w:lvlJc w:val="left"/>
      <w:lvlText w:val="(%3)"/>
      <w:numFmt w:val="decimal"/>
      <w:start w:val="1"/>
    </w:lvl>
  </w:abstractNum>
  <w:abstractNum w:abstractNumId="888">
    <w:nsid w:val="E1A7B6A"/>
    <w:multiLevelType w:val="hybridMultilevel"/>
    <w:lvl w:ilvl="0">
      <w:lvlJc w:val="left"/>
      <w:lvlText w:val="(%1)"/>
      <w:numFmt w:val="decimal"/>
      <w:start w:val="15"/>
    </w:lvl>
    <w:lvl w:ilvl="1">
      <w:lvlJc w:val="left"/>
      <w:lvlText w:val="(%2)"/>
      <w:numFmt w:val="upperLetter"/>
      <w:start w:val="1"/>
    </w:lvl>
    <w:lvl w:ilvl="2">
      <w:lvlJc w:val="left"/>
      <w:lvlText w:val="%3"/>
      <w:numFmt w:val="decimal"/>
      <w:start w:val="1"/>
    </w:lvl>
  </w:abstractNum>
  <w:abstractNum w:abstractNumId="889">
    <w:nsid w:val="5B6BFC95"/>
    <w:multiLevelType w:val="hybridMultilevel"/>
    <w:lvl w:ilvl="0">
      <w:lvlJc w:val="left"/>
      <w:lvlText w:val="(%1)"/>
      <w:numFmt w:val="lowerLetter"/>
      <w:start w:val="1"/>
    </w:lvl>
  </w:abstractNum>
  <w:abstractNum w:abstractNumId="890">
    <w:nsid w:val="665BD92F"/>
    <w:multiLevelType w:val="hybridMultilevel"/>
    <w:lvl w:ilvl="0">
      <w:lvlJc w:val="left"/>
      <w:lvlText w:val="(%1)"/>
      <w:numFmt w:val="lowerLetter"/>
      <w:start w:val="10"/>
    </w:lvl>
    <w:lvl w:ilvl="1">
      <w:lvlJc w:val="left"/>
      <w:lvlText w:val="(%2)"/>
      <w:numFmt w:val="lowerLetter"/>
      <w:start w:val="1"/>
    </w:lvl>
  </w:abstractNum>
  <w:abstractNum w:abstractNumId="891">
    <w:nsid w:val="11C061F3"/>
    <w:multiLevelType w:val="hybridMultilevel"/>
    <w:lvl w:ilvl="0">
      <w:lvlJc w:val="left"/>
      <w:lvlText w:val="(%1)"/>
      <w:numFmt w:val="lowerLetter"/>
      <w:start w:val="4"/>
    </w:lvl>
  </w:abstractNum>
  <w:abstractNum w:abstractNumId="892">
    <w:nsid w:val="68888ED7"/>
    <w:multiLevelType w:val="hybridMultilevel"/>
    <w:lvl w:ilvl="0">
      <w:lvlJc w:val="left"/>
      <w:lvlText w:val="%1"/>
      <w:numFmt w:val="upperLetter"/>
      <w:start w:val="1"/>
    </w:lvl>
    <w:lvl w:ilvl="1">
      <w:lvlJc w:val="left"/>
      <w:lvlText w:val="(%2)"/>
      <w:numFmt w:val="lowerLetter"/>
      <w:start w:val="11"/>
    </w:lvl>
    <w:lvl w:ilvl="2">
      <w:lvlJc w:val="left"/>
      <w:lvlText w:val="%3"/>
      <w:numFmt w:val="decimal"/>
      <w:start w:val="1"/>
    </w:lvl>
    <w:lvl w:ilvl="3">
      <w:lvlJc w:val="left"/>
      <w:lvlText w:val="%4"/>
      <w:numFmt w:val="lowerLetter"/>
      <w:start w:val="1"/>
    </w:lvl>
  </w:abstractNum>
  <w:abstractNum w:abstractNumId="893">
    <w:nsid w:val="17EDFFD7"/>
    <w:multiLevelType w:val="hybridMultilevel"/>
    <w:lvl w:ilvl="0">
      <w:lvlJc w:val="left"/>
      <w:lvlText w:val="(%1)"/>
      <w:numFmt w:val="upperLetter"/>
      <w:start w:val="2"/>
    </w:lvl>
    <w:lvl w:ilvl="1">
      <w:lvlJc w:val="left"/>
      <w:lvlText w:val="%2"/>
      <w:numFmt w:val="lowerLetter"/>
      <w:start w:val="1"/>
    </w:lvl>
    <w:lvl w:ilvl="2">
      <w:lvlJc w:val="left"/>
      <w:lvlText w:val="(%3)"/>
      <w:numFmt w:val="decimal"/>
      <w:start w:val="1"/>
    </w:lvl>
    <w:lvl w:ilvl="3">
      <w:lvlJc w:val="left"/>
      <w:lvlText w:val="(%4)"/>
      <w:numFmt w:val="lowerLetter"/>
      <w:start w:val="1"/>
    </w:lvl>
  </w:abstractNum>
  <w:abstractNum w:abstractNumId="894">
    <w:nsid w:val="74837359"/>
    <w:multiLevelType w:val="hybridMultilevel"/>
    <w:lvl w:ilvl="0">
      <w:lvlJc w:val="left"/>
      <w:lvlText w:val="(%1)"/>
      <w:numFmt w:val="lowerLetter"/>
      <w:start w:val="2"/>
    </w:lvl>
    <w:lvl w:ilvl="1">
      <w:lvlJc w:val="left"/>
      <w:lvlText w:val="(%2)"/>
      <w:numFmt w:val="lowerRoman"/>
      <w:start w:val="1"/>
    </w:lvl>
    <w:lvl w:ilvl="2">
      <w:lvlJc w:val="left"/>
      <w:lvlText w:val="(%3)"/>
      <w:numFmt w:val="lowerRoman"/>
      <w:start w:val="1"/>
    </w:lvl>
  </w:abstractNum>
  <w:abstractNum w:abstractNumId="895">
    <w:nsid w:val="5841D0D9"/>
    <w:multiLevelType w:val="hybridMultilevel"/>
    <w:lvl w:ilvl="0">
      <w:lvlJc w:val="left"/>
      <w:lvlText w:val="%1"/>
      <w:numFmt w:val="decimal"/>
      <w:start w:val="1"/>
    </w:lvl>
    <w:lvl w:ilvl="1">
      <w:lvlJc w:val="left"/>
      <w:lvlText w:val="%2"/>
      <w:numFmt w:val="lowerLetter"/>
      <w:start w:val="1"/>
    </w:lvl>
    <w:lvl w:ilvl="2">
      <w:lvlJc w:val="left"/>
      <w:lvlText w:val="%3"/>
      <w:numFmt w:val="lowerLetter"/>
      <w:start w:val="1"/>
    </w:lvl>
    <w:lvl w:ilvl="3">
      <w:lvlJc w:val="left"/>
      <w:lvlText w:val="(%4)"/>
      <w:numFmt w:val="lowerLetter"/>
      <w:start w:val="35"/>
    </w:lvl>
  </w:abstractNum>
  <w:abstractNum w:abstractNumId="896">
    <w:nsid w:val="3F45C8AF"/>
    <w:multiLevelType w:val="hybridMultilevel"/>
    <w:lvl w:ilvl="0">
      <w:lvlJc w:val="left"/>
      <w:lvlText w:val="(%1)"/>
      <w:numFmt w:val="decimal"/>
      <w:start w:val="3"/>
    </w:lvl>
    <w:lvl w:ilvl="1">
      <w:lvlJc w:val="left"/>
      <w:lvlText w:val="(%2)"/>
      <w:numFmt w:val="lowerLetter"/>
      <w:start w:val="1"/>
    </w:lvl>
    <w:lvl w:ilvl="2">
      <w:lvlJc w:val="left"/>
      <w:lvlText w:val="(%3)"/>
      <w:numFmt w:val="lowerLetter"/>
      <w:start w:val="1"/>
    </w:lvl>
    <w:lvl w:ilvl="3">
      <w:lvlJc w:val="left"/>
      <w:lvlText w:val="%4"/>
      <w:numFmt w:val="lowerLetter"/>
      <w:start w:val="1"/>
    </w:lvl>
  </w:abstractNum>
  <w:abstractNum w:abstractNumId="897">
    <w:nsid w:val="3446EA3E"/>
    <w:multiLevelType w:val="hybridMultilevel"/>
    <w:lvl w:ilvl="0">
      <w:lvlJc w:val="left"/>
      <w:lvlText w:val="%1"/>
      <w:numFmt w:val="decimal"/>
      <w:start w:val="1"/>
    </w:lvl>
    <w:lvl w:ilvl="1">
      <w:lvlJc w:val="left"/>
      <w:lvlText w:val="%2"/>
      <w:numFmt w:val="lowerLetter"/>
      <w:start w:val="1"/>
    </w:lvl>
    <w:lvl w:ilvl="2">
      <w:lvlJc w:val="left"/>
      <w:lvlText w:val="(%3)"/>
      <w:numFmt w:val="lowerLetter"/>
      <w:start w:val="4"/>
    </w:lvl>
  </w:abstractNum>
  <w:abstractNum w:abstractNumId="898">
    <w:nsid w:val="43D45A74"/>
    <w:multiLevelType w:val="hybridMultilevel"/>
    <w:lvl w:ilvl="0">
      <w:lvlJc w:val="left"/>
      <w:lvlText w:val="(%1)"/>
      <w:numFmt w:val="decimal"/>
      <w:start w:val="17"/>
    </w:lvl>
    <w:lvl w:ilvl="1">
      <w:lvlJc w:val="left"/>
      <w:lvlText w:val="(%2)"/>
      <w:numFmt w:val="lowerLetter"/>
      <w:start w:val="1"/>
    </w:lvl>
    <w:lvl w:ilvl="2">
      <w:lvlJc w:val="left"/>
      <w:lvlText w:val="(%3)"/>
      <w:numFmt w:val="lowerLetter"/>
      <w:start w:val="1"/>
    </w:lvl>
  </w:abstractNum>
  <w:abstractNum w:abstractNumId="899">
    <w:nsid w:val="2603721D"/>
    <w:multiLevelType w:val="hybridMultilevel"/>
    <w:lvl w:ilvl="0">
      <w:lvlJc w:val="left"/>
      <w:lvlText w:val="%1"/>
      <w:numFmt w:val="decimal"/>
      <w:start w:val="1"/>
    </w:lvl>
    <w:lvl w:ilvl="1">
      <w:lvlJc w:val="left"/>
      <w:lvlText w:val="%2"/>
      <w:numFmt w:val="lowerLetter"/>
      <w:start w:val="1"/>
    </w:lvl>
    <w:lvl w:ilvl="2">
      <w:lvlJc w:val="left"/>
      <w:lvlText w:val="(%3)"/>
      <w:numFmt w:val="lowerRoman"/>
      <w:start w:val="1"/>
    </w:lvl>
  </w:abstractNum>
  <w:abstractNum w:abstractNumId="900">
    <w:nsid w:val="183E4DCF"/>
    <w:multiLevelType w:val="hybridMultilevel"/>
    <w:lvl w:ilvl="0">
      <w:lvlJc w:val="left"/>
      <w:lvlText w:val="(%1)"/>
      <w:numFmt w:val="decimal"/>
      <w:start w:val="25"/>
    </w:lvl>
    <w:lvl w:ilvl="1">
      <w:lvlJc w:val="left"/>
      <w:lvlText w:val="(%2)"/>
      <w:numFmt w:val="lowerLetter"/>
      <w:start w:val="1"/>
    </w:lvl>
    <w:lvl w:ilvl="2">
      <w:lvlJc w:val="left"/>
      <w:lvlText w:val="%3"/>
      <w:numFmt w:val="lowerRoman"/>
      <w:start w:val="1"/>
    </w:lvl>
  </w:abstractNum>
  <w:abstractNum w:abstractNumId="901">
    <w:nsid w:val="55D6498C"/>
    <w:multiLevelType w:val="hybridMultilevel"/>
    <w:lvl w:ilvl="0">
      <w:lvlJc w:val="left"/>
      <w:lvlText w:val="(%1)"/>
      <w:numFmt w:val="decimal"/>
      <w:start w:val="26"/>
    </w:lvl>
    <w:lvl w:ilvl="1">
      <w:lvlJc w:val="left"/>
      <w:lvlText w:val="%2)"/>
      <w:numFmt w:val="lowerLetter"/>
      <w:start w:val="1"/>
    </w:lvl>
    <w:lvl w:ilvl="2">
      <w:lvlJc w:val="left"/>
      <w:lvlText w:val="(%3)"/>
      <w:numFmt w:val="lowerRoman"/>
      <w:start w:val="1"/>
    </w:lvl>
  </w:abstractNum>
  <w:abstractNum w:abstractNumId="902">
    <w:nsid w:val="19E5D4D7"/>
    <w:multiLevelType w:val="hybridMultilevel"/>
    <w:lvl w:ilvl="0">
      <w:lvlJc w:val="left"/>
      <w:lvlText w:val="%1"/>
      <w:numFmt w:val="decimal"/>
      <w:start w:val="1"/>
    </w:lvl>
    <w:lvl w:ilvl="1">
      <w:lvlJc w:val="left"/>
      <w:lvlText w:val="%2)"/>
      <w:numFmt w:val="lowerLetter"/>
      <w:start w:val="2"/>
    </w:lvl>
    <w:lvl w:ilvl="2">
      <w:lvlJc w:val="left"/>
      <w:lvlText w:val="%3"/>
      <w:numFmt w:val="lowerLetter"/>
      <w:start w:val="1"/>
    </w:lvl>
    <w:lvl w:ilvl="3">
      <w:lvlJc w:val="left"/>
      <w:lvlText w:val="(%4)"/>
      <w:numFmt w:val="lowerRoman"/>
      <w:start w:val="1"/>
    </w:lvl>
  </w:abstractNum>
  <w:abstractNum w:abstractNumId="903">
    <w:nsid w:val="213238B3"/>
    <w:multiLevelType w:val="hybridMultilevel"/>
    <w:lvl w:ilvl="0">
      <w:lvlJc w:val="left"/>
      <w:lvlText w:val="(%1)"/>
      <w:numFmt w:val="decimal"/>
      <w:start w:val="27"/>
    </w:lvl>
    <w:lvl w:ilvl="1">
      <w:lvlJc w:val="left"/>
      <w:lvlText w:val="%2"/>
      <w:numFmt w:val="lowerLetter"/>
      <w:start w:val="1"/>
    </w:lvl>
    <w:lvl w:ilvl="2">
      <w:lvlJc w:val="left"/>
      <w:lvlText w:val="(%3)"/>
      <w:numFmt w:val="lowerLetter"/>
      <w:start w:val="1"/>
    </w:lvl>
    <w:lvl w:ilvl="3">
      <w:lvlJc w:val="left"/>
      <w:lvlText w:val="%4"/>
      <w:numFmt w:val="lowerRoman"/>
      <w:start w:val="1"/>
    </w:lvl>
  </w:abstractNum>
  <w:abstractNum w:abstractNumId="904">
    <w:nsid w:val="14ABD1E8"/>
    <w:multiLevelType w:val="hybridMultilevel"/>
    <w:lvl w:ilvl="0">
      <w:lvlJc w:val="left"/>
      <w:lvlText w:val="%1"/>
      <w:numFmt w:val="decimal"/>
      <w:start w:val="1"/>
    </w:lvl>
    <w:lvl w:ilvl="1">
      <w:lvlJc w:val="left"/>
      <w:lvlText w:val="%2"/>
      <w:numFmt w:val="lowerLetter"/>
      <w:start w:val="1"/>
    </w:lvl>
    <w:lvl w:ilvl="2">
      <w:lvlJc w:val="left"/>
      <w:lvlText w:val="(%3)"/>
      <w:numFmt w:val="lowerRoman"/>
      <w:start w:val="1"/>
    </w:lvl>
  </w:abstractNum>
  <w:abstractNum w:abstractNumId="905">
    <w:nsid w:val="511E308F"/>
    <w:multiLevelType w:val="hybridMultilevel"/>
    <w:lvl w:ilvl="0">
      <w:lvlJc w:val="left"/>
      <w:lvlText w:val="%1"/>
      <w:numFmt w:val="decimal"/>
      <w:start w:val="1"/>
    </w:lvl>
    <w:lvl w:ilvl="1">
      <w:lvlJc w:val="left"/>
      <w:lvlText w:val="(%2)"/>
      <w:numFmt w:val="lowerLetter"/>
      <w:start w:val="2"/>
    </w:lvl>
    <w:lvl w:ilvl="2">
      <w:lvlJc w:val="left"/>
      <w:lvlText w:val="(%3)"/>
      <w:numFmt w:val="lowerRoman"/>
      <w:start w:val="1"/>
    </w:lvl>
  </w:abstractNum>
  <w:abstractNum w:abstractNumId="906">
    <w:nsid w:val="11EE2399"/>
    <w:multiLevelType w:val="hybridMultilevel"/>
    <w:lvl w:ilvl="0">
      <w:lvlJc w:val="left"/>
      <w:lvlText w:val="(%1)"/>
      <w:numFmt w:val="decimal"/>
      <w:start w:val="28"/>
    </w:lvl>
    <w:lvl w:ilvl="1">
      <w:lvlJc w:val="left"/>
      <w:lvlText w:val="(%2)"/>
      <w:numFmt w:val="lowerLetter"/>
      <w:start w:val="1"/>
    </w:lvl>
    <w:lvl w:ilvl="2">
      <w:lvlJc w:val="left"/>
      <w:lvlText w:val="%3"/>
      <w:numFmt w:val="lowerRoman"/>
      <w:start w:val="1"/>
    </w:lvl>
  </w:abstractNum>
  <w:abstractNum w:abstractNumId="907">
    <w:nsid w:val="475B8D69"/>
    <w:multiLevelType w:val="hybridMultilevel"/>
    <w:lvl w:ilvl="0">
      <w:lvlJc w:val="left"/>
      <w:lvlText w:val="(%1)"/>
      <w:numFmt w:val="upperLetter"/>
      <w:start w:val="3"/>
    </w:lvl>
  </w:abstractNum>
  <w:abstractNum w:abstractNumId="908">
    <w:nsid w:val="4A46009E"/>
    <w:multiLevelType w:val="hybridMultilevel"/>
    <w:lvl w:ilvl="0">
      <w:lvlJc w:val="left"/>
      <w:lvlText w:val="(%1)"/>
      <w:numFmt w:val="decimal"/>
      <w:start w:val="16"/>
    </w:lvl>
  </w:abstractNum>
  <w:abstractNum w:abstractNumId="909">
    <w:nsid w:val="162C56A1"/>
    <w:multiLevelType w:val="hybridMultilevel"/>
    <w:lvl w:ilvl="0">
      <w:lvlJc w:val="left"/>
      <w:lvlText w:val="(%1)"/>
      <w:numFmt w:val="decimal"/>
      <w:start w:val="1"/>
    </w:lvl>
  </w:abstractNum>
  <w:abstractNum w:abstractNumId="910">
    <w:nsid w:val="140037E4"/>
    <w:multiLevelType w:val="hybridMultilevel"/>
    <w:lvl w:ilvl="0">
      <w:lvlJc w:val="left"/>
      <w:lvlText w:val="(%1)"/>
      <w:numFmt w:val="decimal"/>
      <w:start w:val="1"/>
    </w:lvl>
    <w:lvl w:ilvl="1">
      <w:lvlJc w:val="left"/>
      <w:lvlText w:val="(%2)"/>
      <w:numFmt w:val="lowerLetter"/>
      <w:start w:val="1"/>
    </w:lvl>
  </w:abstractNum>
  <w:abstractNum w:abstractNumId="911">
    <w:nsid w:val="14A00010"/>
    <w:multiLevelType w:val="hybridMultilevel"/>
    <w:lvl w:ilvl="0">
      <w:lvlJc w:val="left"/>
      <w:lvlText w:val="%1"/>
      <w:numFmt w:val="decimal"/>
      <w:start w:val="117"/>
    </w:lvl>
  </w:abstractNum>
  <w:abstractNum w:abstractNumId="912">
    <w:nsid w:val="5C154BDF"/>
    <w:multiLevelType w:val="hybridMultilevel"/>
    <w:lvl w:ilvl="0">
      <w:lvlJc w:val="left"/>
      <w:lvlText w:val="%1"/>
      <w:numFmt w:val="decimal"/>
      <w:start w:val="1"/>
    </w:lvl>
    <w:lvl w:ilvl="1">
      <w:lvlJc w:val="left"/>
      <w:lvlText w:val="%2"/>
      <w:numFmt w:val="upperLetter"/>
      <w:start w:val="1"/>
    </w:lvl>
    <w:lvl w:ilvl="2">
      <w:lvlJc w:val="left"/>
      <w:lvlText w:val="(%3)"/>
      <w:numFmt w:val="lowerLetter"/>
      <w:start w:val="2"/>
    </w:lvl>
    <w:lvl w:ilvl="3">
      <w:lvlJc w:val="left"/>
      <w:lvlText w:val="%4"/>
      <w:numFmt w:val="upperLetter"/>
      <w:start w:val="1"/>
    </w:lvl>
    <w:lvl w:ilvl="4">
      <w:lvlJc w:val="left"/>
      <w:lvlText w:val="%5"/>
      <w:numFmt w:val="lowerRoman"/>
      <w:start w:val="1"/>
    </w:lvl>
    <w:lvl w:ilvl="5">
      <w:lvlJc w:val="left"/>
      <w:lvlText w:val="%6"/>
      <w:numFmt w:val="lowerLetter"/>
      <w:start w:val="1"/>
    </w:lvl>
  </w:abstractNum>
  <w:abstractNum w:abstractNumId="913">
    <w:nsid w:val="70D89FB8"/>
    <w:multiLevelType w:val="hybridMultilevel"/>
    <w:lvl w:ilvl="0">
      <w:lvlJc w:val="left"/>
      <w:lvlText w:val="(%1)"/>
      <w:numFmt w:val="decimal"/>
      <w:start w:val="4"/>
    </w:lvl>
    <w:lvl w:ilvl="1">
      <w:lvlJc w:val="left"/>
      <w:lvlText w:val="(%2)"/>
      <w:numFmt w:val="upperLetter"/>
      <w:start w:val="9"/>
    </w:lvl>
    <w:lvl w:ilvl="2">
      <w:lvlJc w:val="left"/>
      <w:lvlText w:val="%3"/>
      <w:numFmt w:val="lowerLetter"/>
      <w:start w:val="1"/>
    </w:lvl>
    <w:lvl w:ilvl="3">
      <w:lvlJc w:val="left"/>
      <w:lvlText w:val="(%4)"/>
      <w:numFmt w:val="upperLetter"/>
      <w:start w:val="1"/>
    </w:lvl>
    <w:lvl w:ilvl="4">
      <w:lvlJc w:val="left"/>
      <w:lvlText w:val="%5."/>
      <w:numFmt w:val="lowerRoman"/>
      <w:start w:val="1"/>
    </w:lvl>
    <w:lvl w:ilvl="5">
      <w:lvlJc w:val="left"/>
      <w:lvlText w:val="(%6)"/>
      <w:numFmt w:val="lowerLetter"/>
      <w:start w:val="1"/>
    </w:lvl>
  </w:abstractNum>
  <w:abstractNum w:abstractNumId="914">
    <w:nsid w:val="2645DA6E"/>
    <w:multiLevelType w:val="hybridMultilevel"/>
    <w:lvl w:ilvl="0">
      <w:lvlJc w:val="left"/>
      <w:lvlText w:val="(%1)"/>
      <w:numFmt w:val="lowerLetter"/>
      <w:start w:val="5"/>
    </w:lvl>
  </w:abstractNum>
  <w:abstractNum w:abstractNumId="915">
    <w:nsid w:val="23915793"/>
    <w:multiLevelType w:val="hybridMultilevel"/>
    <w:lvl w:ilvl="0">
      <w:lvlJc w:val="left"/>
      <w:lvlText w:val="(%1)"/>
      <w:numFmt w:val="lowerLetter"/>
      <w:start w:val="8"/>
    </w:lvl>
  </w:abstractNum>
  <w:abstractNum w:abstractNumId="916">
    <w:nsid w:val="342E9F31"/>
    <w:multiLevelType w:val="hybridMultilevel"/>
    <w:lvl w:ilvl="0">
      <w:lvlJc w:val="left"/>
      <w:lvlText w:val="%1"/>
      <w:numFmt w:val="upperLetter"/>
      <w:start w:val="1"/>
    </w:lvl>
    <w:lvl w:ilvl="1">
      <w:lvlJc w:val="left"/>
      <w:lvlText w:val="(%2)"/>
      <w:numFmt w:val="lowerLetter"/>
      <w:start w:val="9"/>
    </w:lvl>
    <w:lvl w:ilvl="2">
      <w:lvlJc w:val="left"/>
      <w:lvlText w:val=""/>
      <w:numFmt w:val="bullet"/>
      <w:start w:val="1"/>
    </w:lvl>
  </w:abstractNum>
  <w:abstractNum w:abstractNumId="917">
    <w:nsid w:val="4886F0FD"/>
    <w:multiLevelType w:val="hybridMultilevel"/>
    <w:lvl w:ilvl="0">
      <w:lvlJc w:val="left"/>
      <w:lvlText w:val="(%1)"/>
      <w:numFmt w:val="upperLetter"/>
      <w:start w:val="35"/>
    </w:lvl>
    <w:lvl w:ilvl="1">
      <w:lvlJc w:val="left"/>
      <w:lvlText w:val="%2"/>
      <w:numFmt w:val="lowerLetter"/>
      <w:start w:val="1"/>
    </w:lvl>
    <w:lvl w:ilvl="2">
      <w:lvlJc w:val="left"/>
      <w:lvlText w:val=""/>
      <w:numFmt w:val="bullet"/>
      <w:start w:val="1"/>
    </w:lvl>
  </w:abstractNum>
  <w:abstractNum w:abstractNumId="918">
    <w:nsid w:val="1FB6481"/>
    <w:multiLevelType w:val="hybridMultilevel"/>
    <w:lvl w:ilvl="0">
      <w:lvlJc w:val="left"/>
      <w:lvlText w:val="(%1)"/>
      <w:numFmt w:val="upperLetter"/>
      <w:start w:val="61"/>
    </w:lvl>
  </w:abstractNum>
  <w:abstractNum w:abstractNumId="919">
    <w:nsid w:val="42491A9B"/>
    <w:multiLevelType w:val="hybridMultilevel"/>
    <w:lvl w:ilvl="0">
      <w:lvlJc w:val="left"/>
      <w:lvlText w:val="%1"/>
      <w:numFmt w:val="upperLetter"/>
      <w:start w:val="1"/>
    </w:lvl>
    <w:lvl w:ilvl="1">
      <w:lvlJc w:val="left"/>
      <w:lvlText w:val="%2"/>
      <w:numFmt w:val="upperLetter"/>
      <w:start w:val="1"/>
    </w:lvl>
    <w:lvl w:ilvl="2">
      <w:lvlJc w:val="left"/>
      <w:lvlText w:val="(%3)"/>
      <w:numFmt w:val="upperLetter"/>
      <w:start w:val="1"/>
    </w:lvl>
  </w:abstractNum>
  <w:abstractNum w:abstractNumId="920">
    <w:nsid w:val="23F2ED92"/>
    <w:multiLevelType w:val="hybridMultilevel"/>
    <w:lvl w:ilvl="0">
      <w:lvlJc w:val="left"/>
      <w:lvlText w:val="(%1)"/>
      <w:numFmt w:val="upperLetter"/>
      <w:start w:val="22"/>
    </w:lvl>
    <w:lvl w:ilvl="1">
      <w:lvlJc w:val="left"/>
      <w:lvlText w:val="(%2)"/>
      <w:numFmt w:val="upperLetter"/>
      <w:start w:val="1"/>
    </w:lvl>
    <w:lvl w:ilvl="2">
      <w:lvlJc w:val="left"/>
      <w:lvlText w:val="%3"/>
      <w:numFmt w:val="upperLetter"/>
      <w:start w:val="1"/>
    </w:lvl>
  </w:abstractNum>
  <w:abstractNum w:abstractNumId="921">
    <w:nsid w:val="68573DB1"/>
    <w:multiLevelType w:val="hybridMultilevel"/>
    <w:lvl w:ilvl="0">
      <w:lvlJc w:val="left"/>
      <w:lvlText w:val="(%1)"/>
      <w:numFmt w:val="upperLetter"/>
      <w:start w:val="2"/>
    </w:lvl>
    <w:lvl w:ilvl="1">
      <w:lvlJc w:val="left"/>
      <w:lvlText w:val="%2."/>
      <w:numFmt w:val="lowerLetter"/>
      <w:start w:val="1"/>
    </w:lvl>
  </w:abstractNum>
  <w:abstractNum w:abstractNumId="922">
    <w:nsid w:val="54097C8E"/>
    <w:multiLevelType w:val="hybridMultilevel"/>
    <w:lvl w:ilvl="0">
      <w:lvlJc w:val="left"/>
      <w:lvlText w:val="(%1)"/>
      <w:numFmt w:val="upperLetter"/>
      <w:start w:val="1"/>
    </w:lvl>
    <w:lvl w:ilvl="1">
      <w:lvlJc w:val="left"/>
      <w:lvlText w:val="(%2)"/>
      <w:numFmt w:val="decimal"/>
      <w:start w:val="1"/>
    </w:lvl>
  </w:abstractNum>
  <w:abstractNum w:abstractNumId="923">
    <w:nsid w:val="C7B7C69"/>
    <w:multiLevelType w:val="hybridMultilevel"/>
    <w:lvl w:ilvl="0">
      <w:lvlJc w:val="left"/>
      <w:lvlText w:val="%1"/>
      <w:numFmt w:val="upperLetter"/>
      <w:start w:val="1"/>
    </w:lvl>
    <w:lvl w:ilvl="1">
      <w:lvlJc w:val="left"/>
      <w:lvlText w:val="(%2)"/>
      <w:numFmt w:val="decimal"/>
      <w:start w:val="2"/>
    </w:lvl>
  </w:abstractNum>
  <w:abstractNum w:abstractNumId="924">
    <w:nsid w:val="453D88"/>
    <w:multiLevelType w:val="hybridMultilevel"/>
    <w:lvl w:ilvl="0">
      <w:lvlJc w:val="left"/>
      <w:lvlText w:val="(%1)"/>
      <w:numFmt w:val="upperLetter"/>
      <w:start w:val="4"/>
    </w:lvl>
    <w:lvl w:ilvl="1">
      <w:lvlJc w:val="left"/>
      <w:lvlText w:val="(%2)"/>
      <w:numFmt w:val="decimal"/>
      <w:start w:val="1"/>
    </w:lvl>
  </w:abstractNum>
  <w:abstractNum w:abstractNumId="925">
    <w:nsid w:val="488CEFE8"/>
    <w:multiLevelType w:val="hybridMultilevel"/>
    <w:lvl w:ilvl="0">
      <w:lvlJc w:val="left"/>
      <w:lvlText w:val="(%1)"/>
      <w:numFmt w:val="upperLetter"/>
      <w:start w:val="1"/>
    </w:lvl>
    <w:lvl w:ilvl="1">
      <w:lvlJc w:val="left"/>
      <w:lvlText w:val="(%2)"/>
      <w:numFmt w:val="decimal"/>
      <w:start w:val="1"/>
    </w:lvl>
    <w:lvl w:ilvl="2">
      <w:lvlJc w:val="left"/>
      <w:lvlText w:val="(%3)"/>
      <w:numFmt w:val="decimal"/>
      <w:start w:val="1"/>
    </w:lvl>
  </w:abstractNum>
  <w:abstractNum w:abstractNumId="926">
    <w:nsid w:val="64BD4D42"/>
    <w:multiLevelType w:val="hybridMultilevel"/>
    <w:lvl w:ilvl="0">
      <w:lvlJc w:val="left"/>
      <w:lvlText w:val="(%1)"/>
      <w:numFmt w:val="decimal"/>
      <w:start w:val="4"/>
    </w:lvl>
    <w:lvl w:ilvl="1">
      <w:lvlJc w:val="left"/>
      <w:lvlText w:val="(%2)"/>
      <w:numFmt w:val="lowerLetter"/>
      <w:start w:val="1"/>
    </w:lvl>
  </w:abstractNum>
  <w:abstractNum w:abstractNumId="927">
    <w:nsid w:val="3F8B0638"/>
    <w:multiLevelType w:val="hybridMultilevel"/>
    <w:lvl w:ilvl="0">
      <w:lvlJc w:val="left"/>
      <w:lvlText w:val="%1"/>
      <w:numFmt w:val="upperLetter"/>
      <w:start w:val="1"/>
    </w:lvl>
    <w:lvl w:ilvl="1">
      <w:lvlJc w:val="left"/>
      <w:lvlText w:val="%2"/>
      <w:numFmt w:val="decimal"/>
      <w:start w:val="1"/>
    </w:lvl>
    <w:lvl w:ilvl="2">
      <w:lvlJc w:val="left"/>
      <w:lvlText w:val="%3"/>
      <w:numFmt w:val="decimal"/>
      <w:start w:val="1"/>
    </w:lvl>
    <w:lvl w:ilvl="3">
      <w:lvlJc w:val="left"/>
      <w:lvlText w:val="(%4)"/>
      <w:numFmt w:val="lowerLetter"/>
      <w:start w:val="3"/>
    </w:lvl>
  </w:abstractNum>
  <w:abstractNum w:abstractNumId="928">
    <w:nsid w:val="7CD3DA26"/>
    <w:multiLevelType w:val="hybridMultilevel"/>
    <w:lvl w:ilvl="0">
      <w:lvlJc w:val="left"/>
      <w:lvlText w:val="%1"/>
      <w:numFmt w:val="upperLetter"/>
      <w:start w:val="1"/>
    </w:lvl>
    <w:lvl w:ilvl="1">
      <w:lvlJc w:val="left"/>
      <w:lvlText w:val="%2"/>
      <w:numFmt w:val="decimal"/>
      <w:start w:val="1"/>
    </w:lvl>
    <w:lvl w:ilvl="2">
      <w:lvlJc w:val="left"/>
      <w:lvlText w:val="(%3)"/>
      <w:numFmt w:val="decimal"/>
      <w:start w:val="10"/>
    </w:lvl>
    <w:lvl w:ilvl="3">
      <w:lvlJc w:val="left"/>
      <w:lvlText w:val="%4"/>
      <w:numFmt w:val="lowerLetter"/>
      <w:start w:val="1"/>
    </w:lvl>
  </w:abstractNum>
  <w:abstractNum w:abstractNumId="929">
    <w:nsid w:val="2891A7B7"/>
    <w:multiLevelType w:val="hybridMultilevel"/>
    <w:lvl w:ilvl="0">
      <w:lvlJc w:val="left"/>
      <w:lvlText w:val="(%1)"/>
      <w:numFmt w:val="upperLetter"/>
      <w:start w:val="3"/>
    </w:lvl>
    <w:lvl w:ilvl="1">
      <w:lvlJc w:val="left"/>
      <w:lvlText w:val="(%2)"/>
      <w:numFmt w:val="decimal"/>
      <w:start w:val="1"/>
    </w:lvl>
    <w:lvl w:ilvl="2">
      <w:lvlJc w:val="left"/>
      <w:lvlText w:val="%3"/>
      <w:numFmt w:val="decimal"/>
      <w:start w:val="1"/>
    </w:lvl>
    <w:lvl w:ilvl="3">
      <w:lvlJc w:val="left"/>
      <w:lvlText w:val="(%4)"/>
      <w:numFmt w:val="lowerLetter"/>
      <w:start w:val="1"/>
    </w:lvl>
  </w:abstractNum>
  <w:abstractNum w:abstractNumId="930">
    <w:nsid w:val="658E7855"/>
    <w:multiLevelType w:val="hybridMultilevel"/>
    <w:lvl w:ilvl="0">
      <w:lvlJc w:val="left"/>
      <w:lvlText w:val="(%1)"/>
      <w:numFmt w:val="decimal"/>
      <w:start w:val="6"/>
    </w:lvl>
    <w:lvl w:ilvl="1">
      <w:lvlJc w:val="left"/>
      <w:lvlText w:val="(%2)"/>
      <w:numFmt w:val="decimal"/>
      <w:start w:val="1"/>
    </w:lvl>
  </w:abstractNum>
  <w:abstractNum w:abstractNumId="931">
    <w:nsid w:val="151227F6"/>
    <w:multiLevelType w:val="hybridMultilevel"/>
    <w:lvl w:ilvl="0">
      <w:lvlJc w:val="left"/>
      <w:lvlText w:val="(%1)"/>
      <w:numFmt w:val="decimal"/>
      <w:start w:val="7"/>
    </w:lvl>
  </w:abstractNum>
  <w:abstractNum w:abstractNumId="932">
    <w:nsid w:val="7E67F143"/>
    <w:multiLevelType w:val="hybridMultilevel"/>
    <w:lvl w:ilvl="0">
      <w:lvlJc w:val="left"/>
      <w:lvlText w:val="(%1)"/>
      <w:numFmt w:val="decimal"/>
      <w:start w:val="1"/>
    </w:lvl>
    <w:lvl w:ilvl="1">
      <w:lvlJc w:val="left"/>
      <w:lvlText w:val="(%2)"/>
      <w:numFmt w:val="lowerLetter"/>
      <w:start w:val="1"/>
    </w:lvl>
  </w:abstractNum>
  <w:abstractNum w:abstractNumId="933">
    <w:nsid w:val="7F744D2C"/>
    <w:multiLevelType w:val="hybridMultilevel"/>
    <w:lvl w:ilvl="0">
      <w:lvlJc w:val="left"/>
      <w:lvlText w:val="%1"/>
      <w:numFmt w:val="decimal"/>
      <w:start w:val="1"/>
    </w:lvl>
    <w:lvl w:ilvl="1">
      <w:lvlJc w:val="left"/>
      <w:lvlText w:val="(%2)"/>
      <w:numFmt w:val="lowerLetter"/>
      <w:start w:val="3"/>
    </w:lvl>
  </w:abstractNum>
  <w:abstractNum w:abstractNumId="934">
    <w:nsid w:val="364460A9"/>
    <w:multiLevelType w:val="hybridMultilevel"/>
    <w:lvl w:ilvl="0">
      <w:lvlJc w:val="left"/>
      <w:lvlText w:val="(%1)"/>
      <w:numFmt w:val="decimal"/>
      <w:start w:val="6"/>
    </w:lvl>
    <w:lvl w:ilvl="1">
      <w:lvlJc w:val="left"/>
      <w:lvlText w:val="%2"/>
      <w:numFmt w:val="lowerLetter"/>
      <w:start w:val="1"/>
    </w:lvl>
  </w:abstractNum>
  <w:abstractNum w:abstractNumId="935">
    <w:nsid w:val="1313C32B"/>
    <w:multiLevelType w:val="hybridMultilevel"/>
    <w:lvl w:ilvl="0">
      <w:lvlJc w:val="left"/>
      <w:lvlText w:val="(%1)"/>
      <w:numFmt w:val="lowerLetter"/>
      <w:start w:val="1"/>
    </w:lvl>
  </w:abstractNum>
  <w:abstractNum w:abstractNumId="936">
    <w:nsid w:val="50927DBC"/>
    <w:multiLevelType w:val="hybridMultilevel"/>
    <w:lvl w:ilvl="0">
      <w:lvlJc w:val="left"/>
      <w:lvlText w:val="%1"/>
      <w:numFmt w:val="upperLetter"/>
      <w:start w:val="1"/>
    </w:lvl>
    <w:lvl w:ilvl="1">
      <w:lvlJc w:val="left"/>
      <w:lvlText w:val="%2"/>
      <w:numFmt w:val="decimal"/>
      <w:start w:val="1"/>
    </w:lvl>
    <w:lvl w:ilvl="2">
      <w:lvlJc w:val="left"/>
      <w:lvlText w:val="%3"/>
      <w:numFmt w:val="decimal"/>
      <w:start w:val="1"/>
    </w:lvl>
    <w:lvl w:ilvl="3">
      <w:lvlJc w:val="left"/>
      <w:lvlText w:val="(%4)"/>
      <w:numFmt w:val="lowerLetter"/>
      <w:start w:val="5"/>
    </w:lvl>
  </w:abstractNum>
  <w:abstractNum w:abstractNumId="937">
    <w:nsid w:val="48328442"/>
    <w:multiLevelType w:val="hybridMultilevel"/>
    <w:lvl w:ilvl="0">
      <w:lvlJc w:val="left"/>
      <w:lvlText w:val="%1"/>
      <w:numFmt w:val="upperLetter"/>
      <w:start w:val="1"/>
    </w:lvl>
    <w:lvl w:ilvl="1">
      <w:lvlJc w:val="left"/>
      <w:lvlText w:val="(%2)"/>
      <w:numFmt w:val="decimal"/>
      <w:start w:val="7"/>
    </w:lvl>
    <w:lvl w:ilvl="2">
      <w:lvlJc w:val="left"/>
      <w:lvlText w:val="%3"/>
      <w:numFmt w:val="decimal"/>
      <w:start w:val="1"/>
    </w:lvl>
    <w:lvl w:ilvl="3">
      <w:lvlJc w:val="left"/>
      <w:lvlText w:val="(%4)"/>
      <w:numFmt w:val="lowerLetter"/>
      <w:start w:val="1"/>
    </w:lvl>
  </w:abstractNum>
  <w:abstractNum w:abstractNumId="938">
    <w:nsid w:val="5A6F5094"/>
    <w:multiLevelType w:val="hybridMultilevel"/>
    <w:lvl w:ilvl="0">
      <w:lvlJc w:val="left"/>
      <w:lvlText w:val="(%1)"/>
      <w:numFmt w:val="upperLetter"/>
      <w:start w:val="2"/>
    </w:lvl>
    <w:lvl w:ilvl="1">
      <w:lvlJc w:val="left"/>
      <w:lvlText w:val="%2"/>
      <w:numFmt w:val="decimal"/>
      <w:start w:val="1"/>
    </w:lvl>
    <w:lvl w:ilvl="2">
      <w:lvlJc w:val="left"/>
      <w:lvlText w:val="(%3)"/>
      <w:numFmt w:val="decimal"/>
      <w:start w:val="1"/>
    </w:lvl>
    <w:lvl w:ilvl="3">
      <w:lvlJc w:val="left"/>
      <w:lvlText w:val="%4"/>
      <w:numFmt w:val="lowerLetter"/>
      <w:start w:val="1"/>
    </w:lvl>
  </w:abstractNum>
  <w:abstractNum w:abstractNumId="939">
    <w:nsid w:val="1AD87E5A"/>
    <w:multiLevelType w:val="hybridMultilevel"/>
    <w:lvl w:ilvl="0">
      <w:lvlJc w:val="left"/>
      <w:lvlText w:val="(%1)"/>
      <w:numFmt w:val="decimal"/>
      <w:start w:val="3"/>
    </w:lvl>
    <w:lvl w:ilvl="1">
      <w:lvlJc w:val="left"/>
      <w:lvlText w:val="(%2)"/>
      <w:numFmt w:val="upperLetter"/>
      <w:start w:val="1"/>
    </w:lvl>
  </w:abstractNum>
  <w:abstractNum w:abstractNumId="940">
    <w:nsid w:val="5E5EDAE3"/>
    <w:multiLevelType w:val="hybridMultilevel"/>
    <w:lvl w:ilvl="0">
      <w:lvlJc w:val="left"/>
      <w:lvlText w:val="(%1)"/>
      <w:numFmt w:val="lowerRoman"/>
      <w:start w:val="1"/>
    </w:lvl>
  </w:abstractNum>
  <w:abstractNum w:abstractNumId="941">
    <w:nsid w:val="6E6F8879"/>
    <w:multiLevelType w:val="hybridMultilevel"/>
    <w:lvl w:ilvl="0">
      <w:lvlJc w:val="left"/>
      <w:lvlText w:val="(%1)"/>
      <w:numFmt w:val="decimal"/>
      <w:start w:val="5"/>
    </w:lvl>
    <w:lvl w:ilvl="1">
      <w:lvlJc w:val="left"/>
      <w:lvlText w:val="(%2)"/>
      <w:numFmt w:val="upperLetter"/>
      <w:start w:val="1"/>
    </w:lvl>
  </w:abstractNum>
  <w:abstractNum w:abstractNumId="942">
    <w:nsid w:val="2F787E6A"/>
    <w:multiLevelType w:val="hybridMultilevel"/>
    <w:lvl w:ilvl="0">
      <w:lvlJc w:val="left"/>
      <w:lvlText w:val="%1"/>
      <w:numFmt w:val="upperLetter"/>
      <w:start w:val="1"/>
    </w:lvl>
    <w:lvl w:ilvl="1">
      <w:lvlJc w:val="left"/>
      <w:lvlText w:val="%2"/>
      <w:numFmt w:val="upperLetter"/>
      <w:start w:val="1"/>
    </w:lvl>
    <w:lvl w:ilvl="2">
      <w:lvlJc w:val="left"/>
      <w:lvlText w:val="%3"/>
      <w:numFmt w:val="decimal"/>
      <w:start w:val="1"/>
    </w:lvl>
    <w:lvl w:ilvl="3">
      <w:lvlJc w:val="left"/>
      <w:lvlText w:val="(%4)"/>
      <w:numFmt w:val="upperLetter"/>
      <w:start w:val="2"/>
    </w:lvl>
    <w:lvl w:ilvl="4">
      <w:lvlJc w:val="left"/>
      <w:lvlText w:val="(%5)"/>
      <w:numFmt w:val="lowerRoman"/>
      <w:start w:val="1"/>
    </w:lvl>
  </w:abstractNum>
  <w:abstractNum w:abstractNumId="943">
    <w:nsid w:val="3A7426C2"/>
    <w:multiLevelType w:val="hybridMultilevel"/>
    <w:lvl w:ilvl="0">
      <w:lvlJc w:val="left"/>
      <w:lvlText w:val="(%1)"/>
      <w:numFmt w:val="upperLetter"/>
      <w:start w:val="3"/>
    </w:lvl>
    <w:lvl w:ilvl="1">
      <w:lvlJc w:val="left"/>
      <w:lvlText w:val="(%2)"/>
      <w:numFmt w:val="upperLetter"/>
      <w:start w:val="5"/>
    </w:lvl>
    <w:lvl w:ilvl="2">
      <w:lvlJc w:val="left"/>
      <w:lvlText w:val="(%3)"/>
      <w:numFmt w:val="decimal"/>
      <w:start w:val="1"/>
    </w:lvl>
    <w:lvl w:ilvl="3">
      <w:lvlJc w:val="left"/>
      <w:lvlText w:val="%4"/>
      <w:numFmt w:val="upperLetter"/>
      <w:start w:val="1"/>
    </w:lvl>
    <w:lvl w:ilvl="4">
      <w:lvlJc w:val="left"/>
      <w:lvlText w:val="%5"/>
      <w:numFmt w:val="lowerRoman"/>
      <w:start w:val="1"/>
    </w:lvl>
  </w:abstractNum>
  <w:abstractNum w:abstractNumId="944">
    <w:nsid w:val="5F482831"/>
    <w:multiLevelType w:val="hybridMultilevel"/>
    <w:lvl w:ilvl="0">
      <w:lvlJc w:val="left"/>
      <w:lvlText w:val="%1"/>
      <w:numFmt w:val="upperLetter"/>
      <w:start w:val="1"/>
    </w:lvl>
    <w:lvl w:ilvl="1">
      <w:lvlJc w:val="left"/>
      <w:lvlText w:val="%2"/>
      <w:numFmt w:val="upperLetter"/>
      <w:start w:val="1"/>
    </w:lvl>
    <w:lvl w:ilvl="2">
      <w:lvlJc w:val="left"/>
      <w:lvlText w:val="(%3)"/>
      <w:numFmt w:val="decimal"/>
      <w:start w:val="4"/>
    </w:lvl>
  </w:abstractNum>
  <w:abstractNum w:abstractNumId="945">
    <w:nsid w:val="55BE58D9"/>
    <w:multiLevelType w:val="hybridMultilevel"/>
    <w:lvl w:ilvl="0">
      <w:lvlJc w:val="left"/>
      <w:lvlText w:val="%1"/>
      <w:numFmt w:val="upperLetter"/>
      <w:start w:val="1"/>
    </w:lvl>
    <w:lvl w:ilvl="1">
      <w:lvlJc w:val="left"/>
      <w:lvlText w:val="(%2)"/>
      <w:numFmt w:val="upperLetter"/>
      <w:start w:val="7"/>
    </w:lvl>
    <w:lvl w:ilvl="2">
      <w:lvlJc w:val="left"/>
      <w:lvlText w:val="(%3)"/>
      <w:numFmt w:val="decimal"/>
      <w:start w:val="1"/>
    </w:lvl>
  </w:abstractNum>
  <w:abstractNum w:abstractNumId="946">
    <w:nsid w:val="5E057E55"/>
    <w:multiLevelType w:val="hybridMultilevel"/>
    <w:lvl w:ilvl="0">
      <w:lvlJc w:val="left"/>
      <w:lvlText w:val="(%1)"/>
      <w:numFmt w:val="upperLetter"/>
      <w:start w:val="9"/>
    </w:lvl>
    <w:lvl w:ilvl="1">
      <w:lvlJc w:val="left"/>
      <w:lvlText w:val="%2"/>
      <w:numFmt w:val="upperLetter"/>
      <w:start w:val="1"/>
    </w:lvl>
    <w:lvl w:ilvl="2">
      <w:lvlJc w:val="left"/>
      <w:lvlText w:val="%3"/>
      <w:numFmt w:val="decimal"/>
      <w:start w:val="1"/>
    </w:lvl>
  </w:abstractNum>
  <w:abstractNum w:abstractNumId="947">
    <w:nsid w:val="1376C762"/>
    <w:multiLevelType w:val="hybridMultilevel"/>
    <w:lvl w:ilvl="0">
      <w:lvlJc w:val="left"/>
      <w:lvlText w:val="%1"/>
      <w:numFmt w:val="upperLetter"/>
      <w:start w:val="1"/>
    </w:lvl>
    <w:lvl w:ilvl="1">
      <w:lvlJc w:val="left"/>
      <w:lvlText w:val="(%2)"/>
      <w:numFmt w:val="decimal"/>
      <w:start w:val="1"/>
    </w:lvl>
  </w:abstractNum>
  <w:abstractNum w:abstractNumId="948">
    <w:nsid w:val="1E4549D6"/>
    <w:multiLevelType w:val="hybridMultilevel"/>
    <w:lvl w:ilvl="0">
      <w:lvlJc w:val="left"/>
      <w:lvlText w:val="(%1)"/>
      <w:numFmt w:val="upperLetter"/>
      <w:start w:val="13"/>
    </w:lvl>
    <w:lvl w:ilvl="1">
      <w:lvlJc w:val="left"/>
      <w:lvlText w:val="%2"/>
      <w:numFmt w:val="decimal"/>
      <w:start w:val="1"/>
    </w:lvl>
  </w:abstractNum>
  <w:abstractNum w:abstractNumId="949">
    <w:nsid w:val="6000E2D6"/>
    <w:multiLevelType w:val="hybridMultilevel"/>
    <w:lvl w:ilvl="0">
      <w:lvlJc w:val="left"/>
      <w:lvlText w:val="(%1)"/>
      <w:numFmt w:val="upperLetter"/>
      <w:start w:val="24"/>
    </w:lvl>
    <w:lvl w:ilvl="1">
      <w:lvlJc w:val="left"/>
      <w:lvlText w:val="(%2)"/>
      <w:numFmt w:val="upperLetter"/>
      <w:start w:val="1"/>
    </w:lvl>
  </w:abstractNum>
  <w:abstractNum w:abstractNumId="950">
    <w:nsid w:val="55BFE1FD"/>
    <w:multiLevelType w:val="hybridMultilevel"/>
    <w:lvl w:ilvl="0">
      <w:lvlJc w:val="left"/>
      <w:lvlText w:val="(%1)"/>
      <w:numFmt w:val="decimal"/>
      <w:start w:val="1"/>
    </w:lvl>
    <w:lvl w:ilvl="1">
      <w:lvlJc w:val="left"/>
      <w:lvlText w:val=""/>
      <w:numFmt w:val="bullet"/>
      <w:start w:val="1"/>
    </w:lvl>
  </w:abstractNum>
  <w:abstractNum w:abstractNumId="951">
    <w:nsid w:val="42383768"/>
    <w:multiLevelType w:val="hybridMultilevel"/>
    <w:lvl w:ilvl="0">
      <w:lvlJc w:val="left"/>
      <w:lvlText w:val=""/>
      <w:numFmt w:val="bullet"/>
      <w:start w:val="1"/>
    </w:lvl>
  </w:abstractNum>
  <w:abstractNum w:abstractNumId="952">
    <w:nsid w:val="48582087"/>
    <w:multiLevelType w:val="hybridMultilevel"/>
    <w:lvl w:ilvl="0">
      <w:lvlJc w:val="left"/>
      <w:lvlText w:val="(%1)"/>
      <w:numFmt w:val="upperLetter"/>
      <w:start w:val="1"/>
    </w:lvl>
    <w:lvl w:ilvl="1">
      <w:lvlJc w:val="left"/>
      <w:lvlText w:val=""/>
      <w:numFmt w:val="bullet"/>
      <w:start w:val="1"/>
    </w:lvl>
  </w:abstractNum>
  <w:abstractNum w:abstractNumId="953">
    <w:nsid w:val="29C95E8B"/>
    <w:multiLevelType w:val="hybridMultilevel"/>
    <w:lvl w:ilvl="0">
      <w:lvlJc w:val="left"/>
      <w:lvlText w:val="%1)"/>
      <w:numFmt w:val="lowerLetter"/>
      <w:start w:val="2"/>
    </w:lvl>
    <w:lvl w:ilvl="1">
      <w:lvlJc w:val="left"/>
      <w:lvlText w:val="(%2)"/>
      <w:numFmt w:val="upperLetter"/>
      <w:start w:val="2"/>
    </w:lvl>
  </w:abstractNum>
  <w:abstractNum w:abstractNumId="954">
    <w:nsid w:val="4EB3B3D2"/>
    <w:multiLevelType w:val="hybridMultilevel"/>
    <w:lvl w:ilvl="0">
      <w:lvlJc w:val="left"/>
      <w:lvlText w:val="(%1)"/>
      <w:numFmt w:val="lowerLetter"/>
      <w:start w:val="1"/>
    </w:lvl>
  </w:abstractNum>
  <w:abstractNum w:abstractNumId="955">
    <w:nsid w:val="489D5E10"/>
    <w:multiLevelType w:val="hybridMultilevel"/>
    <w:lvl w:ilvl="0">
      <w:lvlJc w:val="left"/>
      <w:lvlText w:val="(%1)"/>
      <w:numFmt w:val="upperLetter"/>
      <w:start w:val="1"/>
    </w:lvl>
    <w:lvl w:ilvl="1">
      <w:lvlJc w:val="left"/>
      <w:lvlText w:val="(%2)"/>
      <w:numFmt w:val="decimal"/>
      <w:start w:val="1"/>
    </w:lvl>
  </w:abstractNum>
  <w:abstractNum w:abstractNumId="956">
    <w:nsid w:val="72564E73"/>
    <w:multiLevelType w:val="hybridMultilevel"/>
    <w:lvl w:ilvl="0">
      <w:lvlJc w:val="left"/>
      <w:lvlText w:val="(%1)"/>
      <w:numFmt w:val="upperLetter"/>
      <w:start w:val="1"/>
    </w:lvl>
  </w:abstractNum>
  <w:abstractNum w:abstractNumId="957">
    <w:nsid w:val="33710114"/>
    <w:multiLevelType w:val="hybridMultilevel"/>
    <w:lvl w:ilvl="0">
      <w:lvlJc w:val="left"/>
      <w:lvlText w:val="(%1)"/>
      <w:numFmt w:val="upperLetter"/>
      <w:start w:val="3"/>
    </w:lvl>
    <w:lvl w:ilvl="1">
      <w:lvlJc w:val="left"/>
      <w:lvlText w:val="(%2)"/>
      <w:numFmt w:val="decimal"/>
      <w:start w:val="1"/>
    </w:lvl>
  </w:abstractNum>
  <w:abstractNum w:abstractNumId="958">
    <w:nsid w:val="8286448"/>
    <w:multiLevelType w:val="hybridMultilevel"/>
    <w:lvl w:ilvl="0">
      <w:lvlJc w:val="left"/>
      <w:lvlText w:val="……."/>
      <w:numFmt w:val="bullet"/>
      <w:start w:val="1"/>
    </w:lvl>
  </w:abstractNum>
  <w:abstractNum w:abstractNumId="959">
    <w:nsid w:val="6F2A289A"/>
    <w:multiLevelType w:val="hybridMultilevel"/>
    <w:lvl w:ilvl="0">
      <w:lvlJc w:val="left"/>
      <w:lvlText w:val="(%1)"/>
      <w:numFmt w:val="decimal"/>
      <w:start w:val="2"/>
    </w:lvl>
  </w:abstractNum>
  <w:abstractNum w:abstractNumId="960">
    <w:nsid w:val="5C02A8CB"/>
    <w:multiLevelType w:val="hybridMultilevel"/>
    <w:lvl w:ilvl="0">
      <w:lvlJc w:val="left"/>
      <w:lvlText w:val="%1"/>
      <w:numFmt w:val="upperLetter"/>
      <w:start w:val="1"/>
    </w:lvl>
    <w:lvl w:ilvl="1">
      <w:lvlJc w:val="left"/>
      <w:lvlText w:val="(%2)"/>
      <w:numFmt w:val="decimal"/>
      <w:start w:val="5"/>
    </w:lvl>
  </w:abstractNum>
  <w:abstractNum w:abstractNumId="961">
    <w:nsid w:val="6DB6DC9D"/>
    <w:multiLevelType w:val="hybridMultilevel"/>
    <w:lvl w:ilvl="0">
      <w:lvlJc w:val="left"/>
      <w:lvlText w:val="(%1)"/>
      <w:numFmt w:val="upperLetter"/>
      <w:start w:val="7"/>
    </w:lvl>
    <w:lvl w:ilvl="1">
      <w:lvlJc w:val="left"/>
      <w:lvlText w:val="%2"/>
      <w:numFmt w:val="decimal"/>
      <w:start w:val="1"/>
    </w:lvl>
  </w:abstractNum>
  <w:abstractNum w:abstractNumId="962">
    <w:nsid w:val="43C5090"/>
    <w:multiLevelType w:val="hybridMultilevel"/>
    <w:lvl w:ilvl="0">
      <w:lvlJc w:val="left"/>
      <w:lvlText w:val="(%1)"/>
      <w:numFmt w:val="decimal"/>
      <w:start w:val="1"/>
    </w:lvl>
    <w:lvl w:ilvl="1">
      <w:lvlJc w:val="left"/>
      <w:lvlText w:val="(%2)"/>
      <w:numFmt w:val="lowerLetter"/>
      <w:start w:val="1"/>
    </w:lvl>
    <w:lvl w:ilvl="2">
      <w:lvlJc w:val="left"/>
      <w:lvlText w:val="%3."/>
      <w:numFmt w:val="decimal"/>
      <w:start w:val="1"/>
    </w:lvl>
  </w:abstractNum>
  <w:abstractNum w:abstractNumId="963">
    <w:nsid w:val="5A6A9A0F"/>
    <w:multiLevelType w:val="hybridMultilevel"/>
    <w:lvl w:ilvl="0">
      <w:lvlJc w:val="left"/>
      <w:lvlText w:val="%1"/>
      <w:numFmt w:val="decimal"/>
      <w:start w:val="1"/>
    </w:lvl>
    <w:lvl w:ilvl="1">
      <w:lvlJc w:val="left"/>
      <w:lvlText w:val="(%2)"/>
      <w:numFmt w:val="lowerLetter"/>
      <w:start w:val="4"/>
    </w:lvl>
  </w:abstractNum>
  <w:abstractNum w:abstractNumId="964">
    <w:nsid w:val="6D2B29CA"/>
    <w:multiLevelType w:val="hybridMultilevel"/>
    <w:lvl w:ilvl="0">
      <w:lvlJc w:val="left"/>
      <w:lvlText w:val="(%1)"/>
      <w:numFmt w:val="decimal"/>
      <w:start w:val="3"/>
    </w:lvl>
    <w:lvl w:ilvl="1">
      <w:lvlJc w:val="left"/>
      <w:lvlText w:val="%2"/>
      <w:numFmt w:val="lowerLetter"/>
      <w:start w:val="1"/>
    </w:lvl>
  </w:abstractNum>
  <w:abstractNum w:abstractNumId="965">
    <w:nsid w:val="3A80B139"/>
    <w:multiLevelType w:val="hybridMultilevel"/>
    <w:lvl w:ilvl="0">
      <w:lvlJc w:val="left"/>
      <w:lvlText w:val="%1)"/>
      <w:numFmt w:val="lowerLetter"/>
      <w:start w:val="1"/>
    </w:lvl>
  </w:abstractNum>
  <w:abstractNum w:abstractNumId="966">
    <w:nsid w:val="6D7E5D3A"/>
    <w:multiLevelType w:val="hybridMultilevel"/>
    <w:lvl w:ilvl="0">
      <w:lvlJc w:val="left"/>
      <w:lvlText w:val="%1"/>
      <w:numFmt w:val="decimal"/>
      <w:start w:val="1"/>
    </w:lvl>
    <w:lvl w:ilvl="1">
      <w:lvlJc w:val="left"/>
      <w:lvlText w:val="%2)"/>
      <w:numFmt w:val="lowerLetter"/>
      <w:start w:val="3"/>
    </w:lvl>
    <w:lvl w:ilvl="2">
      <w:lvlJc w:val="left"/>
      <w:lvlText w:val="%3"/>
      <w:numFmt w:val="lowerRoman"/>
      <w:start w:val="1"/>
    </w:lvl>
  </w:abstractNum>
  <w:abstractNum w:abstractNumId="967">
    <w:nsid w:val="3DBDA786"/>
    <w:multiLevelType w:val="hybridMultilevel"/>
    <w:lvl w:ilvl="0">
      <w:lvlJc w:val="left"/>
      <w:lvlText w:val="(%1)"/>
      <w:numFmt w:val="decimal"/>
      <w:start w:val="5"/>
    </w:lvl>
    <w:lvl w:ilvl="1">
      <w:lvlJc w:val="left"/>
      <w:lvlText w:val="%2)"/>
      <w:numFmt w:val="lowerLetter"/>
      <w:start w:val="1"/>
    </w:lvl>
    <w:lvl w:ilvl="2">
      <w:lvlJc w:val="left"/>
      <w:lvlText w:val="(%3)"/>
      <w:numFmt w:val="lowerRoman"/>
      <w:start w:val="1"/>
    </w:lvl>
  </w:abstractNum>
  <w:abstractNum w:abstractNumId="968">
    <w:nsid w:val="2B3357B"/>
    <w:multiLevelType w:val="hybridMultilevel"/>
    <w:lvl w:ilvl="0">
      <w:lvlJc w:val="left"/>
      <w:lvlText w:val="%1"/>
      <w:numFmt w:val="upperLetter"/>
      <w:start w:val="1"/>
    </w:lvl>
    <w:lvl w:ilvl="1">
      <w:lvlJc w:val="left"/>
      <w:lvlText w:val="%2"/>
      <w:numFmt w:val="lowerLetter"/>
      <w:start w:val="1"/>
    </w:lvl>
    <w:lvl w:ilvl="2">
      <w:lvlJc w:val="left"/>
      <w:lvlText w:val="%3"/>
      <w:numFmt w:val="decimal"/>
      <w:start w:val="1"/>
    </w:lvl>
    <w:lvl w:ilvl="3">
      <w:lvlJc w:val="left"/>
      <w:lvlText w:val="(%4)"/>
      <w:numFmt w:val="lowerRoman"/>
      <w:start w:val="3"/>
    </w:lvl>
  </w:abstractNum>
  <w:abstractNum w:abstractNumId="969">
    <w:nsid w:val="47EDADCF"/>
    <w:multiLevelType w:val="hybridMultilevel"/>
    <w:lvl w:ilvl="0">
      <w:lvlJc w:val="left"/>
      <w:lvlText w:val="(%1)"/>
      <w:numFmt w:val="upperLetter"/>
      <w:start w:val="50"/>
    </w:lvl>
    <w:lvl w:ilvl="1">
      <w:lvlJc w:val="left"/>
      <w:lvlText w:val="(%2)"/>
      <w:numFmt w:val="lowerLetter"/>
      <w:start w:val="1"/>
    </w:lvl>
    <w:lvl w:ilvl="2">
      <w:lvlJc w:val="left"/>
      <w:lvlText w:val="(%3)"/>
      <w:numFmt w:val="decimal"/>
      <w:start w:val="1"/>
    </w:lvl>
    <w:lvl w:ilvl="3">
      <w:lvlJc w:val="left"/>
      <w:lvlText w:val="%4"/>
      <w:numFmt w:val="lowerRoman"/>
      <w:start w:val="1"/>
    </w:lvl>
  </w:abstractNum>
  <w:abstractNum w:abstractNumId="970">
    <w:nsid w:val="589625E0"/>
    <w:multiLevelType w:val="hybridMultilevel"/>
    <w:lvl w:ilvl="0">
      <w:lvlJc w:val="left"/>
      <w:lvlText w:val="(%1)"/>
      <w:numFmt w:val="decimal"/>
      <w:start w:val="2"/>
    </w:lvl>
  </w:abstractNum>
  <w:abstractNum w:abstractNumId="971">
    <w:nsid w:val="6112105E"/>
    <w:multiLevelType w:val="hybridMultilevel"/>
    <w:lvl w:ilvl="0">
      <w:lvlJc w:val="left"/>
      <w:lvlText w:val="(%1)"/>
      <w:numFmt w:val="upperLetter"/>
      <w:start w:val="1"/>
    </w:lvl>
  </w:abstractNum>
  <w:abstractNum w:abstractNumId="972">
    <w:nsid w:val="365D3648"/>
    <w:multiLevelType w:val="hybridMultilevel"/>
    <w:lvl w:ilvl="0">
      <w:lvlJc w:val="left"/>
      <w:lvlText w:val="(%1)"/>
      <w:numFmt w:val="upperLetter"/>
      <w:start w:val="1"/>
    </w:lvl>
  </w:abstractNum>
  <w:abstractNum w:abstractNumId="973">
    <w:nsid w:val="80EA44A"/>
    <w:multiLevelType w:val="hybridMultilevel"/>
    <w:lvl w:ilvl="0">
      <w:lvlJc w:val="left"/>
      <w:lvlText w:val="(%1)"/>
      <w:numFmt w:val="upperLetter"/>
      <w:start w:val="1"/>
    </w:lvl>
  </w:abstractNum>
  <w:abstractNum w:abstractNumId="974">
    <w:nsid w:val="1B863720"/>
    <w:multiLevelType w:val="hybridMultilevel"/>
    <w:lvl w:ilvl="0">
      <w:lvlJc w:val="left"/>
      <w:lvlText w:val="(%1)"/>
      <w:numFmt w:val="decimal"/>
      <w:start w:val="5"/>
    </w:lvl>
  </w:abstractNum>
  <w:abstractNum w:abstractNumId="975">
    <w:nsid w:val="15A55E79"/>
    <w:multiLevelType w:val="hybridMultilevel"/>
    <w:lvl w:ilvl="0">
      <w:lvlJc w:val="left"/>
      <w:lvlText w:val="%1"/>
      <w:numFmt w:val="decimal"/>
      <w:start w:val="1"/>
    </w:lvl>
    <w:lvl w:ilvl="1">
      <w:lvlJc w:val="left"/>
      <w:lvlText w:val="(%2)"/>
      <w:numFmt w:val="lowerLetter"/>
      <w:start w:val="1"/>
    </w:lvl>
    <w:lvl w:ilvl="2">
      <w:lvlJc w:val="left"/>
      <w:lvlText w:val="%3"/>
      <w:numFmt w:val="upperLetter"/>
      <w:start w:val="1"/>
    </w:lvl>
    <w:lvl w:ilvl="3">
      <w:lvlJc w:val="left"/>
      <w:lvlText w:val="%4"/>
      <w:numFmt w:val="decimal"/>
      <w:start w:val="1"/>
    </w:lvl>
    <w:lvl w:ilvl="4">
      <w:lvlJc w:val="left"/>
      <w:lvlText w:val="%5"/>
      <w:numFmt w:val="lowerLetter"/>
      <w:start w:val="1"/>
    </w:lvl>
  </w:abstractNum>
  <w:abstractNum w:abstractNumId="976">
    <w:nsid w:val="5DCCFD23"/>
    <w:multiLevelType w:val="hybridMultilevel"/>
    <w:lvl w:ilvl="0">
      <w:lvlJc w:val="left"/>
      <w:lvlText w:val="(%1)"/>
      <w:numFmt w:val="decimal"/>
      <w:start w:val="1"/>
    </w:lvl>
    <w:lvl w:ilvl="1">
      <w:lvlJc w:val="left"/>
      <w:lvlText w:val="%2"/>
      <w:numFmt w:val="lowerLetter"/>
      <w:start w:val="1"/>
    </w:lvl>
    <w:lvl w:ilvl="2">
      <w:lvlJc w:val="left"/>
      <w:lvlText w:val="(%3)"/>
      <w:numFmt w:val="upperLetter"/>
      <w:start w:val="1"/>
    </w:lvl>
    <w:lvl w:ilvl="3">
      <w:lvlJc w:val="left"/>
      <w:lvlText w:val="(%4)"/>
      <w:numFmt w:val="decimal"/>
      <w:start w:val="1"/>
    </w:lvl>
    <w:lvl w:ilvl="4">
      <w:lvlJc w:val="left"/>
      <w:lvlText w:val="%5)"/>
      <w:numFmt w:val="lowerLetter"/>
      <w:start w:val="1"/>
    </w:lvl>
  </w:abstractNum>
  <w:abstractNum w:abstractNumId="977">
    <w:nsid w:val="798BB575"/>
    <w:multiLevelType w:val="hybridMultilevel"/>
    <w:lvl w:ilvl="0">
      <w:lvlJc w:val="left"/>
      <w:lvlText w:val="%1"/>
      <w:numFmt w:val="decimal"/>
      <w:start w:val="118"/>
    </w:lvl>
  </w:abstractNum>
  <w:abstractNum w:abstractNumId="978">
    <w:nsid w:val="291C25DB"/>
    <w:multiLevelType w:val="hybridMultilevel"/>
    <w:lvl w:ilvl="0">
      <w:lvlJc w:val="left"/>
      <w:lvlText w:val="%1)"/>
      <w:numFmt w:val="lowerLetter"/>
      <w:start w:val="2"/>
    </w:lvl>
  </w:abstractNum>
  <w:abstractNum w:abstractNumId="979">
    <w:nsid w:val="7C1246F9"/>
    <w:multiLevelType w:val="hybridMultilevel"/>
    <w:lvl w:ilvl="0">
      <w:lvlJc w:val="left"/>
      <w:lvlText w:val="%1)"/>
      <w:numFmt w:val="lowerLetter"/>
      <w:start w:val="8"/>
    </w:lvl>
  </w:abstractNum>
  <w:abstractNum w:abstractNumId="980">
    <w:nsid w:val="598C984B"/>
    <w:multiLevelType w:val="hybridMultilevel"/>
    <w:lvl w:ilvl="0">
      <w:lvlJc w:val="left"/>
      <w:lvlText w:val="%1"/>
      <w:numFmt w:val="decimal"/>
      <w:start w:val="1"/>
    </w:lvl>
    <w:lvl w:ilvl="1">
      <w:lvlJc w:val="left"/>
      <w:lvlText w:val="%2"/>
      <w:numFmt w:val="upperLetter"/>
      <w:start w:val="1"/>
    </w:lvl>
    <w:lvl w:ilvl="2">
      <w:lvlJc w:val="left"/>
      <w:lvlText w:val="%3"/>
      <w:numFmt w:val="upperLetter"/>
      <w:start w:val="1"/>
    </w:lvl>
    <w:lvl w:ilvl="3">
      <w:lvlJc w:val="left"/>
      <w:lvlText w:val="%4"/>
      <w:numFmt w:val="lowerLetter"/>
      <w:start w:val="1"/>
    </w:lvl>
    <w:lvl w:ilvl="4">
      <w:lvlJc w:val="left"/>
      <w:lvlText w:val="%5)"/>
      <w:numFmt w:val="lowerLetter"/>
      <w:start w:val="9"/>
    </w:lvl>
    <w:lvl w:ilvl="5">
      <w:lvlJc w:val="left"/>
      <w:lvlText w:val="(%6)"/>
      <w:numFmt w:val="lowerRoman"/>
      <w:start w:val="1"/>
    </w:lvl>
  </w:abstractNum>
  <w:abstractNum w:abstractNumId="981">
    <w:nsid w:val="7EDC07D8"/>
    <w:multiLevelType w:val="hybridMultilevel"/>
    <w:lvl w:ilvl="0">
      <w:lvlJc w:val="left"/>
      <w:lvlText w:val="%1"/>
      <w:numFmt w:val="decimal"/>
      <w:start w:val="1"/>
    </w:lvl>
    <w:lvl w:ilvl="1">
      <w:lvlJc w:val="left"/>
      <w:lvlText w:val="%2"/>
      <w:numFmt w:val="upperLetter"/>
      <w:start w:val="1"/>
    </w:lvl>
    <w:lvl w:ilvl="2">
      <w:lvlJc w:val="left"/>
      <w:lvlText w:val="(%3)"/>
      <w:numFmt w:val="upperLetter"/>
      <w:start w:val="2"/>
    </w:lvl>
    <w:lvl w:ilvl="3">
      <w:lvlJc w:val="left"/>
      <w:lvlText w:val="%4"/>
      <w:numFmt w:val="lowerLetter"/>
      <w:start w:val="1"/>
    </w:lvl>
    <w:lvl w:ilvl="4">
      <w:lvlJc w:val="left"/>
      <w:lvlText w:val="%5"/>
      <w:numFmt w:val="lowerLetter"/>
      <w:start w:val="1"/>
    </w:lvl>
    <w:lvl w:ilvl="5">
      <w:lvlJc w:val="left"/>
      <w:lvlText w:val="%6"/>
      <w:numFmt w:val="lowerRoman"/>
      <w:start w:val="1"/>
    </w:lvl>
  </w:abstractNum>
  <w:abstractNum w:abstractNumId="982">
    <w:nsid w:val="3E4A7E62"/>
    <w:multiLevelType w:val="hybridMultilevel"/>
    <w:lvl w:ilvl="0">
      <w:lvlJc w:val="left"/>
      <w:lvlText w:val="(%1)"/>
      <w:numFmt w:val="decimal"/>
      <w:start w:val="2"/>
    </w:lvl>
    <w:lvl w:ilvl="1">
      <w:lvlJc w:val="left"/>
      <w:lvlText w:val="(%2)"/>
      <w:numFmt w:val="upperLetter"/>
      <w:start w:val="1"/>
    </w:lvl>
    <w:lvl w:ilvl="2">
      <w:lvlJc w:val="left"/>
      <w:lvlText w:val="%3"/>
      <w:numFmt w:val="upperLetter"/>
      <w:start w:val="1"/>
    </w:lvl>
    <w:lvl w:ilvl="3">
      <w:lvlJc w:val="left"/>
      <w:lvlText w:val="%4."/>
      <w:numFmt w:val="lowerLetter"/>
      <w:start w:val="1"/>
    </w:lvl>
    <w:lvl w:ilvl="4">
      <w:lvlJc w:val="left"/>
      <w:lvlText w:val="%5"/>
      <w:numFmt w:val="lowerLetter"/>
      <w:start w:val="1"/>
    </w:lvl>
    <w:lvl w:ilvl="5">
      <w:lvlJc w:val="left"/>
      <w:lvlText w:val="%6"/>
      <w:numFmt w:val="lowerRoman"/>
      <w:start w:val="1"/>
    </w:lvl>
  </w:abstractNum>
  <w:abstractNum w:abstractNumId="983">
    <w:nsid w:val="21E4B8D3"/>
    <w:multiLevelType w:val="hybridMultilevel"/>
    <w:lvl w:ilvl="0">
      <w:lvlJc w:val="left"/>
      <w:lvlText w:val="%1"/>
      <w:numFmt w:val="decimal"/>
      <w:start w:val="1"/>
    </w:lvl>
    <w:lvl w:ilvl="1">
      <w:lvlJc w:val="left"/>
      <w:lvlText w:val="%2"/>
      <w:numFmt w:val="upperLetter"/>
      <w:start w:val="1"/>
    </w:lvl>
    <w:lvl w:ilvl="2">
      <w:lvlJc w:val="left"/>
      <w:lvlText w:val="%3."/>
      <w:numFmt w:val="lowerLetter"/>
      <w:start w:val="4"/>
    </w:lvl>
  </w:abstractNum>
  <w:abstractNum w:abstractNumId="984">
    <w:nsid w:val="28A56663"/>
    <w:multiLevelType w:val="hybridMultilevel"/>
    <w:lvl w:ilvl="0">
      <w:lvlJc w:val="left"/>
      <w:lvlText w:val="%1"/>
      <w:numFmt w:val="decimal"/>
      <w:start w:val="1"/>
    </w:lvl>
    <w:lvl w:ilvl="1">
      <w:lvlJc w:val="left"/>
      <w:lvlText w:val="(%2)"/>
      <w:numFmt w:val="upperLetter"/>
      <w:start w:val="5"/>
    </w:lvl>
    <w:lvl w:ilvl="2">
      <w:lvlJc w:val="left"/>
      <w:lvlText w:val="%3"/>
      <w:numFmt w:val="lowerLetter"/>
      <w:start w:val="1"/>
    </w:lvl>
  </w:abstractNum>
  <w:abstractNum w:abstractNumId="985">
    <w:nsid w:val="CFE3234"/>
    <w:multiLevelType w:val="hybridMultilevel"/>
    <w:lvl w:ilvl="0">
      <w:lvlJc w:val="left"/>
      <w:lvlText w:val="(%1)"/>
      <w:numFmt w:val="decimal"/>
      <w:start w:val="5"/>
    </w:lvl>
    <w:lvl w:ilvl="1">
      <w:lvlJc w:val="left"/>
      <w:lvlText w:val="(%2)"/>
      <w:numFmt w:val="upperLetter"/>
      <w:start w:val="1"/>
    </w:lvl>
    <w:lvl w:ilvl="2">
      <w:lvlJc w:val="left"/>
      <w:lvlText w:val="%3"/>
      <w:numFmt w:val="lowerLetter"/>
      <w:start w:val="1"/>
    </w:lvl>
  </w:abstractNum>
  <w:abstractNum w:abstractNumId="986">
    <w:nsid w:val="6A8216E3"/>
    <w:multiLevelType w:val="hybridMultilevel"/>
    <w:lvl w:ilvl="0">
      <w:lvlJc w:val="left"/>
      <w:lvlText w:val="%1"/>
      <w:numFmt w:val="upperLetter"/>
      <w:start w:val="1"/>
    </w:lvl>
    <w:lvl w:ilvl="1">
      <w:lvlJc w:val="left"/>
      <w:lvlText w:val="(%2)"/>
      <w:numFmt w:val="decimal"/>
      <w:start w:val="1"/>
    </w:lvl>
  </w:abstractNum>
  <w:abstractNum w:abstractNumId="987">
    <w:nsid w:val="1AFBB4D7"/>
    <w:multiLevelType w:val="hybridMultilevel"/>
    <w:lvl w:ilvl="0">
      <w:lvlJc w:val="left"/>
      <w:lvlText w:val="(%1)"/>
      <w:numFmt w:val="upperLetter"/>
      <w:start w:val="5"/>
    </w:lvl>
    <w:lvl w:ilvl="1">
      <w:lvlJc w:val="left"/>
      <w:lvlText w:val="%2"/>
      <w:numFmt w:val="decimal"/>
      <w:start w:val="1"/>
    </w:lvl>
  </w:abstractNum>
  <w:abstractNum w:abstractNumId="988">
    <w:nsid w:val="406F3348"/>
    <w:multiLevelType w:val="hybridMultilevel"/>
    <w:lvl w:ilvl="0">
      <w:lvlJc w:val="left"/>
      <w:lvlText w:val="(%1)"/>
      <w:numFmt w:val="upperLetter"/>
      <w:start w:val="7"/>
    </w:lvl>
    <w:lvl w:ilvl="1">
      <w:lvlJc w:val="left"/>
      <w:lvlText w:val="(%2)"/>
      <w:numFmt w:val="decimal"/>
      <w:start w:val="1"/>
    </w:lvl>
  </w:abstractNum>
  <w:abstractNum w:abstractNumId="989">
    <w:nsid w:val="72AA7B2B"/>
    <w:multiLevelType w:val="hybridMultilevel"/>
    <w:lvl w:ilvl="0">
      <w:lvlJc w:val="left"/>
      <w:lvlText w:val="(%1)"/>
      <w:numFmt w:val="decimal"/>
      <w:start w:val="13"/>
    </w:lvl>
  </w:abstractNum>
  <w:abstractNum w:abstractNumId="990">
    <w:nsid w:val="A25DD71"/>
    <w:multiLevelType w:val="hybridMultilevel"/>
    <w:lvl w:ilvl="0">
      <w:lvlJc w:val="left"/>
      <w:lvlText w:val="(%1)"/>
      <w:numFmt w:val="decimal"/>
      <w:start w:val="22"/>
    </w:lvl>
  </w:abstractNum>
  <w:abstractNum w:abstractNumId="991">
    <w:nsid w:val="1C71DC14"/>
    <w:multiLevelType w:val="hybridMultilevel"/>
    <w:lvl w:ilvl="0">
      <w:lvlJc w:val="left"/>
      <w:lvlText w:val="%1"/>
      <w:numFmt w:val="decimal"/>
      <w:start w:val="1"/>
    </w:lvl>
    <w:lvl w:ilvl="1">
      <w:lvlJc w:val="left"/>
      <w:lvlText w:val="%2"/>
      <w:numFmt w:val="upperLetter"/>
      <w:start w:val="1"/>
    </w:lvl>
    <w:lvl w:ilvl="2">
      <w:lvlJc w:val="left"/>
      <w:lvlText w:val="%3"/>
      <w:numFmt w:val="lowerLetter"/>
      <w:start w:val="1"/>
    </w:lvl>
    <w:lvl w:ilvl="3">
      <w:lvlJc w:val="left"/>
      <w:lvlText w:val="(%4)"/>
      <w:numFmt w:val="decimal"/>
      <w:start w:val="26"/>
    </w:lvl>
  </w:abstractNum>
  <w:abstractNum w:abstractNumId="992">
    <w:nsid w:val="606157C8"/>
    <w:multiLevelType w:val="hybridMultilevel"/>
    <w:lvl w:ilvl="0">
      <w:lvlJc w:val="left"/>
      <w:lvlText w:val="(%1)"/>
      <w:numFmt w:val="decimal"/>
      <w:start w:val="6"/>
    </w:lvl>
    <w:lvl w:ilvl="1">
      <w:lvlJc w:val="left"/>
      <w:lvlText w:val="(%2)"/>
      <w:numFmt w:val="upperLetter"/>
      <w:start w:val="1"/>
    </w:lvl>
    <w:lvl w:ilvl="2">
      <w:lvlJc w:val="left"/>
      <w:lvlText w:val="(%3)"/>
      <w:numFmt w:val="lowerLetter"/>
      <w:start w:val="1"/>
    </w:lvl>
    <w:lvl w:ilvl="3">
      <w:lvlJc w:val="left"/>
      <w:lvlText w:val="%4"/>
      <w:numFmt w:val="decimal"/>
      <w:start w:val="1"/>
    </w:lvl>
  </w:abstractNum>
  <w:abstractNum w:abstractNumId="993">
    <w:nsid w:val="E622E01"/>
    <w:multiLevelType w:val="hybridMultilevel"/>
    <w:lvl w:ilvl="0">
      <w:lvlJc w:val="left"/>
      <w:lvlText w:val="(%1)"/>
      <w:numFmt w:val="upperLetter"/>
      <w:start w:val="9"/>
    </w:lvl>
    <w:lvl w:ilvl="1">
      <w:lvlJc w:val="left"/>
      <w:lvlText w:val="(%2)"/>
      <w:numFmt w:val="lowerLetter"/>
      <w:start w:val="1"/>
    </w:lvl>
  </w:abstractNum>
  <w:abstractNum w:abstractNumId="994">
    <w:nsid w:val="76DC7623"/>
    <w:multiLevelType w:val="hybridMultilevel"/>
    <w:lvl w:ilvl="0">
      <w:lvlJc w:val="left"/>
      <w:lvlText w:val="(%1)"/>
      <w:numFmt w:val="upperLetter"/>
      <w:start w:val="1"/>
    </w:lvl>
    <w:lvl w:ilvl="1">
      <w:lvlJc w:val="left"/>
      <w:lvlText w:val="(%2)"/>
      <w:numFmt w:val="lowerLetter"/>
      <w:start w:val="1"/>
    </w:lvl>
    <w:lvl w:ilvl="2">
      <w:lvlJc w:val="left"/>
      <w:lvlText w:val="(%3)"/>
      <w:numFmt w:val="lowerRoman"/>
      <w:start w:val="1"/>
    </w:lvl>
  </w:abstractNum>
  <w:abstractNum w:abstractNumId="995">
    <w:nsid w:val="4D8C8192"/>
    <w:multiLevelType w:val="hybridMultilevel"/>
    <w:lvl w:ilvl="0">
      <w:lvlJc w:val="left"/>
      <w:lvlText w:val="(%1)"/>
      <w:numFmt w:val="lowerLetter"/>
      <w:start w:val="4"/>
    </w:lvl>
    <w:lvl w:ilvl="1">
      <w:lvlJc w:val="left"/>
      <w:lvlText w:val="(%2)"/>
      <w:numFmt w:val="lowerLetter"/>
      <w:start w:val="9"/>
    </w:lvl>
  </w:abstractNum>
  <w:abstractNum w:abstractNumId="996">
    <w:nsid w:val="48E2DF3A"/>
    <w:multiLevelType w:val="hybridMultilevel"/>
    <w:lvl w:ilvl="0">
      <w:lvlJc w:val="left"/>
      <w:lvlText w:val="(%1)"/>
      <w:numFmt w:val="decimal"/>
      <w:start w:val="9"/>
    </w:lvl>
    <w:lvl w:ilvl="1">
      <w:lvlJc w:val="left"/>
      <w:lvlText w:val="(%2)"/>
      <w:numFmt w:val="decimal"/>
      <w:start w:val="1"/>
    </w:lvl>
    <w:lvl w:ilvl="2">
      <w:lvlJc w:val="left"/>
      <w:lvlText w:val="(%3)"/>
      <w:numFmt w:val="lowerLetter"/>
      <w:start w:val="1"/>
    </w:lvl>
  </w:abstractNum>
  <w:abstractNum w:abstractNumId="997">
    <w:nsid w:val="645AD35D"/>
    <w:multiLevelType w:val="hybridMultilevel"/>
    <w:lvl w:ilvl="0">
      <w:lvlJc w:val="left"/>
      <w:lvlText w:val="(%1)"/>
      <w:numFmt w:val="decimal"/>
      <w:start w:val="4"/>
    </w:lvl>
    <w:lvl w:ilvl="1">
      <w:lvlJc w:val="left"/>
      <w:lvlText w:val="(%2)"/>
      <w:numFmt w:val="lowerLetter"/>
      <w:start w:val="1"/>
    </w:lvl>
  </w:abstractNum>
  <w:abstractNum w:abstractNumId="998">
    <w:nsid w:val="B4A2918"/>
    <w:multiLevelType w:val="hybridMultilevel"/>
    <w:lvl w:ilvl="0">
      <w:lvlJc w:val="left"/>
      <w:lvlText w:val="%1"/>
      <w:numFmt w:val="decimal"/>
      <w:start w:val="1"/>
    </w:lvl>
    <w:lvl w:ilvl="1">
      <w:lvlJc w:val="left"/>
      <w:lvlText w:val="%2"/>
      <w:numFmt w:val="lowerRoman"/>
      <w:start w:val="1"/>
    </w:lvl>
    <w:lvl w:ilvl="2">
      <w:lvlJc w:val="left"/>
      <w:lvlText w:val="(%3)"/>
      <w:numFmt w:val="lowerLetter"/>
      <w:start w:val="2"/>
    </w:lvl>
  </w:abstractNum>
  <w:abstractNum w:abstractNumId="999">
    <w:nsid w:val="4B9614B5"/>
    <w:multiLevelType w:val="hybridMultilevel"/>
    <w:lvl w:ilvl="0">
      <w:lvlJc w:val="left"/>
      <w:lvlText w:val="(%1)"/>
      <w:numFmt w:val="decimal"/>
      <w:start w:val="6"/>
    </w:lvl>
    <w:lvl w:ilvl="1">
      <w:lvlJc w:val="left"/>
      <w:lvlText w:val="%2)"/>
      <w:numFmt w:val="lowerRoman"/>
    </w:lvl>
    <w:lvl w:ilvl="2">
      <w:lvlJc w:val="left"/>
      <w:lvlText w:val="(%3)"/>
      <w:numFmt w:val="lowerLetter"/>
      <w:start w:val="1"/>
    </w:lvl>
  </w:abstractNum>
  <w:abstractNum w:abstractNumId="1000">
    <w:nsid w:val="2C48812C"/>
    <w:multiLevelType w:val="hybridMultilevel"/>
    <w:lvl w:ilvl="0">
      <w:lvlJc w:val="left"/>
      <w:lvlText w:val="%1"/>
      <w:numFmt w:val="decimal"/>
      <w:start w:val="1"/>
    </w:lvl>
    <w:lvl w:ilvl="1">
      <w:lvlJc w:val="left"/>
      <w:lvlText w:val="%2"/>
      <w:numFmt w:val="lowerRoman"/>
      <w:start w:val="1"/>
    </w:lvl>
    <w:lvl w:ilvl="2">
      <w:lvlJc w:val="left"/>
      <w:lvlText w:val="(%3)"/>
      <w:numFmt w:val="lowerLetter"/>
      <w:start w:val="3"/>
    </w:lvl>
  </w:abstractNum>
  <w:abstractNum w:abstractNumId="1001">
    <w:nsid w:val="63E04EF8"/>
    <w:multiLevelType w:val="hybridMultilevel"/>
    <w:lvl w:ilvl="0">
      <w:lvlJc w:val="left"/>
      <w:lvlText w:val="%1"/>
      <w:numFmt w:val="decimal"/>
      <w:start w:val="1"/>
    </w:lvl>
    <w:lvl w:ilvl="1">
      <w:lvlJc w:val="left"/>
      <w:lvlText w:val="%2)"/>
      <w:numFmt w:val="lowerRoman"/>
      <w:start w:val="1"/>
    </w:lvl>
    <w:lvl w:ilvl="2">
      <w:lvlJc w:val="left"/>
      <w:lvlText w:val="(%3)"/>
      <w:numFmt w:val="lowerLetter"/>
      <w:start w:val="5"/>
    </w:lvl>
  </w:abstractNum>
  <w:abstractNum w:abstractNumId="1002">
    <w:nsid w:val="2CA82513"/>
    <w:multiLevelType w:val="hybridMultilevel"/>
    <w:lvl w:ilvl="0">
      <w:lvlJc w:val="left"/>
      <w:lvlText w:val="(%1)"/>
      <w:numFmt w:val="decimal"/>
      <w:start w:val="7"/>
    </w:lvl>
    <w:lvl w:ilvl="1">
      <w:lvlJc w:val="left"/>
      <w:lvlText w:val="%2"/>
      <w:numFmt w:val="lowerRoman"/>
      <w:start w:val="1"/>
    </w:lvl>
    <w:lvl w:ilvl="2">
      <w:lvlJc w:val="left"/>
      <w:lvlText w:val="%3"/>
      <w:numFmt w:val="lowerLetter"/>
      <w:start w:val="1"/>
    </w:lvl>
  </w:abstractNum>
  <w:abstractNum w:abstractNumId="1003">
    <w:nsid w:val="62A5B774"/>
    <w:multiLevelType w:val="hybridMultilevel"/>
    <w:lvl w:ilvl="0">
      <w:lvlJc w:val="left"/>
      <w:lvlText w:val="%1"/>
      <w:numFmt w:val="decimal"/>
      <w:start w:val="1"/>
    </w:lvl>
    <w:lvl w:ilvl="1">
      <w:lvlJc w:val="left"/>
      <w:lvlText w:val="%2"/>
      <w:numFmt w:val="lowerRoman"/>
      <w:start w:val="1"/>
    </w:lvl>
    <w:lvl w:ilvl="2">
      <w:lvlJc w:val="left"/>
      <w:lvlText w:val="(%3)"/>
      <w:numFmt w:val="lowerLetter"/>
      <w:start w:val="1"/>
    </w:lvl>
  </w:abstractNum>
  <w:abstractNum w:abstractNumId="1004">
    <w:nsid w:val="6BEEF343"/>
    <w:multiLevelType w:val="hybridMultilevel"/>
    <w:lvl w:ilvl="0">
      <w:lvlJc w:val="left"/>
      <w:lvlText w:val="(%1)"/>
      <w:numFmt w:val="decimal"/>
      <w:start w:val="8"/>
    </w:lvl>
    <w:lvl w:ilvl="1">
      <w:lvlJc w:val="left"/>
      <w:lvlText w:val="(%2)"/>
      <w:numFmt w:val="lowerRoman"/>
      <w:start w:val="1"/>
    </w:lvl>
    <w:lvl w:ilvl="2">
      <w:lvlJc w:val="left"/>
      <w:lvlText w:val="%3"/>
      <w:numFmt w:val="lowerLetter"/>
      <w:start w:val="1"/>
    </w:lvl>
  </w:abstractNum>
  <w:abstractNum w:abstractNumId="1005">
    <w:nsid w:val="482E5C33"/>
    <w:multiLevelType w:val="hybridMultilevel"/>
    <w:lvl w:ilvl="0">
      <w:lvlJc w:val="left"/>
      <w:lvlText w:val="%1"/>
      <w:numFmt w:val="upperLetter"/>
      <w:start w:val="1"/>
    </w:lvl>
    <w:lvl w:ilvl="1">
      <w:lvlJc w:val="left"/>
      <w:lvlText w:val="(%2)"/>
      <w:numFmt w:val="decimal"/>
      <w:start w:val="9"/>
    </w:lvl>
  </w:abstractNum>
  <w:abstractNum w:abstractNumId="1006">
    <w:nsid w:val="784B15ED"/>
    <w:multiLevelType w:val="hybridMultilevel"/>
    <w:lvl w:ilvl="0">
      <w:lvlJc w:val="left"/>
      <w:lvlText w:val="(%1)"/>
      <w:numFmt w:val="upperLetter"/>
      <w:start w:val="2"/>
    </w:lvl>
    <w:lvl w:ilvl="1">
      <w:lvlJc w:val="left"/>
      <w:lvlText w:val="(%2)"/>
      <w:numFmt w:val="decimal"/>
      <w:start w:val="1"/>
    </w:lvl>
  </w:abstractNum>
  <w:abstractNum w:abstractNumId="1007">
    <w:nsid w:val="49BBF066"/>
    <w:multiLevelType w:val="hybridMultilevel"/>
    <w:lvl w:ilvl="0">
      <w:lvlJc w:val="left"/>
      <w:lvlText w:val="(%1)"/>
      <w:numFmt w:val="upperLetter"/>
      <w:start w:val="5"/>
    </w:lvl>
    <w:lvl w:ilvl="1">
      <w:lvlJc w:val="left"/>
      <w:lvlText w:val="(%2)"/>
      <w:numFmt w:val="decimal"/>
      <w:start w:val="1"/>
    </w:lvl>
    <w:lvl w:ilvl="2">
      <w:lvlJc w:val="left"/>
      <w:lvlText w:val="(%3)"/>
      <w:numFmt w:val="decimal"/>
      <w:start w:val="1"/>
    </w:lvl>
  </w:abstractNum>
  <w:abstractNum w:abstractNumId="1008">
    <w:nsid w:val="41BA11A8"/>
    <w:multiLevelType w:val="hybridMultilevel"/>
    <w:lvl w:ilvl="0">
      <w:lvlJc w:val="left"/>
      <w:lvlText w:val="%1"/>
      <w:numFmt w:val="upperLetter"/>
      <w:start w:val="1"/>
    </w:lvl>
    <w:lvl w:ilvl="1">
      <w:lvlJc w:val="left"/>
      <w:lvlText w:val="(%2)"/>
      <w:numFmt w:val="decimal"/>
      <w:start w:val="7"/>
    </w:lvl>
  </w:abstractNum>
  <w:abstractNum w:abstractNumId="1009">
    <w:nsid w:val="21673BC8"/>
    <w:multiLevelType w:val="hybridMultilevel"/>
    <w:lvl w:ilvl="0">
      <w:lvlJc w:val="left"/>
      <w:lvlText w:val="(%1)"/>
      <w:numFmt w:val="upperLetter"/>
      <w:start w:val="11"/>
    </w:lvl>
    <w:lvl w:ilvl="1">
      <w:lvlJc w:val="left"/>
      <w:lvlText w:val="%2"/>
      <w:numFmt w:val="decimal"/>
      <w:start w:val="1"/>
    </w:lvl>
  </w:abstractNum>
  <w:abstractNum w:abstractNumId="1010">
    <w:nsid w:val="45CE3760"/>
    <w:multiLevelType w:val="hybridMultilevel"/>
    <w:lvl w:ilvl="0">
      <w:lvlJc w:val="left"/>
      <w:lvlText w:val="(%1)"/>
      <w:numFmt w:val="decimal"/>
      <w:start w:val="10"/>
    </w:lvl>
    <w:lvl w:ilvl="1">
      <w:lvlJc w:val="left"/>
      <w:lvlText w:val="(%2)"/>
      <w:numFmt w:val="upperLetter"/>
      <w:start w:val="1"/>
    </w:lvl>
    <w:lvl w:ilvl="2">
      <w:lvlJc w:val="left"/>
      <w:lvlText w:val="(%3)"/>
      <w:numFmt w:val="decimal"/>
      <w:start w:val="1"/>
    </w:lvl>
    <w:lvl w:ilvl="3">
      <w:lvlJc w:val="left"/>
      <w:lvlText w:val="(%4)"/>
      <w:numFmt w:val="lowerLetter"/>
      <w:start w:val="1"/>
    </w:lvl>
    <w:lvl w:ilvl="4">
      <w:lvlJc w:val="left"/>
      <w:lvlText w:val="(%5)"/>
      <w:numFmt w:val="lowerRoman"/>
      <w:start w:val="1"/>
    </w:lvl>
  </w:abstractNum>
  <w:abstractNum w:abstractNumId="1011">
    <w:nsid w:val="1B46A9F3"/>
    <w:multiLevelType w:val="hybridMultilevel"/>
    <w:lvl w:ilvl="0">
      <w:lvlJc w:val="left"/>
      <w:lvlText w:val="%1"/>
      <w:numFmt w:val="upperLetter"/>
      <w:start w:val="1"/>
    </w:lvl>
    <w:lvl w:ilvl="1">
      <w:lvlJc w:val="left"/>
      <w:lvlText w:val="%2"/>
      <w:numFmt w:val="decimal"/>
      <w:start w:val="1"/>
    </w:lvl>
    <w:lvl w:ilvl="2">
      <w:lvlJc w:val="left"/>
      <w:lvlText w:val="(%3)"/>
      <w:numFmt w:val="lowerLetter"/>
      <w:start w:val="3"/>
    </w:lvl>
    <w:lvl w:ilvl="3">
      <w:lvlJc w:val="left"/>
      <w:lvlText w:val="%4"/>
      <w:numFmt w:val="lowerRoman"/>
      <w:start w:val="1"/>
    </w:lvl>
    <w:lvl w:ilvl="4">
      <w:lvlJc w:val="left"/>
      <w:lvlText w:val=""/>
      <w:numFmt w:val="bullet"/>
      <w:start w:val="1"/>
    </w:lvl>
  </w:abstractNum>
  <w:abstractNum w:abstractNumId="1012">
    <w:nsid w:val="204343A0"/>
    <w:multiLevelType w:val="hybridMultilevel"/>
    <w:lvl w:ilvl="0">
      <w:lvlJc w:val="left"/>
      <w:lvlText w:val="%1"/>
      <w:numFmt w:val="upperLetter"/>
      <w:start w:val="1"/>
    </w:lvl>
    <w:lvl w:ilvl="1">
      <w:lvlJc w:val="left"/>
      <w:lvlText w:val="(%2)"/>
      <w:numFmt w:val="decimal"/>
      <w:start w:val="5"/>
    </w:lvl>
    <w:lvl w:ilvl="2">
      <w:lvlJc w:val="left"/>
      <w:lvlText w:val="%3"/>
      <w:numFmt w:val="lowerLetter"/>
      <w:start w:val="1"/>
    </w:lvl>
    <w:lvl w:ilvl="3">
      <w:lvlJc w:val="left"/>
      <w:lvlText w:val="%4"/>
      <w:numFmt w:val="lowerRoman"/>
      <w:start w:val="1"/>
    </w:lvl>
    <w:lvl w:ilvl="4">
      <w:lvlJc w:val="left"/>
      <w:lvlText w:val=""/>
      <w:numFmt w:val="bullet"/>
      <w:start w:val="1"/>
    </w:lvl>
  </w:abstractNum>
  <w:abstractNum w:abstractNumId="1013">
    <w:nsid w:val="418B5C2"/>
    <w:multiLevelType w:val="hybridMultilevel"/>
    <w:lvl w:ilvl="0">
      <w:lvlJc w:val="left"/>
      <w:lvlText w:val="(%1)"/>
      <w:numFmt w:val="upperLetter"/>
      <w:start w:val="3"/>
    </w:lvl>
    <w:lvl w:ilvl="1">
      <w:lvlJc w:val="left"/>
      <w:lvlText w:val="%2"/>
      <w:numFmt w:val="decimal"/>
      <w:start w:val="1"/>
    </w:lvl>
    <w:lvl w:ilvl="2">
      <w:lvlJc w:val="left"/>
      <w:lvlText w:val="%3"/>
      <w:numFmt w:val="lowerLetter"/>
      <w:start w:val="1"/>
    </w:lvl>
    <w:lvl w:ilvl="3">
      <w:lvlJc w:val="left"/>
      <w:lvlText w:val="(%4)"/>
      <w:numFmt w:val="lowerRoman"/>
      <w:start w:val="1"/>
    </w:lvl>
    <w:lvl w:ilvl="4">
      <w:lvlJc w:val="left"/>
      <w:lvlText w:val=""/>
      <w:numFmt w:val="bullet"/>
      <w:start w:val="1"/>
    </w:lvl>
  </w:abstractNum>
  <w:abstractNum w:abstractNumId="1014">
    <w:nsid w:val="3D2B62C6"/>
    <w:multiLevelType w:val="hybridMultilevel"/>
    <w:lvl w:ilvl="0">
      <w:lvlJc w:val="left"/>
      <w:lvlText w:val="(%1)"/>
      <w:numFmt w:val="lowerRoman"/>
      <w:start w:val="3"/>
    </w:lvl>
    <w:lvl w:ilvl="1">
      <w:lvlJc w:val="left"/>
      <w:lvlText w:val=""/>
      <w:numFmt w:val="bullet"/>
      <w:start w:val="1"/>
    </w:lvl>
  </w:abstractNum>
  <w:abstractNum w:abstractNumId="1015">
    <w:nsid w:val="48E8AA04"/>
    <w:multiLevelType w:val="hybridMultilevel"/>
    <w:lvl w:ilvl="0">
      <w:lvlJc w:val="left"/>
      <w:lvlText w:val=""/>
      <w:numFmt w:val="bullet"/>
      <w:start w:val="1"/>
    </w:lvl>
  </w:abstractNum>
  <w:abstractNum w:abstractNumId="1016">
    <w:nsid w:val="1116E7F6"/>
    <w:multiLevelType w:val="hybridMultilevel"/>
    <w:lvl w:ilvl="0">
      <w:lvlJc w:val="left"/>
      <w:lvlText w:val="(%1)"/>
      <w:numFmt w:val="lowerLetter"/>
      <w:start w:val="2"/>
    </w:lvl>
    <w:lvl w:ilvl="1">
      <w:lvlJc w:val="left"/>
      <w:lvlText w:val="(%2)"/>
      <w:numFmt w:val="lowerRoman"/>
      <w:start w:val="1"/>
    </w:lvl>
    <w:lvl w:ilvl="2">
      <w:lvlJc w:val="left"/>
      <w:lvlText w:val="(%3)"/>
      <w:numFmt w:val="lowerRoman"/>
      <w:start w:val="1"/>
    </w:lvl>
  </w:abstractNum>
  <w:abstractNum w:abstractNumId="1017">
    <w:nsid w:val="27AD79A9"/>
    <w:multiLevelType w:val="hybridMultilevel"/>
    <w:lvl w:ilvl="0">
      <w:lvlJc w:val="left"/>
      <w:lvlText w:val="(%1)"/>
      <w:numFmt w:val="decimal"/>
      <w:start w:val="12"/>
    </w:lvl>
  </w:abstractNum>
  <w:abstractNum w:abstractNumId="1018">
    <w:nsid w:val="63E45EDB"/>
    <w:multiLevelType w:val="hybridMultilevel"/>
    <w:lvl w:ilvl="0">
      <w:lvlJc w:val="left"/>
      <w:lvlText w:val="(%1)"/>
      <w:numFmt w:val="decimal"/>
      <w:start w:val="13"/>
    </w:lvl>
    <w:lvl w:ilvl="1">
      <w:lvlJc w:val="left"/>
      <w:lvlText w:val="(%2)"/>
      <w:numFmt w:val="upperLetter"/>
      <w:start w:val="1"/>
    </w:lvl>
  </w:abstractNum>
  <w:abstractNum w:abstractNumId="1019">
    <w:nsid w:val="51861B3E"/>
    <w:multiLevelType w:val="hybridMultilevel"/>
    <w:lvl w:ilvl="0">
      <w:lvlJc w:val="left"/>
      <w:lvlText w:val="%1"/>
      <w:numFmt w:val="upperLetter"/>
      <w:start w:val="1"/>
    </w:lvl>
    <w:lvl w:ilvl="1">
      <w:lvlJc w:val="left"/>
      <w:lvlText w:val="%2"/>
      <w:numFmt w:val="lowerRoman"/>
      <w:start w:val="1"/>
    </w:lvl>
    <w:lvl w:ilvl="2">
      <w:lvlJc w:val="left"/>
      <w:lvlText w:val=""/>
      <w:numFmt w:val="bullet"/>
      <w:start w:val="1"/>
    </w:lvl>
    <w:lvl w:ilvl="3">
      <w:lvlJc w:val="left"/>
      <w:lvlText w:val="%4."/>
      <w:numFmt w:val="lowerRoman"/>
      <w:start w:val="1"/>
    </w:lvl>
  </w:abstractNum>
  <w:abstractNum w:abstractNumId="1020">
    <w:nsid w:val="1A57F4D4"/>
    <w:multiLevelType w:val="hybridMultilevel"/>
    <w:lvl w:ilvl="0">
      <w:lvlJc w:val="left"/>
      <w:lvlText w:val="(%1)"/>
      <w:numFmt w:val="upperLetter"/>
      <w:start w:val="2"/>
    </w:lvl>
    <w:lvl w:ilvl="1">
      <w:lvlJc w:val="left"/>
      <w:lvlText w:val="(%2)"/>
      <w:numFmt w:val="lowerRoman"/>
      <w:start w:val="1"/>
    </w:lvl>
    <w:lvl w:ilvl="2">
      <w:lvlJc w:val="left"/>
      <w:lvlText w:val=""/>
      <w:numFmt w:val="bullet"/>
      <w:start w:val="1"/>
    </w:lvl>
    <w:lvl w:ilvl="3">
      <w:lvlJc w:val="left"/>
      <w:lvlText w:val="%4"/>
      <w:numFmt w:val="lowerRoman"/>
      <w:start w:val="1"/>
    </w:lvl>
  </w:abstractNum>
  <w:abstractNum w:abstractNumId="1021">
    <w:nsid w:val="6E0A3C4C"/>
    <w:multiLevelType w:val="hybridMultilevel"/>
    <w:lvl w:ilvl="0">
      <w:lvlJc w:val="left"/>
      <w:lvlText w:val="(%1)"/>
      <w:numFmt w:val="lowerRoman"/>
      <w:start w:val="1"/>
    </w:lvl>
    <w:lvl w:ilvl="1">
      <w:lvlJc w:val="left"/>
      <w:lvlText w:val=""/>
      <w:numFmt w:val="bullet"/>
      <w:start w:val="1"/>
    </w:lvl>
  </w:abstractNum>
  <w:abstractNum w:abstractNumId="1022">
    <w:nsid w:val="6DF7F752"/>
    <w:multiLevelType w:val="hybridMultilevel"/>
    <w:lvl w:ilvl="0">
      <w:lvlJc w:val="left"/>
      <w:lvlText w:val="%1"/>
      <w:numFmt w:val="upperLetter"/>
      <w:start w:val="1"/>
    </w:lvl>
    <w:lvl w:ilvl="1">
      <w:lvlJc w:val="left"/>
      <w:lvlText w:val="(%2)"/>
      <w:numFmt w:val="lowerRoman"/>
      <w:start w:val="4"/>
    </w:lvl>
    <w:lvl w:ilvl="2">
      <w:lvlJc w:val="left"/>
      <w:lvlText w:val="%3"/>
      <w:numFmt w:val="lowerLetter"/>
      <w:start w:val="1"/>
    </w:lvl>
  </w:abstractNum>
  <w:abstractNum w:abstractNumId="1023">
    <w:nsid w:val="7AB94C9D"/>
    <w:multiLevelType w:val="hybridMultilevel"/>
    <w:lvl w:ilvl="0">
      <w:lvlJc w:val="left"/>
      <w:lvlText w:val="(%1)"/>
      <w:numFmt w:val="upperLetter"/>
      <w:start w:val="3"/>
    </w:lvl>
    <w:lvl w:ilvl="1">
      <w:lvlJc w:val="left"/>
      <w:lvlText w:val="(%2)"/>
      <w:numFmt w:val="lowerRoman"/>
      <w:start w:val="1"/>
    </w:lvl>
    <w:lvl w:ilvl="2">
      <w:lvlJc w:val="left"/>
      <w:lvlText w:val="%3."/>
      <w:numFmt w:val="lowerLetter"/>
      <w:start w:val="1"/>
    </w:lvl>
  </w:abstractNum>
  <w:abstractNum w:abstractNumId="1024">
    <w:nsid w:val="7C6C6A4D"/>
    <w:multiLevelType w:val="hybridMultilevel"/>
    <w:lvl w:ilvl="0">
      <w:lvlJc w:val="left"/>
      <w:lvlText w:val="(%1)"/>
      <w:numFmt w:val="lowerRoman"/>
      <w:start w:val="4"/>
    </w:lvl>
    <w:lvl w:ilvl="1">
      <w:lvlJc w:val="left"/>
      <w:lvlText w:val="%2."/>
      <w:numFmt w:val="lowerLetter"/>
      <w:start w:val="1"/>
    </w:lvl>
  </w:abstractNum>
  <w:abstractNum w:abstractNumId="1025">
    <w:nsid w:val="64D46D75"/>
    <w:multiLevelType w:val="hybridMultilevel"/>
    <w:lvl w:ilvl="0">
      <w:lvlJc w:val="left"/>
      <w:lvlText w:val="%1"/>
      <w:numFmt w:val="upperLetter"/>
      <w:start w:val="1"/>
    </w:lvl>
    <w:lvl w:ilvl="1">
      <w:lvlJc w:val="left"/>
      <w:lvlText w:val="%2"/>
      <w:numFmt w:val="lowerRoman"/>
      <w:start w:val="1"/>
    </w:lvl>
    <w:lvl w:ilvl="2">
      <w:lvlJc w:val="left"/>
      <w:lvlText w:val="%3."/>
      <w:numFmt w:val="lowerLetter"/>
      <w:start w:val="6"/>
    </w:lvl>
  </w:abstractNum>
  <w:abstractNum w:abstractNumId="1026">
    <w:nsid w:val="4845CE2F"/>
    <w:multiLevelType w:val="hybridMultilevel"/>
    <w:lvl w:ilvl="0">
      <w:lvlJc w:val="left"/>
      <w:lvlText w:val="%1"/>
      <w:numFmt w:val="upperLetter"/>
      <w:start w:val="1"/>
    </w:lvl>
    <w:lvl w:ilvl="1">
      <w:lvlJc w:val="left"/>
      <w:lvlText w:val="(%2)"/>
      <w:numFmt w:val="lowerRoman"/>
      <w:start w:val="5"/>
    </w:lvl>
    <w:lvl w:ilvl="2">
      <w:lvlJc w:val="left"/>
      <w:lvlText w:val="%3"/>
      <w:numFmt w:val="lowerLetter"/>
      <w:start w:val="1"/>
    </w:lvl>
  </w:abstractNum>
  <w:abstractNum w:abstractNumId="1027">
    <w:nsid w:val="454F4987"/>
    <w:multiLevelType w:val="hybridMultilevel"/>
    <w:lvl w:ilvl="0">
      <w:lvlJc w:val="left"/>
      <w:lvlText w:val="(%1)"/>
      <w:numFmt w:val="upperLetter"/>
      <w:start w:val="4"/>
    </w:lvl>
    <w:lvl w:ilvl="1">
      <w:lvlJc w:val="left"/>
      <w:lvlText w:val="(%2)"/>
      <w:numFmt w:val="lowerRoman"/>
      <w:start w:val="1"/>
    </w:lvl>
    <w:lvl w:ilvl="2">
      <w:lvlJc w:val="left"/>
      <w:lvlText w:val="%3"/>
      <w:numFmt w:val="lowerLetter"/>
      <w:start w:val="1"/>
    </w:lvl>
  </w:abstractNum>
  <w:abstractNum w:abstractNumId="1028">
    <w:nsid w:val="492F40D3"/>
    <w:multiLevelType w:val="hybridMultilevel"/>
    <w:lvl w:ilvl="0">
      <w:lvlJc w:val="left"/>
      <w:lvlText w:val="(%1)"/>
      <w:numFmt w:val="decimal"/>
      <w:start w:val="15"/>
    </w:lvl>
  </w:abstractNum>
  <w:abstractNum w:abstractNumId="1029">
    <w:nsid w:val="538FF748"/>
    <w:multiLevelType w:val="hybridMultilevel"/>
    <w:lvl w:ilvl="0">
      <w:lvlJc w:val="left"/>
      <w:lvlText w:val="(%1)"/>
      <w:numFmt w:val="decimal"/>
      <w:start w:val="1"/>
    </w:lvl>
    <w:lvl w:ilvl="1">
      <w:lvlJc w:val="left"/>
      <w:lvlText w:val="(%2)"/>
      <w:numFmt w:val="lowerLetter"/>
      <w:start w:val="1"/>
    </w:lvl>
    <w:lvl w:ilvl="2">
      <w:lvlJc w:val="left"/>
      <w:lvlText w:val="(%3)"/>
      <w:numFmt w:val="lowerRoman"/>
      <w:start w:val="1"/>
    </w:lvl>
  </w:abstractNum>
  <w:abstractNum w:abstractNumId="1030">
    <w:nsid w:val="10E55E3C"/>
    <w:multiLevelType w:val="hybridMultilevel"/>
    <w:lvl w:ilvl="0">
      <w:lvlJc w:val="left"/>
      <w:lvlText w:val="%1"/>
      <w:numFmt w:val="decimal"/>
      <w:start w:val="1"/>
    </w:lvl>
    <w:lvl w:ilvl="1">
      <w:lvlJc w:val="left"/>
      <w:lvlText w:val="%2"/>
      <w:numFmt w:val="decimal"/>
      <w:start w:val="1"/>
    </w:lvl>
    <w:lvl w:ilvl="2">
      <w:lvlJc w:val="left"/>
      <w:lvlText w:val="%3"/>
      <w:numFmt w:val="upperLetter"/>
      <w:start w:val="1"/>
    </w:lvl>
    <w:lvl w:ilvl="3">
      <w:lvlJc w:val="left"/>
      <w:lvlText w:val="(%4)"/>
      <w:numFmt w:val="lowerLetter"/>
      <w:start w:val="4"/>
    </w:lvl>
  </w:abstractNum>
  <w:abstractNum w:abstractNumId="1031">
    <w:nsid w:val="7577C1FF"/>
    <w:multiLevelType w:val="hybridMultilevel"/>
    <w:lvl w:ilvl="0">
      <w:lvlJc w:val="left"/>
      <w:lvlText w:val="(%1)"/>
      <w:numFmt w:val="decimal"/>
      <w:start w:val="16"/>
    </w:lvl>
    <w:lvl w:ilvl="1">
      <w:lvlJc w:val="left"/>
      <w:lvlText w:val="(%2)"/>
      <w:numFmt w:val="decimal"/>
      <w:start w:val="17"/>
    </w:lvl>
    <w:lvl w:ilvl="2">
      <w:lvlJc w:val="left"/>
      <w:lvlText w:val="(%3)"/>
      <w:numFmt w:val="upperLetter"/>
      <w:start w:val="1"/>
    </w:lvl>
    <w:lvl w:ilvl="3">
      <w:lvlJc w:val="left"/>
      <w:lvlText w:val="%4"/>
      <w:numFmt w:val="lowerLetter"/>
      <w:start w:val="1"/>
    </w:lvl>
  </w:abstractNum>
  <w:abstractNum w:abstractNumId="1032">
    <w:nsid w:val="37704640"/>
    <w:multiLevelType w:val="hybridMultilevel"/>
    <w:lvl w:ilvl="0">
      <w:lvlJc w:val="left"/>
      <w:lvlText w:val="(%1)"/>
      <w:numFmt w:val="decimal"/>
      <w:start w:val="1"/>
    </w:lvl>
  </w:abstractNum>
  <w:abstractNum w:abstractNumId="1033">
    <w:nsid w:val="3D8D834F"/>
    <w:multiLevelType w:val="hybridMultilevel"/>
    <w:lvl w:ilvl="0">
      <w:lvlJc w:val="left"/>
      <w:lvlText w:val="%1"/>
      <w:numFmt w:val="upperLetter"/>
      <w:start w:val="1"/>
    </w:lvl>
    <w:lvl w:ilvl="1">
      <w:lvlJc w:val="left"/>
      <w:lvlText w:val="(%2)"/>
      <w:numFmt w:val="decimal"/>
      <w:start w:val="2"/>
    </w:lvl>
  </w:abstractNum>
  <w:abstractNum w:abstractNumId="1034">
    <w:nsid w:val="581D7974"/>
    <w:multiLevelType w:val="hybridMultilevel"/>
    <w:lvl w:ilvl="0">
      <w:lvlJc w:val="left"/>
      <w:lvlText w:val="(%1)"/>
      <w:numFmt w:val="upperLetter"/>
      <w:start w:val="7"/>
    </w:lvl>
    <w:lvl w:ilvl="1">
      <w:lvlJc w:val="left"/>
      <w:lvlText w:val="%2"/>
      <w:numFmt w:val="decimal"/>
      <w:start w:val="1"/>
    </w:lvl>
  </w:abstractNum>
  <w:abstractNum w:abstractNumId="1035">
    <w:nsid w:val="235F3983"/>
    <w:multiLevelType w:val="hybridMultilevel"/>
    <w:lvl w:ilvl="0">
      <w:lvlJc w:val="left"/>
      <w:lvlText w:val="(%1)"/>
      <w:numFmt w:val="upperLetter"/>
      <w:start w:val="10"/>
    </w:lvl>
  </w:abstractNum>
  <w:abstractNum w:abstractNumId="1036">
    <w:nsid w:val="5BBDF82"/>
    <w:multiLevelType w:val="hybridMultilevel"/>
    <w:lvl w:ilvl="0">
      <w:lvlJc w:val="left"/>
      <w:lvlText w:val="%1."/>
      <w:numFmt w:val="lowerRoman"/>
      <w:start w:val="1"/>
    </w:lvl>
    <w:lvl w:ilvl="1">
      <w:lvlJc w:val="left"/>
      <w:lvlText w:val="(%2)"/>
      <w:numFmt w:val="lowerLetter"/>
      <w:start w:val="1"/>
    </w:lvl>
  </w:abstractNum>
  <w:abstractNum w:abstractNumId="1037">
    <w:nsid w:val="50688F61"/>
    <w:multiLevelType w:val="hybridMultilevel"/>
    <w:lvl w:ilvl="0">
      <w:lvlJc w:val="left"/>
      <w:lvlText w:val="(%1)"/>
      <w:numFmt w:val="decimal"/>
      <w:start w:val="1"/>
    </w:lvl>
  </w:abstractNum>
  <w:abstractNum w:abstractNumId="1038">
    <w:nsid w:val="6D1B29EA"/>
    <w:multiLevelType w:val="hybridMultilevel"/>
    <w:lvl w:ilvl="0">
      <w:lvlJc w:val="left"/>
      <w:lvlText w:val="(%1)"/>
      <w:numFmt w:val="upperLetter"/>
      <w:start w:val="12"/>
    </w:lvl>
  </w:abstractNum>
  <w:abstractNum w:abstractNumId="1039">
    <w:nsid w:val="4775F12A"/>
    <w:multiLevelType w:val="hybridMultilevel"/>
    <w:lvl w:ilvl="0">
      <w:lvlJc w:val="left"/>
      <w:lvlText w:val="%1"/>
      <w:numFmt w:val="decimal"/>
      <w:start w:val="1"/>
    </w:lvl>
    <w:lvl w:ilvl="1">
      <w:lvlJc w:val="left"/>
      <w:lvlText w:val="%2"/>
      <w:numFmt w:val="decimal"/>
      <w:start w:val="1"/>
    </w:lvl>
    <w:lvl w:ilvl="2">
      <w:lvlJc w:val="left"/>
      <w:lvlText w:val="(%3)"/>
      <w:numFmt w:val="upperLetter"/>
      <w:start w:val="13"/>
    </w:lvl>
    <w:lvl w:ilvl="3">
      <w:lvlJc w:val="left"/>
      <w:lvlText w:val="%4"/>
      <w:numFmt w:val="lowerLetter"/>
      <w:start w:val="1"/>
    </w:lvl>
    <w:lvl w:ilvl="4">
      <w:lvlJc w:val="left"/>
      <w:lvlText w:val="%5"/>
      <w:numFmt w:val="decimal"/>
      <w:start w:val="1"/>
    </w:lvl>
  </w:abstractNum>
  <w:abstractNum w:abstractNumId="1040">
    <w:nsid w:val="71CFCB2A"/>
    <w:multiLevelType w:val="hybridMultilevel"/>
    <w:lvl w:ilvl="0">
      <w:lvlJc w:val="left"/>
      <w:lvlText w:val="(%1)"/>
      <w:numFmt w:val="decimal"/>
      <w:start w:val="18"/>
    </w:lvl>
    <w:lvl w:ilvl="1">
      <w:lvlJc w:val="left"/>
      <w:lvlText w:val="(%2)"/>
      <w:numFmt w:val="decimal"/>
      <w:start w:val="1"/>
    </w:lvl>
    <w:lvl w:ilvl="2">
      <w:lvlJc w:val="left"/>
      <w:lvlText w:val="%3"/>
      <w:numFmt w:val="upperLetter"/>
      <w:start w:val="1"/>
    </w:lvl>
    <w:lvl w:ilvl="3">
      <w:lvlJc w:val="left"/>
      <w:lvlText w:val="(%4)"/>
      <w:numFmt w:val="lowerLetter"/>
      <w:start w:val="1"/>
    </w:lvl>
    <w:lvl w:ilvl="4">
      <w:lvlJc w:val="left"/>
      <w:lvlText w:val="%5."/>
      <w:numFmt w:val="decimal"/>
      <w:start w:val="1"/>
    </w:lvl>
  </w:abstractNum>
  <w:abstractNum w:abstractNumId="1041">
    <w:nsid w:val="32E9614A"/>
    <w:multiLevelType w:val="hybridMultilevel"/>
    <w:lvl w:ilvl="0">
      <w:lvlJc w:val="left"/>
      <w:lvlText w:val="%1"/>
      <w:numFmt w:val="decimal"/>
      <w:start w:val="1"/>
    </w:lvl>
    <w:lvl w:ilvl="1">
      <w:lvlJc w:val="left"/>
      <w:lvlText w:val="(%2)"/>
      <w:numFmt w:val="lowerLetter"/>
      <w:start w:val="6"/>
    </w:lvl>
  </w:abstractNum>
  <w:abstractNum w:abstractNumId="1042">
    <w:nsid w:val="62BC9B1D"/>
    <w:multiLevelType w:val="hybridMultilevel"/>
    <w:lvl w:ilvl="0">
      <w:lvlJc w:val="left"/>
      <w:lvlText w:val="(%1)"/>
      <w:numFmt w:val="decimal"/>
      <w:start w:val="3"/>
    </w:lvl>
    <w:lvl w:ilvl="1">
      <w:lvlJc w:val="left"/>
      <w:lvlText w:val="%2"/>
      <w:numFmt w:val="lowerLetter"/>
      <w:start w:val="1"/>
    </w:lvl>
  </w:abstractNum>
  <w:abstractNum w:abstractNumId="1043">
    <w:nsid w:val="12130ECA"/>
    <w:multiLevelType w:val="hybridMultilevel"/>
    <w:lvl w:ilvl="0">
      <w:lvlJc w:val="left"/>
      <w:lvlText w:val="%1)"/>
      <w:numFmt w:val="lowerLetter"/>
      <w:start w:val="4"/>
    </w:lvl>
  </w:abstractNum>
  <w:abstractNum w:abstractNumId="1044">
    <w:nsid w:val="3702170C"/>
    <w:multiLevelType w:val="hybridMultilevel"/>
    <w:lvl w:ilvl="0">
      <w:lvlJc w:val="left"/>
      <w:lvlText w:val="(%1)"/>
      <w:numFmt w:val="decimal"/>
      <w:start w:val="5"/>
    </w:lvl>
    <w:lvl w:ilvl="1">
      <w:lvlJc w:val="left"/>
      <w:lvlText w:val="%2)"/>
      <w:numFmt w:val="lowerLetter"/>
      <w:start w:val="1"/>
    </w:lvl>
  </w:abstractNum>
  <w:abstractNum w:abstractNumId="1045">
    <w:nsid w:val="1FE7FDE4"/>
    <w:multiLevelType w:val="hybridMultilevel"/>
    <w:lvl w:ilvl="0">
      <w:lvlJc w:val="left"/>
      <w:lvlText w:val="%1"/>
      <w:numFmt w:val="decimal"/>
      <w:start w:val="1"/>
    </w:lvl>
    <w:lvl w:ilvl="1">
      <w:lvlJc w:val="left"/>
      <w:lvlText w:val="%2"/>
      <w:numFmt w:val="lowerRoman"/>
      <w:start w:val="1"/>
    </w:lvl>
    <w:lvl w:ilvl="2">
      <w:lvlJc w:val="left"/>
      <w:lvlText w:val="%3"/>
      <w:numFmt w:val="lowerLetter"/>
      <w:start w:val="1"/>
    </w:lvl>
    <w:lvl w:ilvl="3">
      <w:lvlJc w:val="left"/>
      <w:lvlText w:val="%4)"/>
      <w:numFmt w:val="lowerLetter"/>
      <w:start w:val="3"/>
    </w:lvl>
    <w:lvl w:ilvl="4">
      <w:lvlJc w:val="left"/>
      <w:lvlText w:val="%5"/>
      <w:numFmt w:val="lowerRoman"/>
      <w:start w:val="1"/>
    </w:lvl>
  </w:abstractNum>
  <w:abstractNum w:abstractNumId="1046">
    <w:nsid w:val="5AFBB8CE"/>
    <w:multiLevelType w:val="hybridMultilevel"/>
    <w:lvl w:ilvl="0">
      <w:lvlJc w:val="left"/>
      <w:lvlText w:val="%1"/>
      <w:numFmt w:val="decimal"/>
      <w:start w:val="1"/>
    </w:lvl>
    <w:lvl w:ilvl="1">
      <w:lvlJc w:val="left"/>
      <w:lvlText w:val="(%2)"/>
      <w:numFmt w:val="lowerRoman"/>
      <w:start w:val="1"/>
    </w:lvl>
    <w:lvl w:ilvl="2">
      <w:lvlJc w:val="left"/>
      <w:lvlText w:val="%3"/>
      <w:numFmt w:val="lowerLetter"/>
      <w:start w:val="1"/>
    </w:lvl>
    <w:lvl w:ilvl="3">
      <w:lvlJc w:val="left"/>
      <w:lvlText w:val="%4"/>
      <w:numFmt w:val="lowerLetter"/>
      <w:start w:val="1"/>
    </w:lvl>
    <w:lvl w:ilvl="4">
      <w:lvlJc w:val="left"/>
      <w:lvlText w:val="%5"/>
      <w:numFmt w:val="lowerRoman"/>
      <w:start w:val="1"/>
    </w:lvl>
  </w:abstractNum>
  <w:abstractNum w:abstractNumId="1047">
    <w:nsid w:val="4818FF02"/>
    <w:multiLevelType w:val="hybridMultilevel"/>
    <w:lvl w:ilvl="0">
      <w:lvlJc w:val="left"/>
      <w:lvlText w:val="(%1)"/>
      <w:numFmt w:val="decimal"/>
      <w:start w:val="19"/>
    </w:lvl>
    <w:lvl w:ilvl="1">
      <w:lvlJc w:val="left"/>
      <w:lvlText w:val="%2"/>
      <w:numFmt w:val="lowerRoman"/>
      <w:start w:val="1"/>
    </w:lvl>
    <w:lvl w:ilvl="2">
      <w:lvlJc w:val="left"/>
      <w:lvlText w:val="%3)"/>
      <w:numFmt w:val="lowerLetter"/>
      <w:start w:val="1"/>
    </w:lvl>
    <w:lvl w:ilvl="3">
      <w:lvlJc w:val="left"/>
      <w:lvlText w:val="%4"/>
      <w:numFmt w:val="lowerLetter"/>
      <w:start w:val="1"/>
    </w:lvl>
    <w:lvl w:ilvl="4">
      <w:lvlJc w:val="left"/>
      <w:lvlText w:val="(%5)"/>
      <w:numFmt w:val="lowerRoman"/>
      <w:start w:val="1"/>
    </w:lvl>
  </w:abstractNum>
  <w:abstractNum w:abstractNumId="1048">
    <w:nsid w:val="4795778D"/>
    <w:multiLevelType w:val="hybridMultilevel"/>
    <w:lvl w:ilvl="0">
      <w:lvlJc w:val="left"/>
      <w:lvlText w:val="%1"/>
      <w:numFmt w:val="decimal"/>
      <w:start w:val="1"/>
    </w:lvl>
    <w:lvl w:ilvl="1">
      <w:lvlJc w:val="left"/>
      <w:lvlText w:val="%2"/>
      <w:numFmt w:val="upperLetter"/>
      <w:start w:val="1"/>
    </w:lvl>
    <w:lvl w:ilvl="2">
      <w:lvlJc w:val="left"/>
      <w:lvlText w:val="(%3)"/>
      <w:numFmt w:val="lowerRoman"/>
      <w:start w:val="6"/>
    </w:lvl>
  </w:abstractNum>
  <w:abstractNum w:abstractNumId="1049">
    <w:nsid w:val="3EE017A9"/>
    <w:multiLevelType w:val="hybridMultilevel"/>
    <w:lvl w:ilvl="0">
      <w:lvlJc w:val="left"/>
      <w:lvlText w:val="%1"/>
      <w:numFmt w:val="decimal"/>
      <w:start w:val="1"/>
    </w:lvl>
    <w:lvl w:ilvl="1">
      <w:lvlJc w:val="left"/>
      <w:lvlText w:val="(%2)"/>
      <w:numFmt w:val="upperLetter"/>
      <w:start w:val="1"/>
    </w:lvl>
    <w:lvl w:ilvl="2">
      <w:lvlJc w:val="left"/>
      <w:lvlText w:val="%3"/>
      <w:numFmt w:val="lowerRoman"/>
      <w:start w:val="1"/>
    </w:lvl>
  </w:abstractNum>
  <w:abstractNum w:abstractNumId="1050">
    <w:nsid w:val="199F1A40"/>
    <w:multiLevelType w:val="hybridMultilevel"/>
    <w:lvl w:ilvl="0">
      <w:lvlJc w:val="left"/>
      <w:lvlText w:val="(%1)"/>
      <w:numFmt w:val="decimal"/>
      <w:start w:val="20"/>
    </w:lvl>
    <w:lvl w:ilvl="1">
      <w:lvlJc w:val="left"/>
      <w:lvlText w:val="(%2)"/>
      <w:numFmt w:val="upperLetter"/>
      <w:start w:val="1"/>
    </w:lvl>
    <w:lvl w:ilvl="2">
      <w:lvlJc w:val="left"/>
      <w:lvlText w:val="%3"/>
      <w:numFmt w:val="lowerRoman"/>
      <w:start w:val="1"/>
    </w:lvl>
  </w:abstractNum>
  <w:abstractNum w:abstractNumId="1051">
    <w:nsid w:val="61ED6C62"/>
    <w:multiLevelType w:val="hybridMultilevel"/>
    <w:lvl w:ilvl="0">
      <w:lvlJc w:val="left"/>
      <w:lvlText w:val="(%1)"/>
      <w:numFmt w:val="decimal"/>
      <w:start w:val="21"/>
    </w:lvl>
    <w:lvl w:ilvl="1">
      <w:lvlJc w:val="left"/>
      <w:lvlText w:val="(%2)"/>
      <w:numFmt w:val="upperLetter"/>
      <w:start w:val="1"/>
    </w:lvl>
    <w:lvl w:ilvl="2">
      <w:lvlJc w:val="left"/>
      <w:lvlText w:val="(%3)"/>
      <w:numFmt w:val="upperLetter"/>
      <w:start w:val="1"/>
    </w:lvl>
  </w:abstractNum>
  <w:abstractNum w:abstractNumId="1052">
    <w:nsid w:val="2CEA53F5"/>
    <w:multiLevelType w:val="hybridMultilevel"/>
    <w:lvl w:ilvl="0">
      <w:lvlJc w:val="left"/>
      <w:lvlText w:val="(%1)"/>
      <w:numFmt w:val="decimal"/>
      <w:start w:val="1"/>
    </w:lvl>
    <w:lvl w:ilvl="1">
      <w:lvlJc w:val="left"/>
      <w:lvlText w:val="(%2)"/>
      <w:numFmt w:val="lowerLetter"/>
      <w:start w:val="1"/>
    </w:lvl>
    <w:lvl w:ilvl="2">
      <w:lvlJc w:val="left"/>
      <w:lvlText w:val="(%3)"/>
      <w:numFmt w:val="lowerRoman"/>
      <w:start w:val="1"/>
    </w:lvl>
  </w:abstractNum>
  <w:abstractNum w:abstractNumId="1053">
    <w:nsid w:val="7971193"/>
    <w:multiLevelType w:val="hybridMultilevel"/>
    <w:lvl w:ilvl="0">
      <w:lvlJc w:val="left"/>
      <w:lvlText w:val="(%1)"/>
      <w:numFmt w:val="decimal"/>
      <w:start w:val="1"/>
    </w:lvl>
  </w:abstractNum>
  <w:abstractNum w:abstractNumId="1054">
    <w:nsid w:val="5CA6B8FF"/>
    <w:multiLevelType w:val="hybridMultilevel"/>
    <w:lvl w:ilvl="0">
      <w:lvlJc w:val="left"/>
      <w:lvlText w:val="(%1)"/>
      <w:numFmt w:val="decimal"/>
      <w:start w:val="2"/>
    </w:lvl>
  </w:abstractNum>
  <w:abstractNum w:abstractNumId="1055">
    <w:nsid w:val="2956BE42"/>
    <w:multiLevelType w:val="hybridMultilevel"/>
    <w:lvl w:ilvl="0">
      <w:lvlJc w:val="left"/>
      <w:lvlText w:val="(%1)"/>
      <w:numFmt w:val="upperLetter"/>
      <w:start w:val="9"/>
    </w:lvl>
  </w:abstractNum>
  <w:abstractNum w:abstractNumId="1056">
    <w:nsid w:val="6C6B7F08"/>
    <w:multiLevelType w:val="hybridMultilevel"/>
    <w:lvl w:ilvl="0">
      <w:lvlJc w:val="left"/>
      <w:lvlText w:val="(%1)"/>
      <w:numFmt w:val="upperLetter"/>
      <w:start w:val="35"/>
    </w:lvl>
  </w:abstractNum>
  <w:abstractNum w:abstractNumId="1057">
    <w:nsid w:val="24EC872E"/>
    <w:multiLevelType w:val="hybridMultilevel"/>
    <w:lvl w:ilvl="0">
      <w:lvlJc w:val="left"/>
      <w:lvlText w:val="(%1)"/>
      <w:numFmt w:val="upperLetter"/>
      <w:start w:val="61"/>
    </w:lvl>
  </w:abstractNum>
  <w:abstractNum w:abstractNumId="1058">
    <w:nsid w:val="6EA607C9"/>
    <w:multiLevelType w:val="hybridMultilevel"/>
    <w:lvl w:ilvl="0">
      <w:lvlJc w:val="left"/>
      <w:lvlText w:val="(%1)"/>
      <w:numFmt w:val="upperLetter"/>
      <w:start w:val="22"/>
    </w:lvl>
  </w:abstractNum>
  <w:abstractNum w:abstractNumId="1059">
    <w:nsid w:val="359ABFDB"/>
    <w:multiLevelType w:val="hybridMultilevel"/>
    <w:lvl w:ilvl="0">
      <w:lvlJc w:val="left"/>
      <w:lvlText w:val="%1"/>
      <w:numFmt w:val="decimal"/>
      <w:start w:val="119"/>
    </w:lvl>
  </w:abstractNum>
  <w:abstractNum w:abstractNumId="1060">
    <w:nsid w:val="787C7E76"/>
    <w:multiLevelType w:val="hybridMultilevel"/>
    <w:lvl w:ilvl="0">
      <w:lvlJc w:val="left"/>
      <w:lvlText w:val="(%1)"/>
      <w:numFmt w:val="upperLetter"/>
      <w:start w:val="9"/>
    </w:lvl>
  </w:abstractNum>
  <w:abstractNum w:abstractNumId="1061">
    <w:nsid w:val="7F8B6605"/>
    <w:multiLevelType w:val="hybridMultilevel"/>
    <w:lvl w:ilvl="0">
      <w:lvlJc w:val="left"/>
      <w:lvlText w:val="(%1)"/>
      <w:numFmt w:val="upperLetter"/>
      <w:start w:val="35"/>
    </w:lvl>
  </w:abstractNum>
  <w:abstractNum w:abstractNumId="1062">
    <w:nsid w:val="2B1281DB"/>
    <w:multiLevelType w:val="hybridMultilevel"/>
    <w:lvl w:ilvl="0">
      <w:lvlJc w:val="left"/>
      <w:lvlText w:val="(%1)"/>
      <w:numFmt w:val="upperLetter"/>
      <w:start w:val="61"/>
    </w:lvl>
  </w:abstractNum>
  <w:abstractNum w:abstractNumId="1063">
    <w:nsid w:val="2FECC4B7"/>
    <w:multiLevelType w:val="hybridMultilevel"/>
    <w:lvl w:ilvl="0">
      <w:lvlJc w:val="left"/>
      <w:lvlText w:val="%1"/>
      <w:numFmt w:val="decimal"/>
      <w:start w:val="120"/>
    </w:lvl>
  </w:abstractNum>
  <w:abstractNum w:abstractNumId="1064">
    <w:nsid w:val="3D18E954"/>
    <w:multiLevelType w:val="hybridMultilevel"/>
    <w:lvl w:ilvl="0">
      <w:lvlJc w:val="left"/>
      <w:lvlText w:val="%1"/>
      <w:numFmt w:val="lowerRoman"/>
      <w:start w:val="30"/>
    </w:lvl>
  </w:abstractNum>
  <w:abstractNum w:abstractNumId="1065">
    <w:nsid w:val="32FFB4F"/>
    <w:multiLevelType w:val="hybridMultilevel"/>
    <w:lvl w:ilvl="0">
      <w:lvlJc w:val="left"/>
      <w:lvlText w:val="%1."/>
      <w:numFmt w:val="decimal"/>
      <w:start w:val="1"/>
    </w:lvl>
  </w:abstractNum>
  <w:abstractNum w:abstractNumId="1066">
    <w:nsid w:val="534BFE3A"/>
    <w:multiLevelType w:val="hybridMultilevel"/>
    <w:lvl w:ilvl="0">
      <w:lvlJc w:val="left"/>
      <w:lvlText w:val="%1."/>
      <w:numFmt w:val="decimal"/>
      <w:start w:val="8"/>
    </w:lvl>
    <w:lvl w:ilvl="1">
      <w:lvlJc w:val="left"/>
      <w:lvlText w:val="(%2)"/>
      <w:numFmt w:val="lowerLetter"/>
      <w:start w:val="1"/>
    </w:lvl>
  </w:abstractNum>
  <w:abstractNum w:abstractNumId="1067">
    <w:nsid w:val="42D4C8D6"/>
    <w:multiLevelType w:val="hybridMultilevel"/>
    <w:lvl w:ilvl="0">
      <w:lvlJc w:val="left"/>
      <w:lvlText w:val="(%1)"/>
      <w:numFmt w:val="decimal"/>
      <w:start w:val="1"/>
    </w:lvl>
    <w:lvl w:ilvl="1">
      <w:lvlJc w:val="left"/>
      <w:lvlText w:val="(%2)"/>
      <w:numFmt w:val="lowerLetter"/>
      <w:start w:val="1"/>
    </w:lvl>
    <w:lvl w:ilvl="2">
      <w:lvlJc w:val="left"/>
      <w:lvlText w:val="(%3)"/>
      <w:numFmt w:val="lowerLetter"/>
      <w:start w:val="1"/>
    </w:lvl>
  </w:abstractNum>
  <w:abstractNum w:abstractNumId="1068">
    <w:nsid w:val="53988AB0"/>
    <w:multiLevelType w:val="hybridMultilevel"/>
    <w:lvl w:ilvl="0">
      <w:lvlJc w:val="left"/>
      <w:lvlText w:val="%1"/>
      <w:numFmt w:val="decimal"/>
      <w:start w:val="1"/>
    </w:lvl>
    <w:lvl w:ilvl="1">
      <w:lvlJc w:val="left"/>
      <w:lvlText w:val="%2"/>
      <w:numFmt w:val="lowerLetter"/>
      <w:start w:val="1"/>
    </w:lvl>
    <w:lvl w:ilvl="2">
      <w:lvlJc w:val="left"/>
      <w:lvlText w:val="(%3)"/>
      <w:numFmt w:val="lowerLetter"/>
      <w:start w:val="3"/>
    </w:lvl>
  </w:abstractNum>
  <w:abstractNum w:abstractNumId="1069">
    <w:nsid w:val="40672824"/>
    <w:multiLevelType w:val="hybridMultilevel"/>
    <w:lvl w:ilvl="0">
      <w:lvlJc w:val="left"/>
      <w:lvlText w:val="(%1)"/>
      <w:numFmt w:val="decimal"/>
      <w:start w:val="8"/>
    </w:lvl>
    <w:lvl w:ilvl="1">
      <w:lvlJc w:val="left"/>
      <w:lvlText w:val="%2)"/>
      <w:numFmt w:val="lowerLetter"/>
      <w:start w:val="1"/>
    </w:lvl>
    <w:lvl w:ilvl="2">
      <w:lvlJc w:val="left"/>
      <w:lvlText w:val="%3"/>
      <w:numFmt w:val="lowerLetter"/>
      <w:start w:val="1"/>
    </w:lvl>
  </w:abstractNum>
  <w:abstractNum w:abstractNumId="1070">
    <w:nsid w:val="A4ABA00"/>
    <w:multiLevelType w:val="hybridMultilevel"/>
    <w:lvl w:ilvl="0">
      <w:lvlJc w:val="left"/>
      <w:lvlText w:val="(%1)"/>
      <w:numFmt w:val="decimal"/>
      <w:start w:val="23"/>
    </w:lvl>
    <w:lvl w:ilvl="1">
      <w:lvlJc w:val="left"/>
      <w:lvlText w:val="(%2)"/>
      <w:numFmt w:val="lowerLetter"/>
      <w:start w:val="1"/>
    </w:lvl>
  </w:abstractNum>
  <w:abstractNum w:abstractNumId="1071">
    <w:nsid w:val="456855DA"/>
    <w:multiLevelType w:val="hybridMultilevel"/>
    <w:lvl w:ilvl="0">
      <w:lvlJc w:val="left"/>
      <w:lvlText w:val="(%1)"/>
      <w:numFmt w:val="decimal"/>
      <w:start w:val="1"/>
    </w:lvl>
    <w:lvl w:ilvl="1">
      <w:lvlJc w:val="left"/>
      <w:lvlText w:val="(%2)"/>
      <w:numFmt w:val="lowerLetter"/>
      <w:start w:val="1"/>
    </w:lvl>
  </w:abstractNum>
  <w:abstractNum w:abstractNumId="1072">
    <w:nsid w:val="7350896E"/>
    <w:multiLevelType w:val="hybridMultilevel"/>
    <w:lvl w:ilvl="0">
      <w:lvlJc w:val="left"/>
      <w:lvlText w:val="%1"/>
      <w:numFmt w:val="decimal"/>
      <w:start w:val="1"/>
    </w:lvl>
    <w:lvl w:ilvl="1">
      <w:lvlJc w:val="left"/>
      <w:lvlText w:val="(%2)"/>
      <w:numFmt w:val="lowerLetter"/>
      <w:start w:val="3"/>
    </w:lvl>
  </w:abstractNum>
  <w:abstractNum w:abstractNumId="1073">
    <w:nsid w:val="6D07551E"/>
    <w:multiLevelType w:val="hybridMultilevel"/>
    <w:lvl w:ilvl="0">
      <w:lvlJc w:val="left"/>
      <w:lvlText w:val="(%1)"/>
      <w:numFmt w:val="decimal"/>
      <w:start w:val="2"/>
    </w:lvl>
    <w:lvl w:ilvl="1">
      <w:lvlJc w:val="left"/>
      <w:lvlText w:val="(%2)"/>
      <w:numFmt w:val="lowerLetter"/>
      <w:start w:val="1"/>
    </w:lvl>
  </w:abstractNum>
  <w:abstractNum w:abstractNumId="1074">
    <w:nsid w:val="577B64A5"/>
    <w:multiLevelType w:val="hybridMultilevel"/>
    <w:lvl w:ilvl="0">
      <w:lvlJc w:val="left"/>
      <w:lvlText w:val="%1"/>
      <w:numFmt w:val="decimal"/>
      <w:start w:val="1"/>
    </w:lvl>
    <w:lvl w:ilvl="1">
      <w:lvlJc w:val="left"/>
      <w:lvlText w:val="(%2)"/>
      <w:numFmt w:val="lowerLetter"/>
      <w:start w:val="4"/>
    </w:lvl>
  </w:abstractNum>
  <w:abstractNum w:abstractNumId="1075">
    <w:nsid w:val="2A52A07A"/>
    <w:multiLevelType w:val="hybridMultilevel"/>
    <w:lvl w:ilvl="0">
      <w:lvlJc w:val="left"/>
      <w:lvlText w:val="(%1)"/>
      <w:numFmt w:val="decimal"/>
      <w:start w:val="3"/>
    </w:lvl>
    <w:lvl w:ilvl="1">
      <w:lvlJc w:val="left"/>
      <w:lvlText w:val="(%2)"/>
      <w:numFmt w:val="lowerLetter"/>
      <w:start w:val="1"/>
    </w:lvl>
  </w:abstractNum>
  <w:abstractNum w:abstractNumId="1076">
    <w:nsid w:val="CEF5302"/>
    <w:multiLevelType w:val="hybridMultilevel"/>
    <w:lvl w:ilvl="0">
      <w:lvlJc w:val="left"/>
      <w:lvlText w:val="%1"/>
      <w:numFmt w:val="decimal"/>
      <w:start w:val="1"/>
    </w:lvl>
    <w:lvl w:ilvl="1">
      <w:lvlJc w:val="left"/>
      <w:lvlText w:val="(%2)"/>
      <w:numFmt w:val="lowerLetter"/>
      <w:start w:val="15"/>
    </w:lvl>
    <w:lvl w:ilvl="2">
      <w:lvlJc w:val="left"/>
      <w:lvlText w:val="(%3)"/>
      <w:numFmt w:val="lowerRoman"/>
      <w:start w:val="1"/>
    </w:lvl>
  </w:abstractNum>
  <w:abstractNum w:abstractNumId="1077">
    <w:nsid w:val="32771D73"/>
    <w:multiLevelType w:val="hybridMultilevel"/>
    <w:lvl w:ilvl="0">
      <w:lvlJc w:val="left"/>
      <w:lvlText w:val="(%1)"/>
      <w:numFmt w:val="decimal"/>
      <w:start w:val="5"/>
    </w:lvl>
    <w:lvl w:ilvl="1">
      <w:lvlJc w:val="left"/>
      <w:lvlText w:val="(%2)"/>
      <w:numFmt w:val="lowerLetter"/>
      <w:start w:val="1"/>
    </w:lvl>
    <w:lvl w:ilvl="2">
      <w:lvlJc w:val="left"/>
      <w:lvlText w:val="(%3)"/>
      <w:numFmt w:val="lowerRoman"/>
      <w:start w:val="1"/>
    </w:lvl>
  </w:abstractNum>
  <w:abstractNum w:abstractNumId="1078">
    <w:nsid w:val="726B9F7C"/>
    <w:multiLevelType w:val="hybridMultilevel"/>
    <w:lvl w:ilvl="0">
      <w:lvlJc w:val="left"/>
      <w:lvlText w:val="%1"/>
      <w:numFmt w:val="lowerLetter"/>
      <w:start w:val="1"/>
    </w:lvl>
    <w:lvl w:ilvl="1">
      <w:lvlJc w:val="left"/>
      <w:lvlText w:val="(%2)"/>
      <w:numFmt w:val="lowerRoman"/>
      <w:start w:val="2"/>
    </w:lvl>
  </w:abstractNum>
  <w:abstractNum w:abstractNumId="1079">
    <w:nsid w:val="5484CA8F"/>
    <w:multiLevelType w:val="hybridMultilevel"/>
    <w:lvl w:ilvl="0">
      <w:lvlJc w:val="left"/>
      <w:lvlText w:val="(%1)"/>
      <w:numFmt w:val="lowerLetter"/>
      <w:start w:val="4"/>
    </w:lvl>
    <w:lvl w:ilvl="1">
      <w:lvlJc w:val="left"/>
      <w:lvlText w:val="(%2)"/>
      <w:numFmt w:val="lowerRoman"/>
      <w:start w:val="1"/>
    </w:lvl>
  </w:abstractNum>
  <w:abstractNum w:abstractNumId="1080">
    <w:nsid w:val="7157351D"/>
    <w:multiLevelType w:val="hybridMultilevel"/>
    <w:lvl w:ilvl="0">
      <w:lvlJc w:val="left"/>
      <w:lvlText w:val="(%1)"/>
      <w:numFmt w:val="decimal"/>
      <w:start w:val="6"/>
    </w:lvl>
    <w:lvl w:ilvl="1">
      <w:lvlJc w:val="left"/>
      <w:lvlText w:val="(%2)"/>
      <w:numFmt w:val="lowerLetter"/>
      <w:start w:val="1"/>
    </w:lvl>
  </w:abstractNum>
  <w:abstractNum w:abstractNumId="1081">
    <w:nsid w:val="C0AB9BD"/>
    <w:multiLevelType w:val="hybridMultilevel"/>
    <w:lvl w:ilvl="0">
      <w:lvlJc w:val="left"/>
      <w:lvlText w:val="%1"/>
      <w:numFmt w:val="decimal"/>
      <w:start w:val="1"/>
    </w:lvl>
    <w:lvl w:ilvl="1">
      <w:lvlJc w:val="left"/>
      <w:lvlText w:val="(%2)"/>
      <w:numFmt w:val="lowerLetter"/>
      <w:start w:val="4"/>
    </w:lvl>
    <w:lvl w:ilvl="2">
      <w:lvlJc w:val="left"/>
      <w:lvlText w:val="%3"/>
      <w:numFmt w:val="lowerLetter"/>
      <w:start w:val="1"/>
    </w:lvl>
  </w:abstractNum>
  <w:abstractNum w:abstractNumId="1082">
    <w:nsid w:val="367236F1"/>
    <w:multiLevelType w:val="hybridMultilevel"/>
    <w:lvl w:ilvl="0">
      <w:lvlJc w:val="left"/>
      <w:lvlText w:val="(%1)"/>
      <w:numFmt w:val="decimal"/>
      <w:start w:val="9"/>
    </w:lvl>
    <w:lvl w:ilvl="1">
      <w:lvlJc w:val="left"/>
      <w:lvlText w:val="(%2)"/>
      <w:numFmt w:val="lowerLetter"/>
      <w:start w:val="1"/>
    </w:lvl>
    <w:lvl w:ilvl="2">
      <w:lvlJc w:val="left"/>
      <w:lvlText w:val="(%3)"/>
      <w:numFmt w:val="lowerLetter"/>
      <w:start w:val="1"/>
    </w:lvl>
  </w:abstractNum>
  <w:abstractNum w:abstractNumId="1083">
    <w:nsid w:val="1E418912"/>
    <w:multiLevelType w:val="hybridMultilevel"/>
    <w:lvl w:ilvl="0">
      <w:lvlJc w:val="left"/>
      <w:lvlText w:val="-"/>
      <w:numFmt w:val="bullet"/>
      <w:start w:val="1"/>
    </w:lvl>
  </w:abstractNum>
  <w:abstractNum w:abstractNumId="1084">
    <w:nsid w:val="13A1CB50"/>
    <w:multiLevelType w:val="hybridMultilevel"/>
    <w:lvl w:ilvl="0">
      <w:lvlJc w:val="left"/>
      <w:lvlText w:val="(%1)"/>
      <w:numFmt w:val="decimal"/>
      <w:start w:val="14"/>
    </w:lvl>
    <w:lvl w:ilvl="1">
      <w:lvlJc w:val="left"/>
      <w:lvlText w:val="(%2)"/>
      <w:numFmt w:val="lowerLetter"/>
      <w:start w:val="1"/>
    </w:lvl>
    <w:lvl w:ilvl="2">
      <w:lvlJc w:val="left"/>
      <w:lvlText w:val="(%3)"/>
      <w:numFmt w:val="lowerRoman"/>
      <w:start w:val="1"/>
    </w:lvl>
  </w:abstractNum>
  <w:abstractNum w:abstractNumId="1085">
    <w:nsid w:val="1318EFF0"/>
    <w:multiLevelType w:val="hybridMultilevel"/>
    <w:lvl w:ilvl="0">
      <w:lvlJc w:val="left"/>
      <w:lvlText w:val="%1"/>
      <w:numFmt w:val="lowerLetter"/>
      <w:start w:val="1"/>
    </w:lvl>
    <w:lvl w:ilvl="1">
      <w:lvlJc w:val="left"/>
      <w:lvlText w:val="(%2)"/>
      <w:numFmt w:val="lowerRoman"/>
      <w:start w:val="1"/>
    </w:lvl>
  </w:abstractNum>
  <w:abstractNum w:abstractNumId="1086">
    <w:nsid w:val="47984755"/>
    <w:multiLevelType w:val="hybridMultilevel"/>
    <w:lvl w:ilvl="0">
      <w:lvlJc w:val="left"/>
      <w:lvlText w:val="(%1)"/>
      <w:numFmt w:val="lowerLetter"/>
      <w:start w:val="2"/>
    </w:lvl>
    <w:lvl w:ilvl="1">
      <w:lvlJc w:val="left"/>
      <w:lvlText w:val="%2"/>
      <w:numFmt w:val="lowerRoman"/>
      <w:start w:val="1"/>
    </w:lvl>
  </w:abstractNum>
  <w:abstractNum w:abstractNumId="1087">
    <w:nsid w:val="D4A58"/>
    <w:multiLevelType w:val="hybridMultilevel"/>
    <w:lvl w:ilvl="0">
      <w:lvlJc w:val="left"/>
      <w:lvlText w:val="(%1)"/>
      <w:numFmt w:val="lowerLetter"/>
      <w:start w:val="6"/>
    </w:lvl>
  </w:abstractNum>
  <w:abstractNum w:abstractNumId="1088">
    <w:nsid w:val="3805771F"/>
    <w:multiLevelType w:val="hybridMultilevel"/>
    <w:lvl w:ilvl="0">
      <w:lvlJc w:val="left"/>
      <w:lvlText w:val="%1"/>
      <w:numFmt w:val="decimal"/>
      <w:start w:val="1"/>
    </w:lvl>
    <w:lvl w:ilvl="1">
      <w:lvlJc w:val="left"/>
      <w:lvlText w:val="(%2)"/>
      <w:numFmt w:val="lowerLetter"/>
      <w:start w:val="10"/>
    </w:lvl>
    <w:lvl w:ilvl="2">
      <w:lvlJc w:val="left"/>
      <w:lvlText w:val="(%3)"/>
      <w:numFmt w:val="lowerRoman"/>
      <w:start w:val="1"/>
    </w:lvl>
  </w:abstractNum>
  <w:abstractNum w:abstractNumId="1089">
    <w:nsid w:val="363E4F1E"/>
    <w:multiLevelType w:val="hybridMultilevel"/>
    <w:lvl w:ilvl="0">
      <w:lvlJc w:val="left"/>
      <w:lvlText w:val="(%1)"/>
      <w:numFmt w:val="decimal"/>
      <w:start w:val="16"/>
    </w:lvl>
    <w:lvl w:ilvl="1">
      <w:lvlJc w:val="left"/>
      <w:lvlText w:val="(%2)"/>
      <w:numFmt w:val="lowerLetter"/>
      <w:start w:val="1"/>
    </w:lvl>
    <w:lvl w:ilvl="2">
      <w:lvlJc w:val="left"/>
      <w:lvlText w:val="%3"/>
      <w:numFmt w:val="lowerRoman"/>
      <w:start w:val="1"/>
    </w:lvl>
  </w:abstractNum>
  <w:abstractNum w:abstractNumId="1090">
    <w:nsid w:val="35A80A34"/>
    <w:multiLevelType w:val="hybridMultilevel"/>
    <w:lvl w:ilvl="0">
      <w:lvlJc w:val="left"/>
      <w:lvlText w:val="%1"/>
      <w:numFmt w:val="decimal"/>
      <w:start w:val="1"/>
    </w:lvl>
    <w:lvl w:ilvl="1">
      <w:lvlJc w:val="left"/>
      <w:lvlText w:val="%2"/>
      <w:numFmt w:val="lowerLetter"/>
      <w:start w:val="1"/>
    </w:lvl>
    <w:lvl w:ilvl="2">
      <w:lvlJc w:val="left"/>
      <w:lvlText w:val="(%3)"/>
      <w:numFmt w:val="lowerRoman"/>
      <w:start w:val="1"/>
    </w:lvl>
  </w:abstractNum>
  <w:abstractNum w:abstractNumId="1091">
    <w:nsid w:val="3081F595"/>
    <w:multiLevelType w:val="hybridMultilevel"/>
    <w:lvl w:ilvl="0">
      <w:lvlJc w:val="left"/>
      <w:lvlText w:val="(%1)"/>
      <w:numFmt w:val="decimal"/>
      <w:start w:val="18"/>
    </w:lvl>
    <w:lvl w:ilvl="1">
      <w:lvlJc w:val="left"/>
      <w:lvlText w:val="(%2)"/>
      <w:numFmt w:val="lowerLetter"/>
      <w:start w:val="1"/>
    </w:lvl>
    <w:lvl w:ilvl="2">
      <w:lvlJc w:val="left"/>
      <w:lvlText w:val="%3"/>
      <w:numFmt w:val="lowerRoman"/>
      <w:start w:val="1"/>
    </w:lvl>
  </w:abstractNum>
  <w:abstractNum w:abstractNumId="1092">
    <w:nsid w:val="35C9B524"/>
    <w:multiLevelType w:val="hybridMultilevel"/>
    <w:lvl w:ilvl="0">
      <w:lvlJc w:val="left"/>
      <w:lvlText w:val="%1"/>
      <w:numFmt w:val="decimal"/>
      <w:start w:val="1"/>
    </w:lvl>
    <w:lvl w:ilvl="1">
      <w:lvlJc w:val="left"/>
      <w:lvlText w:val="(%2)"/>
      <w:numFmt w:val="lowerLetter"/>
      <w:start w:val="11"/>
    </w:lvl>
    <w:lvl w:ilvl="2">
      <w:lvlJc w:val="left"/>
      <w:lvlText w:val="%3"/>
      <w:numFmt w:val="lowerRoman"/>
      <w:start w:val="1"/>
    </w:lvl>
  </w:abstractNum>
  <w:abstractNum w:abstractNumId="1093">
    <w:nsid w:val="60BA8C0F"/>
    <w:multiLevelType w:val="hybridMultilevel"/>
    <w:lvl w:ilvl="0">
      <w:lvlJc w:val="left"/>
      <w:lvlText w:val="(%1)"/>
      <w:numFmt w:val="decimal"/>
      <w:start w:val="20"/>
    </w:lvl>
    <w:lvl w:ilvl="1">
      <w:lvlJc w:val="left"/>
      <w:lvlText w:val="(%2)"/>
      <w:numFmt w:val="lowerLetter"/>
      <w:start w:val="1"/>
    </w:lvl>
    <w:lvl w:ilvl="2">
      <w:lvlJc w:val="left"/>
      <w:lvlText w:val="(%3)"/>
      <w:numFmt w:val="lowerRoman"/>
      <w:start w:val="1"/>
    </w:lvl>
  </w:abstractNum>
  <w:abstractNum w:abstractNumId="1094">
    <w:nsid w:val="606EBA4C"/>
    <w:multiLevelType w:val="hybridMultilevel"/>
    <w:lvl w:ilvl="0">
      <w:lvlJc w:val="left"/>
      <w:lvlText w:val="(%1)"/>
      <w:numFmt w:val="decimal"/>
      <w:start w:val="22"/>
    </w:lvl>
    <w:lvl w:ilvl="1">
      <w:lvlJc w:val="left"/>
      <w:lvlText w:val="(%2)"/>
      <w:numFmt w:val="lowerLetter"/>
      <w:start w:val="1"/>
    </w:lvl>
  </w:abstractNum>
  <w:abstractNum w:abstractNumId="1095">
    <w:nsid w:val="72E29E78"/>
    <w:multiLevelType w:val="hybridMultilevel"/>
    <w:lvl w:ilvl="0">
      <w:lvlJc w:val="left"/>
      <w:lvlText w:val="(%1)"/>
      <w:numFmt w:val="decimal"/>
      <w:start w:val="26"/>
    </w:lvl>
    <w:lvl w:ilvl="1">
      <w:lvlJc w:val="left"/>
      <w:lvlText w:val="(%2)"/>
      <w:numFmt w:val="lowerLetter"/>
      <w:start w:val="1"/>
    </w:lvl>
    <w:lvl w:ilvl="2">
      <w:lvlJc w:val="left"/>
      <w:lvlText w:val="(%3)"/>
      <w:numFmt w:val="lowerRoman"/>
      <w:start w:val="1"/>
    </w:lvl>
  </w:abstractNum>
  <w:abstractNum w:abstractNumId="1096">
    <w:nsid w:val="63EA875E"/>
    <w:multiLevelType w:val="hybridMultilevel"/>
    <w:lvl w:ilvl="0">
      <w:lvlJc w:val="left"/>
      <w:lvlText w:val="%1"/>
      <w:numFmt w:val="decimal"/>
      <w:start w:val="1"/>
    </w:lvl>
    <w:lvl w:ilvl="1">
      <w:lvlJc w:val="left"/>
      <w:lvlText w:val="(%2)"/>
      <w:numFmt w:val="lowerLetter"/>
      <w:start w:val="6"/>
    </w:lvl>
  </w:abstractNum>
  <w:abstractNum w:abstractNumId="1097">
    <w:nsid w:val="33BAB887"/>
    <w:multiLevelType w:val="hybridMultilevel"/>
    <w:lvl w:ilvl="0">
      <w:lvlJc w:val="left"/>
      <w:lvlText w:val="(%1)"/>
      <w:numFmt w:val="decimal"/>
      <w:start w:val="30"/>
    </w:lvl>
    <w:lvl w:ilvl="1">
      <w:lvlJc w:val="left"/>
      <w:lvlText w:val="(%2)"/>
      <w:numFmt w:val="lowerLetter"/>
      <w:start w:val="1"/>
    </w:lvl>
  </w:abstractNum>
  <w:abstractNum w:abstractNumId="1098">
    <w:nsid w:val="35B7674F"/>
    <w:multiLevelType w:val="hybridMultilevel"/>
    <w:lvl w:ilvl="0">
      <w:lvlJc w:val="left"/>
      <w:lvlText w:val="(%1)"/>
      <w:numFmt w:val="upperLetter"/>
      <w:start w:val="9"/>
    </w:lvl>
  </w:abstractNum>
  <w:abstractNum w:abstractNumId="1099">
    <w:nsid w:val="3783120E"/>
    <w:multiLevelType w:val="hybridMultilevel"/>
    <w:lvl w:ilvl="0">
      <w:lvlJc w:val="left"/>
      <w:lvlText w:val="(%1)"/>
      <w:numFmt w:val="upperLetter"/>
      <w:start w:val="35"/>
    </w:lvl>
  </w:abstractNum>
  <w:abstractNum w:abstractNumId="1100">
    <w:nsid w:val="7421E0AB"/>
    <w:multiLevelType w:val="hybridMultilevel"/>
    <w:lvl w:ilvl="0">
      <w:lvlJc w:val="left"/>
      <w:lvlText w:val="(%1)"/>
      <w:numFmt w:val="upperLetter"/>
      <w:start w:val="61"/>
    </w:lvl>
  </w:abstractNum>
  <w:abstractNum w:abstractNumId="1101">
    <w:nsid w:val="4002214F"/>
    <w:multiLevelType w:val="hybridMultilevel"/>
    <w:lvl w:ilvl="0">
      <w:lvlJc w:val="left"/>
      <w:lvlText w:val="(%1)"/>
      <w:numFmt w:val="upperLetter"/>
      <w:start w:val="22"/>
    </w:lvl>
  </w:abstractNum>
  <w:abstractNum w:abstractNumId="1102">
    <w:nsid w:val="7CEB67E9"/>
    <w:multiLevelType w:val="hybridMultilevel"/>
    <w:lvl w:ilvl="0">
      <w:lvlJc w:val="left"/>
      <w:lvlText w:val="(%1)"/>
      <w:numFmt w:val="decimal"/>
      <w:start w:val="1"/>
    </w:lvl>
    <w:lvl w:ilvl="1">
      <w:lvlJc w:val="left"/>
      <w:lvlText w:val="(%2)"/>
      <w:numFmt w:val="lowerLetter"/>
      <w:start w:val="1"/>
    </w:lvl>
  </w:abstractNum>
  <w:abstractNum w:abstractNumId="1103">
    <w:nsid w:val="67726A1A"/>
    <w:multiLevelType w:val="hybridMultilevel"/>
    <w:lvl w:ilvl="0">
      <w:lvlJc w:val="left"/>
      <w:lvlText w:val="%1"/>
      <w:numFmt w:val="decimal"/>
      <w:start w:val="1"/>
    </w:lvl>
    <w:lvl w:ilvl="1">
      <w:lvlJc w:val="left"/>
      <w:lvlText w:val="(%2)"/>
      <w:numFmt w:val="lowerLetter"/>
      <w:start w:val="13"/>
    </w:lvl>
  </w:abstractNum>
  <w:abstractNum w:abstractNumId="1104">
    <w:nsid w:val="2D09766D"/>
    <w:multiLevelType w:val="hybridMultilevel"/>
    <w:lvl w:ilvl="0">
      <w:lvlJc w:val="left"/>
      <w:lvlText w:val="(%1)"/>
      <w:numFmt w:val="decimal"/>
      <w:start w:val="2"/>
    </w:lvl>
    <w:lvl w:ilvl="1">
      <w:lvlJc w:val="left"/>
      <w:lvlText w:val="%2"/>
      <w:numFmt w:val="lowerLetter"/>
      <w:start w:val="1"/>
    </w:lvl>
  </w:abstractNum>
  <w:abstractNum w:abstractNumId="1105">
    <w:nsid w:val="5466CC8E"/>
    <w:multiLevelType w:val="hybridMultilevel"/>
    <w:lvl w:ilvl="0">
      <w:lvlJc w:val="left"/>
      <w:lvlText w:val="(%1)"/>
      <w:numFmt w:val="decimal"/>
      <w:start w:val="3"/>
    </w:lvl>
    <w:lvl w:ilvl="1">
      <w:lvlJc w:val="left"/>
      <w:lvlText w:val=""/>
      <w:numFmt w:val="bullet"/>
      <w:start w:val="1"/>
    </w:lvl>
  </w:abstractNum>
  <w:abstractNum w:abstractNumId="1106">
    <w:nsid w:val="11C50A94"/>
    <w:multiLevelType w:val="hybridMultilevel"/>
    <w:lvl w:ilvl="0">
      <w:lvlJc w:val="left"/>
      <w:lvlText w:val="(%1)"/>
      <w:numFmt w:val="lowerLetter"/>
      <w:start w:val="1"/>
    </w:lvl>
    <w:lvl w:ilvl="1">
      <w:lvlJc w:val="left"/>
      <w:lvlText w:val="(%2)"/>
      <w:numFmt w:val="lowerRoman"/>
      <w:start w:val="1"/>
    </w:lvl>
  </w:abstractNum>
  <w:abstractNum w:abstractNumId="1107">
    <w:nsid w:val="39F8C96F"/>
    <w:multiLevelType w:val="hybridMultilevel"/>
    <w:lvl w:ilvl="0">
      <w:lvlJc w:val="left"/>
      <w:lvlText w:val="%1"/>
      <w:numFmt w:val="lowerLetter"/>
      <w:start w:val="1"/>
    </w:lvl>
    <w:lvl w:ilvl="1">
      <w:lvlJc w:val="left"/>
      <w:lvlText w:val="(%2)"/>
      <w:numFmt w:val="lowerLetter"/>
      <w:start w:val="61"/>
    </w:lvl>
  </w:abstractNum>
  <w:abstractNum w:abstractNumId="1108">
    <w:nsid w:val="6DDEA01"/>
    <w:multiLevelType w:val="hybridMultilevel"/>
    <w:lvl w:ilvl="0">
      <w:lvlJc w:val="left"/>
      <w:lvlText w:val="(%1)"/>
      <w:numFmt w:val="lowerLetter"/>
      <w:start w:val="3"/>
    </w:lvl>
    <w:lvl w:ilvl="1">
      <w:lvlJc w:val="left"/>
      <w:lvlText w:val="(%2)"/>
      <w:numFmt w:val="lowerLetter"/>
      <w:start w:val="9"/>
    </w:lvl>
  </w:abstractNum>
  <w:abstractNum w:abstractNumId="1109">
    <w:nsid w:val="430AA11"/>
    <w:multiLevelType w:val="hybridMultilevel"/>
    <w:lvl w:ilvl="0">
      <w:lvlJc w:val="left"/>
      <w:lvlText w:val="%1"/>
      <w:numFmt w:val="decimal"/>
      <w:start w:val="1"/>
    </w:lvl>
    <w:lvl w:ilvl="1">
      <w:lvlJc w:val="left"/>
      <w:lvlText w:val="%2"/>
      <w:numFmt w:val="lowerLetter"/>
      <w:start w:val="1"/>
    </w:lvl>
    <w:lvl w:ilvl="2">
      <w:lvlJc w:val="left"/>
      <w:lvlText w:val="(%3)"/>
      <w:numFmt w:val="lowerRoman"/>
      <w:start w:val="2"/>
    </w:lvl>
  </w:abstractNum>
  <w:abstractNum w:abstractNumId="1110">
    <w:nsid w:val="E7D93FF"/>
    <w:multiLevelType w:val="hybridMultilevel"/>
    <w:lvl w:ilvl="0">
      <w:lvlJc w:val="left"/>
      <w:lvlText w:val="%1"/>
      <w:numFmt w:val="decimal"/>
      <w:start w:val="1"/>
    </w:lvl>
    <w:lvl w:ilvl="1">
      <w:lvlJc w:val="left"/>
      <w:lvlText w:val="(%2)"/>
      <w:numFmt w:val="lowerLetter"/>
      <w:start w:val="4"/>
    </w:lvl>
    <w:lvl w:ilvl="2">
      <w:lvlJc w:val="left"/>
      <w:lvlText w:val="%3"/>
      <w:numFmt w:val="lowerRoman"/>
      <w:start w:val="1"/>
    </w:lvl>
  </w:abstractNum>
  <w:abstractNum w:abstractNumId="1111">
    <w:nsid w:val="78351F1E"/>
    <w:multiLevelType w:val="hybridMultilevel"/>
    <w:lvl w:ilvl="0">
      <w:lvlJc w:val="left"/>
      <w:lvlText w:val="(%1)"/>
      <w:numFmt w:val="decimal"/>
      <w:start w:val="5"/>
    </w:lvl>
    <w:lvl w:ilvl="1">
      <w:lvlJc w:val="left"/>
      <w:lvlText w:val="(%2)"/>
      <w:numFmt w:val="lowerLetter"/>
      <w:start w:val="1"/>
    </w:lvl>
    <w:lvl w:ilvl="2">
      <w:lvlJc w:val="left"/>
      <w:lvlText w:val="%3"/>
      <w:numFmt w:val="lowerRoman"/>
      <w:start w:val="1"/>
    </w:lvl>
  </w:abstractNum>
  <w:abstractNum w:abstractNumId="1112">
    <w:nsid w:val="103B63CE"/>
    <w:multiLevelType w:val="hybridMultilevel"/>
    <w:lvl w:ilvl="0">
      <w:lvlJc w:val="left"/>
      <w:lvlText w:val="%1"/>
      <w:numFmt w:val="decimal"/>
      <w:start w:val="1"/>
    </w:lvl>
    <w:lvl w:ilvl="1">
      <w:lvlJc w:val="left"/>
      <w:lvlText w:val="%2"/>
      <w:numFmt w:val="upperLetter"/>
      <w:start w:val="1"/>
    </w:lvl>
    <w:lvl w:ilvl="2">
      <w:lvlJc w:val="left"/>
      <w:lvlText w:val="(%3)"/>
      <w:numFmt w:val="lowerLetter"/>
      <w:start w:val="4"/>
    </w:lvl>
    <w:lvl w:ilvl="3">
      <w:lvlJc w:val="left"/>
      <w:lvlText w:val="%4"/>
      <w:numFmt w:val="lowerLetter"/>
      <w:start w:val="1"/>
    </w:lvl>
  </w:abstractNum>
  <w:abstractNum w:abstractNumId="1113">
    <w:nsid w:val="44EFCAF0"/>
    <w:multiLevelType w:val="hybridMultilevel"/>
    <w:lvl w:ilvl="0">
      <w:lvlJc w:val="left"/>
      <w:lvlText w:val="(%1)"/>
      <w:numFmt w:val="decimal"/>
      <w:start w:val="7"/>
    </w:lvl>
    <w:lvl w:ilvl="1">
      <w:lvlJc w:val="left"/>
      <w:lvlText w:val="%2."/>
      <w:numFmt w:val="upperLetter"/>
      <w:start w:val="1"/>
    </w:lvl>
    <w:lvl w:ilvl="2">
      <w:lvlJc w:val="left"/>
      <w:lvlText w:val="%3"/>
      <w:numFmt w:val="lowerLetter"/>
      <w:start w:val="1"/>
    </w:lvl>
    <w:lvl w:ilvl="3">
      <w:lvlJc w:val="left"/>
      <w:lvlText w:val="(%4)"/>
      <w:numFmt w:val="lowerLetter"/>
      <w:start w:val="1"/>
    </w:lvl>
  </w:abstractNum>
  <w:abstractNum w:abstractNumId="1114">
    <w:nsid w:val="1676A831"/>
    <w:multiLevelType w:val="hybridMultilevel"/>
    <w:lvl w:ilvl="0">
      <w:lvlJc w:val="left"/>
      <w:lvlText w:val="(%1)"/>
      <w:numFmt w:val="decimal"/>
      <w:start w:val="11"/>
    </w:lvl>
  </w:abstractNum>
  <w:abstractNum w:abstractNumId="1115">
    <w:nsid w:val="23DD2F1E"/>
    <w:multiLevelType w:val="hybridMultilevel"/>
    <w:lvl w:ilvl="0">
      <w:lvlJc w:val="left"/>
      <w:lvlText w:val="(%1)"/>
      <w:numFmt w:val="decimal"/>
      <w:start w:val="13"/>
    </w:lvl>
    <w:lvl w:ilvl="1">
      <w:lvlJc w:val="left"/>
      <w:lvlText w:val="(%2)"/>
      <w:numFmt w:val="lowerLetter"/>
      <w:start w:val="1"/>
    </w:lvl>
    <w:lvl w:ilvl="2">
      <w:lvlJc w:val="left"/>
      <w:lvlText w:val="(%3)"/>
      <w:numFmt w:val="lowerRoman"/>
      <w:start w:val="1"/>
    </w:lvl>
  </w:abstractNum>
  <w:abstractNum w:abstractNumId="1116">
    <w:nsid w:val="5808BAE1"/>
    <w:multiLevelType w:val="hybridMultilevel"/>
    <w:lvl w:ilvl="0">
      <w:lvlJc w:val="left"/>
      <w:lvlText w:val="(%1)"/>
      <w:numFmt w:val="decimal"/>
      <w:start w:val="1"/>
    </w:lvl>
    <w:lvl w:ilvl="1">
      <w:lvlJc w:val="left"/>
      <w:lvlText w:val="(%2)"/>
      <w:numFmt w:val="upperLetter"/>
      <w:start w:val="9"/>
    </w:lvl>
    <w:lvl w:ilvl="2">
      <w:lvlJc w:val="left"/>
      <w:lvlText w:val="(%3)"/>
      <w:numFmt w:val="upperLetter"/>
      <w:start w:val="1"/>
    </w:lvl>
    <w:lvl w:ilvl="3">
      <w:lvlJc w:val="left"/>
      <w:lvlText w:val="(%4)"/>
      <w:numFmt w:val="decimal"/>
      <w:start w:val="1"/>
    </w:lvl>
    <w:lvl w:ilvl="4">
      <w:lvlJc w:val="left"/>
      <w:lvlText w:val="(%5)"/>
      <w:numFmt w:val="lowerLetter"/>
      <w:start w:val="1"/>
    </w:lvl>
  </w:abstractNum>
  <w:abstractNum w:abstractNumId="1117">
    <w:nsid w:val="5E0EEF86"/>
    <w:multiLevelType w:val="hybridMultilevel"/>
    <w:lvl w:ilvl="0">
      <w:lvlJc w:val="left"/>
      <w:lvlText w:val="%1"/>
      <w:numFmt w:val="upperLetter"/>
      <w:start w:val="1"/>
    </w:lvl>
    <w:lvl w:ilvl="1">
      <w:lvlJc w:val="left"/>
      <w:lvlText w:val="%2"/>
      <w:numFmt w:val="upperLetter"/>
      <w:start w:val="1"/>
    </w:lvl>
    <w:lvl w:ilvl="2">
      <w:lvlJc w:val="left"/>
      <w:lvlText w:val="(%3)"/>
      <w:numFmt w:val="lowerLetter"/>
      <w:start w:val="5"/>
    </w:lvl>
    <w:lvl w:ilvl="3">
      <w:lvlJc w:val="left"/>
      <w:lvlText w:val="(%4)"/>
      <w:numFmt w:val="lowerRoman"/>
      <w:start w:val="1"/>
    </w:lvl>
  </w:abstractNum>
  <w:abstractNum w:abstractNumId="1118">
    <w:nsid w:val="23EA7976"/>
    <w:multiLevelType w:val="hybridMultilevel"/>
    <w:lvl w:ilvl="0">
      <w:lvlJc w:val="left"/>
      <w:lvlText w:val="%1"/>
      <w:numFmt w:val="upperLetter"/>
      <w:start w:val="1"/>
    </w:lvl>
    <w:lvl w:ilvl="1">
      <w:lvlJc w:val="left"/>
      <w:lvlText w:val="(%2)"/>
      <w:numFmt w:val="upperLetter"/>
      <w:start w:val="2"/>
    </w:lvl>
    <w:lvl w:ilvl="2">
      <w:lvlJc w:val="left"/>
      <w:lvlText w:val="%3"/>
      <w:numFmt w:val="lowerLetter"/>
      <w:start w:val="1"/>
    </w:lvl>
    <w:lvl w:ilvl="3">
      <w:lvlJc w:val="left"/>
      <w:lvlText w:val="%4"/>
      <w:numFmt w:val="lowerRoman"/>
      <w:start w:val="1"/>
    </w:lvl>
  </w:abstractNum>
  <w:abstractNum w:abstractNumId="1119">
    <w:nsid w:val="100E3200"/>
    <w:multiLevelType w:val="hybridMultilevel"/>
    <w:lvl w:ilvl="0">
      <w:lvlJc w:val="left"/>
      <w:lvlText w:val="(%1)"/>
      <w:numFmt w:val="upperLetter"/>
      <w:start w:val="35"/>
    </w:lvl>
    <w:lvl w:ilvl="1">
      <w:lvlJc w:val="left"/>
      <w:lvlText w:val="%2"/>
      <w:numFmt w:val="upperLetter"/>
      <w:start w:val="1"/>
    </w:lvl>
    <w:lvl w:ilvl="2">
      <w:lvlJc w:val="left"/>
      <w:lvlText w:val="%3"/>
      <w:numFmt w:val="lowerLetter"/>
      <w:start w:val="1"/>
    </w:lvl>
    <w:lvl w:ilvl="3">
      <w:lvlJc w:val="left"/>
      <w:lvlText w:val="%4"/>
      <w:numFmt w:val="lowerRoman"/>
      <w:start w:val="1"/>
    </w:lvl>
  </w:abstractNum>
  <w:abstractNum w:abstractNumId="1120">
    <w:nsid w:val="144D3EA4"/>
    <w:multiLevelType w:val="hybridMultilevel"/>
    <w:lvl w:ilvl="0">
      <w:lvlJc w:val="left"/>
      <w:lvlText w:val="%1"/>
      <w:numFmt w:val="upperLetter"/>
      <w:start w:val="1"/>
    </w:lvl>
    <w:lvl w:ilvl="1">
      <w:lvlJc w:val="left"/>
      <w:lvlText w:val="(%2)"/>
      <w:numFmt w:val="upperLetter"/>
      <w:start w:val="1"/>
    </w:lvl>
    <w:lvl w:ilvl="2">
      <w:lvlJc w:val="left"/>
      <w:lvlText w:val="(%3)"/>
      <w:numFmt w:val="upperLetter"/>
      <w:start w:val="4"/>
    </w:lvl>
    <w:lvl w:ilvl="3">
      <w:lvlJc w:val="left"/>
      <w:lvlText w:val="(%4)"/>
      <w:numFmt w:val="lowerLetter"/>
      <w:start w:val="1"/>
    </w:lvl>
    <w:lvl w:ilvl="4">
      <w:lvlJc w:val="left"/>
      <w:lvlText w:val="(%5)"/>
      <w:numFmt w:val="decimal"/>
      <w:start w:val="1"/>
    </w:lvl>
  </w:abstractNum>
  <w:abstractNum w:abstractNumId="1121">
    <w:nsid w:val="599283AA"/>
    <w:multiLevelType w:val="hybridMultilevel"/>
    <w:lvl w:ilvl="0">
      <w:lvlJc w:val="left"/>
      <w:lvlText w:val="(%1)"/>
      <w:numFmt w:val="upperLetter"/>
      <w:start w:val="61"/>
    </w:lvl>
    <w:lvl w:ilvl="1">
      <w:lvlJc w:val="left"/>
      <w:lvlText w:val="(%2)"/>
      <w:numFmt w:val="upperLetter"/>
      <w:start w:val="1"/>
    </w:lvl>
    <w:lvl w:ilvl="2">
      <w:lvlJc w:val="left"/>
      <w:lvlText w:val="%3"/>
      <w:numFmt w:val="upperLetter"/>
      <w:start w:val="1"/>
    </w:lvl>
    <w:lvl w:ilvl="3">
      <w:lvlJc w:val="left"/>
      <w:lvlText w:val="%4"/>
      <w:numFmt w:val="lowerLetter"/>
      <w:start w:val="1"/>
    </w:lvl>
    <w:lvl w:ilvl="4">
      <w:lvlJc w:val="left"/>
      <w:lvlText w:val="%5"/>
      <w:numFmt w:val="decimal"/>
      <w:start w:val="1"/>
    </w:lvl>
  </w:abstractNum>
  <w:abstractNum w:abstractNumId="1122">
    <w:nsid w:val="40902795"/>
    <w:multiLevelType w:val="hybridMultilevel"/>
    <w:lvl w:ilvl="0">
      <w:lvlJc w:val="left"/>
      <w:lvlText w:val="(%1)"/>
      <w:numFmt w:val="upperLetter"/>
      <w:start w:val="2"/>
    </w:lvl>
    <w:lvl w:ilvl="1">
      <w:lvlJc w:val="left"/>
      <w:lvlText w:val="(%2)"/>
      <w:numFmt w:val="decimal"/>
      <w:start w:val="1"/>
    </w:lvl>
  </w:abstractNum>
  <w:abstractNum w:abstractNumId="1123">
    <w:nsid w:val="4A16F3C8"/>
    <w:multiLevelType w:val="hybridMultilevel"/>
    <w:lvl w:ilvl="0">
      <w:lvlJc w:val="left"/>
      <w:lvlText w:val="(%1)"/>
      <w:numFmt w:val="upperLetter"/>
      <w:start w:val="1"/>
    </w:lvl>
  </w:abstractNum>
  <w:abstractNum w:abstractNumId="1124">
    <w:nsid w:val="3A4D0FB9"/>
    <w:multiLevelType w:val="hybridMultilevel"/>
    <w:lvl w:ilvl="0">
      <w:lvlJc w:val="left"/>
      <w:lvlText w:val="%1"/>
      <w:numFmt w:val="upperLetter"/>
      <w:start w:val="1"/>
    </w:lvl>
    <w:lvl w:ilvl="1">
      <w:lvlJc w:val="left"/>
      <w:lvlText w:val="(%2)"/>
      <w:numFmt w:val="upperLetter"/>
      <w:start w:val="3"/>
    </w:lvl>
  </w:abstractNum>
  <w:abstractNum w:abstractNumId="1125">
    <w:nsid w:val="20FEE1E2"/>
    <w:multiLevelType w:val="hybridMultilevel"/>
    <w:lvl w:ilvl="0">
      <w:lvlJc w:val="left"/>
      <w:lvlText w:val="(%1)"/>
      <w:numFmt w:val="upperLetter"/>
      <w:start w:val="22"/>
    </w:lvl>
    <w:lvl w:ilvl="1">
      <w:lvlJc w:val="left"/>
      <w:lvlText w:val="(%2)"/>
      <w:numFmt w:val="upperLetter"/>
      <w:start w:val="1"/>
    </w:lvl>
  </w:abstractNum>
  <w:abstractNum w:abstractNumId="1126">
    <w:nsid w:val="3CF99241"/>
    <w:multiLevelType w:val="hybridMultilevel"/>
    <w:lvl w:ilvl="0">
      <w:lvlJc w:val="left"/>
      <w:lvlText w:val="%1"/>
      <w:numFmt w:val="upperLetter"/>
      <w:start w:val="1"/>
    </w:lvl>
    <w:lvl w:ilvl="1">
      <w:lvlJc w:val="left"/>
      <w:lvlText w:val="(%2)"/>
      <w:numFmt w:val="upperLetter"/>
      <w:start w:val="1"/>
    </w:lvl>
    <w:lvl w:ilvl="2">
      <w:lvlJc w:val="left"/>
      <w:lvlText w:val="(%3)"/>
      <w:numFmt w:val="decimal"/>
      <w:start w:val="1"/>
    </w:lvl>
  </w:abstractNum>
  <w:abstractNum w:abstractNumId="1127">
    <w:nsid w:val="1E379717"/>
    <w:multiLevelType w:val="hybridMultilevel"/>
    <w:lvl w:ilvl="0">
      <w:lvlJc w:val="left"/>
      <w:lvlText w:val="(%1)"/>
      <w:numFmt w:val="upperLetter"/>
      <w:start w:val="2"/>
    </w:lvl>
    <w:lvl w:ilvl="1">
      <w:lvlJc w:val="left"/>
      <w:lvlText w:val="%2"/>
      <w:numFmt w:val="upperLetter"/>
      <w:start w:val="1"/>
    </w:lvl>
    <w:lvl w:ilvl="2">
      <w:lvlJc w:val="left"/>
      <w:lvlText w:val="(%3)"/>
      <w:numFmt w:val="decimal"/>
      <w:start w:val="1"/>
    </w:lvl>
  </w:abstractNum>
  <w:abstractNum w:abstractNumId="1128">
    <w:nsid w:val="54B99A69"/>
    <w:multiLevelType w:val="hybridMultilevel"/>
    <w:lvl w:ilvl="0">
      <w:lvlJc w:val="left"/>
      <w:lvlText w:val="(%1)"/>
      <w:numFmt w:val="decimal"/>
      <w:start w:val="2"/>
    </w:lvl>
  </w:abstractNum>
  <w:abstractNum w:abstractNumId="1129">
    <w:nsid w:val="72B0F990"/>
    <w:multiLevelType w:val="hybridMultilevel"/>
    <w:lvl w:ilvl="0">
      <w:lvlJc w:val="left"/>
      <w:lvlText w:val="(%1)"/>
      <w:numFmt w:val="upperLetter"/>
      <w:start w:val="1"/>
    </w:lvl>
    <w:lvl w:ilvl="1">
      <w:lvlJc w:val="left"/>
      <w:lvlText w:val="(%2)"/>
      <w:numFmt w:val="decimal"/>
      <w:start w:val="1"/>
    </w:lvl>
  </w:abstractNum>
  <w:abstractNum w:abstractNumId="1130">
    <w:nsid w:val="55BAA926"/>
    <w:multiLevelType w:val="hybridMultilevel"/>
    <w:lvl w:ilvl="0">
      <w:lvlJc w:val="left"/>
      <w:lvlText w:val="(%1)"/>
      <w:numFmt w:val="upperLetter"/>
      <w:start w:val="1"/>
    </w:lvl>
    <w:lvl w:ilvl="1">
      <w:lvlJc w:val="left"/>
      <w:lvlText w:val="(%2)"/>
      <w:numFmt w:val="decimal"/>
      <w:start w:val="1"/>
    </w:lvl>
  </w:abstractNum>
  <w:abstractNum w:abstractNumId="1131">
    <w:nsid w:val="48DB7B14"/>
    <w:multiLevelType w:val="hybridMultilevel"/>
    <w:lvl w:ilvl="0">
      <w:lvlJc w:val="left"/>
      <w:lvlText w:val="(%1)"/>
      <w:numFmt w:val="upperLetter"/>
      <w:start w:val="2"/>
    </w:lvl>
  </w:abstractNum>
  <w:abstractNum w:abstractNumId="1132">
    <w:nsid w:val="32B31ADF"/>
    <w:multiLevelType w:val="hybridMultilevel"/>
    <w:lvl w:ilvl="0">
      <w:lvlJc w:val="left"/>
      <w:lvlText w:val="%1"/>
      <w:numFmt w:val="upperLetter"/>
      <w:start w:val="1"/>
    </w:lvl>
    <w:lvl w:ilvl="1">
      <w:lvlJc w:val="left"/>
      <w:lvlText w:val="(%2)"/>
      <w:numFmt w:val="upperLetter"/>
      <w:start w:val="1"/>
    </w:lvl>
  </w:abstractNum>
  <w:abstractNum w:abstractNumId="1133">
    <w:nsid w:val="52A6110F"/>
    <w:multiLevelType w:val="hybridMultilevel"/>
    <w:lvl w:ilvl="0">
      <w:lvlJc w:val="left"/>
      <w:lvlText w:val="(%1)"/>
      <w:numFmt w:val="upperLetter"/>
      <w:start w:val="24"/>
    </w:lvl>
    <w:lvl w:ilvl="1">
      <w:lvlJc w:val="left"/>
      <w:lvlText w:val="(%2)"/>
      <w:numFmt w:val="upperLetter"/>
      <w:start w:val="1"/>
    </w:lvl>
  </w:abstractNum>
  <w:abstractNum w:abstractNumId="1134">
    <w:nsid w:val="304DE52E"/>
    <w:multiLevelType w:val="hybridMultilevel"/>
    <w:lvl w:ilvl="0">
      <w:lvlJc w:val="left"/>
      <w:lvlText w:val="(%1)"/>
      <w:numFmt w:val="upperLetter"/>
      <w:start w:val="1"/>
    </w:lvl>
    <w:lvl w:ilvl="1">
      <w:lvlJc w:val="left"/>
      <w:lvlText w:val="(%2)"/>
      <w:numFmt w:val="decimal"/>
      <w:start w:val="1"/>
    </w:lvl>
  </w:abstractNum>
  <w:abstractNum w:abstractNumId="1135">
    <w:nsid w:val="5FBC914D"/>
    <w:multiLevelType w:val="hybridMultilevel"/>
    <w:lvl w:ilvl="0">
      <w:lvlJc w:val="left"/>
      <w:lvlText w:val="(%1)"/>
      <w:numFmt w:val="upperLetter"/>
      <w:start w:val="1"/>
    </w:lvl>
  </w:abstractNum>
  <w:abstractNum w:abstractNumId="1136">
    <w:nsid w:val="270CDD9D"/>
    <w:multiLevelType w:val="hybridMultilevel"/>
    <w:lvl w:ilvl="0">
      <w:lvlJc w:val="left"/>
      <w:lvlText w:val="(%1)"/>
      <w:numFmt w:val="decimal"/>
      <w:start w:val="1"/>
    </w:lvl>
  </w:abstractNum>
  <w:abstractNum w:abstractNumId="1137">
    <w:nsid w:val="4212EFC3"/>
    <w:multiLevelType w:val="hybridMultilevel"/>
    <w:lvl w:ilvl="0">
      <w:lvlJc w:val="left"/>
      <w:lvlText w:val="(%1)"/>
      <w:numFmt w:val="decimal"/>
      <w:start w:val="2"/>
    </w:lvl>
  </w:abstractNum>
  <w:abstractNum w:abstractNumId="1138">
    <w:nsid w:val="19B55ABC"/>
    <w:multiLevelType w:val="hybridMultilevel"/>
    <w:lvl w:ilvl="0">
      <w:lvlJc w:val="left"/>
      <w:lvlText w:val="%1"/>
      <w:numFmt w:val="upperLetter"/>
      <w:start w:val="1"/>
    </w:lvl>
    <w:lvl w:ilvl="1">
      <w:lvlJc w:val="left"/>
      <w:lvlText w:val="(%2)"/>
      <w:numFmt w:val="decimal"/>
      <w:start w:val="3"/>
    </w:lvl>
  </w:abstractNum>
  <w:abstractNum w:abstractNumId="1139">
    <w:nsid w:val="2DEAC79E"/>
    <w:multiLevelType w:val="hybridMultilevel"/>
    <w:lvl w:ilvl="0">
      <w:lvlJc w:val="left"/>
      <w:lvlText w:val="(%1)"/>
      <w:numFmt w:val="upperLetter"/>
      <w:start w:val="5"/>
    </w:lvl>
    <w:lvl w:ilvl="1">
      <w:lvlJc w:val="left"/>
      <w:lvlText w:val="%2"/>
      <w:numFmt w:val="decimal"/>
      <w:start w:val="1"/>
    </w:lvl>
  </w:abstractNum>
  <w:abstractNum w:abstractNumId="1140">
    <w:nsid w:val="464399D4"/>
    <w:multiLevelType w:val="hybridMultilevel"/>
    <w:lvl w:ilvl="0">
      <w:lvlJc w:val="left"/>
      <w:lvlText w:val="(%1)"/>
      <w:numFmt w:val="decimal"/>
      <w:start w:val="1"/>
    </w:lvl>
  </w:abstractNum>
  <w:abstractNum w:abstractNumId="1141">
    <w:nsid w:val="2832EEBB"/>
    <w:multiLevelType w:val="hybridMultilevel"/>
    <w:lvl w:ilvl="0">
      <w:lvlJc w:val="left"/>
      <w:lvlText w:val="(%1)"/>
      <w:numFmt w:val="upperLetter"/>
      <w:start w:val="1"/>
    </w:lvl>
  </w:abstractNum>
  <w:abstractNum w:abstractNumId="1142">
    <w:nsid w:val="261FE6BD"/>
    <w:multiLevelType w:val="hybridMultilevel"/>
    <w:lvl w:ilvl="0">
      <w:lvlJc w:val="left"/>
      <w:lvlText w:val="(%1)"/>
      <w:numFmt w:val="upperLetter"/>
      <w:start w:val="1"/>
    </w:lvl>
  </w:abstractNum>
  <w:abstractNum w:abstractNumId="1143">
    <w:nsid w:val="567EFDA2"/>
    <w:multiLevelType w:val="hybridMultilevel"/>
    <w:lvl w:ilvl="0">
      <w:lvlJc w:val="left"/>
      <w:lvlText w:val="(%1)"/>
      <w:numFmt w:val="upperLetter"/>
      <w:start w:val="3"/>
    </w:lvl>
  </w:abstractNum>
  <w:abstractNum w:abstractNumId="1144">
    <w:nsid w:val="6D22B9AC"/>
    <w:multiLevelType w:val="hybridMultilevel"/>
    <w:lvl w:ilvl="0">
      <w:lvlJc w:val="left"/>
      <w:lvlText w:val="(%1)"/>
      <w:numFmt w:val="decimal"/>
      <w:start w:val="1"/>
    </w:lvl>
    <w:lvl w:ilvl="1">
      <w:lvlJc w:val="left"/>
      <w:lvlText w:val="(%2)"/>
      <w:numFmt w:val="lowerLetter"/>
      <w:start w:val="1"/>
    </w:lvl>
  </w:abstractNum>
  <w:abstractNum w:abstractNumId="1145">
    <w:nsid w:val="3C968EEE"/>
    <w:multiLevelType w:val="hybridMultilevel"/>
    <w:lvl w:ilvl="0">
      <w:lvlJc w:val="left"/>
      <w:lvlText w:val="%1."/>
      <w:numFmt w:val="upperLetter"/>
      <w:start w:val="9"/>
    </w:lvl>
  </w:abstractNum>
  <w:abstractNum w:abstractNumId="1146">
    <w:nsid w:val="7A5C2CC0"/>
    <w:multiLevelType w:val="hybridMultilevel"/>
    <w:lvl w:ilvl="0">
      <w:lvlJc w:val="left"/>
      <w:lvlText w:val="%1."/>
      <w:numFmt w:val="upperLetter"/>
      <w:start w:val="35"/>
    </w:lvl>
    <w:lvl w:ilvl="1">
      <w:lvlJc w:val="left"/>
      <w:lvlText w:val="(%2)"/>
      <w:numFmt w:val="upperLetter"/>
      <w:start w:val="1"/>
    </w:lvl>
  </w:abstractNum>
  <w:abstractNum w:abstractNumId="1147">
    <w:nsid w:val="452B748D"/>
    <w:multiLevelType w:val="hybridMultilevel"/>
    <w:lvl w:ilvl="0">
      <w:lvlJc w:val="left"/>
      <w:lvlText w:val="%1"/>
      <w:numFmt w:val="upperLetter"/>
      <w:start w:val="1"/>
    </w:lvl>
    <w:lvl w:ilvl="1">
      <w:lvlJc w:val="left"/>
      <w:lvlText w:val="(%2)"/>
      <w:numFmt w:val="upperLetter"/>
      <w:start w:val="17"/>
    </w:lvl>
    <w:lvl w:ilvl="2">
      <w:lvlJc w:val="left"/>
      <w:lvlText w:val="%3"/>
      <w:numFmt w:val="decimal"/>
      <w:start w:val="1"/>
    </w:lvl>
  </w:abstractNum>
  <w:abstractNum w:abstractNumId="1148">
    <w:nsid w:val="1AA57E74"/>
    <w:multiLevelType w:val="hybridMultilevel"/>
    <w:lvl w:ilvl="0">
      <w:lvlJc w:val="left"/>
      <w:lvlText w:val="%1"/>
      <w:numFmt w:val="upperLetter"/>
      <w:start w:val="1"/>
    </w:lvl>
    <w:lvl w:ilvl="1">
      <w:lvlJc w:val="left"/>
      <w:lvlText w:val="(%2)"/>
      <w:numFmt w:val="upperLetter"/>
      <w:start w:val="1"/>
    </w:lvl>
    <w:lvl w:ilvl="2">
      <w:lvlJc w:val="left"/>
      <w:lvlText w:val="(%3)"/>
      <w:numFmt w:val="decimal"/>
      <w:start w:val="1"/>
    </w:lvl>
  </w:abstractNum>
  <w:abstractNum w:abstractNumId="1149">
    <w:nsid w:val="1E46A636"/>
    <w:multiLevelType w:val="hybridMultilevel"/>
    <w:lvl w:ilvl="0">
      <w:lvlJc w:val="left"/>
      <w:lvlText w:val="%1"/>
      <w:numFmt w:val="upperLetter"/>
      <w:start w:val="1"/>
    </w:lvl>
    <w:lvl w:ilvl="1">
      <w:lvlJc w:val="left"/>
      <w:lvlText w:val="(%2)"/>
      <w:numFmt w:val="upperLetter"/>
      <w:start w:val="1"/>
    </w:lvl>
    <w:lvl w:ilvl="2">
      <w:lvlJc w:val="left"/>
      <w:lvlText w:val="%3"/>
      <w:numFmt w:val="upperLetter"/>
      <w:start w:val="1"/>
    </w:lvl>
  </w:abstractNum>
  <w:abstractNum w:abstractNumId="1150">
    <w:nsid w:val="5539A68D"/>
    <w:multiLevelType w:val="hybridMultilevel"/>
    <w:lvl w:ilvl="0">
      <w:lvlJc w:val="left"/>
      <w:lvlText w:val="%1."/>
      <w:numFmt w:val="upperLetter"/>
      <w:start w:val="22"/>
    </w:lvl>
    <w:lvl w:ilvl="1">
      <w:lvlJc w:val="left"/>
      <w:lvlText w:val="%2"/>
      <w:numFmt w:val="upperLetter"/>
      <w:start w:val="1"/>
    </w:lvl>
    <w:lvl w:ilvl="2">
      <w:lvlJc w:val="left"/>
      <w:lvlText w:val="(%3)"/>
      <w:numFmt w:val="upperLetter"/>
      <w:start w:val="1"/>
    </w:lvl>
  </w:abstractNum>
  <w:abstractNum w:abstractNumId="1151">
    <w:nsid w:val="2EF2BD18"/>
    <w:multiLevelType w:val="hybridMultilevel"/>
    <w:lvl w:ilvl="0">
      <w:lvlJc w:val="left"/>
      <w:lvlText w:val="(%1)"/>
      <w:numFmt w:val="upperLetter"/>
      <w:start w:val="1"/>
    </w:lvl>
  </w:abstractNum>
  <w:abstractNum w:abstractNumId="1152">
    <w:nsid w:val="77D929E1"/>
    <w:multiLevelType w:val="hybridMultilevel"/>
    <w:lvl w:ilvl="0">
      <w:lvlJc w:val="left"/>
      <w:lvlText w:val="(%1)"/>
      <w:numFmt w:val="upperLetter"/>
      <w:start w:val="3"/>
    </w:lvl>
  </w:abstractNum>
  <w:abstractNum w:abstractNumId="1153">
    <w:nsid w:val="15C9CE22"/>
    <w:multiLevelType w:val="hybridMultilevel"/>
    <w:lvl w:ilvl="0">
      <w:lvlJc w:val="left"/>
      <w:lvlText w:val="%1."/>
      <w:numFmt w:val="upperLetter"/>
      <w:start w:val="24"/>
    </w:lvl>
  </w:abstractNum>
  <w:abstractNum w:abstractNumId="1154">
    <w:nsid w:val="7909B0E1"/>
    <w:multiLevelType w:val="hybridMultilevel"/>
    <w:lvl w:ilvl="0">
      <w:lvlJc w:val="left"/>
      <w:lvlText w:val="(%1)"/>
      <w:numFmt w:val="decimal"/>
      <w:start w:val="1"/>
    </w:lvl>
  </w:abstractNum>
  <w:abstractNum w:abstractNumId="1155">
    <w:nsid w:val="3226399A"/>
    <w:multiLevelType w:val="hybridMultilevel"/>
    <w:lvl w:ilvl="0">
      <w:lvlJc w:val="left"/>
      <w:lvlText w:val="(%1)"/>
      <w:numFmt w:val="lowerLetter"/>
      <w:start w:val="1"/>
    </w:lvl>
  </w:abstractNum>
  <w:abstractNum w:abstractNumId="1156">
    <w:nsid w:val="36C8B004"/>
    <w:multiLevelType w:val="hybridMultilevel"/>
    <w:lvl w:ilvl="0">
      <w:lvlJc w:val="left"/>
      <w:lvlText w:val="(%1)"/>
      <w:numFmt w:val="lowerLetter"/>
      <w:start w:val="3"/>
    </w:lvl>
  </w:abstractNum>
  <w:abstractNum w:abstractNumId="1157">
    <w:nsid w:val="36034322"/>
    <w:multiLevelType w:val="hybridMultilevel"/>
    <w:lvl w:ilvl="0">
      <w:lvlJc w:val="left"/>
      <w:lvlText w:val="(%1)"/>
      <w:numFmt w:val="decimal"/>
      <w:start w:val="2"/>
    </w:lvl>
  </w:abstractNum>
  <w:abstractNum w:abstractNumId="1158">
    <w:nsid w:val="505DD0B2"/>
    <w:multiLevelType w:val="hybridMultilevel"/>
    <w:lvl w:ilvl="0">
      <w:lvlJc w:val="left"/>
      <w:lvlText w:val="(%1)"/>
      <w:numFmt w:val="decimal"/>
      <w:start w:val="3"/>
    </w:lvl>
  </w:abstractNum>
  <w:abstractNum w:abstractNumId="1159">
    <w:nsid w:val="B824A6D"/>
    <w:multiLevelType w:val="hybridMultilevel"/>
    <w:lvl w:ilvl="0">
      <w:lvlJc w:val="left"/>
      <w:lvlText w:val="%1)"/>
      <w:numFmt w:val="lowerLetter"/>
      <w:start w:val="1"/>
    </w:lvl>
  </w:abstractNum>
  <w:abstractNum w:abstractNumId="1160">
    <w:nsid w:val="28B43CB2"/>
    <w:multiLevelType w:val="hybridMultilevel"/>
    <w:lvl w:ilvl="0">
      <w:lvlJc w:val="left"/>
      <w:lvlText w:val="%1)"/>
      <w:numFmt w:val="lowerLetter"/>
      <w:start w:val="2"/>
    </w:lvl>
  </w:abstractNum>
  <w:abstractNum w:abstractNumId="1161">
    <w:nsid w:val="261879D8"/>
    <w:multiLevelType w:val="hybridMultilevel"/>
    <w:lvl w:ilvl="0">
      <w:lvlJc w:val="left"/>
      <w:lvlText w:val="%1)"/>
      <w:numFmt w:val="lowerLetter"/>
      <w:start w:val="14"/>
    </w:lvl>
  </w:abstractNum>
  <w:abstractNum w:abstractNumId="1162">
    <w:nsid w:val="545DC582"/>
    <w:multiLevelType w:val="hybridMultilevel"/>
    <w:lvl w:ilvl="0">
      <w:lvlJc w:val="left"/>
      <w:lvlText w:val="(%1)"/>
      <w:numFmt w:val="decimal"/>
      <w:start w:val="8"/>
    </w:lvl>
  </w:abstractNum>
  <w:abstractNum w:abstractNumId="1163">
    <w:nsid w:val="5B675791"/>
    <w:multiLevelType w:val="hybridMultilevel"/>
    <w:lvl w:ilvl="0">
      <w:lvlJc w:val="left"/>
      <w:lvlText w:val="%1)"/>
      <w:numFmt w:val="lowerLetter"/>
      <w:start w:val="1"/>
    </w:lvl>
  </w:abstractNum>
  <w:abstractNum w:abstractNumId="1164">
    <w:nsid w:val="78BE8AE7"/>
    <w:multiLevelType w:val="hybridMultilevel"/>
    <w:lvl w:ilvl="0">
      <w:lvlJc w:val="left"/>
      <w:lvlText w:val="(%1)"/>
      <w:numFmt w:val="upperLetter"/>
      <w:start w:val="9"/>
    </w:lvl>
  </w:abstractNum>
  <w:abstractNum w:abstractNumId="1165">
    <w:nsid w:val="4ABAAB0"/>
    <w:multiLevelType w:val="hybridMultilevel"/>
    <w:lvl w:ilvl="0">
      <w:lvlJc w:val="left"/>
      <w:lvlText w:val="(%1)"/>
      <w:numFmt w:val="upperLetter"/>
      <w:start w:val="35"/>
    </w:lvl>
    <w:lvl w:ilvl="1">
      <w:lvlJc w:val="left"/>
      <w:lvlText w:val="%2)"/>
      <w:numFmt w:val="lowerLetter"/>
      <w:start w:val="1"/>
    </w:lvl>
  </w:abstractNum>
  <w:abstractNum w:abstractNumId="1166">
    <w:nsid w:val="3B23E8DE"/>
    <w:multiLevelType w:val="hybridMultilevel"/>
    <w:lvl w:ilvl="0">
      <w:lvlJc w:val="left"/>
      <w:lvlText w:val="%1)"/>
      <w:numFmt w:val="lowerLetter"/>
      <w:start w:val="2"/>
    </w:lvl>
  </w:abstractNum>
  <w:abstractNum w:abstractNumId="1167">
    <w:nsid w:val="1FCB6884"/>
    <w:multiLevelType w:val="hybridMultilevel"/>
    <w:lvl w:ilvl="0">
      <w:lvlJc w:val="left"/>
      <w:lvlText w:val="(%1)"/>
      <w:numFmt w:val="lowerLetter"/>
      <w:start w:val="1"/>
    </w:lvl>
    <w:lvl w:ilvl="1">
      <w:lvlJc w:val="left"/>
      <w:lvlText w:val="-"/>
      <w:numFmt w:val="bullet"/>
      <w:start w:val="1"/>
    </w:lvl>
  </w:abstractNum>
  <w:abstractNum w:abstractNumId="1168">
    <w:nsid w:val="46BE9A73"/>
    <w:multiLevelType w:val="hybridMultilevel"/>
    <w:lvl w:ilvl="0">
      <w:lvlJc w:val="left"/>
      <w:lvlText w:val="*"/>
      <w:numFmt w:val="bullet"/>
      <w:start w:val="1"/>
    </w:lvl>
  </w:abstractNum>
  <w:abstractNum w:abstractNumId="1169">
    <w:nsid w:val="54D9439B"/>
    <w:multiLevelType w:val="hybridMultilevel"/>
    <w:lvl w:ilvl="0">
      <w:lvlJc w:val="left"/>
      <w:lvlText w:val="%1)"/>
      <w:numFmt w:val="decimal"/>
      <w:start w:val="1"/>
    </w:lvl>
  </w:abstractNum>
  <w:abstractNum w:abstractNumId="1170">
    <w:nsid w:val="4DB63022"/>
    <w:multiLevelType w:val="hybridMultilevel"/>
    <w:lvl w:ilvl="0">
      <w:lvlJc w:val="left"/>
      <w:lvlText w:val="%1)"/>
      <w:numFmt w:val="decimal"/>
      <w:start w:val="2"/>
    </w:lvl>
  </w:abstractNum>
  <w:abstractNum w:abstractNumId="1171">
    <w:nsid w:val="D023447"/>
    <w:multiLevelType w:val="hybridMultilevel"/>
    <w:lvl w:ilvl="0">
      <w:lvlJc w:val="left"/>
      <w:lvlText w:val="%1)"/>
      <w:numFmt w:val="decimal"/>
      <w:start w:val="3"/>
    </w:lvl>
  </w:abstractNum>
  <w:abstractNum w:abstractNumId="1172">
    <w:nsid w:val="7D0C3256"/>
    <w:multiLevelType w:val="hybridMultilevel"/>
    <w:lvl w:ilvl="0">
      <w:lvlJc w:val="left"/>
      <w:lvlText w:val="%1"/>
      <w:numFmt w:val="decimal"/>
      <w:start w:val="1"/>
    </w:lvl>
    <w:lvl w:ilvl="1">
      <w:lvlJc w:val="left"/>
      <w:lvlText w:val="(%2)"/>
      <w:numFmt w:val="lowerLetter"/>
      <w:start w:val="1"/>
    </w:lvl>
  </w:abstractNum>
  <w:abstractNum w:abstractNumId="1173">
    <w:nsid w:val="73D616DF"/>
    <w:multiLevelType w:val="hybridMultilevel"/>
    <w:lvl w:ilvl="0">
      <w:lvlJc w:val="left"/>
      <w:lvlText w:val="%1)"/>
      <w:numFmt w:val="decimal"/>
      <w:start w:val="4"/>
    </w:lvl>
    <w:lvl w:ilvl="1">
      <w:lvlJc w:val="left"/>
      <w:lvlText w:val="(%2)"/>
      <w:numFmt w:val="lowerLetter"/>
      <w:start w:val="9"/>
    </w:lvl>
  </w:abstractNum>
  <w:abstractNum w:abstractNumId="1174">
    <w:nsid w:val="638131E9"/>
    <w:multiLevelType w:val="hybridMultilevel"/>
    <w:lvl w:ilvl="0">
      <w:lvlJc w:val="left"/>
      <w:lvlText w:val="(%1)"/>
      <w:numFmt w:val="lowerLetter"/>
      <w:start w:val="1"/>
    </w:lvl>
  </w:abstractNum>
  <w:abstractNum w:abstractNumId="1175">
    <w:nsid w:val="6A2EEC02"/>
    <w:multiLevelType w:val="hybridMultilevel"/>
    <w:lvl w:ilvl="0">
      <w:lvlJc w:val="left"/>
      <w:lvlText w:val="(%1)"/>
      <w:numFmt w:val="lowerRoman"/>
      <w:start w:val="3"/>
    </w:lvl>
  </w:abstractNum>
  <w:abstractNum w:abstractNumId="1176">
    <w:nsid w:val="306CA5CD"/>
    <w:multiLevelType w:val="hybridMultilevel"/>
    <w:lvl w:ilvl="0">
      <w:lvlJc w:val="left"/>
      <w:lvlText w:val="(%1)"/>
      <w:numFmt w:val="decimal"/>
      <w:start w:val="1"/>
    </w:lvl>
  </w:abstractNum>
  <w:abstractNum w:abstractNumId="1177">
    <w:nsid w:val="5DDD5EA9"/>
    <w:multiLevelType w:val="hybridMultilevel"/>
    <w:lvl w:ilvl="0">
      <w:lvlJc w:val="left"/>
      <w:lvlText w:val="(%1)"/>
      <w:numFmt w:val="decimal"/>
      <w:start w:val="1"/>
    </w:lvl>
    <w:lvl w:ilvl="1">
      <w:lvlJc w:val="left"/>
      <w:lvlText w:val="(%2)"/>
      <w:numFmt w:val="lowerLetter"/>
      <w:start w:val="1"/>
    </w:lvl>
  </w:abstractNum>
  <w:abstractNum w:abstractNumId="1178">
    <w:nsid w:val="2F5A608F"/>
    <w:multiLevelType w:val="hybridMultilevel"/>
    <w:lvl w:ilvl="0">
      <w:lvlJc w:val="left"/>
      <w:lvlText w:val="%1"/>
      <w:numFmt w:val="decimal"/>
      <w:start w:val="1"/>
    </w:lvl>
    <w:lvl w:ilvl="1">
      <w:lvlJc w:val="left"/>
      <w:lvlText w:val="(%2)"/>
      <w:numFmt w:val="lowerLetter"/>
      <w:start w:val="1"/>
    </w:lvl>
  </w:abstractNum>
  <w:abstractNum w:abstractNumId="1179">
    <w:nsid w:val="4B122441"/>
    <w:multiLevelType w:val="hybridMultilevel"/>
    <w:lvl w:ilvl="0">
      <w:lvlJc w:val="left"/>
      <w:lvlText w:val="(%1)"/>
      <w:numFmt w:val="decimal"/>
      <w:start w:val="4"/>
    </w:lvl>
    <w:lvl w:ilvl="1">
      <w:lvlJc w:val="left"/>
      <w:lvlText w:val="(%2)"/>
      <w:numFmt w:val="lowerLetter"/>
      <w:start w:val="1"/>
    </w:lvl>
  </w:abstractNum>
  <w:abstractNum w:abstractNumId="1180">
    <w:nsid w:val="7C2404E0"/>
    <w:multiLevelType w:val="hybridMultilevel"/>
    <w:lvl w:ilvl="0">
      <w:lvlJc w:val="left"/>
      <w:lvlText w:val="(%1)"/>
      <w:numFmt w:val="lowerLetter"/>
      <w:start w:val="3"/>
    </w:lvl>
  </w:abstractNum>
  <w:abstractNum w:abstractNumId="1181">
    <w:nsid w:val="494071C"/>
    <w:multiLevelType w:val="hybridMultilevel"/>
    <w:lvl w:ilvl="0">
      <w:lvlJc w:val="left"/>
      <w:lvlText w:val="%1"/>
      <w:numFmt w:val="decimal"/>
      <w:start w:val="1"/>
    </w:lvl>
    <w:lvl w:ilvl="1">
      <w:lvlJc w:val="left"/>
      <w:lvlText w:val="(%2)"/>
      <w:numFmt w:val="lowerLetter"/>
      <w:start w:val="4"/>
    </w:lvl>
  </w:abstractNum>
  <w:abstractNum w:abstractNumId="1182">
    <w:nsid w:val="7A04E15A"/>
    <w:multiLevelType w:val="hybridMultilevel"/>
    <w:lvl w:ilvl="0">
      <w:lvlJc w:val="left"/>
      <w:lvlText w:val="(%1)"/>
      <w:numFmt w:val="decimal"/>
      <w:start w:val="6"/>
    </w:lvl>
    <w:lvl w:ilvl="1">
      <w:lvlJc w:val="left"/>
      <w:lvlText w:val="%2"/>
      <w:numFmt w:val="lowerLetter"/>
      <w:start w:val="1"/>
    </w:lvl>
  </w:abstractNum>
  <w:abstractNum w:abstractNumId="1183">
    <w:nsid w:val="73FD2EC1"/>
    <w:multiLevelType w:val="hybridMultilevel"/>
    <w:lvl w:ilvl="0">
      <w:lvlJc w:val="left"/>
      <w:lvlText w:val="(%1)"/>
      <w:numFmt w:val="decimal"/>
      <w:start w:val="7"/>
    </w:lvl>
  </w:abstractNum>
  <w:abstractNum w:abstractNumId="1184">
    <w:nsid w:val="1A5DD53F"/>
    <w:multiLevelType w:val="hybridMultilevel"/>
    <w:lvl w:ilvl="0">
      <w:lvlJc w:val="left"/>
      <w:lvlText w:val="(%1)"/>
      <w:numFmt w:val="lowerLetter"/>
      <w:start w:val="1"/>
    </w:lvl>
    <w:lvl w:ilvl="1">
      <w:lvlJc w:val="left"/>
      <w:lvlText w:val="(%2)"/>
      <w:numFmt w:val="lowerRoman"/>
      <w:start w:val="1"/>
    </w:lvl>
  </w:abstractNum>
  <w:abstractNum w:abstractNumId="1185">
    <w:nsid w:val="730E923B"/>
    <w:multiLevelType w:val="hybridMultilevel"/>
    <w:lvl w:ilvl="0">
      <w:lvlJc w:val="left"/>
      <w:lvlText w:val="%1"/>
      <w:numFmt w:val="decimal"/>
      <w:start w:val="1"/>
    </w:lvl>
    <w:lvl w:ilvl="1">
      <w:lvlJc w:val="left"/>
      <w:lvlText w:val="%2"/>
      <w:numFmt w:val="lowerLetter"/>
      <w:start w:val="1"/>
    </w:lvl>
    <w:lvl w:ilvl="2">
      <w:lvlJc w:val="left"/>
      <w:lvlText w:val="(%3)"/>
      <w:numFmt w:val="lowerRoman"/>
      <w:start w:val="3"/>
    </w:lvl>
    <w:lvl w:ilvl="3">
      <w:lvlJc w:val="left"/>
      <w:lvlText w:val="%4"/>
      <w:numFmt w:val="lowerRoman"/>
      <w:start w:val="1"/>
    </w:lvl>
  </w:abstractNum>
  <w:abstractNum w:abstractNumId="1186">
    <w:nsid w:val="2623685B"/>
    <w:multiLevelType w:val="hybridMultilevel"/>
    <w:lvl w:ilvl="0">
      <w:lvlJc w:val="left"/>
      <w:lvlText w:val="(%1)"/>
      <w:numFmt w:val="decimal"/>
      <w:start w:val="8"/>
    </w:lvl>
    <w:lvl w:ilvl="1">
      <w:lvlJc w:val="left"/>
      <w:lvlText w:val="%2)"/>
      <w:numFmt w:val="lowerLetter"/>
      <w:start w:val="1"/>
    </w:lvl>
    <w:lvl w:ilvl="2">
      <w:lvlJc w:val="left"/>
      <w:lvlText w:val="%3"/>
      <w:numFmt w:val="lowerRoman"/>
      <w:start w:val="1"/>
    </w:lvl>
    <w:lvl w:ilvl="3">
      <w:lvlJc w:val="left"/>
      <w:lvlText w:val="(%4)"/>
      <w:numFmt w:val="lowerRoman"/>
      <w:start w:val="1"/>
    </w:lvl>
  </w:abstractNum>
  <w:abstractNum w:abstractNumId="1187">
    <w:nsid w:val="51268543"/>
    <w:multiLevelType w:val="hybridMultilevel"/>
    <w:lvl w:ilvl="0">
      <w:lvlJc w:val="left"/>
      <w:lvlText w:val="%1)"/>
      <w:numFmt w:val="lowerLetter"/>
      <w:start w:val="2"/>
    </w:lvl>
    <w:lvl w:ilvl="1">
      <w:lvlJc w:val="left"/>
      <w:lvlText w:val="(%2)"/>
      <w:numFmt w:val="upperLetter"/>
      <w:start w:val="9"/>
    </w:lvl>
    <w:lvl w:ilvl="2">
      <w:lvlJc w:val="left"/>
      <w:lvlText w:val="(%3)"/>
      <w:numFmt w:val="lowerRoman"/>
      <w:start w:val="1"/>
    </w:lvl>
  </w:abstractNum>
  <w:abstractNum w:abstractNumId="1188">
    <w:nsid w:val="2911D55D"/>
    <w:multiLevelType w:val="hybridMultilevel"/>
    <w:lvl w:ilvl="0">
      <w:lvlJc w:val="left"/>
      <w:lvlText w:val="%1"/>
      <w:numFmt w:val="lowerLetter"/>
      <w:start w:val="1"/>
    </w:lvl>
    <w:lvl w:ilvl="1">
      <w:lvlJc w:val="left"/>
      <w:lvlText w:val="%2"/>
      <w:numFmt w:val="upperLetter"/>
      <w:start w:val="1"/>
    </w:lvl>
    <w:lvl w:ilvl="2">
      <w:lvlJc w:val="left"/>
      <w:lvlText w:val="(%3)"/>
      <w:numFmt w:val="lowerRoman"/>
      <w:start w:val="1"/>
    </w:lvl>
  </w:abstractNum>
  <w:abstractNum w:abstractNumId="1189">
    <w:nsid w:val="7681390D"/>
    <w:multiLevelType w:val="hybridMultilevel"/>
    <w:lvl w:ilvl="0">
      <w:lvlJc w:val="left"/>
      <w:lvlText w:val="%1"/>
      <w:numFmt w:val="lowerLetter"/>
      <w:start w:val="1"/>
    </w:lvl>
    <w:lvl w:ilvl="1">
      <w:lvlJc w:val="left"/>
      <w:lvlText w:val="(%2)"/>
      <w:numFmt w:val="upperLetter"/>
      <w:start w:val="35"/>
    </w:lvl>
    <w:lvl w:ilvl="2">
      <w:lvlJc w:val="left"/>
      <w:lvlText w:val="(%3)"/>
      <w:numFmt w:val="lowerRoman"/>
      <w:start w:val="1"/>
    </w:lvl>
  </w:abstractNum>
  <w:abstractNum w:abstractNumId="1190">
    <w:nsid w:val="5CA8CFB1"/>
    <w:multiLevelType w:val="hybridMultilevel"/>
    <w:lvl w:ilvl="0">
      <w:lvlJc w:val="left"/>
      <w:lvlText w:val="%1)"/>
      <w:numFmt w:val="lowerLetter"/>
      <w:start w:val="4"/>
    </w:lvl>
    <w:lvl w:ilvl="1">
      <w:lvlJc w:val="left"/>
      <w:lvlText w:val="%2"/>
      <w:numFmt w:val="upperLetter"/>
      <w:start w:val="1"/>
    </w:lvl>
    <w:lvl w:ilvl="2">
      <w:lvlJc w:val="left"/>
      <w:lvlText w:val="%3"/>
      <w:numFmt w:val="lowerRoman"/>
      <w:start w:val="1"/>
    </w:lvl>
  </w:abstractNum>
  <w:abstractNum w:abstractNumId="1191">
    <w:nsid w:val="51C6120F"/>
    <w:multiLevelType w:val="hybridMultilevel"/>
    <w:lvl w:ilvl="0">
      <w:lvlJc w:val="left"/>
      <w:lvlText w:val="%1)"/>
      <w:numFmt w:val="lowerLetter"/>
      <w:start w:val="8"/>
    </w:lvl>
  </w:abstractNum>
  <w:abstractNum w:abstractNumId="1192">
    <w:nsid w:val="1C99B2E5"/>
    <w:multiLevelType w:val="hybridMultilevel"/>
    <w:lvl w:ilvl="0">
      <w:lvlJc w:val="left"/>
      <w:lvlText w:val="%1"/>
      <w:numFmt w:val="decimal"/>
      <w:start w:val="121"/>
    </w:lvl>
  </w:abstractNum>
  <w:abstractNum w:abstractNumId="1193">
    <w:nsid w:val="31069533"/>
    <w:multiLevelType w:val="hybridMultilevel"/>
    <w:lvl w:ilvl="0">
      <w:lvlJc w:val="left"/>
      <w:lvlText w:val="%1"/>
      <w:numFmt w:val="decimal"/>
      <w:start w:val="1"/>
    </w:lvl>
    <w:lvl w:ilvl="1">
      <w:lvlJc w:val="left"/>
      <w:lvlText w:val="%2)"/>
      <w:numFmt w:val="lowerLetter"/>
      <w:start w:val="12"/>
    </w:lvl>
  </w:abstractNum>
  <w:abstractNum w:abstractNumId="1194">
    <w:nsid w:val="2D2D69A0"/>
    <w:multiLevelType w:val="hybridMultilevel"/>
    <w:lvl w:ilvl="0">
      <w:lvlJc w:val="left"/>
      <w:lvlText w:val="(%1)"/>
      <w:numFmt w:val="decimal"/>
      <w:start w:val="11"/>
    </w:lvl>
    <w:lvl w:ilvl="1">
      <w:lvlJc w:val="left"/>
      <w:lvlText w:val="%2"/>
      <w:numFmt w:val="lowerLetter"/>
      <w:start w:val="1"/>
    </w:lvl>
  </w:abstractNum>
  <w:abstractNum w:abstractNumId="1195">
    <w:nsid w:val="15583DCC"/>
    <w:multiLevelType w:val="hybridMultilevel"/>
    <w:lvl w:ilvl="0">
      <w:lvlJc w:val="left"/>
      <w:lvlText w:val="%1"/>
      <w:numFmt w:val="decimal"/>
      <w:start w:val="1"/>
    </w:lvl>
    <w:lvl w:ilvl="1">
      <w:lvlJc w:val="left"/>
      <w:lvlText w:val="(%2)"/>
      <w:numFmt w:val="lowerLetter"/>
      <w:start w:val="1"/>
    </w:lvl>
  </w:abstractNum>
  <w:abstractNum w:abstractNumId="1196">
    <w:nsid w:val="35B23FE3"/>
    <w:multiLevelType w:val="hybridMultilevel"/>
    <w:lvl w:ilvl="0">
      <w:lvlJc w:val="left"/>
      <w:lvlText w:val="(%1)"/>
      <w:numFmt w:val="decimal"/>
      <w:start w:val="12"/>
    </w:lvl>
    <w:lvl w:ilvl="1">
      <w:lvlJc w:val="left"/>
      <w:lvlText w:val="(%2)"/>
      <w:numFmt w:val="lowerLetter"/>
      <w:start w:val="1"/>
    </w:lvl>
  </w:abstractNum>
  <w:abstractNum w:abstractNumId="1197">
    <w:nsid w:val="6851527F"/>
    <w:multiLevelType w:val="hybridMultilevel"/>
    <w:lvl w:ilvl="0">
      <w:lvlJc w:val="left"/>
      <w:lvlText w:val="(%1)"/>
      <w:numFmt w:val="lowerRoman"/>
      <w:start w:val="1"/>
    </w:lvl>
  </w:abstractNum>
  <w:abstractNum w:abstractNumId="1198">
    <w:nsid w:val="3523A650"/>
    <w:multiLevelType w:val="hybridMultilevel"/>
    <w:lvl w:ilvl="0">
      <w:lvlJc w:val="left"/>
      <w:lvlText w:val="%1"/>
      <w:numFmt w:val="decimal"/>
      <w:start w:val="1"/>
    </w:lvl>
    <w:lvl w:ilvl="1">
      <w:lvlJc w:val="left"/>
      <w:lvlText w:val="(%2)"/>
      <w:numFmt w:val="lowerLetter"/>
      <w:start w:val="13"/>
    </w:lvl>
    <w:lvl w:ilvl="2">
      <w:lvlJc w:val="left"/>
      <w:lvlText w:val="%3"/>
      <w:numFmt w:val="lowerLetter"/>
      <w:start w:val="1"/>
    </w:lvl>
    <w:lvl w:ilvl="3">
      <w:lvlJc w:val="left"/>
      <w:lvlText w:val="(%4)"/>
      <w:numFmt w:val="lowerRoman"/>
      <w:start w:val="1"/>
    </w:lvl>
  </w:abstractNum>
  <w:abstractNum w:abstractNumId="1199">
    <w:nsid w:val="7C70DA57"/>
    <w:multiLevelType w:val="hybridMultilevel"/>
    <w:lvl w:ilvl="0">
      <w:lvlJc w:val="left"/>
      <w:lvlText w:val="(%1)"/>
      <w:numFmt w:val="decimal"/>
      <w:start w:val="13"/>
    </w:lvl>
    <w:lvl w:ilvl="1">
      <w:lvlJc w:val="left"/>
      <w:lvlText w:val="%2"/>
      <w:numFmt w:val="lowerLetter"/>
      <w:start w:val="1"/>
    </w:lvl>
    <w:lvl w:ilvl="2">
      <w:lvlJc w:val="left"/>
      <w:lvlText w:val="(%3)"/>
      <w:numFmt w:val="lowerLetter"/>
      <w:start w:val="1"/>
    </w:lvl>
    <w:lvl w:ilvl="3">
      <w:lvlJc w:val="left"/>
      <w:lvlText w:val="%4"/>
      <w:numFmt w:val="lowerRoman"/>
      <w:start w:val="1"/>
    </w:lvl>
  </w:abstractNum>
  <w:abstractNum w:abstractNumId="1200">
    <w:nsid w:val="3D2A961A"/>
    <w:multiLevelType w:val="hybridMultilevel"/>
    <w:lvl w:ilvl="0">
      <w:lvlJc w:val="left"/>
      <w:lvlText w:val="%1"/>
      <w:numFmt w:val="decimal"/>
      <w:start w:val="1"/>
    </w:lvl>
    <w:lvl w:ilvl="1">
      <w:lvlJc w:val="left"/>
      <w:lvlText w:val="%2"/>
      <w:numFmt w:val="lowerLetter"/>
      <w:start w:val="1"/>
    </w:lvl>
    <w:lvl w:ilvl="2">
      <w:lvlJc w:val="left"/>
      <w:lvlText w:val="(%3)"/>
      <w:numFmt w:val="lowerLetter"/>
      <w:start w:val="3"/>
    </w:lvl>
  </w:abstractNum>
  <w:abstractNum w:abstractNumId="1201">
    <w:nsid w:val="2D9D673"/>
    <w:multiLevelType w:val="hybridMultilevel"/>
    <w:lvl w:ilvl="0">
      <w:lvlJc w:val="left"/>
      <w:lvlText w:val="(%1)"/>
      <w:numFmt w:val="decimal"/>
      <w:start w:val="16"/>
    </w:lvl>
    <w:lvl w:ilvl="1">
      <w:lvlJc w:val="left"/>
      <w:lvlText w:val="(%2)"/>
      <w:numFmt w:val="lowerLetter"/>
      <w:start w:val="1"/>
    </w:lvl>
    <w:lvl w:ilvl="2">
      <w:lvlJc w:val="left"/>
      <w:lvlText w:val="%3"/>
      <w:numFmt w:val="lowerLetter"/>
      <w:start w:val="1"/>
    </w:lvl>
  </w:abstractNum>
  <w:abstractNum w:abstractNumId="1202">
    <w:nsid w:val="9730E9E"/>
    <w:multiLevelType w:val="hybridMultilevel"/>
    <w:lvl w:ilvl="0">
      <w:lvlJc w:val="left"/>
      <w:lvlText w:val="(%1)"/>
      <w:numFmt w:val="decimal"/>
      <w:start w:val="1"/>
    </w:lvl>
  </w:abstractNum>
  <w:abstractNum w:abstractNumId="1203">
    <w:nsid w:val="3A36C870"/>
    <w:multiLevelType w:val="hybridMultilevel"/>
    <w:lvl w:ilvl="0">
      <w:lvlJc w:val="left"/>
      <w:lvlText w:val="(%1)"/>
      <w:numFmt w:val="decimal"/>
      <w:start w:val="2"/>
    </w:lvl>
  </w:abstractNum>
  <w:abstractNum w:abstractNumId="1204">
    <w:nsid w:val="76AFED52"/>
    <w:multiLevelType w:val="hybridMultilevel"/>
    <w:lvl w:ilvl="0">
      <w:lvlJc w:val="left"/>
      <w:lvlText w:val="(%1)"/>
      <w:numFmt w:val="decimal"/>
      <w:start w:val="1"/>
    </w:lvl>
  </w:abstractNum>
  <w:abstractNum w:abstractNumId="1205">
    <w:nsid w:val="6CF44088"/>
    <w:multiLevelType w:val="hybridMultilevel"/>
    <w:lvl w:ilvl="0">
      <w:lvlJc w:val="left"/>
      <w:lvlText w:val="(%1)"/>
      <w:numFmt w:val="decimal"/>
      <w:start w:val="1"/>
    </w:lvl>
  </w:abstractNum>
  <w:abstractNum w:abstractNumId="1206">
    <w:nsid w:val="2465B473"/>
    <w:multiLevelType w:val="hybridMultilevel"/>
    <w:lvl w:ilvl="0">
      <w:lvlJc w:val="left"/>
      <w:lvlText w:val="(%1)"/>
      <w:numFmt w:val="decimal"/>
      <w:start w:val="2"/>
    </w:lvl>
  </w:abstractNum>
  <w:abstractNum w:abstractNumId="1207">
    <w:nsid w:val="271C9320"/>
    <w:multiLevelType w:val="hybridMultilevel"/>
    <w:lvl w:ilvl="0">
      <w:lvlJc w:val="left"/>
      <w:lvlText w:val="(%1)"/>
      <w:numFmt w:val="decimal"/>
      <w:start w:val="3"/>
    </w:lvl>
  </w:abstractNum>
  <w:abstractNum w:abstractNumId="1208">
    <w:nsid w:val="4AD19F31"/>
    <w:multiLevelType w:val="hybridMultilevel"/>
    <w:lvl w:ilvl="0">
      <w:lvlJc w:val="left"/>
      <w:lvlText w:val="(%1)"/>
      <w:numFmt w:val="decimal"/>
      <w:start w:val="1"/>
    </w:lvl>
    <w:lvl w:ilvl="1">
      <w:lvlJc w:val="left"/>
      <w:lvlText w:val="%2."/>
      <w:numFmt w:val="lowerLetter"/>
      <w:start w:val="1"/>
    </w:lvl>
  </w:abstractNum>
  <w:abstractNum w:abstractNumId="1209">
    <w:nsid w:val="53C01502"/>
    <w:multiLevelType w:val="hybridMultilevel"/>
    <w:lvl w:ilvl="0">
      <w:lvlJc w:val="left"/>
      <w:lvlText w:val="(%1)"/>
      <w:numFmt w:val="lowerLetter"/>
      <w:start w:val="1"/>
    </w:lvl>
  </w:abstractNum>
  <w:abstractNum w:abstractNumId="1210">
    <w:nsid w:val="722EB761"/>
    <w:multiLevelType w:val="hybridMultilevel"/>
    <w:lvl w:ilvl="0">
      <w:lvlJc w:val="left"/>
      <w:lvlText w:val="(%1)"/>
      <w:numFmt w:val="lowerLetter"/>
      <w:start w:val="7"/>
    </w:lvl>
    <w:lvl w:ilvl="1">
      <w:lvlJc w:val="left"/>
      <w:lvlText w:val="(%2)"/>
      <w:numFmt w:val="lowerRoman"/>
      <w:start w:val="1"/>
    </w:lvl>
  </w:abstractNum>
  <w:abstractNum w:abstractNumId="1211">
    <w:nsid w:val="46F5A411"/>
    <w:multiLevelType w:val="hybridMultilevel"/>
    <w:lvl w:ilvl="0">
      <w:lvlJc w:val="left"/>
      <w:lvlText w:val="(%1)"/>
      <w:numFmt w:val="decimal"/>
      <w:start w:val="1"/>
    </w:lvl>
  </w:abstractNum>
  <w:abstractNum w:abstractNumId="1212">
    <w:nsid w:val="58541C1F"/>
    <w:multiLevelType w:val="hybridMultilevel"/>
    <w:lvl w:ilvl="0">
      <w:lvlJc w:val="left"/>
      <w:lvlText w:val="(%1)"/>
      <w:numFmt w:val="decimal"/>
      <w:start w:val="4"/>
    </w:lvl>
  </w:abstractNum>
  <w:abstractNum w:abstractNumId="1213">
    <w:nsid w:val="6C3398BB"/>
    <w:multiLevelType w:val="hybridMultilevel"/>
    <w:lvl w:ilvl="0">
      <w:lvlJc w:val="left"/>
      <w:lvlText w:val="(%1)"/>
      <w:numFmt w:val="decimal"/>
      <w:start w:val="6"/>
    </w:lvl>
  </w:abstractNum>
  <w:abstractNum w:abstractNumId="1214">
    <w:nsid w:val="3AF2D2D2"/>
    <w:multiLevelType w:val="hybridMultilevel"/>
    <w:lvl w:ilvl="0">
      <w:lvlJc w:val="left"/>
      <w:lvlText w:val="(%1)"/>
      <w:numFmt w:val="decimal"/>
      <w:start w:val="1"/>
    </w:lvl>
  </w:abstractNum>
  <w:abstractNum w:abstractNumId="1215">
    <w:nsid w:val="72B1F15E"/>
    <w:multiLevelType w:val="hybridMultilevel"/>
    <w:lvl w:ilvl="0">
      <w:lvlJc w:val="left"/>
      <w:lvlText w:val="(%1)"/>
      <w:numFmt w:val="decimal"/>
      <w:start w:val="4"/>
    </w:lvl>
  </w:abstractNum>
  <w:abstractNum w:abstractNumId="1216">
    <w:nsid w:val="5F422AF6"/>
    <w:multiLevelType w:val="hybridMultilevel"/>
    <w:lvl w:ilvl="0">
      <w:lvlJc w:val="left"/>
      <w:lvlText w:val="(%1)"/>
      <w:numFmt w:val="decimal"/>
      <w:start w:val="1"/>
    </w:lvl>
    <w:lvl w:ilvl="1">
      <w:lvlJc w:val="left"/>
      <w:lvlText w:val="(%2)"/>
      <w:numFmt w:val="lowerLetter"/>
      <w:start w:val="1"/>
    </w:lvl>
  </w:abstractNum>
  <w:abstractNum w:abstractNumId="1217">
    <w:nsid w:val="61163B2E"/>
    <w:multiLevelType w:val="hybridMultilevel"/>
    <w:lvl w:ilvl="0">
      <w:lvlJc w:val="left"/>
      <w:lvlText w:val="(%1)"/>
      <w:numFmt w:val="decimal"/>
      <w:start w:val="1"/>
    </w:lvl>
    <w:lvl w:ilvl="1">
      <w:lvlJc w:val="left"/>
      <w:lvlText w:val="(%2)"/>
      <w:numFmt w:val="lowerLetter"/>
      <w:start w:val="1"/>
    </w:lvl>
    <w:lvl w:ilvl="2">
      <w:lvlJc w:val="left"/>
      <w:lvlText w:val="(%3)"/>
      <w:numFmt w:val="lowerRoman"/>
      <w:start w:val="1"/>
    </w:lvl>
  </w:abstractNum>
  <w:abstractNum w:abstractNumId="1218">
    <w:nsid w:val="43D876A1"/>
    <w:multiLevelType w:val="hybridMultilevel"/>
    <w:lvl w:ilvl="0">
      <w:lvlJc w:val="left"/>
      <w:lvlText w:val="(%1)"/>
      <w:numFmt w:val="lowerLetter"/>
      <w:start w:val="7"/>
    </w:lvl>
  </w:abstractNum>
  <w:abstractNum w:abstractNumId="1219">
    <w:nsid w:val="8540053"/>
    <w:multiLevelType w:val="hybridMultilevel"/>
    <w:lvl w:ilvl="0">
      <w:lvlJc w:val="left"/>
      <w:lvlText w:val="(%1)"/>
      <w:numFmt w:val="decimal"/>
      <w:start w:val="2"/>
    </w:lvl>
    <w:lvl w:ilvl="1">
      <w:lvlJc w:val="left"/>
      <w:lvlText w:val="(%2)"/>
      <w:numFmt w:val="lowerLetter"/>
      <w:start w:val="1"/>
    </w:lvl>
    <w:lvl w:ilvl="2">
      <w:lvlJc w:val="left"/>
      <w:lvlText w:val="(%3)"/>
      <w:numFmt w:val="lowerRoman"/>
      <w:start w:val="1"/>
    </w:lvl>
  </w:abstractNum>
  <w:abstractNum w:abstractNumId="1220">
    <w:nsid w:val="5797743B"/>
    <w:multiLevelType w:val="hybridMultilevel"/>
    <w:lvl w:ilvl="0">
      <w:lvlJc w:val="left"/>
      <w:lvlText w:val="%1"/>
      <w:numFmt w:val="decimal"/>
      <w:start w:val="1"/>
    </w:lvl>
    <w:lvl w:ilvl="1">
      <w:lvlJc w:val="left"/>
      <w:lvlText w:val="(%2)"/>
      <w:numFmt w:val="lowerLetter"/>
      <w:start w:val="1"/>
    </w:lvl>
  </w:abstractNum>
  <w:abstractNum w:abstractNumId="1221">
    <w:nsid w:val="20814652"/>
    <w:multiLevelType w:val="hybridMultilevel"/>
    <w:lvl w:ilvl="0">
      <w:lvlJc w:val="left"/>
      <w:lvlText w:val="(%1)"/>
      <w:numFmt w:val="decimal"/>
      <w:start w:val="3"/>
    </w:lvl>
    <w:lvl w:ilvl="1">
      <w:lvlJc w:val="left"/>
      <w:lvlText w:val="%2"/>
      <w:numFmt w:val="lowerLetter"/>
      <w:start w:val="1"/>
    </w:lvl>
  </w:abstractNum>
  <w:abstractNum w:abstractNumId="1222">
    <w:nsid w:val="5A1A1262"/>
    <w:multiLevelType w:val="hybridMultilevel"/>
    <w:lvl w:ilvl="0">
      <w:lvlJc w:val="left"/>
      <w:lvlText w:val="(%1)"/>
      <w:numFmt w:val="upperLetter"/>
      <w:start w:val="9"/>
    </w:lvl>
  </w:abstractNum>
  <w:abstractNum w:abstractNumId="1223">
    <w:nsid w:val="74312721"/>
    <w:multiLevelType w:val="hybridMultilevel"/>
    <w:lvl w:ilvl="0">
      <w:lvlJc w:val="left"/>
      <w:lvlText w:val="(%1)"/>
      <w:numFmt w:val="decimal"/>
      <w:start w:val="6"/>
    </w:lvl>
  </w:abstractNum>
  <w:abstractNum w:abstractNumId="1224">
    <w:nsid w:val="5187DB85"/>
    <w:multiLevelType w:val="hybridMultilevel"/>
    <w:lvl w:ilvl="0">
      <w:lvlJc w:val="left"/>
      <w:lvlText w:val="(%1)"/>
      <w:numFmt w:val="decimal"/>
      <w:start w:val="7"/>
    </w:lvl>
  </w:abstractNum>
  <w:abstractNum w:abstractNumId="1225">
    <w:nsid w:val="7477C03"/>
    <w:multiLevelType w:val="hybridMultilevel"/>
    <w:lvl w:ilvl="0">
      <w:lvlJc w:val="left"/>
      <w:lvlText w:val="(%1)"/>
      <w:numFmt w:val="lowerLetter"/>
      <w:start w:val="1"/>
    </w:lvl>
  </w:abstractNum>
  <w:abstractNum w:abstractNumId="1226">
    <w:nsid w:val="98964ED"/>
    <w:multiLevelType w:val="hybridMultilevel"/>
    <w:lvl w:ilvl="0">
      <w:lvlJc w:val="left"/>
      <w:lvlText w:val="(%1)"/>
      <w:numFmt w:val="lowerRoman"/>
      <w:start w:val="3"/>
    </w:lvl>
  </w:abstractNum>
  <w:abstractNum w:abstractNumId="1227">
    <w:nsid w:val="73A1B69"/>
    <w:multiLevelType w:val="hybridMultilevel"/>
    <w:lvl w:ilvl="0">
      <w:lvlJc w:val="left"/>
      <w:lvlText w:val="(%1)"/>
      <w:numFmt w:val="lowerLetter"/>
      <w:start w:val="2"/>
    </w:lvl>
  </w:abstractNum>
  <w:abstractNum w:abstractNumId="1228">
    <w:nsid w:val="6F98CE82"/>
    <w:multiLevelType w:val="hybridMultilevel"/>
    <w:lvl w:ilvl="0">
      <w:lvlJc w:val="left"/>
      <w:lvlText w:val="(%1)"/>
      <w:numFmt w:val="decimal"/>
      <w:start w:val="1"/>
    </w:lvl>
  </w:abstractNum>
  <w:abstractNum w:abstractNumId="1229">
    <w:nsid w:val="3EAD0B3E"/>
    <w:multiLevelType w:val="hybridMultilevel"/>
    <w:lvl w:ilvl="0">
      <w:lvlJc w:val="left"/>
      <w:lvlText w:val="(%1)"/>
      <w:numFmt w:val="lowerLetter"/>
      <w:start w:val="3"/>
    </w:lvl>
  </w:abstractNum>
  <w:abstractNum w:abstractNumId="1230">
    <w:nsid w:val="3AAF5C0"/>
    <w:multiLevelType w:val="hybridMultilevel"/>
    <w:lvl w:ilvl="0">
      <w:lvlJc w:val="left"/>
      <w:lvlText w:val="(%1)"/>
      <w:numFmt w:val="decimal"/>
      <w:start w:val="3"/>
    </w:lvl>
  </w:abstractNum>
  <w:abstractNum w:abstractNumId="1231">
    <w:nsid w:val="2CC3649C"/>
    <w:multiLevelType w:val="hybridMultilevel"/>
    <w:lvl w:ilvl="0">
      <w:lvlJc w:val="left"/>
      <w:lvlText w:val="(%1)"/>
      <w:numFmt w:val="decimal"/>
      <w:start w:val="5"/>
    </w:lvl>
  </w:abstractNum>
  <w:abstractNum w:abstractNumId="1232">
    <w:nsid w:val="4186E1B1"/>
    <w:multiLevelType w:val="hybridMultilevel"/>
    <w:lvl w:ilvl="0">
      <w:lvlJc w:val="left"/>
      <w:lvlText w:val="(%1)"/>
      <w:numFmt w:val="decimal"/>
      <w:start w:val="8"/>
    </w:lvl>
  </w:abstractNum>
  <w:abstractNum w:abstractNumId="1233">
    <w:nsid w:val="D1E045E"/>
    <w:multiLevelType w:val="hybridMultilevel"/>
    <w:lvl w:ilvl="0">
      <w:lvlJc w:val="left"/>
      <w:lvlText w:val="(%1)"/>
      <w:numFmt w:val="upperLetter"/>
      <w:start w:val="35"/>
    </w:lvl>
  </w:abstractNum>
  <w:abstractNum w:abstractNumId="1234">
    <w:nsid w:val="66FA2D0C"/>
    <w:multiLevelType w:val="hybridMultilevel"/>
    <w:lvl w:ilvl="0">
      <w:lvlJc w:val="left"/>
      <w:lvlText w:val="(%1)"/>
      <w:numFmt w:val="decimal"/>
      <w:start w:val="2"/>
    </w:lvl>
  </w:abstractNum>
  <w:abstractNum w:abstractNumId="1235">
    <w:nsid w:val="3836CF03"/>
    <w:multiLevelType w:val="hybridMultilevel"/>
    <w:lvl w:ilvl="0">
      <w:lvlJc w:val="left"/>
      <w:lvlText w:val="(%1)"/>
      <w:numFmt w:val="decimal"/>
      <w:start w:val="7"/>
    </w:lvl>
  </w:abstractNum>
  <w:abstractNum w:abstractNumId="1236">
    <w:nsid w:val="7A1244E6"/>
    <w:multiLevelType w:val="hybridMultilevel"/>
    <w:lvl w:ilvl="0">
      <w:lvlJc w:val="left"/>
      <w:lvlText w:val="(%1)"/>
      <w:numFmt w:val="lowerLetter"/>
      <w:start w:val="1"/>
    </w:lvl>
  </w:abstractNum>
  <w:abstractNum w:abstractNumId="1237">
    <w:nsid w:val="B5FE17F"/>
    <w:multiLevelType w:val="hybridMultilevel"/>
    <w:lvl w:ilvl="0">
      <w:lvlJc w:val="left"/>
      <w:lvlText w:val="(%1)"/>
      <w:numFmt w:val="upperLetter"/>
      <w:start w:val="1"/>
    </w:lvl>
  </w:abstractNum>
  <w:abstractNum w:abstractNumId="1238">
    <w:nsid w:val="5F536223"/>
    <w:multiLevelType w:val="hybridMultilevel"/>
    <w:lvl w:ilvl="0">
      <w:lvlJc w:val="left"/>
      <w:lvlText w:val="(%1)"/>
      <w:numFmt w:val="decimal"/>
      <w:start w:val="1"/>
    </w:lvl>
    <w:lvl w:ilvl="1">
      <w:lvlJc w:val="left"/>
      <w:lvlText w:val="(%2)"/>
      <w:numFmt w:val="lowerLetter"/>
      <w:start w:val="1"/>
    </w:lvl>
  </w:abstractNum>
  <w:abstractNum w:abstractNumId="1239">
    <w:nsid w:val="44E3E418"/>
    <w:multiLevelType w:val="hybridMultilevel"/>
    <w:lvl w:ilvl="0">
      <w:lvlJc w:val="left"/>
      <w:lvlText w:val="%1)"/>
      <w:numFmt w:val="lowerLetter"/>
      <w:start w:val="1"/>
    </w:lvl>
  </w:abstractNum>
  <w:abstractNum w:abstractNumId="1240">
    <w:nsid w:val="5F1FF682"/>
    <w:multiLevelType w:val="hybridMultilevel"/>
    <w:lvl w:ilvl="0">
      <w:lvlJc w:val="left"/>
      <w:lvlText w:val="%1)"/>
      <w:numFmt w:val="lowerLetter"/>
      <w:start w:val="2"/>
    </w:lvl>
    <w:lvl w:ilvl="1">
      <w:lvlJc w:val="left"/>
      <w:lvlText w:val="(%2)"/>
      <w:numFmt w:val="lowerRoman"/>
      <w:start w:val="1"/>
    </w:lvl>
  </w:abstractNum>
  <w:abstractNum w:abstractNumId="1241">
    <w:nsid w:val="51821985"/>
    <w:multiLevelType w:val="hybridMultilevel"/>
    <w:lvl w:ilvl="0">
      <w:lvlJc w:val="left"/>
      <w:lvlText w:val="(%1)"/>
      <w:numFmt w:val="lowerRoman"/>
      <w:start w:val="1"/>
    </w:lvl>
  </w:abstractNum>
  <w:abstractNum w:abstractNumId="1242">
    <w:nsid w:val="BD98829"/>
    <w:multiLevelType w:val="hybridMultilevel"/>
    <w:lvl w:ilvl="0">
      <w:lvlJc w:val="left"/>
      <w:lvlText w:val="%1"/>
      <w:numFmt w:val="decimal"/>
      <w:start w:val="1"/>
    </w:lvl>
    <w:lvl w:ilvl="1">
      <w:lvlJc w:val="left"/>
      <w:lvlText w:val="%2)"/>
      <w:numFmt w:val="lowerLetter"/>
      <w:start w:val="6"/>
    </w:lvl>
    <w:lvl w:ilvl="2">
      <w:lvlJc w:val="left"/>
      <w:lvlText w:val="%3"/>
      <w:numFmt w:val="lowerLetter"/>
      <w:start w:val="1"/>
    </w:lvl>
  </w:abstractNum>
  <w:abstractNum w:abstractNumId="1243">
    <w:nsid w:val="377412A1"/>
    <w:multiLevelType w:val="hybridMultilevel"/>
    <w:lvl w:ilvl="0">
      <w:lvlJc w:val="left"/>
      <w:lvlText w:val="(%1)"/>
      <w:numFmt w:val="decimal"/>
      <w:start w:val="10"/>
    </w:lvl>
    <w:lvl w:ilvl="1">
      <w:lvlJc w:val="left"/>
      <w:lvlText w:val="%2"/>
      <w:numFmt w:val="lowerLetter"/>
      <w:start w:val="1"/>
    </w:lvl>
    <w:lvl w:ilvl="2">
      <w:lvlJc w:val="left"/>
      <w:lvlText w:val="(%3)"/>
      <w:numFmt w:val="lowerLetter"/>
      <w:start w:val="1"/>
    </w:lvl>
  </w:abstractNum>
  <w:abstractNum w:abstractNumId="1244">
    <w:nsid w:val="3DB5B240"/>
    <w:multiLevelType w:val="hybridMultilevel"/>
    <w:lvl w:ilvl="0">
      <w:lvlJc w:val="left"/>
      <w:lvlText w:val="(%1)"/>
      <w:numFmt w:val="upperLetter"/>
      <w:start w:val="2"/>
    </w:lvl>
  </w:abstractNum>
  <w:abstractNum w:abstractNumId="1245">
    <w:nsid w:val="46CC5AFC"/>
    <w:multiLevelType w:val="hybridMultilevel"/>
    <w:lvl w:ilvl="0">
      <w:lvlJc w:val="left"/>
      <w:lvlText w:val="(%1)"/>
      <w:numFmt w:val="decimal"/>
      <w:start w:val="1"/>
    </w:lvl>
    <w:lvl w:ilvl="1">
      <w:lvlJc w:val="left"/>
      <w:lvlText w:val="%2)"/>
      <w:numFmt w:val="lowerLetter"/>
      <w:start w:val="1"/>
    </w:lvl>
  </w:abstractNum>
  <w:abstractNum w:abstractNumId="1246">
    <w:nsid w:val="2A2603FF"/>
    <w:multiLevelType w:val="hybridMultilevel"/>
    <w:lvl w:ilvl="0">
      <w:lvlJc w:val="left"/>
      <w:lvlText w:val="%1"/>
      <w:numFmt w:val="decimal"/>
      <w:start w:val="1"/>
    </w:lvl>
    <w:lvl w:ilvl="1">
      <w:lvlJc w:val="left"/>
      <w:lvlText w:val="%2)"/>
      <w:numFmt w:val="lowerLetter"/>
      <w:start w:val="1"/>
    </w:lvl>
  </w:abstractNum>
  <w:abstractNum w:abstractNumId="1247">
    <w:nsid w:val="1CF7DD37"/>
    <w:multiLevelType w:val="hybridMultilevel"/>
    <w:lvl w:ilvl="0">
      <w:lvlJc w:val="left"/>
      <w:lvlText w:val="(%1)"/>
      <w:numFmt w:val="decimal"/>
      <w:start w:val="4"/>
    </w:lvl>
    <w:lvl w:ilvl="1">
      <w:lvlJc w:val="left"/>
      <w:lvlText w:val="%2)"/>
      <w:numFmt w:val="lowerLetter"/>
      <w:start w:val="1"/>
    </w:lvl>
  </w:abstractNum>
  <w:abstractNum w:abstractNumId="1248">
    <w:nsid w:val="27E2962A"/>
    <w:multiLevelType w:val="hybridMultilevel"/>
    <w:lvl w:ilvl="0">
      <w:lvlJc w:val="left"/>
      <w:lvlText w:val="(%1)"/>
      <w:numFmt w:val="decimal"/>
      <w:start w:val="4"/>
    </w:lvl>
  </w:abstractNum>
  <w:abstractNum w:abstractNumId="1249">
    <w:nsid w:val="6DFE7AA0"/>
    <w:multiLevelType w:val="hybridMultilevel"/>
    <w:lvl w:ilvl="0">
      <w:lvlJc w:val="left"/>
      <w:lvlText w:val="(%1)"/>
      <w:numFmt w:val="decimal"/>
      <w:start w:val="1"/>
    </w:lvl>
  </w:abstractNum>
  <w:abstractNum w:abstractNumId="1250">
    <w:nsid w:val="254BDD8A"/>
    <w:multiLevelType w:val="hybridMultilevel"/>
    <w:lvl w:ilvl="0">
      <w:lvlJc w:val="left"/>
      <w:lvlText w:val="%1)"/>
      <w:numFmt w:val="lowerLetter"/>
      <w:start w:val="1"/>
    </w:lvl>
    <w:lvl w:ilvl="1">
      <w:lvlJc w:val="left"/>
      <w:lvlText w:val="(%2)"/>
      <w:numFmt w:val="lowerRoman"/>
      <w:start w:val="1"/>
    </w:lvl>
  </w:abstractNum>
  <w:abstractNum w:abstractNumId="1251">
    <w:nsid w:val="7F7A0A65"/>
    <w:multiLevelType w:val="hybridMultilevel"/>
    <w:lvl w:ilvl="0">
      <w:lvlJc w:val="left"/>
      <w:lvlText w:val="(%1)"/>
      <w:numFmt w:val="decimal"/>
      <w:start w:val="1"/>
    </w:lvl>
  </w:abstractNum>
  <w:abstractNum w:abstractNumId="1252">
    <w:nsid w:val="E7FC0F3"/>
    <w:multiLevelType w:val="hybridMultilevel"/>
    <w:lvl w:ilvl="0">
      <w:lvlJc w:val="left"/>
      <w:lvlText w:val="(%1)"/>
      <w:numFmt w:val="decimal"/>
      <w:start w:val="3"/>
    </w:lvl>
  </w:abstractNum>
  <w:abstractNum w:abstractNumId="1253">
    <w:nsid w:val="7F65EFED"/>
    <w:multiLevelType w:val="hybridMultilevel"/>
    <w:lvl w:ilvl="0">
      <w:lvlJc w:val="left"/>
      <w:lvlText w:val="(%1)"/>
      <w:numFmt w:val="lowerLetter"/>
      <w:start w:val="1"/>
    </w:lvl>
  </w:abstractNum>
  <w:abstractNum w:abstractNumId="1254">
    <w:nsid w:val="73AB3186"/>
    <w:multiLevelType w:val="hybridMultilevel"/>
    <w:lvl w:ilvl="0">
      <w:lvlJc w:val="left"/>
      <w:lvlText w:val="(%1)"/>
      <w:numFmt w:val="decimal"/>
      <w:start w:val="1"/>
    </w:lvl>
  </w:abstractNum>
  <w:abstractNum w:abstractNumId="1255">
    <w:nsid w:val="60079C78"/>
    <w:multiLevelType w:val="hybridMultilevel"/>
    <w:lvl w:ilvl="0">
      <w:lvlJc w:val="left"/>
      <w:lvlText w:val="(%1)"/>
      <w:numFmt w:val="lowerLetter"/>
      <w:start w:val="1"/>
    </w:lvl>
  </w:abstractNum>
  <w:abstractNum w:abstractNumId="1256">
    <w:nsid w:val="6AD6BF0"/>
    <w:multiLevelType w:val="hybridMultilevel"/>
    <w:lvl w:ilvl="0">
      <w:lvlJc w:val="left"/>
      <w:lvlText w:val="(%1)"/>
      <w:numFmt w:val="lowerLetter"/>
      <w:start w:val="1"/>
    </w:lvl>
  </w:abstractNum>
  <w:abstractNum w:abstractNumId="1257">
    <w:nsid w:val="7D349674"/>
    <w:multiLevelType w:val="hybridMultilevel"/>
    <w:lvl w:ilvl="0">
      <w:lvlJc w:val="left"/>
      <w:lvlText w:val="(%1)"/>
      <w:numFmt w:val="lowerLetter"/>
      <w:start w:val="1"/>
    </w:lvl>
  </w:abstractNum>
  <w:abstractNum w:abstractNumId="1258">
    <w:nsid w:val="6741B7E1"/>
    <w:multiLevelType w:val="hybridMultilevel"/>
    <w:lvl w:ilvl="0">
      <w:lvlJc w:val="left"/>
      <w:lvlText w:val="(%1)"/>
      <w:numFmt w:val="lowerLetter"/>
      <w:start w:val="4"/>
    </w:lvl>
  </w:abstractNum>
  <w:abstractNum w:abstractNumId="1259">
    <w:nsid w:val="76463A72"/>
    <w:multiLevelType w:val="hybridMultilevel"/>
    <w:lvl w:ilvl="0">
      <w:lvlJc w:val="left"/>
      <w:lvlText w:val="(%1)"/>
      <w:numFmt w:val="decimal"/>
      <w:start w:val="1"/>
    </w:lvl>
  </w:abstractNum>
  <w:abstractNum w:abstractNumId="1260">
    <w:nsid w:val="3BE1A1B2"/>
    <w:multiLevelType w:val="hybridMultilevel"/>
    <w:lvl w:ilvl="0">
      <w:lvlJc w:val="left"/>
      <w:lvlText w:val="(%1)"/>
      <w:numFmt w:val="decimal"/>
      <w:start w:val="1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 w:numId="652">
    <w:abstractNumId w:val="651"/>
  </w:num>
  <w:num w:numId="653">
    <w:abstractNumId w:val="652"/>
  </w:num>
  <w:num w:numId="654">
    <w:abstractNumId w:val="653"/>
  </w:num>
  <w:num w:numId="655">
    <w:abstractNumId w:val="654"/>
  </w:num>
  <w:num w:numId="656">
    <w:abstractNumId w:val="655"/>
  </w:num>
  <w:num w:numId="657">
    <w:abstractNumId w:val="656"/>
  </w:num>
  <w:num w:numId="658">
    <w:abstractNumId w:val="657"/>
  </w:num>
  <w:num w:numId="659">
    <w:abstractNumId w:val="658"/>
  </w:num>
  <w:num w:numId="660">
    <w:abstractNumId w:val="659"/>
  </w:num>
  <w:num w:numId="661">
    <w:abstractNumId w:val="660"/>
  </w:num>
  <w:num w:numId="662">
    <w:abstractNumId w:val="661"/>
  </w:num>
  <w:num w:numId="663">
    <w:abstractNumId w:val="662"/>
  </w:num>
  <w:num w:numId="664">
    <w:abstractNumId w:val="663"/>
  </w:num>
  <w:num w:numId="665">
    <w:abstractNumId w:val="664"/>
  </w:num>
  <w:num w:numId="666">
    <w:abstractNumId w:val="665"/>
  </w:num>
  <w:num w:numId="667">
    <w:abstractNumId w:val="666"/>
  </w:num>
  <w:num w:numId="668">
    <w:abstractNumId w:val="667"/>
  </w:num>
  <w:num w:numId="669">
    <w:abstractNumId w:val="668"/>
  </w:num>
  <w:num w:numId="670">
    <w:abstractNumId w:val="669"/>
  </w:num>
  <w:num w:numId="671">
    <w:abstractNumId w:val="670"/>
  </w:num>
  <w:num w:numId="672">
    <w:abstractNumId w:val="671"/>
  </w:num>
  <w:num w:numId="673">
    <w:abstractNumId w:val="672"/>
  </w:num>
  <w:num w:numId="674">
    <w:abstractNumId w:val="673"/>
  </w:num>
  <w:num w:numId="675">
    <w:abstractNumId w:val="674"/>
  </w:num>
  <w:num w:numId="676">
    <w:abstractNumId w:val="675"/>
  </w:num>
  <w:num w:numId="677">
    <w:abstractNumId w:val="676"/>
  </w:num>
  <w:num w:numId="678">
    <w:abstractNumId w:val="677"/>
  </w:num>
  <w:num w:numId="679">
    <w:abstractNumId w:val="678"/>
  </w:num>
  <w:num w:numId="680">
    <w:abstractNumId w:val="679"/>
  </w:num>
  <w:num w:numId="681">
    <w:abstractNumId w:val="680"/>
  </w:num>
  <w:num w:numId="682">
    <w:abstractNumId w:val="681"/>
  </w:num>
  <w:num w:numId="683">
    <w:abstractNumId w:val="682"/>
  </w:num>
  <w:num w:numId="684">
    <w:abstractNumId w:val="683"/>
  </w:num>
  <w:num w:numId="685">
    <w:abstractNumId w:val="684"/>
  </w:num>
  <w:num w:numId="686">
    <w:abstractNumId w:val="685"/>
  </w:num>
  <w:num w:numId="687">
    <w:abstractNumId w:val="686"/>
  </w:num>
  <w:num w:numId="688">
    <w:abstractNumId w:val="687"/>
  </w:num>
  <w:num w:numId="689">
    <w:abstractNumId w:val="688"/>
  </w:num>
  <w:num w:numId="690">
    <w:abstractNumId w:val="689"/>
  </w:num>
  <w:num w:numId="691">
    <w:abstractNumId w:val="690"/>
  </w:num>
  <w:num w:numId="692">
    <w:abstractNumId w:val="691"/>
  </w:num>
  <w:num w:numId="693">
    <w:abstractNumId w:val="692"/>
  </w:num>
  <w:num w:numId="694">
    <w:abstractNumId w:val="693"/>
  </w:num>
  <w:num w:numId="695">
    <w:abstractNumId w:val="694"/>
  </w:num>
  <w:num w:numId="696">
    <w:abstractNumId w:val="695"/>
  </w:num>
  <w:num w:numId="697">
    <w:abstractNumId w:val="696"/>
  </w:num>
  <w:num w:numId="698">
    <w:abstractNumId w:val="697"/>
  </w:num>
  <w:num w:numId="699">
    <w:abstractNumId w:val="698"/>
  </w:num>
  <w:num w:numId="700">
    <w:abstractNumId w:val="699"/>
  </w:num>
  <w:num w:numId="701">
    <w:abstractNumId w:val="700"/>
  </w:num>
  <w:num w:numId="702">
    <w:abstractNumId w:val="701"/>
  </w:num>
  <w:num w:numId="703">
    <w:abstractNumId w:val="702"/>
  </w:num>
  <w:num w:numId="704">
    <w:abstractNumId w:val="703"/>
  </w:num>
  <w:num w:numId="705">
    <w:abstractNumId w:val="704"/>
  </w:num>
  <w:num w:numId="706">
    <w:abstractNumId w:val="705"/>
  </w:num>
  <w:num w:numId="707">
    <w:abstractNumId w:val="706"/>
  </w:num>
  <w:num w:numId="708">
    <w:abstractNumId w:val="707"/>
  </w:num>
  <w:num w:numId="709">
    <w:abstractNumId w:val="708"/>
  </w:num>
  <w:num w:numId="710">
    <w:abstractNumId w:val="709"/>
  </w:num>
  <w:num w:numId="711">
    <w:abstractNumId w:val="710"/>
  </w:num>
  <w:num w:numId="712">
    <w:abstractNumId w:val="711"/>
  </w:num>
  <w:num w:numId="713">
    <w:abstractNumId w:val="712"/>
  </w:num>
  <w:num w:numId="714">
    <w:abstractNumId w:val="713"/>
  </w:num>
  <w:num w:numId="715">
    <w:abstractNumId w:val="714"/>
  </w:num>
  <w:num w:numId="716">
    <w:abstractNumId w:val="715"/>
  </w:num>
  <w:num w:numId="717">
    <w:abstractNumId w:val="716"/>
  </w:num>
  <w:num w:numId="718">
    <w:abstractNumId w:val="717"/>
  </w:num>
  <w:num w:numId="719">
    <w:abstractNumId w:val="718"/>
  </w:num>
  <w:num w:numId="720">
    <w:abstractNumId w:val="719"/>
  </w:num>
  <w:num w:numId="721">
    <w:abstractNumId w:val="720"/>
  </w:num>
  <w:num w:numId="722">
    <w:abstractNumId w:val="721"/>
  </w:num>
  <w:num w:numId="723">
    <w:abstractNumId w:val="722"/>
  </w:num>
  <w:num w:numId="724">
    <w:abstractNumId w:val="723"/>
  </w:num>
  <w:num w:numId="725">
    <w:abstractNumId w:val="724"/>
  </w:num>
  <w:num w:numId="726">
    <w:abstractNumId w:val="725"/>
  </w:num>
  <w:num w:numId="727">
    <w:abstractNumId w:val="726"/>
  </w:num>
  <w:num w:numId="728">
    <w:abstractNumId w:val="727"/>
  </w:num>
  <w:num w:numId="729">
    <w:abstractNumId w:val="728"/>
  </w:num>
  <w:num w:numId="730">
    <w:abstractNumId w:val="729"/>
  </w:num>
  <w:num w:numId="731">
    <w:abstractNumId w:val="730"/>
  </w:num>
  <w:num w:numId="732">
    <w:abstractNumId w:val="731"/>
  </w:num>
  <w:num w:numId="733">
    <w:abstractNumId w:val="732"/>
  </w:num>
  <w:num w:numId="734">
    <w:abstractNumId w:val="733"/>
  </w:num>
  <w:num w:numId="735">
    <w:abstractNumId w:val="734"/>
  </w:num>
  <w:num w:numId="736">
    <w:abstractNumId w:val="735"/>
  </w:num>
  <w:num w:numId="737">
    <w:abstractNumId w:val="736"/>
  </w:num>
  <w:num w:numId="738">
    <w:abstractNumId w:val="737"/>
  </w:num>
  <w:num w:numId="739">
    <w:abstractNumId w:val="738"/>
  </w:num>
  <w:num w:numId="740">
    <w:abstractNumId w:val="739"/>
  </w:num>
  <w:num w:numId="741">
    <w:abstractNumId w:val="740"/>
  </w:num>
  <w:num w:numId="742">
    <w:abstractNumId w:val="741"/>
  </w:num>
  <w:num w:numId="743">
    <w:abstractNumId w:val="742"/>
  </w:num>
  <w:num w:numId="744">
    <w:abstractNumId w:val="743"/>
  </w:num>
  <w:num w:numId="745">
    <w:abstractNumId w:val="744"/>
  </w:num>
  <w:num w:numId="746">
    <w:abstractNumId w:val="745"/>
  </w:num>
  <w:num w:numId="747">
    <w:abstractNumId w:val="746"/>
  </w:num>
  <w:num w:numId="748">
    <w:abstractNumId w:val="747"/>
  </w:num>
  <w:num w:numId="749">
    <w:abstractNumId w:val="748"/>
  </w:num>
  <w:num w:numId="750">
    <w:abstractNumId w:val="749"/>
  </w:num>
  <w:num w:numId="751">
    <w:abstractNumId w:val="750"/>
  </w:num>
  <w:num w:numId="752">
    <w:abstractNumId w:val="751"/>
  </w:num>
  <w:num w:numId="753">
    <w:abstractNumId w:val="752"/>
  </w:num>
  <w:num w:numId="754">
    <w:abstractNumId w:val="753"/>
  </w:num>
  <w:num w:numId="755">
    <w:abstractNumId w:val="754"/>
  </w:num>
  <w:num w:numId="756">
    <w:abstractNumId w:val="755"/>
  </w:num>
  <w:num w:numId="757">
    <w:abstractNumId w:val="756"/>
  </w:num>
  <w:num w:numId="758">
    <w:abstractNumId w:val="757"/>
  </w:num>
  <w:num w:numId="759">
    <w:abstractNumId w:val="758"/>
  </w:num>
  <w:num w:numId="760">
    <w:abstractNumId w:val="759"/>
  </w:num>
  <w:num w:numId="761">
    <w:abstractNumId w:val="760"/>
  </w:num>
  <w:num w:numId="762">
    <w:abstractNumId w:val="761"/>
  </w:num>
  <w:num w:numId="763">
    <w:abstractNumId w:val="762"/>
  </w:num>
  <w:num w:numId="764">
    <w:abstractNumId w:val="763"/>
  </w:num>
  <w:num w:numId="765">
    <w:abstractNumId w:val="764"/>
  </w:num>
  <w:num w:numId="766">
    <w:abstractNumId w:val="765"/>
  </w:num>
  <w:num w:numId="767">
    <w:abstractNumId w:val="766"/>
  </w:num>
  <w:num w:numId="768">
    <w:abstractNumId w:val="767"/>
  </w:num>
  <w:num w:numId="769">
    <w:abstractNumId w:val="768"/>
  </w:num>
  <w:num w:numId="770">
    <w:abstractNumId w:val="769"/>
  </w:num>
  <w:num w:numId="771">
    <w:abstractNumId w:val="770"/>
  </w:num>
  <w:num w:numId="772">
    <w:abstractNumId w:val="771"/>
  </w:num>
  <w:num w:numId="773">
    <w:abstractNumId w:val="772"/>
  </w:num>
  <w:num w:numId="774">
    <w:abstractNumId w:val="773"/>
  </w:num>
  <w:num w:numId="775">
    <w:abstractNumId w:val="774"/>
  </w:num>
  <w:num w:numId="776">
    <w:abstractNumId w:val="775"/>
  </w:num>
  <w:num w:numId="777">
    <w:abstractNumId w:val="776"/>
  </w:num>
  <w:num w:numId="778">
    <w:abstractNumId w:val="777"/>
  </w:num>
  <w:num w:numId="779">
    <w:abstractNumId w:val="778"/>
  </w:num>
  <w:num w:numId="780">
    <w:abstractNumId w:val="779"/>
  </w:num>
  <w:num w:numId="781">
    <w:abstractNumId w:val="780"/>
  </w:num>
  <w:num w:numId="782">
    <w:abstractNumId w:val="781"/>
  </w:num>
  <w:num w:numId="783">
    <w:abstractNumId w:val="782"/>
  </w:num>
  <w:num w:numId="784">
    <w:abstractNumId w:val="783"/>
  </w:num>
  <w:num w:numId="785">
    <w:abstractNumId w:val="784"/>
  </w:num>
  <w:num w:numId="786">
    <w:abstractNumId w:val="785"/>
  </w:num>
  <w:num w:numId="787">
    <w:abstractNumId w:val="786"/>
  </w:num>
  <w:num w:numId="788">
    <w:abstractNumId w:val="787"/>
  </w:num>
  <w:num w:numId="789">
    <w:abstractNumId w:val="788"/>
  </w:num>
  <w:num w:numId="790">
    <w:abstractNumId w:val="789"/>
  </w:num>
  <w:num w:numId="791">
    <w:abstractNumId w:val="790"/>
  </w:num>
  <w:num w:numId="792">
    <w:abstractNumId w:val="791"/>
  </w:num>
  <w:num w:numId="793">
    <w:abstractNumId w:val="792"/>
  </w:num>
  <w:num w:numId="794">
    <w:abstractNumId w:val="793"/>
  </w:num>
  <w:num w:numId="795">
    <w:abstractNumId w:val="794"/>
  </w:num>
  <w:num w:numId="796">
    <w:abstractNumId w:val="795"/>
  </w:num>
  <w:num w:numId="797">
    <w:abstractNumId w:val="796"/>
  </w:num>
  <w:num w:numId="798">
    <w:abstractNumId w:val="797"/>
  </w:num>
  <w:num w:numId="799">
    <w:abstractNumId w:val="798"/>
  </w:num>
  <w:num w:numId="800">
    <w:abstractNumId w:val="799"/>
  </w:num>
  <w:num w:numId="801">
    <w:abstractNumId w:val="800"/>
  </w:num>
  <w:num w:numId="802">
    <w:abstractNumId w:val="801"/>
  </w:num>
  <w:num w:numId="803">
    <w:abstractNumId w:val="802"/>
  </w:num>
  <w:num w:numId="804">
    <w:abstractNumId w:val="803"/>
  </w:num>
  <w:num w:numId="805">
    <w:abstractNumId w:val="804"/>
  </w:num>
  <w:num w:numId="806">
    <w:abstractNumId w:val="805"/>
  </w:num>
  <w:num w:numId="807">
    <w:abstractNumId w:val="806"/>
  </w:num>
  <w:num w:numId="808">
    <w:abstractNumId w:val="807"/>
  </w:num>
  <w:num w:numId="809">
    <w:abstractNumId w:val="808"/>
  </w:num>
  <w:num w:numId="810">
    <w:abstractNumId w:val="809"/>
  </w:num>
  <w:num w:numId="811">
    <w:abstractNumId w:val="810"/>
  </w:num>
  <w:num w:numId="812">
    <w:abstractNumId w:val="811"/>
  </w:num>
  <w:num w:numId="813">
    <w:abstractNumId w:val="812"/>
  </w:num>
  <w:num w:numId="814">
    <w:abstractNumId w:val="813"/>
  </w:num>
  <w:num w:numId="815">
    <w:abstractNumId w:val="814"/>
  </w:num>
  <w:num w:numId="816">
    <w:abstractNumId w:val="815"/>
  </w:num>
  <w:num w:numId="817">
    <w:abstractNumId w:val="816"/>
  </w:num>
  <w:num w:numId="818">
    <w:abstractNumId w:val="817"/>
  </w:num>
  <w:num w:numId="819">
    <w:abstractNumId w:val="818"/>
  </w:num>
  <w:num w:numId="820">
    <w:abstractNumId w:val="819"/>
  </w:num>
  <w:num w:numId="821">
    <w:abstractNumId w:val="820"/>
  </w:num>
  <w:num w:numId="822">
    <w:abstractNumId w:val="821"/>
  </w:num>
  <w:num w:numId="823">
    <w:abstractNumId w:val="822"/>
  </w:num>
  <w:num w:numId="824">
    <w:abstractNumId w:val="823"/>
  </w:num>
  <w:num w:numId="825">
    <w:abstractNumId w:val="824"/>
  </w:num>
  <w:num w:numId="826">
    <w:abstractNumId w:val="825"/>
  </w:num>
  <w:num w:numId="827">
    <w:abstractNumId w:val="826"/>
  </w:num>
  <w:num w:numId="828">
    <w:abstractNumId w:val="827"/>
  </w:num>
  <w:num w:numId="829">
    <w:abstractNumId w:val="828"/>
  </w:num>
  <w:num w:numId="830">
    <w:abstractNumId w:val="829"/>
  </w:num>
  <w:num w:numId="831">
    <w:abstractNumId w:val="830"/>
  </w:num>
  <w:num w:numId="832">
    <w:abstractNumId w:val="831"/>
  </w:num>
  <w:num w:numId="833">
    <w:abstractNumId w:val="832"/>
  </w:num>
  <w:num w:numId="834">
    <w:abstractNumId w:val="833"/>
  </w:num>
  <w:num w:numId="835">
    <w:abstractNumId w:val="834"/>
  </w:num>
  <w:num w:numId="836">
    <w:abstractNumId w:val="835"/>
  </w:num>
  <w:num w:numId="837">
    <w:abstractNumId w:val="836"/>
  </w:num>
  <w:num w:numId="838">
    <w:abstractNumId w:val="837"/>
  </w:num>
  <w:num w:numId="839">
    <w:abstractNumId w:val="838"/>
  </w:num>
  <w:num w:numId="840">
    <w:abstractNumId w:val="839"/>
  </w:num>
  <w:num w:numId="841">
    <w:abstractNumId w:val="840"/>
  </w:num>
  <w:num w:numId="842">
    <w:abstractNumId w:val="841"/>
  </w:num>
  <w:num w:numId="843">
    <w:abstractNumId w:val="842"/>
  </w:num>
  <w:num w:numId="844">
    <w:abstractNumId w:val="843"/>
  </w:num>
  <w:num w:numId="845">
    <w:abstractNumId w:val="844"/>
  </w:num>
  <w:num w:numId="846">
    <w:abstractNumId w:val="845"/>
  </w:num>
  <w:num w:numId="847">
    <w:abstractNumId w:val="846"/>
  </w:num>
  <w:num w:numId="848">
    <w:abstractNumId w:val="847"/>
  </w:num>
  <w:num w:numId="849">
    <w:abstractNumId w:val="848"/>
  </w:num>
  <w:num w:numId="850">
    <w:abstractNumId w:val="849"/>
  </w:num>
  <w:num w:numId="851">
    <w:abstractNumId w:val="850"/>
  </w:num>
  <w:num w:numId="852">
    <w:abstractNumId w:val="851"/>
  </w:num>
  <w:num w:numId="853">
    <w:abstractNumId w:val="852"/>
  </w:num>
  <w:num w:numId="854">
    <w:abstractNumId w:val="853"/>
  </w:num>
  <w:num w:numId="855">
    <w:abstractNumId w:val="854"/>
  </w:num>
  <w:num w:numId="856">
    <w:abstractNumId w:val="855"/>
  </w:num>
  <w:num w:numId="857">
    <w:abstractNumId w:val="856"/>
  </w:num>
  <w:num w:numId="858">
    <w:abstractNumId w:val="857"/>
  </w:num>
  <w:num w:numId="859">
    <w:abstractNumId w:val="858"/>
  </w:num>
  <w:num w:numId="860">
    <w:abstractNumId w:val="859"/>
  </w:num>
  <w:num w:numId="861">
    <w:abstractNumId w:val="860"/>
  </w:num>
  <w:num w:numId="862">
    <w:abstractNumId w:val="861"/>
  </w:num>
  <w:num w:numId="863">
    <w:abstractNumId w:val="862"/>
  </w:num>
  <w:num w:numId="864">
    <w:abstractNumId w:val="863"/>
  </w:num>
  <w:num w:numId="865">
    <w:abstractNumId w:val="864"/>
  </w:num>
  <w:num w:numId="866">
    <w:abstractNumId w:val="865"/>
  </w:num>
  <w:num w:numId="867">
    <w:abstractNumId w:val="866"/>
  </w:num>
  <w:num w:numId="868">
    <w:abstractNumId w:val="867"/>
  </w:num>
  <w:num w:numId="869">
    <w:abstractNumId w:val="868"/>
  </w:num>
  <w:num w:numId="870">
    <w:abstractNumId w:val="869"/>
  </w:num>
  <w:num w:numId="871">
    <w:abstractNumId w:val="870"/>
  </w:num>
  <w:num w:numId="872">
    <w:abstractNumId w:val="871"/>
  </w:num>
  <w:num w:numId="873">
    <w:abstractNumId w:val="872"/>
  </w:num>
  <w:num w:numId="874">
    <w:abstractNumId w:val="873"/>
  </w:num>
  <w:num w:numId="875">
    <w:abstractNumId w:val="874"/>
  </w:num>
  <w:num w:numId="876">
    <w:abstractNumId w:val="875"/>
  </w:num>
  <w:num w:numId="877">
    <w:abstractNumId w:val="876"/>
  </w:num>
  <w:num w:numId="878">
    <w:abstractNumId w:val="877"/>
  </w:num>
  <w:num w:numId="879">
    <w:abstractNumId w:val="878"/>
  </w:num>
  <w:num w:numId="880">
    <w:abstractNumId w:val="879"/>
  </w:num>
  <w:num w:numId="881">
    <w:abstractNumId w:val="880"/>
  </w:num>
  <w:num w:numId="882">
    <w:abstractNumId w:val="881"/>
  </w:num>
  <w:num w:numId="883">
    <w:abstractNumId w:val="882"/>
  </w:num>
  <w:num w:numId="884">
    <w:abstractNumId w:val="883"/>
  </w:num>
  <w:num w:numId="885">
    <w:abstractNumId w:val="884"/>
  </w:num>
  <w:num w:numId="886">
    <w:abstractNumId w:val="885"/>
  </w:num>
  <w:num w:numId="887">
    <w:abstractNumId w:val="886"/>
  </w:num>
  <w:num w:numId="888">
    <w:abstractNumId w:val="887"/>
  </w:num>
  <w:num w:numId="889">
    <w:abstractNumId w:val="888"/>
  </w:num>
  <w:num w:numId="890">
    <w:abstractNumId w:val="889"/>
  </w:num>
  <w:num w:numId="891">
    <w:abstractNumId w:val="890"/>
  </w:num>
  <w:num w:numId="892">
    <w:abstractNumId w:val="891"/>
  </w:num>
  <w:num w:numId="893">
    <w:abstractNumId w:val="892"/>
  </w:num>
  <w:num w:numId="894">
    <w:abstractNumId w:val="893"/>
  </w:num>
  <w:num w:numId="895">
    <w:abstractNumId w:val="894"/>
  </w:num>
  <w:num w:numId="896">
    <w:abstractNumId w:val="895"/>
  </w:num>
  <w:num w:numId="897">
    <w:abstractNumId w:val="896"/>
  </w:num>
  <w:num w:numId="898">
    <w:abstractNumId w:val="897"/>
  </w:num>
  <w:num w:numId="899">
    <w:abstractNumId w:val="898"/>
  </w:num>
  <w:num w:numId="900">
    <w:abstractNumId w:val="899"/>
  </w:num>
  <w:num w:numId="901">
    <w:abstractNumId w:val="900"/>
  </w:num>
  <w:num w:numId="902">
    <w:abstractNumId w:val="901"/>
  </w:num>
  <w:num w:numId="903">
    <w:abstractNumId w:val="902"/>
  </w:num>
  <w:num w:numId="904">
    <w:abstractNumId w:val="903"/>
  </w:num>
  <w:num w:numId="905">
    <w:abstractNumId w:val="904"/>
  </w:num>
  <w:num w:numId="906">
    <w:abstractNumId w:val="905"/>
  </w:num>
  <w:num w:numId="907">
    <w:abstractNumId w:val="906"/>
  </w:num>
  <w:num w:numId="908">
    <w:abstractNumId w:val="907"/>
  </w:num>
  <w:num w:numId="909">
    <w:abstractNumId w:val="908"/>
  </w:num>
  <w:num w:numId="910">
    <w:abstractNumId w:val="909"/>
  </w:num>
  <w:num w:numId="911">
    <w:abstractNumId w:val="910"/>
  </w:num>
  <w:num w:numId="912">
    <w:abstractNumId w:val="911"/>
  </w:num>
  <w:num w:numId="913">
    <w:abstractNumId w:val="912"/>
  </w:num>
  <w:num w:numId="914">
    <w:abstractNumId w:val="913"/>
  </w:num>
  <w:num w:numId="915">
    <w:abstractNumId w:val="914"/>
  </w:num>
  <w:num w:numId="916">
    <w:abstractNumId w:val="915"/>
  </w:num>
  <w:num w:numId="917">
    <w:abstractNumId w:val="916"/>
  </w:num>
  <w:num w:numId="918">
    <w:abstractNumId w:val="917"/>
  </w:num>
  <w:num w:numId="919">
    <w:abstractNumId w:val="918"/>
  </w:num>
  <w:num w:numId="920">
    <w:abstractNumId w:val="919"/>
  </w:num>
  <w:num w:numId="921">
    <w:abstractNumId w:val="920"/>
  </w:num>
  <w:num w:numId="922">
    <w:abstractNumId w:val="921"/>
  </w:num>
  <w:num w:numId="923">
    <w:abstractNumId w:val="922"/>
  </w:num>
  <w:num w:numId="924">
    <w:abstractNumId w:val="923"/>
  </w:num>
  <w:num w:numId="925">
    <w:abstractNumId w:val="924"/>
  </w:num>
  <w:num w:numId="926">
    <w:abstractNumId w:val="925"/>
  </w:num>
  <w:num w:numId="927">
    <w:abstractNumId w:val="926"/>
  </w:num>
  <w:num w:numId="928">
    <w:abstractNumId w:val="927"/>
  </w:num>
  <w:num w:numId="929">
    <w:abstractNumId w:val="928"/>
  </w:num>
  <w:num w:numId="930">
    <w:abstractNumId w:val="929"/>
  </w:num>
  <w:num w:numId="931">
    <w:abstractNumId w:val="930"/>
  </w:num>
  <w:num w:numId="932">
    <w:abstractNumId w:val="931"/>
  </w:num>
  <w:num w:numId="933">
    <w:abstractNumId w:val="932"/>
  </w:num>
  <w:num w:numId="934">
    <w:abstractNumId w:val="933"/>
  </w:num>
  <w:num w:numId="935">
    <w:abstractNumId w:val="934"/>
  </w:num>
  <w:num w:numId="936">
    <w:abstractNumId w:val="935"/>
  </w:num>
  <w:num w:numId="937">
    <w:abstractNumId w:val="936"/>
  </w:num>
  <w:num w:numId="938">
    <w:abstractNumId w:val="937"/>
  </w:num>
  <w:num w:numId="939">
    <w:abstractNumId w:val="938"/>
  </w:num>
  <w:num w:numId="940">
    <w:abstractNumId w:val="939"/>
  </w:num>
  <w:num w:numId="941">
    <w:abstractNumId w:val="940"/>
  </w:num>
  <w:num w:numId="942">
    <w:abstractNumId w:val="941"/>
  </w:num>
  <w:num w:numId="943">
    <w:abstractNumId w:val="942"/>
  </w:num>
  <w:num w:numId="944">
    <w:abstractNumId w:val="943"/>
  </w:num>
  <w:num w:numId="945">
    <w:abstractNumId w:val="944"/>
  </w:num>
  <w:num w:numId="946">
    <w:abstractNumId w:val="945"/>
  </w:num>
  <w:num w:numId="947">
    <w:abstractNumId w:val="946"/>
  </w:num>
  <w:num w:numId="948">
    <w:abstractNumId w:val="947"/>
  </w:num>
  <w:num w:numId="949">
    <w:abstractNumId w:val="948"/>
  </w:num>
  <w:num w:numId="950">
    <w:abstractNumId w:val="949"/>
  </w:num>
  <w:num w:numId="951">
    <w:abstractNumId w:val="950"/>
  </w:num>
  <w:num w:numId="952">
    <w:abstractNumId w:val="951"/>
  </w:num>
  <w:num w:numId="953">
    <w:abstractNumId w:val="952"/>
  </w:num>
  <w:num w:numId="954">
    <w:abstractNumId w:val="953"/>
  </w:num>
  <w:num w:numId="955">
    <w:abstractNumId w:val="954"/>
  </w:num>
  <w:num w:numId="956">
    <w:abstractNumId w:val="955"/>
  </w:num>
  <w:num w:numId="957">
    <w:abstractNumId w:val="956"/>
  </w:num>
  <w:num w:numId="958">
    <w:abstractNumId w:val="957"/>
  </w:num>
  <w:num w:numId="959">
    <w:abstractNumId w:val="958"/>
  </w:num>
  <w:num w:numId="960">
    <w:abstractNumId w:val="959"/>
  </w:num>
  <w:num w:numId="961">
    <w:abstractNumId w:val="960"/>
  </w:num>
  <w:num w:numId="962">
    <w:abstractNumId w:val="961"/>
  </w:num>
  <w:num w:numId="963">
    <w:abstractNumId w:val="962"/>
  </w:num>
  <w:num w:numId="964">
    <w:abstractNumId w:val="963"/>
  </w:num>
  <w:num w:numId="965">
    <w:abstractNumId w:val="964"/>
  </w:num>
  <w:num w:numId="966">
    <w:abstractNumId w:val="965"/>
  </w:num>
  <w:num w:numId="967">
    <w:abstractNumId w:val="966"/>
  </w:num>
  <w:num w:numId="968">
    <w:abstractNumId w:val="967"/>
  </w:num>
  <w:num w:numId="969">
    <w:abstractNumId w:val="968"/>
  </w:num>
  <w:num w:numId="970">
    <w:abstractNumId w:val="969"/>
  </w:num>
  <w:num w:numId="971">
    <w:abstractNumId w:val="970"/>
  </w:num>
  <w:num w:numId="972">
    <w:abstractNumId w:val="971"/>
  </w:num>
  <w:num w:numId="973">
    <w:abstractNumId w:val="972"/>
  </w:num>
  <w:num w:numId="974">
    <w:abstractNumId w:val="973"/>
  </w:num>
  <w:num w:numId="975">
    <w:abstractNumId w:val="974"/>
  </w:num>
  <w:num w:numId="976">
    <w:abstractNumId w:val="975"/>
  </w:num>
  <w:num w:numId="977">
    <w:abstractNumId w:val="976"/>
  </w:num>
  <w:num w:numId="978">
    <w:abstractNumId w:val="977"/>
  </w:num>
  <w:num w:numId="979">
    <w:abstractNumId w:val="978"/>
  </w:num>
  <w:num w:numId="980">
    <w:abstractNumId w:val="979"/>
  </w:num>
  <w:num w:numId="981">
    <w:abstractNumId w:val="980"/>
  </w:num>
  <w:num w:numId="982">
    <w:abstractNumId w:val="981"/>
  </w:num>
  <w:num w:numId="983">
    <w:abstractNumId w:val="982"/>
  </w:num>
  <w:num w:numId="984">
    <w:abstractNumId w:val="983"/>
  </w:num>
  <w:num w:numId="985">
    <w:abstractNumId w:val="984"/>
  </w:num>
  <w:num w:numId="986">
    <w:abstractNumId w:val="985"/>
  </w:num>
  <w:num w:numId="987">
    <w:abstractNumId w:val="986"/>
  </w:num>
  <w:num w:numId="988">
    <w:abstractNumId w:val="987"/>
  </w:num>
  <w:num w:numId="989">
    <w:abstractNumId w:val="988"/>
  </w:num>
  <w:num w:numId="990">
    <w:abstractNumId w:val="989"/>
  </w:num>
  <w:num w:numId="991">
    <w:abstractNumId w:val="990"/>
  </w:num>
  <w:num w:numId="992">
    <w:abstractNumId w:val="991"/>
  </w:num>
  <w:num w:numId="993">
    <w:abstractNumId w:val="992"/>
  </w:num>
  <w:num w:numId="994">
    <w:abstractNumId w:val="993"/>
  </w:num>
  <w:num w:numId="995">
    <w:abstractNumId w:val="994"/>
  </w:num>
  <w:num w:numId="996">
    <w:abstractNumId w:val="995"/>
  </w:num>
  <w:num w:numId="997">
    <w:abstractNumId w:val="996"/>
  </w:num>
  <w:num w:numId="998">
    <w:abstractNumId w:val="997"/>
  </w:num>
  <w:num w:numId="999">
    <w:abstractNumId w:val="998"/>
  </w:num>
  <w:num w:numId="1000">
    <w:abstractNumId w:val="999"/>
  </w:num>
  <w:num w:numId="1001">
    <w:abstractNumId w:val="1000"/>
  </w:num>
  <w:num w:numId="1002">
    <w:abstractNumId w:val="1001"/>
  </w:num>
  <w:num w:numId="1003">
    <w:abstractNumId w:val="1002"/>
  </w:num>
  <w:num w:numId="1004">
    <w:abstractNumId w:val="1003"/>
  </w:num>
  <w:num w:numId="1005">
    <w:abstractNumId w:val="1004"/>
  </w:num>
  <w:num w:numId="1006">
    <w:abstractNumId w:val="1005"/>
  </w:num>
  <w:num w:numId="1007">
    <w:abstractNumId w:val="1006"/>
  </w:num>
  <w:num w:numId="1008">
    <w:abstractNumId w:val="1007"/>
  </w:num>
  <w:num w:numId="1009">
    <w:abstractNumId w:val="1008"/>
  </w:num>
  <w:num w:numId="1010">
    <w:abstractNumId w:val="1009"/>
  </w:num>
  <w:num w:numId="1011">
    <w:abstractNumId w:val="1010"/>
  </w:num>
  <w:num w:numId="1012">
    <w:abstractNumId w:val="1011"/>
  </w:num>
  <w:num w:numId="1013">
    <w:abstractNumId w:val="1012"/>
  </w:num>
  <w:num w:numId="1014">
    <w:abstractNumId w:val="1013"/>
  </w:num>
  <w:num w:numId="1015">
    <w:abstractNumId w:val="1014"/>
  </w:num>
  <w:num w:numId="1016">
    <w:abstractNumId w:val="1015"/>
  </w:num>
  <w:num w:numId="1017">
    <w:abstractNumId w:val="1016"/>
  </w:num>
  <w:num w:numId="1018">
    <w:abstractNumId w:val="1017"/>
  </w:num>
  <w:num w:numId="1019">
    <w:abstractNumId w:val="1018"/>
  </w:num>
  <w:num w:numId="1020">
    <w:abstractNumId w:val="1019"/>
  </w:num>
  <w:num w:numId="1021">
    <w:abstractNumId w:val="1020"/>
  </w:num>
  <w:num w:numId="1022">
    <w:abstractNumId w:val="1021"/>
  </w:num>
  <w:num w:numId="1023">
    <w:abstractNumId w:val="1022"/>
  </w:num>
  <w:num w:numId="1024">
    <w:abstractNumId w:val="1023"/>
  </w:num>
  <w:num w:numId="1025">
    <w:abstractNumId w:val="1024"/>
  </w:num>
  <w:num w:numId="1026">
    <w:abstractNumId w:val="1025"/>
  </w:num>
  <w:num w:numId="1027">
    <w:abstractNumId w:val="1026"/>
  </w:num>
  <w:num w:numId="1028">
    <w:abstractNumId w:val="1027"/>
  </w:num>
  <w:num w:numId="1029">
    <w:abstractNumId w:val="1028"/>
  </w:num>
  <w:num w:numId="1030">
    <w:abstractNumId w:val="1029"/>
  </w:num>
  <w:num w:numId="1031">
    <w:abstractNumId w:val="1030"/>
  </w:num>
  <w:num w:numId="1032">
    <w:abstractNumId w:val="1031"/>
  </w:num>
  <w:num w:numId="1033">
    <w:abstractNumId w:val="1032"/>
  </w:num>
  <w:num w:numId="1034">
    <w:abstractNumId w:val="1033"/>
  </w:num>
  <w:num w:numId="1035">
    <w:abstractNumId w:val="1034"/>
  </w:num>
  <w:num w:numId="1036">
    <w:abstractNumId w:val="1035"/>
  </w:num>
  <w:num w:numId="1037">
    <w:abstractNumId w:val="1036"/>
  </w:num>
  <w:num w:numId="1038">
    <w:abstractNumId w:val="1037"/>
  </w:num>
  <w:num w:numId="1039">
    <w:abstractNumId w:val="1038"/>
  </w:num>
  <w:num w:numId="1040">
    <w:abstractNumId w:val="1039"/>
  </w:num>
  <w:num w:numId="1041">
    <w:abstractNumId w:val="1040"/>
  </w:num>
  <w:num w:numId="1042">
    <w:abstractNumId w:val="1041"/>
  </w:num>
  <w:num w:numId="1043">
    <w:abstractNumId w:val="1042"/>
  </w:num>
  <w:num w:numId="1044">
    <w:abstractNumId w:val="1043"/>
  </w:num>
  <w:num w:numId="1045">
    <w:abstractNumId w:val="1044"/>
  </w:num>
  <w:num w:numId="1046">
    <w:abstractNumId w:val="1045"/>
  </w:num>
  <w:num w:numId="1047">
    <w:abstractNumId w:val="1046"/>
  </w:num>
  <w:num w:numId="1048">
    <w:abstractNumId w:val="1047"/>
  </w:num>
  <w:num w:numId="1049">
    <w:abstractNumId w:val="1048"/>
  </w:num>
  <w:num w:numId="1050">
    <w:abstractNumId w:val="1049"/>
  </w:num>
  <w:num w:numId="1051">
    <w:abstractNumId w:val="1050"/>
  </w:num>
  <w:num w:numId="1052">
    <w:abstractNumId w:val="1051"/>
  </w:num>
  <w:num w:numId="1053">
    <w:abstractNumId w:val="1052"/>
  </w:num>
  <w:num w:numId="1054">
    <w:abstractNumId w:val="1053"/>
  </w:num>
  <w:num w:numId="1055">
    <w:abstractNumId w:val="1054"/>
  </w:num>
  <w:num w:numId="1056">
    <w:abstractNumId w:val="1055"/>
  </w:num>
  <w:num w:numId="1057">
    <w:abstractNumId w:val="1056"/>
  </w:num>
  <w:num w:numId="1058">
    <w:abstractNumId w:val="1057"/>
  </w:num>
  <w:num w:numId="1059">
    <w:abstractNumId w:val="1058"/>
  </w:num>
  <w:num w:numId="1060">
    <w:abstractNumId w:val="1059"/>
  </w:num>
  <w:num w:numId="1061">
    <w:abstractNumId w:val="1060"/>
  </w:num>
  <w:num w:numId="1062">
    <w:abstractNumId w:val="1061"/>
  </w:num>
  <w:num w:numId="1063">
    <w:abstractNumId w:val="1062"/>
  </w:num>
  <w:num w:numId="1064">
    <w:abstractNumId w:val="1063"/>
  </w:num>
  <w:num w:numId="1065">
    <w:abstractNumId w:val="1064"/>
  </w:num>
  <w:num w:numId="1066">
    <w:abstractNumId w:val="1065"/>
  </w:num>
  <w:num w:numId="1067">
    <w:abstractNumId w:val="1066"/>
  </w:num>
  <w:num w:numId="1068">
    <w:abstractNumId w:val="1067"/>
  </w:num>
  <w:num w:numId="1069">
    <w:abstractNumId w:val="1068"/>
  </w:num>
  <w:num w:numId="1070">
    <w:abstractNumId w:val="1069"/>
  </w:num>
  <w:num w:numId="1071">
    <w:abstractNumId w:val="1070"/>
  </w:num>
  <w:num w:numId="1072">
    <w:abstractNumId w:val="1071"/>
  </w:num>
  <w:num w:numId="1073">
    <w:abstractNumId w:val="1072"/>
  </w:num>
  <w:num w:numId="1074">
    <w:abstractNumId w:val="1073"/>
  </w:num>
  <w:num w:numId="1075">
    <w:abstractNumId w:val="1074"/>
  </w:num>
  <w:num w:numId="1076">
    <w:abstractNumId w:val="1075"/>
  </w:num>
  <w:num w:numId="1077">
    <w:abstractNumId w:val="1076"/>
  </w:num>
  <w:num w:numId="1078">
    <w:abstractNumId w:val="1077"/>
  </w:num>
  <w:num w:numId="1079">
    <w:abstractNumId w:val="1078"/>
  </w:num>
  <w:num w:numId="1080">
    <w:abstractNumId w:val="1079"/>
  </w:num>
  <w:num w:numId="1081">
    <w:abstractNumId w:val="1080"/>
  </w:num>
  <w:num w:numId="1082">
    <w:abstractNumId w:val="1081"/>
  </w:num>
  <w:num w:numId="1083">
    <w:abstractNumId w:val="1082"/>
  </w:num>
  <w:num w:numId="1084">
    <w:abstractNumId w:val="1083"/>
  </w:num>
  <w:num w:numId="1085">
    <w:abstractNumId w:val="1084"/>
  </w:num>
  <w:num w:numId="1086">
    <w:abstractNumId w:val="1085"/>
  </w:num>
  <w:num w:numId="1087">
    <w:abstractNumId w:val="1086"/>
  </w:num>
  <w:num w:numId="1088">
    <w:abstractNumId w:val="1087"/>
  </w:num>
  <w:num w:numId="1089">
    <w:abstractNumId w:val="1088"/>
  </w:num>
  <w:num w:numId="1090">
    <w:abstractNumId w:val="1089"/>
  </w:num>
  <w:num w:numId="1091">
    <w:abstractNumId w:val="1090"/>
  </w:num>
  <w:num w:numId="1092">
    <w:abstractNumId w:val="1091"/>
  </w:num>
  <w:num w:numId="1093">
    <w:abstractNumId w:val="1092"/>
  </w:num>
  <w:num w:numId="1094">
    <w:abstractNumId w:val="1093"/>
  </w:num>
  <w:num w:numId="1095">
    <w:abstractNumId w:val="1094"/>
  </w:num>
  <w:num w:numId="1096">
    <w:abstractNumId w:val="1095"/>
  </w:num>
  <w:num w:numId="1097">
    <w:abstractNumId w:val="1096"/>
  </w:num>
  <w:num w:numId="1098">
    <w:abstractNumId w:val="1097"/>
  </w:num>
  <w:num w:numId="1099">
    <w:abstractNumId w:val="1098"/>
  </w:num>
  <w:num w:numId="1100">
    <w:abstractNumId w:val="1099"/>
  </w:num>
  <w:num w:numId="1101">
    <w:abstractNumId w:val="1100"/>
  </w:num>
  <w:num w:numId="1102">
    <w:abstractNumId w:val="1101"/>
  </w:num>
  <w:num w:numId="1103">
    <w:abstractNumId w:val="1102"/>
  </w:num>
  <w:num w:numId="1104">
    <w:abstractNumId w:val="1103"/>
  </w:num>
  <w:num w:numId="1105">
    <w:abstractNumId w:val="1104"/>
  </w:num>
  <w:num w:numId="1106">
    <w:abstractNumId w:val="1105"/>
  </w:num>
  <w:num w:numId="1107">
    <w:abstractNumId w:val="1106"/>
  </w:num>
  <w:num w:numId="1108">
    <w:abstractNumId w:val="1107"/>
  </w:num>
  <w:num w:numId="1109">
    <w:abstractNumId w:val="1108"/>
  </w:num>
  <w:num w:numId="1110">
    <w:abstractNumId w:val="1109"/>
  </w:num>
  <w:num w:numId="1111">
    <w:abstractNumId w:val="1110"/>
  </w:num>
  <w:num w:numId="1112">
    <w:abstractNumId w:val="1111"/>
  </w:num>
  <w:num w:numId="1113">
    <w:abstractNumId w:val="1112"/>
  </w:num>
  <w:num w:numId="1114">
    <w:abstractNumId w:val="1113"/>
  </w:num>
  <w:num w:numId="1115">
    <w:abstractNumId w:val="1114"/>
  </w:num>
  <w:num w:numId="1116">
    <w:abstractNumId w:val="1115"/>
  </w:num>
  <w:num w:numId="1117">
    <w:abstractNumId w:val="1116"/>
  </w:num>
  <w:num w:numId="1118">
    <w:abstractNumId w:val="1117"/>
  </w:num>
  <w:num w:numId="1119">
    <w:abstractNumId w:val="1118"/>
  </w:num>
  <w:num w:numId="1120">
    <w:abstractNumId w:val="1119"/>
  </w:num>
  <w:num w:numId="1121">
    <w:abstractNumId w:val="1120"/>
  </w:num>
  <w:num w:numId="1122">
    <w:abstractNumId w:val="1121"/>
  </w:num>
  <w:num w:numId="1123">
    <w:abstractNumId w:val="1122"/>
  </w:num>
  <w:num w:numId="1124">
    <w:abstractNumId w:val="1123"/>
  </w:num>
  <w:num w:numId="1125">
    <w:abstractNumId w:val="1124"/>
  </w:num>
  <w:num w:numId="1126">
    <w:abstractNumId w:val="1125"/>
  </w:num>
  <w:num w:numId="1127">
    <w:abstractNumId w:val="1126"/>
  </w:num>
  <w:num w:numId="1128">
    <w:abstractNumId w:val="1127"/>
  </w:num>
  <w:num w:numId="1129">
    <w:abstractNumId w:val="1128"/>
  </w:num>
  <w:num w:numId="1130">
    <w:abstractNumId w:val="1129"/>
  </w:num>
  <w:num w:numId="1131">
    <w:abstractNumId w:val="1130"/>
  </w:num>
  <w:num w:numId="1132">
    <w:abstractNumId w:val="1131"/>
  </w:num>
  <w:num w:numId="1133">
    <w:abstractNumId w:val="1132"/>
  </w:num>
  <w:num w:numId="1134">
    <w:abstractNumId w:val="1133"/>
  </w:num>
  <w:num w:numId="1135">
    <w:abstractNumId w:val="1134"/>
  </w:num>
  <w:num w:numId="1136">
    <w:abstractNumId w:val="1135"/>
  </w:num>
  <w:num w:numId="1137">
    <w:abstractNumId w:val="1136"/>
  </w:num>
  <w:num w:numId="1138">
    <w:abstractNumId w:val="1137"/>
  </w:num>
  <w:num w:numId="1139">
    <w:abstractNumId w:val="1138"/>
  </w:num>
  <w:num w:numId="1140">
    <w:abstractNumId w:val="1139"/>
  </w:num>
  <w:num w:numId="1141">
    <w:abstractNumId w:val="1140"/>
  </w:num>
  <w:num w:numId="1142">
    <w:abstractNumId w:val="1141"/>
  </w:num>
  <w:num w:numId="1143">
    <w:abstractNumId w:val="1142"/>
  </w:num>
  <w:num w:numId="1144">
    <w:abstractNumId w:val="1143"/>
  </w:num>
  <w:num w:numId="1145">
    <w:abstractNumId w:val="1144"/>
  </w:num>
  <w:num w:numId="1146">
    <w:abstractNumId w:val="1145"/>
  </w:num>
  <w:num w:numId="1147">
    <w:abstractNumId w:val="1146"/>
  </w:num>
  <w:num w:numId="1148">
    <w:abstractNumId w:val="1147"/>
  </w:num>
  <w:num w:numId="1149">
    <w:abstractNumId w:val="1148"/>
  </w:num>
  <w:num w:numId="1150">
    <w:abstractNumId w:val="1149"/>
  </w:num>
  <w:num w:numId="1151">
    <w:abstractNumId w:val="1150"/>
  </w:num>
  <w:num w:numId="1152">
    <w:abstractNumId w:val="1151"/>
  </w:num>
  <w:num w:numId="1153">
    <w:abstractNumId w:val="1152"/>
  </w:num>
  <w:num w:numId="1154">
    <w:abstractNumId w:val="1153"/>
  </w:num>
  <w:num w:numId="1155">
    <w:abstractNumId w:val="1154"/>
  </w:num>
  <w:num w:numId="1156">
    <w:abstractNumId w:val="1155"/>
  </w:num>
  <w:num w:numId="1157">
    <w:abstractNumId w:val="1156"/>
  </w:num>
  <w:num w:numId="1158">
    <w:abstractNumId w:val="1157"/>
  </w:num>
  <w:num w:numId="1159">
    <w:abstractNumId w:val="1158"/>
  </w:num>
  <w:num w:numId="1160">
    <w:abstractNumId w:val="1159"/>
  </w:num>
  <w:num w:numId="1161">
    <w:abstractNumId w:val="1160"/>
  </w:num>
  <w:num w:numId="1162">
    <w:abstractNumId w:val="1161"/>
  </w:num>
  <w:num w:numId="1163">
    <w:abstractNumId w:val="1162"/>
  </w:num>
  <w:num w:numId="1164">
    <w:abstractNumId w:val="1163"/>
  </w:num>
  <w:num w:numId="1165">
    <w:abstractNumId w:val="1164"/>
  </w:num>
  <w:num w:numId="1166">
    <w:abstractNumId w:val="1165"/>
  </w:num>
  <w:num w:numId="1167">
    <w:abstractNumId w:val="1166"/>
  </w:num>
  <w:num w:numId="1168">
    <w:abstractNumId w:val="1167"/>
  </w:num>
  <w:num w:numId="1169">
    <w:abstractNumId w:val="1168"/>
  </w:num>
  <w:num w:numId="1170">
    <w:abstractNumId w:val="1169"/>
  </w:num>
  <w:num w:numId="1171">
    <w:abstractNumId w:val="1170"/>
  </w:num>
  <w:num w:numId="1172">
    <w:abstractNumId w:val="1171"/>
  </w:num>
  <w:num w:numId="1173">
    <w:abstractNumId w:val="1172"/>
  </w:num>
  <w:num w:numId="1174">
    <w:abstractNumId w:val="1173"/>
  </w:num>
  <w:num w:numId="1175">
    <w:abstractNumId w:val="1174"/>
  </w:num>
  <w:num w:numId="1176">
    <w:abstractNumId w:val="1175"/>
  </w:num>
  <w:num w:numId="1177">
    <w:abstractNumId w:val="1176"/>
  </w:num>
  <w:num w:numId="1178">
    <w:abstractNumId w:val="1177"/>
  </w:num>
  <w:num w:numId="1179">
    <w:abstractNumId w:val="1178"/>
  </w:num>
  <w:num w:numId="1180">
    <w:abstractNumId w:val="1179"/>
  </w:num>
  <w:num w:numId="1181">
    <w:abstractNumId w:val="1180"/>
  </w:num>
  <w:num w:numId="1182">
    <w:abstractNumId w:val="1181"/>
  </w:num>
  <w:num w:numId="1183">
    <w:abstractNumId w:val="1182"/>
  </w:num>
  <w:num w:numId="1184">
    <w:abstractNumId w:val="1183"/>
  </w:num>
  <w:num w:numId="1185">
    <w:abstractNumId w:val="1184"/>
  </w:num>
  <w:num w:numId="1186">
    <w:abstractNumId w:val="1185"/>
  </w:num>
  <w:num w:numId="1187">
    <w:abstractNumId w:val="1186"/>
  </w:num>
  <w:num w:numId="1188">
    <w:abstractNumId w:val="1187"/>
  </w:num>
  <w:num w:numId="1189">
    <w:abstractNumId w:val="1188"/>
  </w:num>
  <w:num w:numId="1190">
    <w:abstractNumId w:val="1189"/>
  </w:num>
  <w:num w:numId="1191">
    <w:abstractNumId w:val="1190"/>
  </w:num>
  <w:num w:numId="1192">
    <w:abstractNumId w:val="1191"/>
  </w:num>
  <w:num w:numId="1193">
    <w:abstractNumId w:val="1192"/>
  </w:num>
  <w:num w:numId="1194">
    <w:abstractNumId w:val="1193"/>
  </w:num>
  <w:num w:numId="1195">
    <w:abstractNumId w:val="1194"/>
  </w:num>
  <w:num w:numId="1196">
    <w:abstractNumId w:val="1195"/>
  </w:num>
  <w:num w:numId="1197">
    <w:abstractNumId w:val="1196"/>
  </w:num>
  <w:num w:numId="1198">
    <w:abstractNumId w:val="1197"/>
  </w:num>
  <w:num w:numId="1199">
    <w:abstractNumId w:val="1198"/>
  </w:num>
  <w:num w:numId="1200">
    <w:abstractNumId w:val="1199"/>
  </w:num>
  <w:num w:numId="1201">
    <w:abstractNumId w:val="1200"/>
  </w:num>
  <w:num w:numId="1202">
    <w:abstractNumId w:val="1201"/>
  </w:num>
  <w:num w:numId="1203">
    <w:abstractNumId w:val="1202"/>
  </w:num>
  <w:num w:numId="1204">
    <w:abstractNumId w:val="1203"/>
  </w:num>
  <w:num w:numId="1205">
    <w:abstractNumId w:val="1204"/>
  </w:num>
  <w:num w:numId="1206">
    <w:abstractNumId w:val="1205"/>
  </w:num>
  <w:num w:numId="1207">
    <w:abstractNumId w:val="1206"/>
  </w:num>
  <w:num w:numId="1208">
    <w:abstractNumId w:val="1207"/>
  </w:num>
  <w:num w:numId="1209">
    <w:abstractNumId w:val="1208"/>
  </w:num>
  <w:num w:numId="1210">
    <w:abstractNumId w:val="1209"/>
  </w:num>
  <w:num w:numId="1211">
    <w:abstractNumId w:val="1210"/>
  </w:num>
  <w:num w:numId="1212">
    <w:abstractNumId w:val="1211"/>
  </w:num>
  <w:num w:numId="1213">
    <w:abstractNumId w:val="1212"/>
  </w:num>
  <w:num w:numId="1214">
    <w:abstractNumId w:val="1213"/>
  </w:num>
  <w:num w:numId="1215">
    <w:abstractNumId w:val="1214"/>
  </w:num>
  <w:num w:numId="1216">
    <w:abstractNumId w:val="1215"/>
  </w:num>
  <w:num w:numId="1217">
    <w:abstractNumId w:val="1216"/>
  </w:num>
  <w:num w:numId="1218">
    <w:abstractNumId w:val="1217"/>
  </w:num>
  <w:num w:numId="1219">
    <w:abstractNumId w:val="1218"/>
  </w:num>
  <w:num w:numId="1220">
    <w:abstractNumId w:val="1219"/>
  </w:num>
  <w:num w:numId="1221">
    <w:abstractNumId w:val="1220"/>
  </w:num>
  <w:num w:numId="1222">
    <w:abstractNumId w:val="1221"/>
  </w:num>
  <w:num w:numId="1223">
    <w:abstractNumId w:val="1222"/>
  </w:num>
  <w:num w:numId="1224">
    <w:abstractNumId w:val="1223"/>
  </w:num>
  <w:num w:numId="1225">
    <w:abstractNumId w:val="1224"/>
  </w:num>
  <w:num w:numId="1226">
    <w:abstractNumId w:val="1225"/>
  </w:num>
  <w:num w:numId="1227">
    <w:abstractNumId w:val="1226"/>
  </w:num>
  <w:num w:numId="1228">
    <w:abstractNumId w:val="1227"/>
  </w:num>
  <w:num w:numId="1229">
    <w:abstractNumId w:val="1228"/>
  </w:num>
  <w:num w:numId="1230">
    <w:abstractNumId w:val="1229"/>
  </w:num>
  <w:num w:numId="1231">
    <w:abstractNumId w:val="1230"/>
  </w:num>
  <w:num w:numId="1232">
    <w:abstractNumId w:val="1231"/>
  </w:num>
  <w:num w:numId="1233">
    <w:abstractNumId w:val="1232"/>
  </w:num>
  <w:num w:numId="1234">
    <w:abstractNumId w:val="1233"/>
  </w:num>
  <w:num w:numId="1235">
    <w:abstractNumId w:val="1234"/>
  </w:num>
  <w:num w:numId="1236">
    <w:abstractNumId w:val="1235"/>
  </w:num>
  <w:num w:numId="1237">
    <w:abstractNumId w:val="1236"/>
  </w:num>
  <w:num w:numId="1238">
    <w:abstractNumId w:val="1237"/>
  </w:num>
  <w:num w:numId="1239">
    <w:abstractNumId w:val="1238"/>
  </w:num>
  <w:num w:numId="1240">
    <w:abstractNumId w:val="1239"/>
  </w:num>
  <w:num w:numId="1241">
    <w:abstractNumId w:val="1240"/>
  </w:num>
  <w:num w:numId="1242">
    <w:abstractNumId w:val="1241"/>
  </w:num>
  <w:num w:numId="1243">
    <w:abstractNumId w:val="1242"/>
  </w:num>
  <w:num w:numId="1244">
    <w:abstractNumId w:val="1243"/>
  </w:num>
  <w:num w:numId="1245">
    <w:abstractNumId w:val="1244"/>
  </w:num>
  <w:num w:numId="1246">
    <w:abstractNumId w:val="1245"/>
  </w:num>
  <w:num w:numId="1247">
    <w:abstractNumId w:val="1246"/>
  </w:num>
  <w:num w:numId="1248">
    <w:abstractNumId w:val="1247"/>
  </w:num>
  <w:num w:numId="1249">
    <w:abstractNumId w:val="1248"/>
  </w:num>
  <w:num w:numId="1250">
    <w:abstractNumId w:val="1249"/>
  </w:num>
  <w:num w:numId="1251">
    <w:abstractNumId w:val="1250"/>
  </w:num>
  <w:num w:numId="1252">
    <w:abstractNumId w:val="1251"/>
  </w:num>
  <w:num w:numId="1253">
    <w:abstractNumId w:val="1252"/>
  </w:num>
  <w:num w:numId="1254">
    <w:abstractNumId w:val="1253"/>
  </w:num>
  <w:num w:numId="1255">
    <w:abstractNumId w:val="1254"/>
  </w:num>
  <w:num w:numId="1256">
    <w:abstractNumId w:val="1255"/>
  </w:num>
  <w:num w:numId="1257">
    <w:abstractNumId w:val="1256"/>
  </w:num>
  <w:num w:numId="1258">
    <w:abstractNumId w:val="1257"/>
  </w:num>
  <w:num w:numId="1259">
    <w:abstractNumId w:val="1258"/>
  </w:num>
  <w:num w:numId="1260">
    <w:abstractNumId w:val="1259"/>
  </w:num>
  <w:num w:numId="1261">
    <w:abstractNumId w:val="12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hyperlink" Target="http://www.sebi.gov.in/"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2021-01-04T13:11:29Z</dcterms:created>
  <dcterms:modified xsi:type="dcterms:W3CDTF">2021-01-04T13:11:29Z</dcterms:modified>
</cp:coreProperties>
</file>