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2"/>
      </w:pPr>
      <w:r>
        <w:t xml:space="preserve">Table 1. Calibrated PP3/BP4 thresholds for CADD v1.7 and AVI (rare missense variants, ClinVar 2026)</w:t>
      </w:r>
    </w:p>
    <w:tbl>
      <w:tblPr>
        <w:tblStyle w:val="tabletemplate"/>
        <w:tblLayout w:type="autofit"/>
        <w:jc w:val="center"/>
        <w:tblW w:type="pct" w:w="5000"/>
        <w:tblLook w:firstRow="1" w:lastRow="0" w:firstColumn="0" w:lastColumn="0" w:noHBand="0" w:noVBand="1"/>
      </w:tblPr>
      <w:tr>
        <w:trPr>
          <w:tblHeader/>
        </w:trPr>
        <w:tc>
          <w:p>
            <w:pPr>
              <w:pStyle w:val="Normal"/>
            </w:pPr>
            <w:r>
              <w:t>Evidence</w:t>
            </w:r>
          </w:p>
        </w:tc>
        <w:tc>
          <w:p>
            <w:pPr>
              <w:pStyle w:val="Normal"/>
            </w:pPr>
            <w:r>
              <w:t>Required LR</w:t>
            </w:r>
          </w:p>
        </w:tc>
        <w:tc>
          <w:p>
            <w:pPr>
              <w:pStyle w:val="Normal"/>
            </w:pPr>
            <w:r>
              <w:t>CADD v1.7 PHRED</w:t>
            </w:r>
          </w:p>
        </w:tc>
        <w:tc>
          <w:p>
            <w:pPr>
              <w:pStyle w:val="Normal"/>
            </w:pPr>
            <w:r>
              <w:t>CADD P/LP %</w:t>
            </w:r>
          </w:p>
        </w:tc>
        <w:tc>
          <w:p>
            <w:pPr>
              <w:pStyle w:val="Normal"/>
            </w:pPr>
            <w:r>
              <w:t>CADD B/LB %</w:t>
            </w:r>
          </w:p>
        </w:tc>
        <w:tc>
          <w:p>
            <w:pPr>
              <w:pStyle w:val="Normal"/>
            </w:pPr>
            <w:r>
              <w:t>AVI Phred</w:t>
            </w:r>
          </w:p>
        </w:tc>
        <w:tc>
          <w:p>
            <w:pPr>
              <w:pStyle w:val="Normal"/>
            </w:pPr>
            <w:r>
              <w:t>AVI P/LP %</w:t>
            </w:r>
          </w:p>
        </w:tc>
        <w:tc>
          <w:p>
            <w:pPr>
              <w:pStyle w:val="Normal"/>
            </w:pPr>
            <w:r>
              <w:t>AVI B/LB %</w:t>
            </w:r>
          </w:p>
        </w:tc>
        <w:tc>
          <w:p>
            <w:pPr>
              <w:pStyle w:val="Normal"/>
            </w:pPr>
            <w:r>
              <w:t>CADD v1.6 PHRED (Pejaver et al. 2022)</w:t>
            </w:r>
          </w:p>
        </w:tc>
        <w:tc>
          <w:p>
            <w:pPr>
              <w:pStyle w:val="Normal"/>
            </w:pPr>
            <w:r>
              <w:t>CADD v1.6 PHRED (2026 data)</w:t>
            </w:r>
          </w:p>
        </w:tc>
      </w:tr>
      <w:tr>
        <w:tc>
          <w:p>
            <w:pPr>
              <w:pStyle w:val="Normal"/>
            </w:pPr>
            <w:r>
              <w:t>PP3 Very strong</w:t>
            </w:r>
          </w:p>
        </w:tc>
        <w:tc>
          <w:p>
            <w:pPr>
              <w:pStyle w:val="Normal"/>
            </w:pPr>
            <w:r>
              <w:t>1124</w:t>
            </w:r>
          </w:p>
        </w:tc>
        <w:tc>
          <w:p>
            <w:pPr>
              <w:pStyle w:val="Normal"/>
            </w:pPr>
            <w:r>
              <w:t>not reached</w:t>
            </w:r>
          </w:p>
        </w:tc>
        <w:tc>
          <w:p>
            <w:pPr>
              <w:pStyle w:val="Normal"/>
            </w:pPr>
            <w:r>
              <w:t>—</w:t>
            </w:r>
          </w:p>
        </w:tc>
        <w:tc>
          <w:p>
            <w:pPr>
              <w:pStyle w:val="Normal"/>
            </w:pPr>
            <w:r>
              <w:t>—</w:t>
            </w:r>
          </w:p>
        </w:tc>
        <w:tc>
          <w:p>
            <w:pPr>
              <w:pStyle w:val="Normal"/>
            </w:pPr>
            <w:r>
              <w:t>not reached</w:t>
            </w:r>
          </w:p>
        </w:tc>
        <w:tc>
          <w:p>
            <w:pPr>
              <w:pStyle w:val="Normal"/>
            </w:pPr>
            <w:r>
              <w:t>—</w:t>
            </w:r>
          </w:p>
        </w:tc>
        <w:tc>
          <w:p>
            <w:pPr>
              <w:pStyle w:val="Normal"/>
            </w:pPr>
            <w:r>
              <w:t>—</w:t>
            </w:r>
          </w:p>
        </w:tc>
        <w:tc>
          <w:p>
            <w:pPr>
              <w:pStyle w:val="Normal"/>
            </w:pPr>
            <w:r>
              <w:t>not reached</w:t>
            </w:r>
          </w:p>
        </w:tc>
        <w:tc>
          <w:p>
            <w:pPr>
              <w:pStyle w:val="Normal"/>
            </w:pPr>
            <w:r>
              <w:t>not reached</w:t>
            </w:r>
          </w:p>
        </w:tc>
      </w:tr>
      <w:tr>
        <w:tc>
          <w:p>
            <w:pPr>
              <w:pStyle w:val="Normal"/>
            </w:pPr>
            <w:r>
              <w:t>PP3 Strong</w:t>
            </w:r>
          </w:p>
        </w:tc>
        <w:tc>
          <w:p>
            <w:pPr>
              <w:pStyle w:val="Normal"/>
            </w:pPr>
            <w:r>
              <w:t>33.53</w:t>
            </w:r>
          </w:p>
        </w:tc>
        <w:tc>
          <w:p>
            <w:pPr>
              <w:pStyle w:val="Normal"/>
            </w:pPr>
            <w:r>
              <w:t>not reached</w:t>
            </w:r>
          </w:p>
        </w:tc>
        <w:tc>
          <w:p>
            <w:pPr>
              <w:pStyle w:val="Normal"/>
            </w:pPr>
            <w:r>
              <w:t>—</w:t>
            </w:r>
          </w:p>
        </w:tc>
        <w:tc>
          <w:p>
            <w:pPr>
              <w:pStyle w:val="Normal"/>
            </w:pPr>
            <w:r>
              <w:t>—</w:t>
            </w:r>
          </w:p>
        </w:tc>
        <w:tc>
          <w:p>
            <w:pPr>
              <w:pStyle w:val="Normal"/>
            </w:pPr>
            <w:r>
              <w:t>not reached (reached in 59% of replicates)</w:t>
            </w:r>
          </w:p>
        </w:tc>
        <w:tc>
          <w:p>
            <w:pPr>
              <w:pStyle w:val="Normal"/>
            </w:pPr>
            <w:r>
              <w:t>—</w:t>
            </w:r>
          </w:p>
        </w:tc>
        <w:tc>
          <w:p>
            <w:pPr>
              <w:pStyle w:val="Normal"/>
            </w:pPr>
            <w:r>
              <w:t>—</w:t>
            </w:r>
          </w:p>
        </w:tc>
        <w:tc>
          <w:p>
            <w:pPr>
              <w:pStyle w:val="Normal"/>
            </w:pPr>
            <w:r>
              <w:t>not reached</w:t>
            </w:r>
          </w:p>
        </w:tc>
        <w:tc>
          <w:p>
            <w:pPr>
              <w:pStyle w:val="Normal"/>
            </w:pPr>
            <w:r>
              <w:t>not reached</w:t>
            </w:r>
          </w:p>
        </w:tc>
      </w:tr>
      <w:tr>
        <w:tc>
          <w:p>
            <w:pPr>
              <w:pStyle w:val="Normal"/>
            </w:pPr>
            <w:r>
              <w:t>PP3 Moderate</w:t>
            </w:r>
          </w:p>
        </w:tc>
        <w:tc>
          <w:p>
            <w:pPr>
              <w:pStyle w:val="Normal"/>
            </w:pPr>
            <w:r>
              <w:t>5.79</w:t>
            </w:r>
          </w:p>
        </w:tc>
        <w:tc>
          <w:p>
            <w:pPr>
              <w:pStyle w:val="Normal"/>
            </w:pPr>
            <w:r>
              <w:t>≥ 28.0</w:t>
            </w:r>
          </w:p>
        </w:tc>
        <w:tc>
          <w:p>
            <w:pPr>
              <w:pStyle w:val="Normal"/>
            </w:pPr>
            <w:r>
              <w:t>46.2</w:t>
            </w:r>
          </w:p>
        </w:tc>
        <w:tc>
          <w:p>
            <w:pPr>
              <w:pStyle w:val="Normal"/>
            </w:pPr>
            <w:r>
              <w:t>4.8</w:t>
            </w:r>
          </w:p>
        </w:tc>
        <w:tc>
          <w:p>
            <w:pPr>
              <w:pStyle w:val="Normal"/>
            </w:pPr>
            <w:r>
              <w:t>≥ 26.44</w:t>
            </w:r>
          </w:p>
        </w:tc>
        <w:tc>
          <w:p>
            <w:pPr>
              <w:pStyle w:val="Normal"/>
            </w:pPr>
            <w:r>
              <w:t>67.9</w:t>
            </w:r>
          </w:p>
        </w:tc>
        <w:tc>
          <w:p>
            <w:pPr>
              <w:pStyle w:val="Normal"/>
            </w:pPr>
            <w:r>
              <w:t>4.0</w:t>
            </w:r>
          </w:p>
        </w:tc>
        <w:tc>
          <w:p>
            <w:pPr>
              <w:pStyle w:val="Normal"/>
            </w:pPr>
            <w:r>
              <w:t>≥ 28.1</w:t>
            </w:r>
          </w:p>
        </w:tc>
        <w:tc>
          <w:p>
            <w:pPr>
              <w:pStyle w:val="Normal"/>
            </w:pPr>
            <w:r>
              <w:t>≥ 27.5</w:t>
            </w:r>
          </w:p>
        </w:tc>
      </w:tr>
      <w:tr>
        <w:tc>
          <w:p>
            <w:pPr>
              <w:pStyle w:val="Normal"/>
            </w:pPr>
            <w:r>
              <w:t>PP3 Supporting</w:t>
            </w:r>
          </w:p>
        </w:tc>
        <w:tc>
          <w:p>
            <w:pPr>
              <w:pStyle w:val="Normal"/>
            </w:pPr>
            <w:r>
              <w:t>2.406</w:t>
            </w:r>
          </w:p>
        </w:tc>
        <w:tc>
          <w:p>
            <w:pPr>
              <w:pStyle w:val="Normal"/>
            </w:pPr>
            <w:r>
              <w:t>≥ 25.6</w:t>
            </w:r>
          </w:p>
        </w:tc>
        <w:tc>
          <w:p>
            <w:pPr>
              <w:pStyle w:val="Normal"/>
            </w:pPr>
            <w:r>
              <w:t>26.1</w:t>
            </w:r>
          </w:p>
        </w:tc>
        <w:tc>
          <w:p>
            <w:pPr>
              <w:pStyle w:val="Normal"/>
            </w:pPr>
            <w:r>
              <w:t>6.6</w:t>
            </w:r>
          </w:p>
        </w:tc>
        <w:tc>
          <w:p>
            <w:pPr>
              <w:pStyle w:val="Normal"/>
            </w:pPr>
            <w:r>
              <w:t>≥ 25.18</w:t>
            </w:r>
          </w:p>
        </w:tc>
        <w:tc>
          <w:p>
            <w:pPr>
              <w:pStyle w:val="Normal"/>
            </w:pPr>
            <w:r>
              <w:t>12.1</w:t>
            </w:r>
          </w:p>
        </w:tc>
        <w:tc>
          <w:p>
            <w:pPr>
              <w:pStyle w:val="Normal"/>
            </w:pPr>
            <w:r>
              <w:t>3.1</w:t>
            </w:r>
          </w:p>
        </w:tc>
        <w:tc>
          <w:p>
            <w:pPr>
              <w:pStyle w:val="Normal"/>
            </w:pPr>
            <w:r>
              <w:t>≥ 25.3</w:t>
            </w:r>
          </w:p>
        </w:tc>
        <w:tc>
          <w:p>
            <w:pPr>
              <w:pStyle w:val="Normal"/>
            </w:pPr>
            <w:r>
              <w:t>≥ 25.2</w:t>
            </w:r>
          </w:p>
        </w:tc>
      </w:tr>
      <w:tr>
        <w:tc>
          <w:p>
            <w:pPr>
              <w:pStyle w:val="Normal"/>
            </w:pPr>
            <w:r>
              <w:t>BP4 Supporting</w:t>
            </w:r>
          </w:p>
        </w:tc>
        <w:tc>
          <w:p>
            <w:pPr>
              <w:pStyle w:val="Normal"/>
            </w:pPr>
            <w:r>
              <w:t>1/2.406</w:t>
            </w:r>
          </w:p>
        </w:tc>
        <w:tc>
          <w:p>
            <w:pPr>
              <w:pStyle w:val="Normal"/>
            </w:pPr>
            <w:r>
              <w:t>≤ 22.6 [22.6–22.7]</w:t>
            </w:r>
          </w:p>
        </w:tc>
        <w:tc>
          <w:p>
            <w:pPr>
              <w:pStyle w:val="Normal"/>
            </w:pPr>
            <w:r>
              <w:t>4.1</w:t>
            </w:r>
          </w:p>
        </w:tc>
        <w:tc>
          <w:p>
            <w:pPr>
              <w:pStyle w:val="Normal"/>
            </w:pPr>
            <w:r>
              <w:t>16.1</w:t>
            </w:r>
          </w:p>
        </w:tc>
        <w:tc>
          <w:p>
            <w:pPr>
              <w:pStyle w:val="Normal"/>
            </w:pPr>
            <w:r>
              <w:t>≤ 22.95</w:t>
            </w:r>
          </w:p>
        </w:tc>
        <w:tc>
          <w:p>
            <w:pPr>
              <w:pStyle w:val="Normal"/>
            </w:pPr>
            <w:r>
              <w:t>4.3</w:t>
            </w:r>
          </w:p>
        </w:tc>
        <w:tc>
          <w:p>
            <w:pPr>
              <w:pStyle w:val="Normal"/>
            </w:pPr>
            <w:r>
              <w:t>18.7</w:t>
            </w:r>
          </w:p>
        </w:tc>
        <w:tc>
          <w:p>
            <w:pPr>
              <w:pStyle w:val="Normal"/>
            </w:pPr>
            <w:r>
              <w:t>≤ 22.7</w:t>
            </w:r>
          </w:p>
        </w:tc>
        <w:tc>
          <w:p>
            <w:pPr>
              <w:pStyle w:val="Normal"/>
            </w:pPr>
            <w:r>
              <w:t>≤ 22.9</w:t>
            </w:r>
          </w:p>
        </w:tc>
      </w:tr>
      <w:tr>
        <w:tc>
          <w:p>
            <w:pPr>
              <w:pStyle w:val="Normal"/>
            </w:pPr>
            <w:r>
              <w:t>BP4 Moderate</w:t>
            </w:r>
          </w:p>
        </w:tc>
        <w:tc>
          <w:p>
            <w:pPr>
              <w:pStyle w:val="Normal"/>
            </w:pPr>
            <w:r>
              <w:t>1/5.79</w:t>
            </w:r>
          </w:p>
        </w:tc>
        <w:tc>
          <w:p>
            <w:pPr>
              <w:pStyle w:val="Normal"/>
            </w:pPr>
            <w:r>
              <w:t>≤ 19.59</w:t>
            </w:r>
          </w:p>
        </w:tc>
        <w:tc>
          <w:p>
            <w:pPr>
              <w:pStyle w:val="Normal"/>
            </w:pPr>
            <w:r>
              <w:t>2.1</w:t>
            </w:r>
          </w:p>
        </w:tc>
        <w:tc>
          <w:p>
            <w:pPr>
              <w:pStyle w:val="Normal"/>
            </w:pPr>
            <w:r>
              <w:t>29.1</w:t>
            </w:r>
          </w:p>
        </w:tc>
        <w:tc>
          <w:p>
            <w:pPr>
              <w:pStyle w:val="Normal"/>
            </w:pPr>
            <w:r>
              <w:t>≤ 20.52 [20.52–20.53]</w:t>
            </w:r>
          </w:p>
        </w:tc>
        <w:tc>
          <w:p>
            <w:pPr>
              <w:pStyle w:val="Normal"/>
            </w:pPr>
            <w:r>
              <w:t>2.7</w:t>
            </w:r>
          </w:p>
        </w:tc>
        <w:tc>
          <w:p>
            <w:pPr>
              <w:pStyle w:val="Normal"/>
            </w:pPr>
            <w:r>
              <w:t>38.8</w:t>
            </w:r>
          </w:p>
        </w:tc>
        <w:tc>
          <w:p>
            <w:pPr>
              <w:pStyle w:val="Normal"/>
            </w:pPr>
            <w:r>
              <w:t>≤ 17.3</w:t>
            </w:r>
          </w:p>
        </w:tc>
        <w:tc>
          <w:p>
            <w:pPr>
              <w:pStyle w:val="Normal"/>
            </w:pPr>
            <w:r>
              <w:t>≤ 21.1</w:t>
            </w:r>
          </w:p>
        </w:tc>
      </w:tr>
      <w:tr>
        <w:tc>
          <w:p>
            <w:pPr>
              <w:pStyle w:val="Normal"/>
            </w:pPr>
            <w:r>
              <w:t>BP4 Strong</w:t>
            </w:r>
          </w:p>
        </w:tc>
        <w:tc>
          <w:p>
            <w:pPr>
              <w:pStyle w:val="Normal"/>
            </w:pPr>
            <w:r>
              <w:t>1/33.53</w:t>
            </w:r>
          </w:p>
        </w:tc>
        <w:tc>
          <w:p>
            <w:pPr>
              <w:pStyle w:val="Normal"/>
            </w:pPr>
            <w:r>
              <w:t>≤ 8.34</w:t>
            </w:r>
          </w:p>
        </w:tc>
        <w:tc>
          <w:p>
            <w:pPr>
              <w:pStyle w:val="Normal"/>
            </w:pPr>
            <w:r>
              <w:t>0.3</w:t>
            </w:r>
          </w:p>
        </w:tc>
        <w:tc>
          <w:p>
            <w:pPr>
              <w:pStyle w:val="Normal"/>
            </w:pPr>
            <w:r>
              <w:t>23.8</w:t>
            </w:r>
          </w:p>
        </w:tc>
        <w:tc>
          <w:p>
            <w:pPr>
              <w:pStyle w:val="Normal"/>
            </w:pPr>
            <w:r>
              <w:t>≤ 9.15 [9.15–9.17]</w:t>
            </w:r>
          </w:p>
        </w:tc>
        <w:tc>
          <w:p>
            <w:pPr>
              <w:pStyle w:val="Normal"/>
            </w:pPr>
            <w:r>
              <w:t>0.3</w:t>
            </w:r>
          </w:p>
        </w:tc>
        <w:tc>
          <w:p>
            <w:pPr>
              <w:pStyle w:val="Normal"/>
            </w:pPr>
            <w:r>
              <w:t>22.4</w:t>
            </w:r>
          </w:p>
        </w:tc>
        <w:tc>
          <w:p>
            <w:pPr>
              <w:pStyle w:val="Normal"/>
            </w:pPr>
            <w:r>
              <w:t>≤ 0.15</w:t>
            </w:r>
          </w:p>
        </w:tc>
        <w:tc>
          <w:p>
            <w:pPr>
              <w:pStyle w:val="Normal"/>
            </w:pPr>
            <w:r>
              <w:t>≤ 7.35</w:t>
            </w:r>
          </w:p>
        </w:tc>
      </w:tr>
      <w:tr>
        <w:tc>
          <w:p>
            <w:pPr>
              <w:pStyle w:val="Normal"/>
            </w:pPr>
            <w:r>
              <w:t>BP4 Very strong</w:t>
            </w:r>
          </w:p>
        </w:tc>
        <w:tc>
          <w:p>
            <w:pPr>
              <w:pStyle w:val="Normal"/>
            </w:pPr>
            <w:r>
              <w:t>1/1124</w:t>
            </w:r>
          </w:p>
        </w:tc>
        <w:tc>
          <w:p>
            <w:pPr>
              <w:pStyle w:val="Normal"/>
            </w:pPr>
            <w:r>
              <w:t>not reached</w:t>
            </w:r>
          </w:p>
        </w:tc>
        <w:tc>
          <w:p>
            <w:pPr>
              <w:pStyle w:val="Normal"/>
            </w:pPr>
            <w:r>
              <w:t>—</w:t>
            </w:r>
          </w:p>
        </w:tc>
        <w:tc>
          <w:p>
            <w:pPr>
              <w:pStyle w:val="Normal"/>
            </w:pPr>
            <w:r>
              <w:t>—</w:t>
            </w:r>
          </w:p>
        </w:tc>
        <w:tc>
          <w:p>
            <w:pPr>
              <w:pStyle w:val="Normal"/>
            </w:pPr>
            <w:r>
              <w:t>not reached</w:t>
            </w:r>
          </w:p>
        </w:tc>
        <w:tc>
          <w:p>
            <w:pPr>
              <w:pStyle w:val="Normal"/>
            </w:pPr>
            <w:r>
              <w:t>—</w:t>
            </w:r>
          </w:p>
        </w:tc>
        <w:tc>
          <w:p>
            <w:pPr>
              <w:pStyle w:val="Normal"/>
            </w:pPr>
            <w:r>
              <w:t>—</w:t>
            </w:r>
          </w:p>
        </w:tc>
        <w:tc>
          <w:p>
            <w:pPr>
              <w:pStyle w:val="Normal"/>
            </w:pPr>
            <w:r>
              <w:t>not reached</w:t>
            </w:r>
          </w:p>
        </w:tc>
        <w:tc>
          <w:p>
            <w:pPr>
              <w:pStyle w:val="Normal"/>
            </w:pPr>
            <w:r>
              <w:t>not reached</w:t>
            </w:r>
          </w:p>
        </w:tc>
      </w:tr>
    </w:tbl>
    <w:p>
      <w:pPr>
        <w:pStyle w:val="Normal"/>
      </w:pPr>
      <w:r>
        <w:t xml:space="preserve">Thresholds are the one-sided 95% bootstrap bounds (10,000 replicates) of the ClinGen local posterior probability method (prior 0.0441), reported as the median [range] over five random seeds; a single value means identical results in all seeds. PP3 applies when the score is at or above the threshold and BP4 when it is at or below it.</w:t>
      </w:r>
    </w:p>
    <w:p>
      <w:pPr>
        <w:pStyle w:val="Normal"/>
      </w:pPr>
      <w:r>
        <w:t xml:space="preserve">Reference set: 59,979 P/LP and 77,128 B/LB rare MANE Select missense ClinVar variants (4,826 genes; ≥ 1 star) and 1,955,995 rare gnomAD v4.1 missense variants. P/LP % and B/LB %: percentage of reference variants assigned to each evidence level with the median thresholds (in-sample).</w:t>
      </w:r>
    </w:p>
    <w:p>
      <w:pPr>
        <w:pStyle w:val="Normal"/>
      </w:pPr>
      <w:r>
        <w:t xml:space="preserve">LR, likelihood ratio (odds of pathogenicity) required for each strength under the Bayesian adaptation of the ACMG/AMP guidelines. The AVI PP3 strong level was reached in 59% of bootstrap replicates, fewer than the 95% required.</w:t>
      </w:r>
    </w:p>
    <w:p>
      <w:pPr>
        <w:pStyle w:val="Normal"/>
      </w:pPr>
      <w:r>
        <w:t xml:space="preserve">CADD v1.6 thresholds from Pejaver et al. (2022; ClinVar 2019 with HGMD- and training-variant exclusions); these were reproduced from the original data with our implementation (Table S1). The last column gives CADD v1.6 recalibrated on the same 2026 reference sets as CADD v1.7 (median of five seeds).</w:t>
      </w:r>
    </w:p>
    <w:p>
      <w:pPr/>
      <w:r>
        <w:br w:type="page"/>
      </w:r>
    </w:p>
    <w:p>
      <w:pPr>
        <w:pStyle w:val="Titre2"/>
      </w:pPr>
      <w:r>
        <w:t xml:space="preserve">Table 2. Calibrated evidence intervals on MAVE functional classes (93,154 MANE missense SNVs, 39 genes)</w:t>
      </w:r>
    </w:p>
    <w:tbl>
      <w:tblPr>
        <w:tblStyle w:val="tabletemplate"/>
        <w:tblLayout w:type="autofit"/>
        <w:jc w:val="center"/>
        <w:tblW w:type="pct" w:w="5000"/>
        <w:tblLook w:firstRow="1" w:lastRow="0" w:firstColumn="0" w:lastColumn="0" w:noHBand="0" w:noVBand="1"/>
      </w:tblPr>
      <w:tr>
        <w:trPr>
          <w:tblHeader/>
        </w:trPr>
        <w:tc>
          <w:p>
            <w:pPr>
              <w:pStyle w:val="Normal"/>
            </w:pPr>
            <w:r>
              <w:t>Interval</w:t>
            </w:r>
          </w:p>
        </w:tc>
        <w:tc>
          <w:p>
            <w:pPr>
              <w:pStyle w:val="Normal"/>
            </w:pPr>
            <w:r>
              <w:t>CADD v1.7</w:t>
            </w:r>
          </w:p>
        </w:tc>
        <w:tc>
          <w:p>
            <w:pPr>
              <w:pStyle w:val="Normal"/>
            </w:pPr>
            <w:r>
              <w:t>AVI</w:t>
            </w:r>
          </w:p>
        </w:tc>
        <w:tc>
          <w:p>
            <w:pPr>
              <w:pStyle w:val="Normal"/>
            </w:pPr>
            <w:r>
              <w:t>REVEL</w:t>
            </w:r>
          </w:p>
        </w:tc>
        <w:tc>
          <w:p>
            <w:pPr>
              <w:pStyle w:val="Normal"/>
            </w:pPr>
            <w:r>
              <w:t>BayesDel</w:t>
            </w:r>
          </w:p>
        </w:tc>
        <w:tc>
          <w:p>
            <w:pPr>
              <w:pStyle w:val="Normal"/>
            </w:pPr>
            <w:r>
              <w:t>AlphaMissense</w:t>
            </w:r>
          </w:p>
        </w:tc>
      </w:tr>
      <w:tr>
        <w:tc>
          <w:p>
            <w:pPr>
              <w:pStyle w:val="Normal"/>
            </w:pPr>
            <w:r>
              <w:t>PP3 Strong</w:t>
            </w:r>
          </w:p>
        </w:tc>
        <w:tc>
          <w:p>
            <w:pPr>
              <w:pStyle w:val="Normal"/>
            </w:pPr>
            <w:r>
              <w:t>—</w:t>
            </w:r>
          </w:p>
        </w:tc>
        <w:tc>
          <w:p>
            <w:pPr>
              <w:pStyle w:val="Normal"/>
            </w:pPr>
            <w:r>
              <w:t>—</w:t>
            </w:r>
          </w:p>
        </w:tc>
        <w:tc>
          <w:p>
            <w:pPr>
              <w:pStyle w:val="Normal"/>
            </w:pPr>
            <w:r>
              <w:t>4.35 [4.21–4.49] (6,026 / 5,434)</w:t>
            </w:r>
          </w:p>
        </w:tc>
        <w:tc>
          <w:p>
            <w:pPr>
              <w:pStyle w:val="Normal"/>
            </w:pPr>
            <w:r>
              <w:t>6.09 [5.86–6.34] (5,431 / 3,498)</w:t>
            </w:r>
          </w:p>
        </w:tc>
        <w:tc>
          <w:p>
            <w:pPr>
              <w:pStyle w:val="Normal"/>
            </w:pPr>
            <w:r>
              <w:t>4.29 [4.15–4.43] (6,347 / 5,793)</w:t>
            </w:r>
          </w:p>
        </w:tc>
      </w:tr>
      <w:tr>
        <w:tc>
          <w:p>
            <w:pPr>
              <w:pStyle w:val="Normal"/>
            </w:pPr>
            <w:r>
              <w:t>PP3 Moderate</w:t>
            </w:r>
          </w:p>
        </w:tc>
        <w:tc>
          <w:p>
            <w:pPr>
              <w:pStyle w:val="Normal"/>
            </w:pPr>
            <w:r>
              <w:t>2.50 [2.44–2.56] (7,452 / 11,671)</w:t>
            </w:r>
          </w:p>
        </w:tc>
        <w:tc>
          <w:p>
            <w:pPr>
              <w:pStyle w:val="Normal"/>
            </w:pPr>
            <w:r>
              <w:t>2.86 [2.81–2.92] (11,271 / 15,431)</w:t>
            </w:r>
          </w:p>
        </w:tc>
        <w:tc>
          <w:p>
            <w:pPr>
              <w:pStyle w:val="Normal"/>
            </w:pPr>
            <w:r>
              <w:t>1.98 [1.92–2.05] (4,723 / 9,342)</w:t>
            </w:r>
          </w:p>
        </w:tc>
        <w:tc>
          <w:p>
            <w:pPr>
              <w:pStyle w:val="Normal"/>
            </w:pPr>
            <w:r>
              <w:t>1.93 [1.87–2.00] (4,419 / 8,960)</w:t>
            </w:r>
          </w:p>
        </w:tc>
        <w:tc>
          <w:p>
            <w:pPr>
              <w:pStyle w:val="Normal"/>
            </w:pPr>
            <w:r>
              <w:t>2.19 [2.13–2.25] (5,783 / 10,349)</w:t>
            </w:r>
          </w:p>
        </w:tc>
      </w:tr>
      <w:tr>
        <w:tc>
          <w:p>
            <w:pPr>
              <w:pStyle w:val="Normal"/>
            </w:pPr>
            <w:r>
              <w:t>PP3 Supporting</w:t>
            </w:r>
          </w:p>
        </w:tc>
        <w:tc>
          <w:p>
            <w:pPr>
              <w:pStyle w:val="Normal"/>
            </w:pPr>
            <w:r>
              <w:t>1.64 [1.59–1.69] (4,703 / 11,228)</w:t>
            </w:r>
          </w:p>
        </w:tc>
        <w:tc>
          <w:p>
            <w:pPr>
              <w:pStyle w:val="Normal"/>
            </w:pPr>
            <w:r>
              <w:t>1.46 [1.40–1.52] (2,387 / 6,416)</w:t>
            </w:r>
          </w:p>
        </w:tc>
        <w:tc>
          <w:p>
            <w:pPr>
              <w:pStyle w:val="Normal"/>
            </w:pPr>
            <w:r>
              <w:t>1.19 [1.14–1.24] (2,328 / 7,682)</w:t>
            </w:r>
          </w:p>
        </w:tc>
        <w:tc>
          <w:p>
            <w:pPr>
              <w:pStyle w:val="Normal"/>
            </w:pPr>
            <w:r>
              <w:t>1.53 [1.47–1.59] (3,148 / 8,084)</w:t>
            </w:r>
          </w:p>
        </w:tc>
        <w:tc>
          <w:p>
            <w:pPr>
              <w:pStyle w:val="Normal"/>
            </w:pPr>
            <w:r>
              <w:t>1.18 [1.13–1.24] (1,961 / 6,505)</w:t>
            </w:r>
          </w:p>
        </w:tc>
      </w:tr>
      <w:tr>
        <w:tc>
          <w:p>
            <w:pPr>
              <w:pStyle w:val="Normal"/>
            </w:pPr>
            <w:r>
              <w:t>Indeterminate</w:t>
            </w:r>
          </w:p>
        </w:tc>
        <w:tc>
          <w:p>
            <w:pPr>
              <w:pStyle w:val="Normal"/>
            </w:pPr>
            <w:r>
              <w:t>0.89 [0.87–0.92] (4,448 / 19,569)</w:t>
            </w:r>
          </w:p>
        </w:tc>
        <w:tc>
          <w:p>
            <w:pPr>
              <w:pStyle w:val="Normal"/>
            </w:pPr>
            <w:r>
              <w:t>0.72 [0.69–0.75] (2,682 / 14,588)</w:t>
            </w:r>
          </w:p>
        </w:tc>
        <w:tc>
          <w:p>
            <w:pPr>
              <w:pStyle w:val="Normal"/>
            </w:pPr>
            <w:r>
              <w:t>0.68 [0.66–0.70] (3,409 / 19,624)</w:t>
            </w:r>
          </w:p>
        </w:tc>
        <w:tc>
          <w:p>
            <w:pPr>
              <w:pStyle w:val="Normal"/>
            </w:pPr>
            <w:r>
              <w:t>0.62 [0.60–0.63] (3,967 / 25,264)</w:t>
            </w:r>
          </w:p>
        </w:tc>
        <w:tc>
          <w:p>
            <w:pPr>
              <w:pStyle w:val="Normal"/>
            </w:pPr>
            <w:r>
              <w:t>0.64 [0.61–0.66] (2,807 / 17,316)</w:t>
            </w:r>
          </w:p>
        </w:tc>
      </w:tr>
      <w:tr>
        <w:tc>
          <w:p>
            <w:pPr>
              <w:pStyle w:val="Normal"/>
            </w:pPr>
            <w:r>
              <w:t>BP4 Supporting</w:t>
            </w:r>
          </w:p>
        </w:tc>
        <w:tc>
          <w:p>
            <w:pPr>
              <w:pStyle w:val="Normal"/>
            </w:pPr>
            <w:r>
              <w:t>0.41 [0.39–0.44] (1,297 / 12,293)</w:t>
            </w:r>
          </w:p>
        </w:tc>
        <w:tc>
          <w:p>
            <w:pPr>
              <w:pStyle w:val="Normal"/>
            </w:pPr>
            <w:r>
              <w:t>0.39 [0.37–0.42] (1,372 / 13,621)</w:t>
            </w:r>
          </w:p>
        </w:tc>
        <w:tc>
          <w:p>
            <w:pPr>
              <w:pStyle w:val="Normal"/>
            </w:pPr>
            <w:r>
              <w:t>0.45 [0.42–0.48] (1,134 / 9,890)</w:t>
            </w:r>
          </w:p>
        </w:tc>
        <w:tc>
          <w:p>
            <w:pPr>
              <w:pStyle w:val="Normal"/>
            </w:pPr>
            <w:r>
              <w:t>0.41 [0.38–0.43] (985 / 9,442)</w:t>
            </w:r>
          </w:p>
        </w:tc>
        <w:tc>
          <w:p>
            <w:pPr>
              <w:pStyle w:val="Normal"/>
            </w:pPr>
            <w:r>
              <w:t>0.34 [0.32–0.36] (931 / 10,740)</w:t>
            </w:r>
          </w:p>
        </w:tc>
      </w:tr>
      <w:tr>
        <w:tc>
          <w:p>
            <w:pPr>
              <w:pStyle w:val="Normal"/>
            </w:pPr>
            <w:r>
              <w:t>BP4 Moderate</w:t>
            </w:r>
          </w:p>
        </w:tc>
        <w:tc>
          <w:p>
            <w:pPr>
              <w:pStyle w:val="Normal"/>
            </w:pPr>
            <w:r>
              <w:t>0.23 [0.22–0.25] (878 / 14,677)</w:t>
            </w:r>
          </w:p>
        </w:tc>
        <w:tc>
          <w:p>
            <w:pPr>
              <w:pStyle w:val="Normal"/>
            </w:pPr>
            <w:r>
              <w:t>0.22 [0.21–0.23] (1,067 / 19,159)</w:t>
            </w:r>
          </w:p>
        </w:tc>
        <w:tc>
          <w:p>
            <w:pPr>
              <w:pStyle w:val="Normal"/>
            </w:pPr>
            <w:r>
              <w:t>0.30 [0.28–0.32] (1,129 / 14,828)</w:t>
            </w:r>
          </w:p>
        </w:tc>
        <w:tc>
          <w:p>
            <w:pPr>
              <w:pStyle w:val="Normal"/>
            </w:pPr>
            <w:r>
              <w:t>0.25 [0.23–0.26] (878 / 13,964)</w:t>
            </w:r>
          </w:p>
        </w:tc>
        <w:tc>
          <w:p>
            <w:pPr>
              <w:pStyle w:val="Normal"/>
            </w:pPr>
            <w:r>
              <w:t>0.20 [0.18–0.21] (885 / 17,700)</w:t>
            </w:r>
          </w:p>
        </w:tc>
      </w:tr>
      <w:tr>
        <w:tc>
          <w:p>
            <w:pPr>
              <w:pStyle w:val="Normal"/>
            </w:pPr>
            <w:r>
              <w:t>BP4 Strong</w:t>
            </w:r>
          </w:p>
        </w:tc>
        <w:tc>
          <w:p>
            <w:pPr>
              <w:pStyle w:val="Normal"/>
            </w:pPr>
            <w:r>
              <w:t>0.13 [0.11–0.15] (158 / 4,780)</w:t>
            </w:r>
          </w:p>
        </w:tc>
        <w:tc>
          <w:p>
            <w:pPr>
              <w:pStyle w:val="Normal"/>
            </w:pPr>
            <w:r>
              <w:t>0.12 [0.10–0.14] (157 / 5,003)</w:t>
            </w:r>
          </w:p>
        </w:tc>
        <w:tc>
          <w:p>
            <w:pPr>
              <w:pStyle w:val="Normal"/>
            </w:pPr>
            <w:r>
              <w:t>0.10 [0.08–0.11] (187 / 7,418)</w:t>
            </w:r>
          </w:p>
        </w:tc>
        <w:tc>
          <w:p>
            <w:pPr>
              <w:pStyle w:val="Normal"/>
            </w:pPr>
            <w:r>
              <w:t>0.08 [0.07–0.10] (108 / 5,006)</w:t>
            </w:r>
          </w:p>
        </w:tc>
        <w:tc>
          <w:p>
            <w:pPr>
              <w:pStyle w:val="Normal"/>
            </w:pPr>
            <w:r>
              <w:t>0.15 [0.13–0.17] (222 / 5,815)</w:t>
            </w:r>
          </w:p>
        </w:tc>
      </w:tr>
      <w:tr>
        <w:tc>
          <w:p>
            <w:pPr>
              <w:pStyle w:val="Normal"/>
            </w:pPr>
            <w:r>
              <w:t>AUROC [95% CI]</w:t>
            </w:r>
          </w:p>
        </w:tc>
        <w:tc>
          <w:p>
            <w:pPr>
              <w:pStyle w:val="Normal"/>
            </w:pPr>
            <w:r>
              <w:t>0.725 [0.721–0.729]</w:t>
            </w:r>
          </w:p>
        </w:tc>
        <w:tc>
          <w:p>
            <w:pPr>
              <w:pStyle w:val="Normal"/>
            </w:pPr>
            <w:r>
              <w:t>0.764 [0.760–0.767]</w:t>
            </w:r>
          </w:p>
        </w:tc>
        <w:tc>
          <w:p>
            <w:pPr>
              <w:pStyle w:val="Normal"/>
            </w:pPr>
            <w:r>
              <w:t>0.757 [0.754–0.761]</w:t>
            </w:r>
          </w:p>
        </w:tc>
        <w:tc>
          <w:p>
            <w:pPr>
              <w:pStyle w:val="Normal"/>
            </w:pPr>
            <w:r>
              <w:t>0.766 [0.763–0.770]</w:t>
            </w:r>
          </w:p>
        </w:tc>
        <w:tc>
          <w:p>
            <w:pPr>
              <w:pStyle w:val="Normal"/>
            </w:pPr>
            <w:r>
              <w:t>0.782 [0.778–0.785]</w:t>
            </w:r>
          </w:p>
        </w:tc>
      </w:tr>
    </w:tbl>
    <w:p>
      <w:pPr>
        <w:pStyle w:val="Normal"/>
      </w:pPr>
      <w:r>
        <w:t xml:space="preserve">Cells: likelihood ratio P(interval | functionally abnormal) / P(interval | functionally normal) [95% bootstrap interval, 2,000 replicates], and, in parentheses, numbers of abnormal / normal variants in the interval. Intervals are defined by each predictor's thresholds calibrated on ClinVar (CADD v1.7 and AVI: main analysis; REVEL, BayesDel and AlphaMissense: five-predictor intersection analysis). —: level not reached by the predictor.</w:t>
      </w:r>
    </w:p>
    <w:p>
      <w:pPr>
        <w:pStyle w:val="Normal"/>
      </w:pPr>
      <w:r>
        <w:t xml:space="preserve">Functional classes (18,936 abnormal, 74,218 normal) from 89 MaveDB score sets with investigator-provided or other normal/abnormal calibrations; SNVs classified discordantly by different score sets were excluded. Functional abnormality is not equivalent to pathogenicity, so the ratios are not directly comparable with the ClinGen likelihood ratio targets; they test the direction and ordering of the evidence intervals on data independent of ClinVar.</w:t>
      </w:r>
    </w:p>
    <w:p>
      <w:pPr>
        <w:sectPr>
          <w:pgMar w:header="708" w:bottom="1417" w:top="1417" w:right="1417" w:left="1417" w:footer="708" w:gutter="0"/>
          <w:pgSz w:h="11906" w:w="16838" w:orient="landscape"/>
          <w:type w:val="oddPage"/>
          <w:cols/>
        </w:sectPr>
      </w:pP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2026-09-27T11:52:03Z</dcterms:modified>
  <cp:category/>
</cp:coreProperties>
</file>