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26A5" w14:textId="77777777" w:rsidR="0021498F" w:rsidRPr="0021498F" w:rsidRDefault="0021498F" w:rsidP="0021498F">
      <w:pPr>
        <w:rPr>
          <w:b/>
          <w:bCs/>
        </w:rPr>
      </w:pPr>
      <w:r w:rsidRPr="0021498F">
        <w:rPr>
          <w:b/>
          <w:bCs/>
        </w:rPr>
        <w:t>Create and manage an environment</w:t>
      </w:r>
    </w:p>
    <w:p w14:paraId="69BE786E" w14:textId="77777777" w:rsidR="0021498F" w:rsidRPr="0021498F" w:rsidRDefault="0021498F" w:rsidP="0021498F">
      <w:r w:rsidRPr="0021498F">
        <w:t>To create a new environment with Dataverse, use the following procedure:</w:t>
      </w:r>
    </w:p>
    <w:p w14:paraId="4B1F167C" w14:textId="77777777" w:rsidR="0021498F" w:rsidRPr="0021498F" w:rsidRDefault="0021498F" w:rsidP="0021498F">
      <w:pPr>
        <w:numPr>
          <w:ilvl w:val="0"/>
          <w:numId w:val="2"/>
        </w:numPr>
      </w:pPr>
      <w:r w:rsidRPr="0021498F">
        <w:t xml:space="preserve">Sign in to the </w:t>
      </w:r>
      <w:hyperlink r:id="rId5" w:tgtFrame="az-portal" w:history="1">
        <w:r w:rsidRPr="0021498F">
          <w:rPr>
            <w:rStyle w:val="Hyperlink"/>
          </w:rPr>
          <w:t xml:space="preserve">Power Platform admin </w:t>
        </w:r>
        <w:proofErr w:type="spellStart"/>
        <w:r w:rsidRPr="0021498F">
          <w:rPr>
            <w:rStyle w:val="Hyperlink"/>
          </w:rPr>
          <w:t>center</w:t>
        </w:r>
        <w:proofErr w:type="spellEnd"/>
      </w:hyperlink>
      <w:r w:rsidRPr="0021498F">
        <w:t>. The numbers in the image below correspond with the subsequent procedure steps.</w:t>
      </w:r>
    </w:p>
    <w:p w14:paraId="02AE7CED" w14:textId="454E2F91" w:rsidR="0021498F" w:rsidRPr="0021498F" w:rsidRDefault="0021498F" w:rsidP="0021498F">
      <w:r w:rsidRPr="0021498F">
        <w:drawing>
          <wp:inline distT="0" distB="0" distL="0" distR="0" wp14:anchorId="6383AD48" wp14:editId="189B7008">
            <wp:extent cx="5731510" cy="3232150"/>
            <wp:effectExtent l="0" t="0" r="2540" b="6350"/>
            <wp:docPr id="256778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78594" name="Picture 1" descr="A screenshot of a computer&#10;&#10;AI-generated content may be incorrect."/>
                    <pic:cNvPicPr/>
                  </pic:nvPicPr>
                  <pic:blipFill>
                    <a:blip r:embed="rId6"/>
                    <a:stretch>
                      <a:fillRect/>
                    </a:stretch>
                  </pic:blipFill>
                  <pic:spPr>
                    <a:xfrm>
                      <a:off x="0" y="0"/>
                      <a:ext cx="5731510" cy="3232150"/>
                    </a:xfrm>
                    <a:prstGeom prst="rect">
                      <a:avLst/>
                    </a:prstGeom>
                  </pic:spPr>
                </pic:pic>
              </a:graphicData>
            </a:graphic>
          </wp:inline>
        </w:drawing>
      </w:r>
    </w:p>
    <w:p w14:paraId="7AFB3675" w14:textId="77777777" w:rsidR="0021498F" w:rsidRPr="0021498F" w:rsidRDefault="0021498F" w:rsidP="0021498F">
      <w:pPr>
        <w:numPr>
          <w:ilvl w:val="0"/>
          <w:numId w:val="2"/>
        </w:numPr>
      </w:pPr>
      <w:r w:rsidRPr="0021498F">
        <w:t xml:space="preserve">Select </w:t>
      </w:r>
      <w:r w:rsidRPr="0021498F">
        <w:rPr>
          <w:b/>
          <w:bCs/>
        </w:rPr>
        <w:t>Environments</w:t>
      </w:r>
      <w:r w:rsidRPr="0021498F">
        <w:t xml:space="preserve"> from the left-hand side rail.</w:t>
      </w:r>
    </w:p>
    <w:p w14:paraId="126526B6" w14:textId="77777777" w:rsidR="0021498F" w:rsidRPr="0021498F" w:rsidRDefault="0021498F" w:rsidP="0021498F">
      <w:pPr>
        <w:numPr>
          <w:ilvl w:val="0"/>
          <w:numId w:val="2"/>
        </w:numPr>
      </w:pPr>
      <w:r w:rsidRPr="0021498F">
        <w:t xml:space="preserve">Select the </w:t>
      </w:r>
      <w:r w:rsidRPr="0021498F">
        <w:rPr>
          <w:b/>
          <w:bCs/>
        </w:rPr>
        <w:t>New</w:t>
      </w:r>
      <w:r w:rsidRPr="0021498F">
        <w:t xml:space="preserve"> button from the top left side of the command bar.</w:t>
      </w:r>
    </w:p>
    <w:p w14:paraId="4D8AD66E" w14:textId="77777777" w:rsidR="0021498F" w:rsidRPr="0021498F" w:rsidRDefault="0021498F" w:rsidP="0021498F">
      <w:pPr>
        <w:numPr>
          <w:ilvl w:val="0"/>
          <w:numId w:val="2"/>
        </w:numPr>
      </w:pPr>
      <w:r w:rsidRPr="0021498F">
        <w:t xml:space="preserve">In the </w:t>
      </w:r>
      <w:r w:rsidRPr="0021498F">
        <w:rPr>
          <w:b/>
          <w:bCs/>
        </w:rPr>
        <w:t>New Environment</w:t>
      </w:r>
      <w:r w:rsidRPr="0021498F">
        <w:t xml:space="preserve"> panel on the right side of your screen, you can name the new environment, select the region, choose the type, and describe the purpose. Notice the </w:t>
      </w:r>
      <w:r w:rsidRPr="0021498F">
        <w:rPr>
          <w:b/>
          <w:bCs/>
        </w:rPr>
        <w:t>Add a Dataverse data store</w:t>
      </w:r>
      <w:r w:rsidRPr="0021498F">
        <w:t xml:space="preserve"> option. This option is only available for the sandbox or production environments, since trial and developer environments already include Dataverse.</w:t>
      </w:r>
    </w:p>
    <w:p w14:paraId="62510A48" w14:textId="77777777" w:rsidR="0021498F" w:rsidRPr="0021498F" w:rsidRDefault="0021498F" w:rsidP="0021498F">
      <w:r w:rsidRPr="0021498F">
        <w:t xml:space="preserve">By making this option </w:t>
      </w:r>
      <w:r w:rsidRPr="0021498F">
        <w:rPr>
          <w:b/>
          <w:bCs/>
        </w:rPr>
        <w:t>Yes</w:t>
      </w:r>
      <w:r w:rsidRPr="0021498F">
        <w:t xml:space="preserve">, you add the ability to use Dataverse tables built into this environment. Since this unit is about creating and managing environments in Dataverse, we want to ensure that we're adding a Dataverse data store. If you're creating a sandbox or production environment, toggle it to </w:t>
      </w:r>
      <w:r w:rsidRPr="0021498F">
        <w:rPr>
          <w:b/>
          <w:bCs/>
        </w:rPr>
        <w:t>Yes</w:t>
      </w:r>
      <w:r w:rsidRPr="0021498F">
        <w:t>.</w:t>
      </w:r>
    </w:p>
    <w:p w14:paraId="5A046191" w14:textId="77777777" w:rsidR="0021498F" w:rsidRPr="0021498F" w:rsidRDefault="0021498F" w:rsidP="0021498F">
      <w:r w:rsidRPr="0021498F">
        <w:t xml:space="preserve">The </w:t>
      </w:r>
      <w:r w:rsidRPr="0021498F">
        <w:rPr>
          <w:b/>
          <w:bCs/>
        </w:rPr>
        <w:t>Pay-as-you-go with Azure</w:t>
      </w:r>
      <w:r w:rsidRPr="0021498F">
        <w:t xml:space="preserve"> toggle provides you with the option to pay for select Power Platform services such as Dataverse and Power Apps if you already have an Azure subscription. Unless you want to include this in your environment, leave it toggled to "No."</w:t>
      </w:r>
    </w:p>
    <w:p w14:paraId="751FE9B7" w14:textId="77777777" w:rsidR="0021498F" w:rsidRPr="0021498F" w:rsidRDefault="0021498F" w:rsidP="0021498F">
      <w:r w:rsidRPr="0021498F">
        <w:t xml:space="preserve">Once you've input the required options, you can initiate the creation of your new environment by selecting </w:t>
      </w:r>
      <w:r w:rsidRPr="0021498F">
        <w:rPr>
          <w:b/>
          <w:bCs/>
        </w:rPr>
        <w:t>Next</w:t>
      </w:r>
      <w:r w:rsidRPr="0021498F">
        <w:t>.</w:t>
      </w:r>
    </w:p>
    <w:p w14:paraId="6455FCDA" w14:textId="77777777" w:rsidR="0021498F" w:rsidRPr="0021498F" w:rsidRDefault="0021498F" w:rsidP="0021498F">
      <w:pPr>
        <w:numPr>
          <w:ilvl w:val="0"/>
          <w:numId w:val="2"/>
        </w:numPr>
      </w:pPr>
      <w:r w:rsidRPr="0021498F">
        <w:t xml:space="preserve">The </w:t>
      </w:r>
      <w:r w:rsidRPr="0021498F">
        <w:rPr>
          <w:b/>
          <w:bCs/>
        </w:rPr>
        <w:t>Add Dataverse</w:t>
      </w:r>
      <w:r w:rsidRPr="0021498F">
        <w:t xml:space="preserve"> panel appears next with any environment pending Dataverse data store creation. This tab completes the process of initiating a new environment with Dataverse.</w:t>
      </w:r>
    </w:p>
    <w:p w14:paraId="51D21C46" w14:textId="77777777" w:rsidR="0021498F" w:rsidRPr="0021498F" w:rsidRDefault="0021498F" w:rsidP="0021498F">
      <w:pPr>
        <w:numPr>
          <w:ilvl w:val="1"/>
          <w:numId w:val="2"/>
        </w:numPr>
      </w:pPr>
      <w:r w:rsidRPr="0021498F">
        <w:lastRenderedPageBreak/>
        <w:t xml:space="preserve">The </w:t>
      </w:r>
      <w:r w:rsidRPr="0021498F">
        <w:rPr>
          <w:b/>
          <w:bCs/>
        </w:rPr>
        <w:t>Language</w:t>
      </w:r>
      <w:r w:rsidRPr="0021498F">
        <w:t xml:space="preserve"> and </w:t>
      </w:r>
      <w:r w:rsidRPr="0021498F">
        <w:rPr>
          <w:b/>
          <w:bCs/>
        </w:rPr>
        <w:t>Currency</w:t>
      </w:r>
      <w:r w:rsidRPr="0021498F">
        <w:t xml:space="preserve"> options default to the region selected in the previous tab, but you can select other options.</w:t>
      </w:r>
    </w:p>
    <w:p w14:paraId="0493848C" w14:textId="77777777" w:rsidR="0021498F" w:rsidRPr="0021498F" w:rsidRDefault="0021498F" w:rsidP="0021498F">
      <w:pPr>
        <w:numPr>
          <w:ilvl w:val="1"/>
          <w:numId w:val="2"/>
        </w:numPr>
      </w:pPr>
      <w:r w:rsidRPr="0021498F">
        <w:t xml:space="preserve">You must select a </w:t>
      </w:r>
      <w:r w:rsidRPr="0021498F">
        <w:rPr>
          <w:b/>
          <w:bCs/>
        </w:rPr>
        <w:t>Security group</w:t>
      </w:r>
      <w:r w:rsidRPr="0021498F">
        <w:t xml:space="preserve"> but more on that in the next step.</w:t>
      </w:r>
    </w:p>
    <w:p w14:paraId="2A509D8B" w14:textId="77777777" w:rsidR="0021498F" w:rsidRPr="0021498F" w:rsidRDefault="0021498F" w:rsidP="0021498F">
      <w:pPr>
        <w:numPr>
          <w:ilvl w:val="1"/>
          <w:numId w:val="2"/>
        </w:numPr>
      </w:pPr>
      <w:r w:rsidRPr="0021498F">
        <w:t xml:space="preserve">You have options to create a custom URL, enable Dynamics 365 apps (depending on the type selected in the </w:t>
      </w:r>
      <w:proofErr w:type="gramStart"/>
      <w:r w:rsidRPr="0021498F">
        <w:rPr>
          <w:b/>
          <w:bCs/>
        </w:rPr>
        <w:t>New</w:t>
      </w:r>
      <w:proofErr w:type="gramEnd"/>
      <w:r w:rsidRPr="0021498F">
        <w:rPr>
          <w:b/>
          <w:bCs/>
        </w:rPr>
        <w:t xml:space="preserve"> environment</w:t>
      </w:r>
      <w:r w:rsidRPr="0021498F">
        <w:t xml:space="preserve"> tab, such as type </w:t>
      </w:r>
      <w:r w:rsidRPr="0021498F">
        <w:rPr>
          <w:b/>
          <w:bCs/>
        </w:rPr>
        <w:t>Sandbox</w:t>
      </w:r>
      <w:r w:rsidRPr="0021498F">
        <w:t xml:space="preserve"> or </w:t>
      </w:r>
      <w:r w:rsidRPr="0021498F">
        <w:rPr>
          <w:b/>
          <w:bCs/>
        </w:rPr>
        <w:t>Production</w:t>
      </w:r>
      <w:r w:rsidRPr="0021498F">
        <w:t>), and to deploy sample apps with data.</w:t>
      </w:r>
    </w:p>
    <w:p w14:paraId="71B89730" w14:textId="77777777" w:rsidR="0021498F" w:rsidRPr="0021498F" w:rsidRDefault="0021498F" w:rsidP="0021498F">
      <w:r w:rsidRPr="0021498F">
        <w:t xml:space="preserve">You can select the back arrow at the top left of the panel to adjust your choice from the </w:t>
      </w:r>
      <w:proofErr w:type="gramStart"/>
      <w:r w:rsidRPr="0021498F">
        <w:rPr>
          <w:b/>
          <w:bCs/>
        </w:rPr>
        <w:t>New</w:t>
      </w:r>
      <w:proofErr w:type="gramEnd"/>
      <w:r w:rsidRPr="0021498F">
        <w:rPr>
          <w:b/>
          <w:bCs/>
        </w:rPr>
        <w:t xml:space="preserve"> environment</w:t>
      </w:r>
      <w:r w:rsidRPr="0021498F">
        <w:t xml:space="preserve"> tab. The following image shows the </w:t>
      </w:r>
      <w:r w:rsidRPr="0021498F">
        <w:rPr>
          <w:b/>
          <w:bCs/>
        </w:rPr>
        <w:t>Add Dataverse</w:t>
      </w:r>
      <w:r w:rsidRPr="0021498F">
        <w:t xml:space="preserve"> tab if anything other than </w:t>
      </w:r>
      <w:r w:rsidRPr="0021498F">
        <w:rPr>
          <w:b/>
          <w:bCs/>
        </w:rPr>
        <w:t>Developer</w:t>
      </w:r>
      <w:r w:rsidRPr="0021498F">
        <w:t xml:space="preserve"> is chosen.</w:t>
      </w:r>
    </w:p>
    <w:p w14:paraId="518D0765" w14:textId="7AF850CC" w:rsidR="0021498F" w:rsidRPr="0021498F" w:rsidRDefault="0021498F" w:rsidP="0021498F">
      <w:r w:rsidRPr="0021498F">
        <w:drawing>
          <wp:inline distT="0" distB="0" distL="0" distR="0" wp14:anchorId="23408F35" wp14:editId="718EA082">
            <wp:extent cx="2624138" cy="6315075"/>
            <wp:effectExtent l="0" t="0" r="5080" b="0"/>
            <wp:docPr id="300520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20597" name="Picture 1" descr="A screenshot of a computer&#10;&#10;AI-generated content may be incorrect."/>
                    <pic:cNvPicPr/>
                  </pic:nvPicPr>
                  <pic:blipFill>
                    <a:blip r:embed="rId7"/>
                    <a:stretch>
                      <a:fillRect/>
                    </a:stretch>
                  </pic:blipFill>
                  <pic:spPr>
                    <a:xfrm>
                      <a:off x="0" y="0"/>
                      <a:ext cx="2625570" cy="6318522"/>
                    </a:xfrm>
                    <a:prstGeom prst="rect">
                      <a:avLst/>
                    </a:prstGeom>
                  </pic:spPr>
                </pic:pic>
              </a:graphicData>
            </a:graphic>
          </wp:inline>
        </w:drawing>
      </w:r>
    </w:p>
    <w:p w14:paraId="2A618A61" w14:textId="77777777" w:rsidR="0021498F" w:rsidRPr="0021498F" w:rsidRDefault="0021498F" w:rsidP="0021498F">
      <w:pPr>
        <w:numPr>
          <w:ilvl w:val="0"/>
          <w:numId w:val="2"/>
        </w:numPr>
      </w:pPr>
      <w:r w:rsidRPr="0021498F">
        <w:lastRenderedPageBreak/>
        <w:t xml:space="preserve">Regarding the </w:t>
      </w:r>
      <w:r w:rsidRPr="0021498F">
        <w:rPr>
          <w:b/>
          <w:bCs/>
        </w:rPr>
        <w:t>Security group</w:t>
      </w:r>
      <w:r w:rsidRPr="0021498F">
        <w:t xml:space="preserve"> option, you </w:t>
      </w:r>
      <w:r w:rsidRPr="0021498F">
        <w:rPr>
          <w:i/>
          <w:iCs/>
        </w:rPr>
        <w:t>must</w:t>
      </w:r>
      <w:r w:rsidRPr="0021498F">
        <w:t xml:space="preserve"> select a </w:t>
      </w:r>
      <w:r w:rsidRPr="0021498F">
        <w:rPr>
          <w:b/>
          <w:bCs/>
        </w:rPr>
        <w:t>Security group</w:t>
      </w:r>
      <w:r w:rsidRPr="0021498F">
        <w:t xml:space="preserve"> to create the environment. With a security group designated, you restrict access to the environment to members of that security group.</w:t>
      </w:r>
    </w:p>
    <w:p w14:paraId="7B067929" w14:textId="77777777" w:rsidR="0021498F" w:rsidRPr="0021498F" w:rsidRDefault="0021498F" w:rsidP="0021498F">
      <w:pPr>
        <w:rPr>
          <w:b/>
          <w:bCs/>
        </w:rPr>
      </w:pPr>
      <w:r w:rsidRPr="0021498F">
        <w:rPr>
          <w:b/>
          <w:bCs/>
        </w:rPr>
        <w:t>Note</w:t>
      </w:r>
    </w:p>
    <w:p w14:paraId="42631680" w14:textId="77777777" w:rsidR="0021498F" w:rsidRPr="0021498F" w:rsidRDefault="0021498F" w:rsidP="0021498F">
      <w:r w:rsidRPr="0021498F">
        <w:t xml:space="preserve">The exception to the requirement to select a security group is the </w:t>
      </w:r>
      <w:r w:rsidRPr="0021498F">
        <w:rPr>
          <w:b/>
          <w:bCs/>
        </w:rPr>
        <w:t>Developer</w:t>
      </w:r>
      <w:r w:rsidRPr="0021498F">
        <w:t xml:space="preserve"> environment, which includes Dataverse but simplifies the options to just language and currency.</w:t>
      </w:r>
    </w:p>
    <w:p w14:paraId="6E630909" w14:textId="77777777" w:rsidR="0021498F" w:rsidRPr="0021498F" w:rsidRDefault="0021498F" w:rsidP="0021498F">
      <w:r w:rsidRPr="0021498F">
        <w:t xml:space="preserve">Select the </w:t>
      </w:r>
      <w:r w:rsidRPr="0021498F">
        <w:rPr>
          <w:b/>
          <w:bCs/>
        </w:rPr>
        <w:t>+ Select</w:t>
      </w:r>
      <w:r w:rsidRPr="0021498F">
        <w:t xml:space="preserve"> button to choose a security group. Your options appear on the </w:t>
      </w:r>
      <w:r w:rsidRPr="0021498F">
        <w:rPr>
          <w:b/>
          <w:bCs/>
        </w:rPr>
        <w:t>Edit security group</w:t>
      </w:r>
      <w:r w:rsidRPr="0021498F">
        <w:t xml:space="preserve"> panel, which appears next. You can search/scroll to find a particular group.</w:t>
      </w:r>
    </w:p>
    <w:p w14:paraId="685E849F" w14:textId="74BA5ADC" w:rsidR="0021498F" w:rsidRPr="0021498F" w:rsidRDefault="0021498F" w:rsidP="0021498F">
      <w:r w:rsidRPr="0021498F">
        <w:drawing>
          <wp:inline distT="0" distB="0" distL="0" distR="0" wp14:anchorId="2C3C9A3E" wp14:editId="03772644">
            <wp:extent cx="2676525" cy="6304915"/>
            <wp:effectExtent l="0" t="0" r="9525" b="635"/>
            <wp:docPr id="141598898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88981" name="Picture 1" descr="A screenshot of a phone&#10;&#10;AI-generated content may be incorrect."/>
                    <pic:cNvPicPr/>
                  </pic:nvPicPr>
                  <pic:blipFill>
                    <a:blip r:embed="rId8"/>
                    <a:stretch>
                      <a:fillRect/>
                    </a:stretch>
                  </pic:blipFill>
                  <pic:spPr>
                    <a:xfrm>
                      <a:off x="0" y="0"/>
                      <a:ext cx="2678131" cy="6308698"/>
                    </a:xfrm>
                    <a:prstGeom prst="rect">
                      <a:avLst/>
                    </a:prstGeom>
                  </pic:spPr>
                </pic:pic>
              </a:graphicData>
            </a:graphic>
          </wp:inline>
        </w:drawing>
      </w:r>
    </w:p>
    <w:p w14:paraId="0D12A666" w14:textId="77777777" w:rsidR="0021498F" w:rsidRPr="0021498F" w:rsidRDefault="0021498F" w:rsidP="0021498F">
      <w:r w:rsidRPr="0021498F">
        <w:t xml:space="preserve">Notice that under "Open access" at the top, you can also opt for </w:t>
      </w:r>
      <w:r w:rsidRPr="0021498F">
        <w:rPr>
          <w:b/>
          <w:bCs/>
        </w:rPr>
        <w:t>None</w:t>
      </w:r>
      <w:r w:rsidRPr="0021498F">
        <w:t xml:space="preserve">, providing unrestricted access across your tenant (if you want all tenant users to be able to access this environment). Once you select a security group option, select </w:t>
      </w:r>
      <w:r w:rsidRPr="0021498F">
        <w:rPr>
          <w:b/>
          <w:bCs/>
        </w:rPr>
        <w:t>Done</w:t>
      </w:r>
      <w:r w:rsidRPr="0021498F">
        <w:t xml:space="preserve"> to continue.</w:t>
      </w:r>
    </w:p>
    <w:p w14:paraId="1F865A58" w14:textId="77777777" w:rsidR="0021498F" w:rsidRPr="0021498F" w:rsidRDefault="0021498F" w:rsidP="0021498F">
      <w:pPr>
        <w:numPr>
          <w:ilvl w:val="0"/>
          <w:numId w:val="2"/>
        </w:numPr>
      </w:pPr>
      <w:r w:rsidRPr="0021498F">
        <w:lastRenderedPageBreak/>
        <w:t xml:space="preserve">With your security group selected (other than the environment type </w:t>
      </w:r>
      <w:r w:rsidRPr="0021498F">
        <w:rPr>
          <w:b/>
          <w:bCs/>
        </w:rPr>
        <w:t>Developer</w:t>
      </w:r>
      <w:r w:rsidRPr="0021498F">
        <w:t xml:space="preserve">), you can now select </w:t>
      </w:r>
      <w:r w:rsidRPr="0021498F">
        <w:rPr>
          <w:b/>
          <w:bCs/>
        </w:rPr>
        <w:t>Save</w:t>
      </w:r>
      <w:r w:rsidRPr="0021498F">
        <w:t xml:space="preserve"> to create your new environment.</w:t>
      </w:r>
    </w:p>
    <w:p w14:paraId="004499CB" w14:textId="77777777" w:rsidR="0021498F" w:rsidRPr="0021498F" w:rsidRDefault="0021498F" w:rsidP="0021498F">
      <w:pPr>
        <w:rPr>
          <w:b/>
          <w:bCs/>
        </w:rPr>
      </w:pPr>
      <w:r w:rsidRPr="0021498F">
        <w:rPr>
          <w:b/>
          <w:bCs/>
        </w:rPr>
        <w:t>Tip</w:t>
      </w:r>
    </w:p>
    <w:p w14:paraId="62CCC095" w14:textId="77777777" w:rsidR="0021498F" w:rsidRPr="0021498F" w:rsidRDefault="0021498F" w:rsidP="0021498F">
      <w:r w:rsidRPr="0021498F">
        <w:t xml:space="preserve">Remember, each environment requires 1GB of storage space from your Tenant and you can't create a new environment without it. If you don't have the space, you need to either purchase or create more space in your tenant. You can learn more about </w:t>
      </w:r>
      <w:hyperlink r:id="rId9" w:tgtFrame="az-portal" w:history="1">
        <w:r w:rsidRPr="0021498F">
          <w:rPr>
            <w:rStyle w:val="Hyperlink"/>
            <w:b/>
            <w:bCs/>
          </w:rPr>
          <w:t>Dataverse storage capacity</w:t>
        </w:r>
      </w:hyperlink>
      <w:r w:rsidRPr="0021498F">
        <w:t xml:space="preserve"> here, if required.</w:t>
      </w:r>
    </w:p>
    <w:p w14:paraId="64050B0A" w14:textId="77777777" w:rsidR="0021498F" w:rsidRPr="0021498F" w:rsidRDefault="0021498F" w:rsidP="0021498F">
      <w:r w:rsidRPr="0021498F">
        <w:t>Congratulations, you just created a new environment including Dataverse!</w:t>
      </w:r>
    </w:p>
    <w:p w14:paraId="33A45C94" w14:textId="77777777" w:rsidR="003E4A5B" w:rsidRDefault="003E4A5B"/>
    <w:sectPr w:rsidR="003E4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901"/>
    <w:multiLevelType w:val="multilevel"/>
    <w:tmpl w:val="3F168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B1D51"/>
    <w:multiLevelType w:val="multilevel"/>
    <w:tmpl w:val="D8829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8708171">
    <w:abstractNumId w:val="0"/>
  </w:num>
  <w:num w:numId="2" w16cid:durableId="700663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8F"/>
    <w:rsid w:val="0021498F"/>
    <w:rsid w:val="003E4A5B"/>
    <w:rsid w:val="00C21C1C"/>
    <w:rsid w:val="00EE4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0E59"/>
  <w15:chartTrackingRefBased/>
  <w15:docId w15:val="{42028C10-37C6-41C8-B364-C94B2403C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98F"/>
    <w:rPr>
      <w:rFonts w:eastAsiaTheme="majorEastAsia" w:cstheme="majorBidi"/>
      <w:color w:val="272727" w:themeColor="text1" w:themeTint="D8"/>
    </w:rPr>
  </w:style>
  <w:style w:type="paragraph" w:styleId="Title">
    <w:name w:val="Title"/>
    <w:basedOn w:val="Normal"/>
    <w:next w:val="Normal"/>
    <w:link w:val="TitleChar"/>
    <w:uiPriority w:val="10"/>
    <w:qFormat/>
    <w:rsid w:val="00214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98F"/>
    <w:pPr>
      <w:spacing w:before="160"/>
      <w:jc w:val="center"/>
    </w:pPr>
    <w:rPr>
      <w:i/>
      <w:iCs/>
      <w:color w:val="404040" w:themeColor="text1" w:themeTint="BF"/>
    </w:rPr>
  </w:style>
  <w:style w:type="character" w:customStyle="1" w:styleId="QuoteChar">
    <w:name w:val="Quote Char"/>
    <w:basedOn w:val="DefaultParagraphFont"/>
    <w:link w:val="Quote"/>
    <w:uiPriority w:val="29"/>
    <w:rsid w:val="0021498F"/>
    <w:rPr>
      <w:i/>
      <w:iCs/>
      <w:color w:val="404040" w:themeColor="text1" w:themeTint="BF"/>
    </w:rPr>
  </w:style>
  <w:style w:type="paragraph" w:styleId="ListParagraph">
    <w:name w:val="List Paragraph"/>
    <w:basedOn w:val="Normal"/>
    <w:uiPriority w:val="34"/>
    <w:qFormat/>
    <w:rsid w:val="0021498F"/>
    <w:pPr>
      <w:ind w:left="720"/>
      <w:contextualSpacing/>
    </w:pPr>
  </w:style>
  <w:style w:type="character" w:styleId="IntenseEmphasis">
    <w:name w:val="Intense Emphasis"/>
    <w:basedOn w:val="DefaultParagraphFont"/>
    <w:uiPriority w:val="21"/>
    <w:qFormat/>
    <w:rsid w:val="0021498F"/>
    <w:rPr>
      <w:i/>
      <w:iCs/>
      <w:color w:val="0F4761" w:themeColor="accent1" w:themeShade="BF"/>
    </w:rPr>
  </w:style>
  <w:style w:type="paragraph" w:styleId="IntenseQuote">
    <w:name w:val="Intense Quote"/>
    <w:basedOn w:val="Normal"/>
    <w:next w:val="Normal"/>
    <w:link w:val="IntenseQuoteChar"/>
    <w:uiPriority w:val="30"/>
    <w:qFormat/>
    <w:rsid w:val="0021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98F"/>
    <w:rPr>
      <w:i/>
      <w:iCs/>
      <w:color w:val="0F4761" w:themeColor="accent1" w:themeShade="BF"/>
    </w:rPr>
  </w:style>
  <w:style w:type="character" w:styleId="IntenseReference">
    <w:name w:val="Intense Reference"/>
    <w:basedOn w:val="DefaultParagraphFont"/>
    <w:uiPriority w:val="32"/>
    <w:qFormat/>
    <w:rsid w:val="0021498F"/>
    <w:rPr>
      <w:b/>
      <w:bCs/>
      <w:smallCaps/>
      <w:color w:val="0F4761" w:themeColor="accent1" w:themeShade="BF"/>
      <w:spacing w:val="5"/>
    </w:rPr>
  </w:style>
  <w:style w:type="character" w:styleId="Hyperlink">
    <w:name w:val="Hyperlink"/>
    <w:basedOn w:val="DefaultParagraphFont"/>
    <w:uiPriority w:val="99"/>
    <w:unhideWhenUsed/>
    <w:rsid w:val="0021498F"/>
    <w:rPr>
      <w:color w:val="467886" w:themeColor="hyperlink"/>
      <w:u w:val="single"/>
    </w:rPr>
  </w:style>
  <w:style w:type="character" w:styleId="UnresolvedMention">
    <w:name w:val="Unresolved Mention"/>
    <w:basedOn w:val="DefaultParagraphFont"/>
    <w:uiPriority w:val="99"/>
    <w:semiHidden/>
    <w:unhideWhenUsed/>
    <w:rsid w:val="00214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50956">
      <w:bodyDiv w:val="1"/>
      <w:marLeft w:val="0"/>
      <w:marRight w:val="0"/>
      <w:marTop w:val="0"/>
      <w:marBottom w:val="0"/>
      <w:divBdr>
        <w:top w:val="none" w:sz="0" w:space="0" w:color="auto"/>
        <w:left w:val="none" w:sz="0" w:space="0" w:color="auto"/>
        <w:bottom w:val="none" w:sz="0" w:space="0" w:color="auto"/>
        <w:right w:val="none" w:sz="0" w:space="0" w:color="auto"/>
      </w:divBdr>
      <w:divsChild>
        <w:div w:id="342047869">
          <w:marLeft w:val="0"/>
          <w:marRight w:val="0"/>
          <w:marTop w:val="0"/>
          <w:marBottom w:val="0"/>
          <w:divBdr>
            <w:top w:val="none" w:sz="0" w:space="0" w:color="auto"/>
            <w:left w:val="none" w:sz="0" w:space="0" w:color="auto"/>
            <w:bottom w:val="none" w:sz="0" w:space="0" w:color="auto"/>
            <w:right w:val="none" w:sz="0" w:space="0" w:color="auto"/>
          </w:divBdr>
        </w:div>
        <w:div w:id="636952118">
          <w:marLeft w:val="0"/>
          <w:marRight w:val="0"/>
          <w:marTop w:val="0"/>
          <w:marBottom w:val="0"/>
          <w:divBdr>
            <w:top w:val="none" w:sz="0" w:space="0" w:color="auto"/>
            <w:left w:val="none" w:sz="0" w:space="0" w:color="auto"/>
            <w:bottom w:val="none" w:sz="0" w:space="0" w:color="auto"/>
            <w:right w:val="none" w:sz="0" w:space="0" w:color="auto"/>
          </w:divBdr>
        </w:div>
        <w:div w:id="491607901">
          <w:marLeft w:val="0"/>
          <w:marRight w:val="0"/>
          <w:marTop w:val="0"/>
          <w:marBottom w:val="0"/>
          <w:divBdr>
            <w:top w:val="single" w:sz="4" w:space="0" w:color="3B2E58"/>
            <w:left w:val="single" w:sz="4" w:space="0" w:color="3B2E58"/>
            <w:bottom w:val="single" w:sz="4" w:space="0" w:color="3B2E58"/>
            <w:right w:val="single" w:sz="4" w:space="0" w:color="3B2E58"/>
          </w:divBdr>
        </w:div>
        <w:div w:id="536626380">
          <w:marLeft w:val="0"/>
          <w:marRight w:val="0"/>
          <w:marTop w:val="0"/>
          <w:marBottom w:val="0"/>
          <w:divBdr>
            <w:top w:val="none" w:sz="0" w:space="0" w:color="auto"/>
            <w:left w:val="none" w:sz="0" w:space="0" w:color="auto"/>
            <w:bottom w:val="none" w:sz="0" w:space="0" w:color="auto"/>
            <w:right w:val="none" w:sz="0" w:space="0" w:color="auto"/>
          </w:divBdr>
        </w:div>
        <w:div w:id="1916544360">
          <w:marLeft w:val="0"/>
          <w:marRight w:val="0"/>
          <w:marTop w:val="0"/>
          <w:marBottom w:val="0"/>
          <w:divBdr>
            <w:top w:val="single" w:sz="4" w:space="0" w:color="0E700E"/>
            <w:left w:val="single" w:sz="4" w:space="0" w:color="0E700E"/>
            <w:bottom w:val="single" w:sz="4" w:space="0" w:color="0E700E"/>
            <w:right w:val="single" w:sz="4" w:space="0" w:color="0E700E"/>
          </w:divBdr>
        </w:div>
      </w:divsChild>
    </w:div>
    <w:div w:id="232086225">
      <w:bodyDiv w:val="1"/>
      <w:marLeft w:val="0"/>
      <w:marRight w:val="0"/>
      <w:marTop w:val="0"/>
      <w:marBottom w:val="0"/>
      <w:divBdr>
        <w:top w:val="none" w:sz="0" w:space="0" w:color="auto"/>
        <w:left w:val="none" w:sz="0" w:space="0" w:color="auto"/>
        <w:bottom w:val="none" w:sz="0" w:space="0" w:color="auto"/>
        <w:right w:val="none" w:sz="0" w:space="0" w:color="auto"/>
      </w:divBdr>
      <w:divsChild>
        <w:div w:id="656616584">
          <w:marLeft w:val="0"/>
          <w:marRight w:val="0"/>
          <w:marTop w:val="0"/>
          <w:marBottom w:val="0"/>
          <w:divBdr>
            <w:top w:val="none" w:sz="0" w:space="0" w:color="auto"/>
            <w:left w:val="none" w:sz="0" w:space="0" w:color="auto"/>
            <w:bottom w:val="none" w:sz="0" w:space="0" w:color="auto"/>
            <w:right w:val="none" w:sz="0" w:space="0" w:color="auto"/>
          </w:divBdr>
        </w:div>
        <w:div w:id="1806312937">
          <w:marLeft w:val="0"/>
          <w:marRight w:val="0"/>
          <w:marTop w:val="0"/>
          <w:marBottom w:val="0"/>
          <w:divBdr>
            <w:top w:val="none" w:sz="0" w:space="0" w:color="auto"/>
            <w:left w:val="none" w:sz="0" w:space="0" w:color="auto"/>
            <w:bottom w:val="none" w:sz="0" w:space="0" w:color="auto"/>
            <w:right w:val="none" w:sz="0" w:space="0" w:color="auto"/>
          </w:divBdr>
        </w:div>
        <w:div w:id="1584878379">
          <w:marLeft w:val="0"/>
          <w:marRight w:val="0"/>
          <w:marTop w:val="0"/>
          <w:marBottom w:val="0"/>
          <w:divBdr>
            <w:top w:val="single" w:sz="6" w:space="0" w:color="3B2E58"/>
            <w:left w:val="single" w:sz="6" w:space="0" w:color="3B2E58"/>
            <w:bottom w:val="single" w:sz="6" w:space="0" w:color="3B2E58"/>
            <w:right w:val="single" w:sz="6" w:space="0" w:color="3B2E58"/>
          </w:divBdr>
        </w:div>
        <w:div w:id="1010061129">
          <w:marLeft w:val="0"/>
          <w:marRight w:val="0"/>
          <w:marTop w:val="0"/>
          <w:marBottom w:val="0"/>
          <w:divBdr>
            <w:top w:val="none" w:sz="0" w:space="0" w:color="auto"/>
            <w:left w:val="none" w:sz="0" w:space="0" w:color="auto"/>
            <w:bottom w:val="none" w:sz="0" w:space="0" w:color="auto"/>
            <w:right w:val="none" w:sz="0" w:space="0" w:color="auto"/>
          </w:divBdr>
        </w:div>
        <w:div w:id="1351419364">
          <w:marLeft w:val="0"/>
          <w:marRight w:val="0"/>
          <w:marTop w:val="0"/>
          <w:marBottom w:val="0"/>
          <w:divBdr>
            <w:top w:val="single" w:sz="6" w:space="0" w:color="0E700E"/>
            <w:left w:val="single" w:sz="6" w:space="0" w:color="0E700E"/>
            <w:bottom w:val="single" w:sz="6" w:space="0" w:color="0E700E"/>
            <w:right w:val="single" w:sz="6" w:space="0" w:color="0E700E"/>
          </w:divBdr>
        </w:div>
      </w:divsChild>
    </w:div>
    <w:div w:id="412318029">
      <w:bodyDiv w:val="1"/>
      <w:marLeft w:val="0"/>
      <w:marRight w:val="0"/>
      <w:marTop w:val="0"/>
      <w:marBottom w:val="0"/>
      <w:divBdr>
        <w:top w:val="none" w:sz="0" w:space="0" w:color="auto"/>
        <w:left w:val="none" w:sz="0" w:space="0" w:color="auto"/>
        <w:bottom w:val="none" w:sz="0" w:space="0" w:color="auto"/>
        <w:right w:val="none" w:sz="0" w:space="0" w:color="auto"/>
      </w:divBdr>
      <w:divsChild>
        <w:div w:id="1535850727">
          <w:marLeft w:val="0"/>
          <w:marRight w:val="0"/>
          <w:marTop w:val="0"/>
          <w:marBottom w:val="0"/>
          <w:divBdr>
            <w:top w:val="none" w:sz="0" w:space="0" w:color="auto"/>
            <w:left w:val="none" w:sz="0" w:space="0" w:color="auto"/>
            <w:bottom w:val="none" w:sz="0" w:space="0" w:color="auto"/>
            <w:right w:val="none" w:sz="0" w:space="0" w:color="auto"/>
          </w:divBdr>
        </w:div>
        <w:div w:id="223419942">
          <w:marLeft w:val="0"/>
          <w:marRight w:val="0"/>
          <w:marTop w:val="0"/>
          <w:marBottom w:val="0"/>
          <w:divBdr>
            <w:top w:val="none" w:sz="0" w:space="0" w:color="auto"/>
            <w:left w:val="none" w:sz="0" w:space="0" w:color="auto"/>
            <w:bottom w:val="none" w:sz="0" w:space="0" w:color="auto"/>
            <w:right w:val="none" w:sz="0" w:space="0" w:color="auto"/>
          </w:divBdr>
        </w:div>
        <w:div w:id="646395118">
          <w:marLeft w:val="0"/>
          <w:marRight w:val="0"/>
          <w:marTop w:val="0"/>
          <w:marBottom w:val="0"/>
          <w:divBdr>
            <w:top w:val="single" w:sz="6" w:space="0" w:color="3B2E58"/>
            <w:left w:val="single" w:sz="6" w:space="0" w:color="3B2E58"/>
            <w:bottom w:val="single" w:sz="6" w:space="0" w:color="3B2E58"/>
            <w:right w:val="single" w:sz="6" w:space="0" w:color="3B2E58"/>
          </w:divBdr>
        </w:div>
        <w:div w:id="597719731">
          <w:marLeft w:val="0"/>
          <w:marRight w:val="0"/>
          <w:marTop w:val="0"/>
          <w:marBottom w:val="0"/>
          <w:divBdr>
            <w:top w:val="none" w:sz="0" w:space="0" w:color="auto"/>
            <w:left w:val="none" w:sz="0" w:space="0" w:color="auto"/>
            <w:bottom w:val="none" w:sz="0" w:space="0" w:color="auto"/>
            <w:right w:val="none" w:sz="0" w:space="0" w:color="auto"/>
          </w:divBdr>
        </w:div>
        <w:div w:id="1135949575">
          <w:marLeft w:val="0"/>
          <w:marRight w:val="0"/>
          <w:marTop w:val="0"/>
          <w:marBottom w:val="0"/>
          <w:divBdr>
            <w:top w:val="single" w:sz="6" w:space="0" w:color="0E700E"/>
            <w:left w:val="single" w:sz="6" w:space="0" w:color="0E700E"/>
            <w:bottom w:val="single" w:sz="6" w:space="0" w:color="0E700E"/>
            <w:right w:val="single" w:sz="6" w:space="0" w:color="0E700E"/>
          </w:divBdr>
        </w:div>
      </w:divsChild>
    </w:div>
    <w:div w:id="798451044">
      <w:bodyDiv w:val="1"/>
      <w:marLeft w:val="0"/>
      <w:marRight w:val="0"/>
      <w:marTop w:val="0"/>
      <w:marBottom w:val="0"/>
      <w:divBdr>
        <w:top w:val="none" w:sz="0" w:space="0" w:color="auto"/>
        <w:left w:val="none" w:sz="0" w:space="0" w:color="auto"/>
        <w:bottom w:val="none" w:sz="0" w:space="0" w:color="auto"/>
        <w:right w:val="none" w:sz="0" w:space="0" w:color="auto"/>
      </w:divBdr>
    </w:div>
    <w:div w:id="1467770293">
      <w:bodyDiv w:val="1"/>
      <w:marLeft w:val="0"/>
      <w:marRight w:val="0"/>
      <w:marTop w:val="0"/>
      <w:marBottom w:val="0"/>
      <w:divBdr>
        <w:top w:val="none" w:sz="0" w:space="0" w:color="auto"/>
        <w:left w:val="none" w:sz="0" w:space="0" w:color="auto"/>
        <w:bottom w:val="none" w:sz="0" w:space="0" w:color="auto"/>
        <w:right w:val="none" w:sz="0" w:space="0" w:color="auto"/>
      </w:divBdr>
    </w:div>
    <w:div w:id="1548953563">
      <w:bodyDiv w:val="1"/>
      <w:marLeft w:val="0"/>
      <w:marRight w:val="0"/>
      <w:marTop w:val="0"/>
      <w:marBottom w:val="0"/>
      <w:divBdr>
        <w:top w:val="none" w:sz="0" w:space="0" w:color="auto"/>
        <w:left w:val="none" w:sz="0" w:space="0" w:color="auto"/>
        <w:bottom w:val="none" w:sz="0" w:space="0" w:color="auto"/>
        <w:right w:val="none" w:sz="0" w:space="0" w:color="auto"/>
      </w:divBdr>
      <w:divsChild>
        <w:div w:id="102388549">
          <w:marLeft w:val="0"/>
          <w:marRight w:val="0"/>
          <w:marTop w:val="0"/>
          <w:marBottom w:val="0"/>
          <w:divBdr>
            <w:top w:val="none" w:sz="0" w:space="0" w:color="auto"/>
            <w:left w:val="none" w:sz="0" w:space="0" w:color="auto"/>
            <w:bottom w:val="none" w:sz="0" w:space="0" w:color="auto"/>
            <w:right w:val="none" w:sz="0" w:space="0" w:color="auto"/>
          </w:divBdr>
        </w:div>
        <w:div w:id="713382926">
          <w:marLeft w:val="0"/>
          <w:marRight w:val="0"/>
          <w:marTop w:val="0"/>
          <w:marBottom w:val="0"/>
          <w:divBdr>
            <w:top w:val="none" w:sz="0" w:space="0" w:color="auto"/>
            <w:left w:val="none" w:sz="0" w:space="0" w:color="auto"/>
            <w:bottom w:val="none" w:sz="0" w:space="0" w:color="auto"/>
            <w:right w:val="none" w:sz="0" w:space="0" w:color="auto"/>
          </w:divBdr>
        </w:div>
        <w:div w:id="412356413">
          <w:marLeft w:val="0"/>
          <w:marRight w:val="0"/>
          <w:marTop w:val="0"/>
          <w:marBottom w:val="0"/>
          <w:divBdr>
            <w:top w:val="single" w:sz="4" w:space="0" w:color="3B2E58"/>
            <w:left w:val="single" w:sz="4" w:space="0" w:color="3B2E58"/>
            <w:bottom w:val="single" w:sz="4" w:space="0" w:color="3B2E58"/>
            <w:right w:val="single" w:sz="4" w:space="0" w:color="3B2E58"/>
          </w:divBdr>
        </w:div>
        <w:div w:id="691079303">
          <w:marLeft w:val="0"/>
          <w:marRight w:val="0"/>
          <w:marTop w:val="0"/>
          <w:marBottom w:val="0"/>
          <w:divBdr>
            <w:top w:val="none" w:sz="0" w:space="0" w:color="auto"/>
            <w:left w:val="none" w:sz="0" w:space="0" w:color="auto"/>
            <w:bottom w:val="none" w:sz="0" w:space="0" w:color="auto"/>
            <w:right w:val="none" w:sz="0" w:space="0" w:color="auto"/>
          </w:divBdr>
        </w:div>
        <w:div w:id="717440274">
          <w:marLeft w:val="0"/>
          <w:marRight w:val="0"/>
          <w:marTop w:val="0"/>
          <w:marBottom w:val="0"/>
          <w:divBdr>
            <w:top w:val="single" w:sz="4" w:space="0" w:color="0E700E"/>
            <w:left w:val="single" w:sz="4" w:space="0" w:color="0E700E"/>
            <w:bottom w:val="single" w:sz="4" w:space="0" w:color="0E700E"/>
            <w:right w:val="single" w:sz="4" w:space="0" w:color="0E700E"/>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dmin.powerplatform.microsof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power-platform/admin/whats-new-sto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NS</dc:creator>
  <cp:keywords/>
  <dc:description/>
  <cp:lastModifiedBy>Jenkins NS</cp:lastModifiedBy>
  <cp:revision>1</cp:revision>
  <dcterms:created xsi:type="dcterms:W3CDTF">2026-10-23T06:39:00Z</dcterms:created>
  <dcterms:modified xsi:type="dcterms:W3CDTF">2026-10-23T06:43:00Z</dcterms:modified>
</cp:coreProperties>
</file>