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2FF4" w14:textId="519023D6" w:rsidR="001C5B57" w:rsidRPr="001C5B57" w:rsidRDefault="001C5B57" w:rsidP="001C5B57">
      <w:pPr>
        <w:shd w:val="clear" w:color="auto" w:fill="FFFFFF"/>
        <w:spacing w:before="100" w:beforeAutospacing="1" w:after="100" w:afterAutospacing="1" w:line="360" w:lineRule="auto"/>
        <w:outlineLvl w:val="1"/>
        <w:rPr>
          <w:rFonts w:eastAsia="Times New Roman" w:cstheme="minorHAnsi"/>
          <w:b/>
          <w:bCs/>
          <w:kern w:val="0"/>
          <w:sz w:val="36"/>
          <w:szCs w:val="36"/>
          <w:lang w:eastAsia="en-GB"/>
          <w14:ligatures w14:val="none"/>
        </w:rPr>
      </w:pPr>
      <w:r w:rsidRPr="001C5B57">
        <w:rPr>
          <w:rFonts w:eastAsia="Times New Roman" w:cstheme="minorHAnsi"/>
          <w:b/>
          <w:bCs/>
          <w:kern w:val="0"/>
          <w:sz w:val="36"/>
          <w:szCs w:val="36"/>
          <w:lang w:eastAsia="en-GB"/>
          <w14:ligatures w14:val="none"/>
        </w:rPr>
        <w:t>Create and run a search</w:t>
      </w:r>
    </w:p>
    <w:p w14:paraId="291BBB68" w14:textId="77777777" w:rsidR="001C5B57" w:rsidRPr="001C5B57" w:rsidRDefault="001C5B57" w:rsidP="001C5B57">
      <w:pPr>
        <w:numPr>
          <w:ilvl w:val="0"/>
          <w:numId w:val="3"/>
        </w:num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Go to </w:t>
      </w:r>
      <w:hyperlink r:id="rId5" w:history="1">
        <w:r w:rsidRPr="001C5B57">
          <w:rPr>
            <w:rFonts w:eastAsia="Times New Roman" w:cstheme="minorHAnsi"/>
            <w:kern w:val="0"/>
            <w:sz w:val="24"/>
            <w:szCs w:val="24"/>
            <w:u w:val="single"/>
            <w:lang w:eastAsia="en-GB"/>
            <w14:ligatures w14:val="none"/>
          </w:rPr>
          <w:t>https://compliance.microsoft.com</w:t>
        </w:r>
      </w:hyperlink>
      <w:r w:rsidRPr="001C5B57">
        <w:rPr>
          <w:rFonts w:eastAsia="Times New Roman" w:cstheme="minorHAnsi"/>
          <w:kern w:val="0"/>
          <w:sz w:val="24"/>
          <w:szCs w:val="24"/>
          <w:lang w:eastAsia="en-GB"/>
          <w14:ligatures w14:val="none"/>
        </w:rPr>
        <w:t> and sign in using the credentials of an account that's been assigned the appropriate permissions.</w:t>
      </w:r>
    </w:p>
    <w:p w14:paraId="27F15688" w14:textId="77777777" w:rsidR="001C5B57" w:rsidRPr="001C5B57" w:rsidRDefault="001C5B57" w:rsidP="001C5B57">
      <w:pPr>
        <w:numPr>
          <w:ilvl w:val="0"/>
          <w:numId w:val="3"/>
        </w:num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In the left navigation pane of the compliance portal, click </w:t>
      </w:r>
      <w:r w:rsidRPr="001C5B57">
        <w:rPr>
          <w:rFonts w:eastAsia="Times New Roman" w:cstheme="minorHAnsi"/>
          <w:b/>
          <w:bCs/>
          <w:kern w:val="0"/>
          <w:sz w:val="24"/>
          <w:szCs w:val="24"/>
          <w:lang w:eastAsia="en-GB"/>
          <w14:ligatures w14:val="none"/>
        </w:rPr>
        <w:t>Content search</w:t>
      </w:r>
      <w:r w:rsidRPr="001C5B57">
        <w:rPr>
          <w:rFonts w:eastAsia="Times New Roman" w:cstheme="minorHAnsi"/>
          <w:kern w:val="0"/>
          <w:sz w:val="24"/>
          <w:szCs w:val="24"/>
          <w:lang w:eastAsia="en-GB"/>
          <w14:ligatures w14:val="none"/>
        </w:rPr>
        <w:t>.</w:t>
      </w:r>
    </w:p>
    <w:p w14:paraId="70915966" w14:textId="77777777" w:rsidR="001C5B57" w:rsidRPr="001C5B57" w:rsidRDefault="001C5B57" w:rsidP="001C5B57">
      <w:pPr>
        <w:numPr>
          <w:ilvl w:val="0"/>
          <w:numId w:val="3"/>
        </w:num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On the </w:t>
      </w:r>
      <w:r w:rsidRPr="001C5B57">
        <w:rPr>
          <w:rFonts w:eastAsia="Times New Roman" w:cstheme="minorHAnsi"/>
          <w:b/>
          <w:bCs/>
          <w:kern w:val="0"/>
          <w:sz w:val="24"/>
          <w:szCs w:val="24"/>
          <w:lang w:eastAsia="en-GB"/>
          <w14:ligatures w14:val="none"/>
        </w:rPr>
        <w:t>Content search</w:t>
      </w:r>
      <w:r w:rsidRPr="001C5B57">
        <w:rPr>
          <w:rFonts w:eastAsia="Times New Roman" w:cstheme="minorHAnsi"/>
          <w:kern w:val="0"/>
          <w:sz w:val="24"/>
          <w:szCs w:val="24"/>
          <w:lang w:eastAsia="en-GB"/>
          <w14:ligatures w14:val="none"/>
        </w:rPr>
        <w:t> page, click </w:t>
      </w:r>
      <w:proofErr w:type="gramStart"/>
      <w:r w:rsidRPr="001C5B57">
        <w:rPr>
          <w:rFonts w:eastAsia="Times New Roman" w:cstheme="minorHAnsi"/>
          <w:b/>
          <w:bCs/>
          <w:kern w:val="0"/>
          <w:sz w:val="24"/>
          <w:szCs w:val="24"/>
          <w:lang w:eastAsia="en-GB"/>
          <w14:ligatures w14:val="none"/>
        </w:rPr>
        <w:t>New</w:t>
      </w:r>
      <w:proofErr w:type="gramEnd"/>
      <w:r w:rsidRPr="001C5B57">
        <w:rPr>
          <w:rFonts w:eastAsia="Times New Roman" w:cstheme="minorHAnsi"/>
          <w:b/>
          <w:bCs/>
          <w:kern w:val="0"/>
          <w:sz w:val="24"/>
          <w:szCs w:val="24"/>
          <w:lang w:eastAsia="en-GB"/>
          <w14:ligatures w14:val="none"/>
        </w:rPr>
        <w:t xml:space="preserve"> search</w:t>
      </w:r>
      <w:r w:rsidRPr="001C5B57">
        <w:rPr>
          <w:rFonts w:eastAsia="Times New Roman" w:cstheme="minorHAnsi"/>
          <w:kern w:val="0"/>
          <w:sz w:val="24"/>
          <w:szCs w:val="24"/>
          <w:lang w:eastAsia="en-GB"/>
          <w14:ligatures w14:val="none"/>
        </w:rPr>
        <w:t>.</w:t>
      </w:r>
    </w:p>
    <w:p w14:paraId="131F8E86" w14:textId="77777777" w:rsidR="001C5B57" w:rsidRPr="001C5B57" w:rsidRDefault="001C5B57" w:rsidP="001C5B57">
      <w:pPr>
        <w:numPr>
          <w:ilvl w:val="0"/>
          <w:numId w:val="3"/>
        </w:num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Type a name for the search, an optional description that helps identify the search. The name of the search must be unique in your organization.</w:t>
      </w:r>
    </w:p>
    <w:p w14:paraId="3CAB76E2" w14:textId="77777777" w:rsidR="001C5B57" w:rsidRPr="001C5B57" w:rsidRDefault="001C5B57" w:rsidP="001C5B57">
      <w:pPr>
        <w:numPr>
          <w:ilvl w:val="0"/>
          <w:numId w:val="3"/>
        </w:num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On the </w:t>
      </w:r>
      <w:r w:rsidRPr="001C5B57">
        <w:rPr>
          <w:rFonts w:eastAsia="Times New Roman" w:cstheme="minorHAnsi"/>
          <w:b/>
          <w:bCs/>
          <w:kern w:val="0"/>
          <w:sz w:val="24"/>
          <w:szCs w:val="24"/>
          <w:lang w:eastAsia="en-GB"/>
          <w14:ligatures w14:val="none"/>
        </w:rPr>
        <w:t>Locations</w:t>
      </w:r>
      <w:r w:rsidRPr="001C5B57">
        <w:rPr>
          <w:rFonts w:eastAsia="Times New Roman" w:cstheme="minorHAnsi"/>
          <w:kern w:val="0"/>
          <w:sz w:val="24"/>
          <w:szCs w:val="24"/>
          <w:lang w:eastAsia="en-GB"/>
          <w14:ligatures w14:val="none"/>
        </w:rPr>
        <w:t> page, choose the content locations that you want to search. You can search mailboxes, sites, and public folders.</w:t>
      </w:r>
    </w:p>
    <w:p w14:paraId="18FC8B87" w14:textId="67BD50FE" w:rsidR="001C5B57" w:rsidRPr="001C5B57" w:rsidRDefault="001C5B57" w:rsidP="001C5B57">
      <w:p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drawing>
          <wp:inline distT="0" distB="0" distL="0" distR="0" wp14:anchorId="64D9026D" wp14:editId="3B4B5639">
            <wp:extent cx="5731510" cy="2544445"/>
            <wp:effectExtent l="0" t="0" r="254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544445"/>
                    </a:xfrm>
                    <a:prstGeom prst="rect">
                      <a:avLst/>
                    </a:prstGeom>
                  </pic:spPr>
                </pic:pic>
              </a:graphicData>
            </a:graphic>
          </wp:inline>
        </w:drawing>
      </w:r>
    </w:p>
    <w:p w14:paraId="6254F54A" w14:textId="77777777" w:rsidR="001C5B57" w:rsidRPr="001C5B57" w:rsidRDefault="001C5B57" w:rsidP="001C5B57">
      <w:pPr>
        <w:pStyle w:val="ListParagraph"/>
        <w:numPr>
          <w:ilvl w:val="0"/>
          <w:numId w:val="3"/>
        </w:numPr>
        <w:shd w:val="clear" w:color="auto" w:fill="FFFFFF"/>
        <w:spacing w:after="0" w:line="360" w:lineRule="auto"/>
        <w:rPr>
          <w:rFonts w:eastAsia="Times New Roman" w:cstheme="minorHAnsi"/>
          <w:kern w:val="0"/>
          <w:sz w:val="24"/>
          <w:szCs w:val="24"/>
          <w:lang w:eastAsia="en-GB"/>
          <w14:ligatures w14:val="none"/>
        </w:rPr>
      </w:pPr>
    </w:p>
    <w:p w14:paraId="3991720F" w14:textId="77777777" w:rsidR="001C5B57" w:rsidRPr="001C5B57" w:rsidRDefault="001C5B57" w:rsidP="001C5B57">
      <w:pPr>
        <w:numPr>
          <w:ilvl w:val="1"/>
          <w:numId w:val="6"/>
        </w:numPr>
        <w:shd w:val="clear" w:color="auto" w:fill="FFFFFF"/>
        <w:spacing w:before="100" w:beforeAutospacing="1" w:after="100" w:afterAutospacing="1" w:line="360" w:lineRule="auto"/>
        <w:ind w:left="2310" w:hanging="360"/>
        <w:rPr>
          <w:rFonts w:eastAsia="Times New Roman" w:cstheme="minorHAnsi"/>
          <w:kern w:val="0"/>
          <w:sz w:val="24"/>
          <w:szCs w:val="24"/>
          <w:lang w:eastAsia="en-GB"/>
          <w14:ligatures w14:val="none"/>
        </w:rPr>
      </w:pPr>
      <w:r w:rsidRPr="001C5B57">
        <w:rPr>
          <w:rFonts w:eastAsia="Times New Roman" w:cstheme="minorHAnsi"/>
          <w:b/>
          <w:bCs/>
          <w:kern w:val="0"/>
          <w:sz w:val="24"/>
          <w:szCs w:val="24"/>
          <w:lang w:eastAsia="en-GB"/>
          <w14:ligatures w14:val="none"/>
        </w:rPr>
        <w:t>Exchange mailboxes</w:t>
      </w:r>
      <w:r w:rsidRPr="001C5B57">
        <w:rPr>
          <w:rFonts w:eastAsia="Times New Roman" w:cstheme="minorHAnsi"/>
          <w:kern w:val="0"/>
          <w:sz w:val="24"/>
          <w:szCs w:val="24"/>
          <w:lang w:eastAsia="en-GB"/>
          <w14:ligatures w14:val="none"/>
        </w:rPr>
        <w:t>: Set the toggle to </w:t>
      </w:r>
      <w:r w:rsidRPr="001C5B57">
        <w:rPr>
          <w:rFonts w:eastAsia="Times New Roman" w:cstheme="minorHAnsi"/>
          <w:b/>
          <w:bCs/>
          <w:kern w:val="0"/>
          <w:sz w:val="24"/>
          <w:szCs w:val="24"/>
          <w:lang w:eastAsia="en-GB"/>
          <w14:ligatures w14:val="none"/>
        </w:rPr>
        <w:t>On</w:t>
      </w:r>
      <w:r w:rsidRPr="001C5B57">
        <w:rPr>
          <w:rFonts w:eastAsia="Times New Roman" w:cstheme="minorHAnsi"/>
          <w:kern w:val="0"/>
          <w:sz w:val="24"/>
          <w:szCs w:val="24"/>
          <w:lang w:eastAsia="en-GB"/>
          <w14:ligatures w14:val="none"/>
        </w:rPr>
        <w:t> and then click </w:t>
      </w:r>
      <w:r w:rsidRPr="001C5B57">
        <w:rPr>
          <w:rFonts w:eastAsia="Times New Roman" w:cstheme="minorHAnsi"/>
          <w:b/>
          <w:bCs/>
          <w:kern w:val="0"/>
          <w:sz w:val="24"/>
          <w:szCs w:val="24"/>
          <w:lang w:eastAsia="en-GB"/>
          <w14:ligatures w14:val="none"/>
        </w:rPr>
        <w:t>Choose users, groups, or teams</w:t>
      </w:r>
      <w:r w:rsidRPr="001C5B57">
        <w:rPr>
          <w:rFonts w:eastAsia="Times New Roman" w:cstheme="minorHAnsi"/>
          <w:kern w:val="0"/>
          <w:sz w:val="24"/>
          <w:szCs w:val="24"/>
          <w:lang w:eastAsia="en-GB"/>
          <w14:ligatures w14:val="none"/>
        </w:rPr>
        <w:t> to specify the mailboxes to place on hold. Use the search box to find user mailboxes and distribution groups. You can also search the mailbox associated with a Microsoft Team (for channel messages), Office 365 Group, and Yammer Group. For more information about the application data stored in mailboxes, see </w:t>
      </w:r>
      <w:hyperlink r:id="rId7" w:history="1">
        <w:r w:rsidRPr="001C5B57">
          <w:rPr>
            <w:rFonts w:eastAsia="Times New Roman" w:cstheme="minorHAnsi"/>
            <w:kern w:val="0"/>
            <w:sz w:val="24"/>
            <w:szCs w:val="24"/>
            <w:u w:val="single"/>
            <w:lang w:eastAsia="en-GB"/>
            <w14:ligatures w14:val="none"/>
          </w:rPr>
          <w:t>Content stored in mailboxes for eDiscovery</w:t>
        </w:r>
      </w:hyperlink>
      <w:r w:rsidRPr="001C5B57">
        <w:rPr>
          <w:rFonts w:eastAsia="Times New Roman" w:cstheme="minorHAnsi"/>
          <w:kern w:val="0"/>
          <w:sz w:val="24"/>
          <w:szCs w:val="24"/>
          <w:lang w:eastAsia="en-GB"/>
          <w14:ligatures w14:val="none"/>
        </w:rPr>
        <w:t>.</w:t>
      </w:r>
    </w:p>
    <w:p w14:paraId="1BD18949" w14:textId="77777777" w:rsidR="001C5B57" w:rsidRPr="001C5B57" w:rsidRDefault="001C5B57" w:rsidP="001C5B57">
      <w:pPr>
        <w:numPr>
          <w:ilvl w:val="1"/>
          <w:numId w:val="6"/>
        </w:numPr>
        <w:shd w:val="clear" w:color="auto" w:fill="FFFFFF"/>
        <w:spacing w:before="100" w:beforeAutospacing="1" w:after="100" w:afterAutospacing="1" w:line="360" w:lineRule="auto"/>
        <w:ind w:left="2310" w:hanging="360"/>
        <w:rPr>
          <w:rFonts w:eastAsia="Times New Roman" w:cstheme="minorHAnsi"/>
          <w:kern w:val="0"/>
          <w:sz w:val="24"/>
          <w:szCs w:val="24"/>
          <w:lang w:eastAsia="en-GB"/>
          <w14:ligatures w14:val="none"/>
        </w:rPr>
      </w:pPr>
      <w:r w:rsidRPr="001C5B57">
        <w:rPr>
          <w:rFonts w:eastAsia="Times New Roman" w:cstheme="minorHAnsi"/>
          <w:b/>
          <w:bCs/>
          <w:kern w:val="0"/>
          <w:sz w:val="24"/>
          <w:szCs w:val="24"/>
          <w:lang w:eastAsia="en-GB"/>
          <w14:ligatures w14:val="none"/>
        </w:rPr>
        <w:t>SharePoint sites</w:t>
      </w:r>
      <w:r w:rsidRPr="001C5B57">
        <w:rPr>
          <w:rFonts w:eastAsia="Times New Roman" w:cstheme="minorHAnsi"/>
          <w:kern w:val="0"/>
          <w:sz w:val="24"/>
          <w:szCs w:val="24"/>
          <w:lang w:eastAsia="en-GB"/>
          <w14:ligatures w14:val="none"/>
        </w:rPr>
        <w:t>: Set the toggle to </w:t>
      </w:r>
      <w:r w:rsidRPr="001C5B57">
        <w:rPr>
          <w:rFonts w:eastAsia="Times New Roman" w:cstheme="minorHAnsi"/>
          <w:b/>
          <w:bCs/>
          <w:kern w:val="0"/>
          <w:sz w:val="24"/>
          <w:szCs w:val="24"/>
          <w:lang w:eastAsia="en-GB"/>
          <w14:ligatures w14:val="none"/>
        </w:rPr>
        <w:t>On</w:t>
      </w:r>
      <w:r w:rsidRPr="001C5B57">
        <w:rPr>
          <w:rFonts w:eastAsia="Times New Roman" w:cstheme="minorHAnsi"/>
          <w:kern w:val="0"/>
          <w:sz w:val="24"/>
          <w:szCs w:val="24"/>
          <w:lang w:eastAsia="en-GB"/>
          <w14:ligatures w14:val="none"/>
        </w:rPr>
        <w:t> and then click </w:t>
      </w:r>
      <w:r w:rsidRPr="001C5B57">
        <w:rPr>
          <w:rFonts w:eastAsia="Times New Roman" w:cstheme="minorHAnsi"/>
          <w:b/>
          <w:bCs/>
          <w:kern w:val="0"/>
          <w:sz w:val="24"/>
          <w:szCs w:val="24"/>
          <w:lang w:eastAsia="en-GB"/>
          <w14:ligatures w14:val="none"/>
        </w:rPr>
        <w:t>Choose sites</w:t>
      </w:r>
      <w:r w:rsidRPr="001C5B57">
        <w:rPr>
          <w:rFonts w:eastAsia="Times New Roman" w:cstheme="minorHAnsi"/>
          <w:kern w:val="0"/>
          <w:sz w:val="24"/>
          <w:szCs w:val="24"/>
          <w:lang w:eastAsia="en-GB"/>
          <w14:ligatures w14:val="none"/>
        </w:rPr>
        <w:t xml:space="preserve"> to specify SharePoint sites and OneDrive accounts to place on hold. </w:t>
      </w:r>
      <w:r w:rsidRPr="001C5B57">
        <w:rPr>
          <w:rFonts w:eastAsia="Times New Roman" w:cstheme="minorHAnsi"/>
          <w:kern w:val="0"/>
          <w:sz w:val="24"/>
          <w:szCs w:val="24"/>
          <w:lang w:eastAsia="en-GB"/>
          <w14:ligatures w14:val="none"/>
        </w:rPr>
        <w:lastRenderedPageBreak/>
        <w:t>Type the URL for each site that you want to place on hold. You can also add the URL for the SharePoint site for a Microsoft Team, Office 365 Group, or Yammer Group.</w:t>
      </w:r>
    </w:p>
    <w:p w14:paraId="508C7535" w14:textId="77777777" w:rsidR="001C5B57" w:rsidRPr="001C5B57" w:rsidRDefault="001C5B57" w:rsidP="001C5B57">
      <w:pPr>
        <w:numPr>
          <w:ilvl w:val="1"/>
          <w:numId w:val="6"/>
        </w:numPr>
        <w:shd w:val="clear" w:color="auto" w:fill="FFFFFF"/>
        <w:spacing w:before="100" w:beforeAutospacing="1" w:after="100" w:afterAutospacing="1" w:line="360" w:lineRule="auto"/>
        <w:ind w:left="2310" w:hanging="360"/>
        <w:rPr>
          <w:rFonts w:eastAsia="Times New Roman" w:cstheme="minorHAnsi"/>
          <w:kern w:val="0"/>
          <w:sz w:val="24"/>
          <w:szCs w:val="24"/>
          <w:lang w:eastAsia="en-GB"/>
          <w14:ligatures w14:val="none"/>
        </w:rPr>
      </w:pPr>
      <w:r w:rsidRPr="001C5B57">
        <w:rPr>
          <w:rFonts w:eastAsia="Times New Roman" w:cstheme="minorHAnsi"/>
          <w:b/>
          <w:bCs/>
          <w:kern w:val="0"/>
          <w:sz w:val="24"/>
          <w:szCs w:val="24"/>
          <w:lang w:eastAsia="en-GB"/>
          <w14:ligatures w14:val="none"/>
        </w:rPr>
        <w:t>Exchange public folders</w:t>
      </w:r>
      <w:r w:rsidRPr="001C5B57">
        <w:rPr>
          <w:rFonts w:eastAsia="Times New Roman" w:cstheme="minorHAnsi"/>
          <w:kern w:val="0"/>
          <w:sz w:val="24"/>
          <w:szCs w:val="24"/>
          <w:lang w:eastAsia="en-GB"/>
          <w14:ligatures w14:val="none"/>
        </w:rPr>
        <w:t>: Set the toggle to </w:t>
      </w:r>
      <w:proofErr w:type="gramStart"/>
      <w:r w:rsidRPr="001C5B57">
        <w:rPr>
          <w:rFonts w:eastAsia="Times New Roman" w:cstheme="minorHAnsi"/>
          <w:b/>
          <w:bCs/>
          <w:kern w:val="0"/>
          <w:sz w:val="24"/>
          <w:szCs w:val="24"/>
          <w:lang w:eastAsia="en-GB"/>
          <w14:ligatures w14:val="none"/>
        </w:rPr>
        <w:t>On</w:t>
      </w:r>
      <w:proofErr w:type="gramEnd"/>
      <w:r w:rsidRPr="001C5B57">
        <w:rPr>
          <w:rFonts w:eastAsia="Times New Roman" w:cstheme="minorHAnsi"/>
          <w:kern w:val="0"/>
          <w:sz w:val="24"/>
          <w:szCs w:val="24"/>
          <w:lang w:eastAsia="en-GB"/>
          <w14:ligatures w14:val="none"/>
        </w:rPr>
        <w:t> to put all public folders in your Exchange Online organization on hold. You can't choose specific public folders to put on hold. Leave the toggle switch off if you don't want to put a hold on public folders.</w:t>
      </w:r>
    </w:p>
    <w:p w14:paraId="37795B3B" w14:textId="77777777" w:rsidR="001C5B57" w:rsidRPr="001C5B57" w:rsidRDefault="001C5B57" w:rsidP="001C5B57">
      <w:pPr>
        <w:numPr>
          <w:ilvl w:val="1"/>
          <w:numId w:val="6"/>
        </w:numPr>
        <w:shd w:val="clear" w:color="auto" w:fill="FFFFFF"/>
        <w:spacing w:before="100" w:beforeAutospacing="1" w:after="100" w:afterAutospacing="1" w:line="360" w:lineRule="auto"/>
        <w:ind w:left="2310" w:hanging="36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Keep this checkbox selected to search for Teams content for on-premises users. For example, if you search all Exchange mailboxes in the organization and this checkbox is selected, the cloud-based storage used to store Teams chat data for on-premises users will be included in the scope of the search. For more information, see </w:t>
      </w:r>
      <w:hyperlink r:id="rId8" w:history="1">
        <w:r w:rsidRPr="001C5B57">
          <w:rPr>
            <w:rFonts w:eastAsia="Times New Roman" w:cstheme="minorHAnsi"/>
            <w:kern w:val="0"/>
            <w:sz w:val="24"/>
            <w:szCs w:val="24"/>
            <w:u w:val="single"/>
            <w:lang w:eastAsia="en-GB"/>
            <w14:ligatures w14:val="none"/>
          </w:rPr>
          <w:t>Search for Teams chat data for on-premises users</w:t>
        </w:r>
      </w:hyperlink>
      <w:r w:rsidRPr="001C5B57">
        <w:rPr>
          <w:rFonts w:eastAsia="Times New Roman" w:cstheme="minorHAnsi"/>
          <w:kern w:val="0"/>
          <w:sz w:val="24"/>
          <w:szCs w:val="24"/>
          <w:lang w:eastAsia="en-GB"/>
          <w14:ligatures w14:val="none"/>
        </w:rPr>
        <w:t>.</w:t>
      </w:r>
    </w:p>
    <w:p w14:paraId="45ADAC44" w14:textId="77777777" w:rsidR="001C5B57" w:rsidRPr="001C5B57" w:rsidRDefault="001C5B57" w:rsidP="001C5B57">
      <w:pPr>
        <w:numPr>
          <w:ilvl w:val="0"/>
          <w:numId w:val="6"/>
        </w:numPr>
        <w:shd w:val="clear" w:color="auto" w:fill="FFFFFF"/>
        <w:spacing w:before="100" w:beforeAutospacing="1" w:after="100" w:afterAutospacing="1" w:line="360" w:lineRule="auto"/>
        <w:ind w:left="1290"/>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t>On the </w:t>
      </w:r>
      <w:r w:rsidRPr="001C5B57">
        <w:rPr>
          <w:rFonts w:eastAsia="Times New Roman" w:cstheme="minorHAnsi"/>
          <w:b/>
          <w:bCs/>
          <w:kern w:val="0"/>
          <w:sz w:val="24"/>
          <w:szCs w:val="24"/>
          <w:lang w:eastAsia="en-GB"/>
          <w14:ligatures w14:val="none"/>
        </w:rPr>
        <w:t>Define your search conditions</w:t>
      </w:r>
      <w:r w:rsidRPr="001C5B57">
        <w:rPr>
          <w:rFonts w:eastAsia="Times New Roman" w:cstheme="minorHAnsi"/>
          <w:kern w:val="0"/>
          <w:sz w:val="24"/>
          <w:szCs w:val="24"/>
          <w:lang w:eastAsia="en-GB"/>
          <w14:ligatures w14:val="none"/>
        </w:rPr>
        <w:t xml:space="preserve"> page, type a keyword </w:t>
      </w:r>
      <w:proofErr w:type="gramStart"/>
      <w:r w:rsidRPr="001C5B57">
        <w:rPr>
          <w:rFonts w:eastAsia="Times New Roman" w:cstheme="minorHAnsi"/>
          <w:kern w:val="0"/>
          <w:sz w:val="24"/>
          <w:szCs w:val="24"/>
          <w:lang w:eastAsia="en-GB"/>
          <w14:ligatures w14:val="none"/>
        </w:rPr>
        <w:t>query</w:t>
      </w:r>
      <w:proofErr w:type="gramEnd"/>
      <w:r w:rsidRPr="001C5B57">
        <w:rPr>
          <w:rFonts w:eastAsia="Times New Roman" w:cstheme="minorHAnsi"/>
          <w:kern w:val="0"/>
          <w:sz w:val="24"/>
          <w:szCs w:val="24"/>
          <w:lang w:eastAsia="en-GB"/>
          <w14:ligatures w14:val="none"/>
        </w:rPr>
        <w:t xml:space="preserve"> and add conditions to the search query if necessary.</w:t>
      </w:r>
    </w:p>
    <w:p w14:paraId="2B818233" w14:textId="3CF32516"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lastRenderedPageBreak/>
        <w:drawing>
          <wp:inline distT="0" distB="0" distL="0" distR="0" wp14:anchorId="473468CC" wp14:editId="4CA6FADF">
            <wp:extent cx="5731510" cy="4771390"/>
            <wp:effectExtent l="114300" t="114300" r="116840" b="1054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4771390"/>
                    </a:xfrm>
                    <a:prstGeom prst="rect">
                      <a:avLst/>
                    </a:prstGeom>
                    <a:effectLst>
                      <a:outerShdw blurRad="63500" sx="102000" sy="102000" algn="ctr" rotWithShape="0">
                        <a:prstClr val="black">
                          <a:alpha val="40000"/>
                        </a:prstClr>
                      </a:outerShdw>
                    </a:effectLst>
                  </pic:spPr>
                </pic:pic>
              </a:graphicData>
            </a:graphic>
          </wp:inline>
        </w:drawing>
      </w:r>
    </w:p>
    <w:p w14:paraId="56E2A24B" w14:textId="130286D2"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Next</w:t>
      </w:r>
    </w:p>
    <w:p w14:paraId="58D71491" w14:textId="1D1E3FA9"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lastRenderedPageBreak/>
        <w:drawing>
          <wp:inline distT="0" distB="0" distL="0" distR="0" wp14:anchorId="179F6261" wp14:editId="1BF15DD1">
            <wp:extent cx="5731510" cy="4790440"/>
            <wp:effectExtent l="114300" t="114300" r="116840" b="1054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731510" cy="4790440"/>
                    </a:xfrm>
                    <a:prstGeom prst="rect">
                      <a:avLst/>
                    </a:prstGeom>
                    <a:effectLst>
                      <a:outerShdw blurRad="63500" sx="102000" sy="102000" algn="ctr" rotWithShape="0">
                        <a:prstClr val="black">
                          <a:alpha val="40000"/>
                        </a:prstClr>
                      </a:outerShdw>
                    </a:effectLst>
                  </pic:spPr>
                </pic:pic>
              </a:graphicData>
            </a:graphic>
          </wp:inline>
        </w:drawing>
      </w:r>
    </w:p>
    <w:p w14:paraId="2C7CF749" w14:textId="2CB0AFFE"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Submit it, it will start the content search</w:t>
      </w:r>
    </w:p>
    <w:p w14:paraId="115C7865" w14:textId="238386DC"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p>
    <w:p w14:paraId="07D95EAF" w14:textId="5A485FDB"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drawing>
          <wp:inline distT="0" distB="0" distL="0" distR="0" wp14:anchorId="11B7370E" wp14:editId="535BCEAD">
            <wp:extent cx="5731510" cy="1585595"/>
            <wp:effectExtent l="133350" t="95250" r="135890" b="908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731510" cy="1585595"/>
                    </a:xfrm>
                    <a:prstGeom prst="rect">
                      <a:avLst/>
                    </a:prstGeom>
                    <a:effectLst>
                      <a:outerShdw blurRad="63500" sx="102000" sy="102000" algn="ctr" rotWithShape="0">
                        <a:prstClr val="black">
                          <a:alpha val="40000"/>
                        </a:prstClr>
                      </a:outerShdw>
                    </a:effectLst>
                  </pic:spPr>
                </pic:pic>
              </a:graphicData>
            </a:graphic>
          </wp:inline>
        </w:drawing>
      </w:r>
    </w:p>
    <w:p w14:paraId="25924CBF" w14:textId="3D4C3FE9" w:rsid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Cleck the demo search and review the report</w:t>
      </w:r>
    </w:p>
    <w:p w14:paraId="313C90B5" w14:textId="2AB219DA" w:rsidR="001C5B57" w:rsidRPr="001C5B57" w:rsidRDefault="001C5B57" w:rsidP="001C5B57">
      <w:pPr>
        <w:shd w:val="clear" w:color="auto" w:fill="FFFFFF"/>
        <w:spacing w:after="0" w:line="360" w:lineRule="auto"/>
        <w:rPr>
          <w:rFonts w:eastAsia="Times New Roman" w:cstheme="minorHAnsi"/>
          <w:kern w:val="0"/>
          <w:sz w:val="24"/>
          <w:szCs w:val="24"/>
          <w:lang w:eastAsia="en-GB"/>
          <w14:ligatures w14:val="none"/>
        </w:rPr>
      </w:pPr>
      <w:r w:rsidRPr="001C5B57">
        <w:rPr>
          <w:rFonts w:eastAsia="Times New Roman" w:cstheme="minorHAnsi"/>
          <w:kern w:val="0"/>
          <w:sz w:val="24"/>
          <w:szCs w:val="24"/>
          <w:lang w:eastAsia="en-GB"/>
          <w14:ligatures w14:val="none"/>
        </w:rPr>
        <w:lastRenderedPageBreak/>
        <w:drawing>
          <wp:inline distT="0" distB="0" distL="0" distR="0" wp14:anchorId="0D968BBA" wp14:editId="01B94036">
            <wp:extent cx="5578323" cy="6256562"/>
            <wp:effectExtent l="114300" t="133350" r="118110" b="12573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2"/>
                    <a:stretch>
                      <a:fillRect/>
                    </a:stretch>
                  </pic:blipFill>
                  <pic:spPr>
                    <a:xfrm>
                      <a:off x="0" y="0"/>
                      <a:ext cx="5578323" cy="6256562"/>
                    </a:xfrm>
                    <a:prstGeom prst="rect">
                      <a:avLst/>
                    </a:prstGeom>
                    <a:effectLst>
                      <a:outerShdw blurRad="63500" sx="102000" sy="102000" algn="ctr" rotWithShape="0">
                        <a:prstClr val="black">
                          <a:alpha val="40000"/>
                        </a:prstClr>
                      </a:outerShdw>
                    </a:effectLst>
                  </pic:spPr>
                </pic:pic>
              </a:graphicData>
            </a:graphic>
          </wp:inline>
        </w:drawing>
      </w:r>
    </w:p>
    <w:p w14:paraId="21BBB8E9" w14:textId="77777777" w:rsidR="001C5B57" w:rsidRPr="001C5B57" w:rsidRDefault="001C5B57" w:rsidP="001C5B57">
      <w:pPr>
        <w:shd w:val="clear" w:color="auto" w:fill="FFFFFF"/>
        <w:spacing w:before="100" w:beforeAutospacing="1" w:after="100" w:afterAutospacing="1" w:line="360" w:lineRule="auto"/>
        <w:outlineLvl w:val="1"/>
        <w:rPr>
          <w:rFonts w:eastAsia="Times New Roman" w:cstheme="minorHAnsi"/>
          <w:b/>
          <w:bCs/>
          <w:kern w:val="0"/>
          <w:sz w:val="36"/>
          <w:szCs w:val="36"/>
          <w:lang w:eastAsia="en-GB"/>
          <w14:ligatures w14:val="none"/>
        </w:rPr>
      </w:pPr>
    </w:p>
    <w:p w14:paraId="7720515A" w14:textId="77777777" w:rsidR="007E55C5" w:rsidRPr="001C5B57" w:rsidRDefault="007E55C5" w:rsidP="001C5B57">
      <w:pPr>
        <w:spacing w:line="360" w:lineRule="auto"/>
        <w:rPr>
          <w:rFonts w:cstheme="minorHAnsi"/>
        </w:rPr>
      </w:pPr>
    </w:p>
    <w:sectPr w:rsidR="007E55C5" w:rsidRPr="001C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26A8"/>
    <w:multiLevelType w:val="hybridMultilevel"/>
    <w:tmpl w:val="5B9263A8"/>
    <w:lvl w:ilvl="0" w:tplc="0809000F">
      <w:start w:val="1"/>
      <w:numFmt w:val="decimal"/>
      <w:lvlText w:val="%1."/>
      <w:lvlJc w:val="left"/>
      <w:pPr>
        <w:ind w:left="2010" w:hanging="360"/>
      </w:pPr>
    </w:lvl>
    <w:lvl w:ilvl="1" w:tplc="08090019" w:tentative="1">
      <w:start w:val="1"/>
      <w:numFmt w:val="lowerLetter"/>
      <w:lvlText w:val="%2."/>
      <w:lvlJc w:val="left"/>
      <w:pPr>
        <w:ind w:left="2730" w:hanging="360"/>
      </w:pPr>
    </w:lvl>
    <w:lvl w:ilvl="2" w:tplc="0809001B" w:tentative="1">
      <w:start w:val="1"/>
      <w:numFmt w:val="lowerRoman"/>
      <w:lvlText w:val="%3."/>
      <w:lvlJc w:val="right"/>
      <w:pPr>
        <w:ind w:left="3450" w:hanging="180"/>
      </w:pPr>
    </w:lvl>
    <w:lvl w:ilvl="3" w:tplc="0809000F" w:tentative="1">
      <w:start w:val="1"/>
      <w:numFmt w:val="decimal"/>
      <w:lvlText w:val="%4."/>
      <w:lvlJc w:val="left"/>
      <w:pPr>
        <w:ind w:left="4170" w:hanging="360"/>
      </w:pPr>
    </w:lvl>
    <w:lvl w:ilvl="4" w:tplc="08090019" w:tentative="1">
      <w:start w:val="1"/>
      <w:numFmt w:val="lowerLetter"/>
      <w:lvlText w:val="%5."/>
      <w:lvlJc w:val="left"/>
      <w:pPr>
        <w:ind w:left="4890" w:hanging="360"/>
      </w:pPr>
    </w:lvl>
    <w:lvl w:ilvl="5" w:tplc="0809001B" w:tentative="1">
      <w:start w:val="1"/>
      <w:numFmt w:val="lowerRoman"/>
      <w:lvlText w:val="%6."/>
      <w:lvlJc w:val="right"/>
      <w:pPr>
        <w:ind w:left="5610" w:hanging="180"/>
      </w:pPr>
    </w:lvl>
    <w:lvl w:ilvl="6" w:tplc="0809000F" w:tentative="1">
      <w:start w:val="1"/>
      <w:numFmt w:val="decimal"/>
      <w:lvlText w:val="%7."/>
      <w:lvlJc w:val="left"/>
      <w:pPr>
        <w:ind w:left="6330" w:hanging="360"/>
      </w:pPr>
    </w:lvl>
    <w:lvl w:ilvl="7" w:tplc="08090019" w:tentative="1">
      <w:start w:val="1"/>
      <w:numFmt w:val="lowerLetter"/>
      <w:lvlText w:val="%8."/>
      <w:lvlJc w:val="left"/>
      <w:pPr>
        <w:ind w:left="7050" w:hanging="360"/>
      </w:pPr>
    </w:lvl>
    <w:lvl w:ilvl="8" w:tplc="0809001B" w:tentative="1">
      <w:start w:val="1"/>
      <w:numFmt w:val="lowerRoman"/>
      <w:lvlText w:val="%9."/>
      <w:lvlJc w:val="right"/>
      <w:pPr>
        <w:ind w:left="7770" w:hanging="180"/>
      </w:pPr>
    </w:lvl>
  </w:abstractNum>
  <w:abstractNum w:abstractNumId="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E1D3E17"/>
    <w:multiLevelType w:val="multilevel"/>
    <w:tmpl w:val="9250A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F7547"/>
    <w:multiLevelType w:val="multilevel"/>
    <w:tmpl w:val="01988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999941">
    <w:abstractNumId w:val="1"/>
  </w:num>
  <w:num w:numId="2" w16cid:durableId="524484858">
    <w:abstractNumId w:val="1"/>
  </w:num>
  <w:num w:numId="3" w16cid:durableId="1804274503">
    <w:abstractNumId w:val="3"/>
  </w:num>
  <w:num w:numId="4" w16cid:durableId="333335800">
    <w:abstractNumId w:val="3"/>
    <w:lvlOverride w:ilvl="1">
      <w:lvl w:ilvl="1">
        <w:numFmt w:val="lowerLetter"/>
        <w:lvlText w:val="%2."/>
        <w:lvlJc w:val="left"/>
      </w:lvl>
    </w:lvlOverride>
  </w:num>
  <w:num w:numId="5" w16cid:durableId="1806506507">
    <w:abstractNumId w:val="2"/>
  </w:num>
  <w:num w:numId="6" w16cid:durableId="900478061">
    <w:abstractNumId w:val="2"/>
    <w:lvlOverride w:ilvl="1">
      <w:lvl w:ilvl="1">
        <w:numFmt w:val="lowerLetter"/>
        <w:lvlText w:val="%2."/>
        <w:lvlJc w:val="left"/>
      </w:lvl>
    </w:lvlOverride>
  </w:num>
  <w:num w:numId="7" w16cid:durableId="173666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57"/>
    <w:rsid w:val="001C5B57"/>
    <w:rsid w:val="003B1FD5"/>
    <w:rsid w:val="007E55C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DCB7"/>
  <w15:chartTrackingRefBased/>
  <w15:docId w15:val="{0174617B-F637-4476-BCD1-34E5F990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styleId="NormalWeb">
    <w:name w:val="Normal (Web)"/>
    <w:basedOn w:val="Normal"/>
    <w:uiPriority w:val="99"/>
    <w:semiHidden/>
    <w:unhideWhenUsed/>
    <w:rsid w:val="001C5B5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1C5B57"/>
    <w:rPr>
      <w:color w:val="0000FF"/>
      <w:u w:val="single"/>
    </w:rPr>
  </w:style>
  <w:style w:type="character" w:styleId="Strong">
    <w:name w:val="Strong"/>
    <w:basedOn w:val="DefaultParagraphFont"/>
    <w:uiPriority w:val="22"/>
    <w:qFormat/>
    <w:rsid w:val="001C5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8502">
      <w:bodyDiv w:val="1"/>
      <w:marLeft w:val="0"/>
      <w:marRight w:val="0"/>
      <w:marTop w:val="0"/>
      <w:marBottom w:val="0"/>
      <w:divBdr>
        <w:top w:val="none" w:sz="0" w:space="0" w:color="auto"/>
        <w:left w:val="none" w:sz="0" w:space="0" w:color="auto"/>
        <w:bottom w:val="none" w:sz="0" w:space="0" w:color="auto"/>
        <w:right w:val="none" w:sz="0" w:space="0" w:color="auto"/>
      </w:divBdr>
    </w:div>
    <w:div w:id="1305155984">
      <w:bodyDiv w:val="1"/>
      <w:marLeft w:val="0"/>
      <w:marRight w:val="0"/>
      <w:marTop w:val="0"/>
      <w:marBottom w:val="0"/>
      <w:divBdr>
        <w:top w:val="none" w:sz="0" w:space="0" w:color="auto"/>
        <w:left w:val="none" w:sz="0" w:space="0" w:color="auto"/>
        <w:bottom w:val="none" w:sz="0" w:space="0" w:color="auto"/>
        <w:right w:val="none" w:sz="0" w:space="0" w:color="auto"/>
      </w:divBdr>
    </w:div>
    <w:div w:id="18194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365/compliance/search-cloud-based-mailboxes-for-on-premises-users?view=o365-worldw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microsoft-365/compliance/what-is-stored-in-exo-mailbox?view=o365-worldwid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mpliance.microsoft.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2022-08-19T03:39:00Z</dcterms:created>
  <dcterms:modified xsi:type="dcterms:W3CDTF">2022-08-19T03:44:00Z</dcterms:modified>
</cp:coreProperties>
</file>