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1.-Solo los superadministradores podrán borrar cuentas de cualquier tipo de usuario.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2.-Solo los superadministradores podrán ver y evaluar los reportes enviados por los usuarios.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3.-Solo los super administradores podrán acceder a los registros del sitio.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4.-Nadie podrá ver las contraseñas de ningún usuario.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5.-El sistema encriptará las contraseñas.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6.-Se bannerarán las cuentas de usuarios que publiquen lenguaje ofensivo.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7.-Se banneará a los usuarios que usen contenido de carácter sexual.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8.-Las transacciones se podrán llevar a cabo a través de paypal o pago en efectivo.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9.-El súper-administrador borrará cualquier publicación que considere no se apeguen a los términos y condiciones de la página.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10.-Solo el administrador de un grupo podrá cambiar el nombre e ícono.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11.-Solo el administrador de un grupo podrá nombrar a otros administradores de ese grupo.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12.-Los administradores de grupo serán los únicos usuarios capaces de eliminar usuarios de su grupo.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13.-Los únicos capaces de borrar publicaciones serán los autores de la publicación y los superadministradores.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14.- La sesión debe estar activa para que se realice un cambio en el servidor.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15.-Un usuario no puede tener más de 15 favoritos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16.-Solo los administradores podrán asignar el rol de superadministrador a otros usuarios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17.-Solo puede haber una promoción vigente por producto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18.-Solo se puede tener un anuncio vigente por producto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19.-Solo un administrador de grupo o super usuario puede agregar a otro administrador de grupo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20.-Los usuarios con rol de administrador de grupo solo tienen permisos de administrador de grupo en los grupos en los cuales son administradores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21.-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