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688" w:rsidRDefault="00AF3CCB">
      <w:pPr>
        <w:pStyle w:val="Title"/>
      </w:pPr>
      <w:r>
        <w:rPr>
          <w:b/>
          <w:bCs/>
          <w:color w:val="0B2545"/>
          <w:sz w:val="44"/>
          <w:szCs w:val="44"/>
        </w:rPr>
        <w:t>JPS Sales &amp; Load Forecast</w:t>
      </w:r>
    </w:p>
    <w:p w:rsidR="009C0688" w:rsidRDefault="00AF3CCB">
      <w:pPr>
        <w:spacing w:before="80" w:after="120"/>
      </w:pPr>
      <w:r>
        <w:rPr>
          <w:color w:val="5A6472"/>
        </w:rPr>
        <w:t>Formal Summary Report — Fiscal Year 2026 Full-Year Outlook</w:t>
      </w:r>
    </w:p>
    <w:p w:rsidR="009C0688" w:rsidRDefault="00AF3CCB">
      <w:pPr>
        <w:spacing w:before="80" w:after="120"/>
      </w:pPr>
      <w:r>
        <w:rPr>
          <w:color w:val="5A6472"/>
        </w:rPr>
        <w:t>Actuals through June 2026 · Forecast July–December 2026 (Driver Forecast engine) · Prepared by FP&amp;A Sales Analytics · July 2026</w:t>
      </w:r>
    </w:p>
    <w:p w:rsidR="009C0688" w:rsidRDefault="009C0688"/>
    <w:p w:rsidR="009C0688" w:rsidRDefault="00AF3CCB">
      <w:pPr>
        <w:pStyle w:val="Heading1"/>
        <w:spacing w:before="280" w:after="160"/>
      </w:pPr>
      <w:r>
        <w:rPr>
          <w:b/>
          <w:bCs/>
          <w:color w:val="0B2545"/>
          <w:sz w:val="30"/>
          <w:szCs w:val="30"/>
        </w:rPr>
        <w:t>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50"/>
        <w:gridCol w:w="1550"/>
        <w:gridCol w:w="1600"/>
        <w:gridCol w:w="1530"/>
        <w:gridCol w:w="153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Total (ex-EV)</w:t>
            </w:r>
          </w:p>
        </w:tc>
        <w:tc>
          <w:tcPr>
            <w:tcW w:w="15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FY2025 Actual</w:t>
            </w:r>
          </w:p>
        </w:tc>
        <w:tc>
          <w:tcPr>
            <w:tcW w:w="15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FY2026 Budget</w:t>
            </w:r>
          </w:p>
        </w:tc>
        <w:tc>
          <w:tcPr>
            <w:tcW w:w="16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FY2026 Forecast</w:t>
            </w:r>
          </w:p>
        </w:tc>
        <w:tc>
          <w:tcPr>
            <w:tcW w:w="15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Var vs Budget</w:t>
            </w:r>
          </w:p>
        </w:tc>
        <w:tc>
          <w:tcPr>
            <w:tcW w:w="15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Var vs FY2025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222222"/>
                <w:sz w:val="17"/>
                <w:szCs w:val="17"/>
              </w:rPr>
              <w:t>All Rate Classes</w:t>
            </w:r>
          </w:p>
        </w:tc>
        <w:tc>
          <w:tcPr>
            <w:tcW w:w="15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3,251.0</w:t>
            </w:r>
          </w:p>
        </w:tc>
        <w:tc>
          <w:tcPr>
            <w:tcW w:w="15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3,250.4</w:t>
            </w:r>
          </w:p>
        </w:tc>
        <w:tc>
          <w:tcPr>
            <w:tcW w:w="16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3,263.2</w:t>
            </w:r>
          </w:p>
        </w:tc>
        <w:tc>
          <w:tcPr>
            <w:tcW w:w="15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+0.4%</w:t>
            </w:r>
          </w:p>
        </w:tc>
        <w:tc>
          <w:tcPr>
            <w:tcW w:w="15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+0.4%</w:t>
            </w:r>
          </w:p>
        </w:tc>
      </w:tr>
    </w:tbl>
    <w:p w:rsidR="009C0688" w:rsidRDefault="009C0688"/>
    <w:p w:rsidR="009C0688" w:rsidRDefault="00AF3CCB">
      <w:pPr>
        <w:spacing w:before="80" w:after="120"/>
      </w:pPr>
      <w:r>
        <w:rPr>
          <w:color w:val="222222"/>
        </w:rPr>
        <w:t>Full-year 2026 load is forecast at 3,263.2 GWh, +0.4% vs the FY2026 budget and +0.4% vs FY2025 actual — a modest net beat that masks material divergence underneath: RT70 (large industrial/mining) is running well ahead of budget (+13.5%), tracking the bauxi</w:t>
      </w:r>
      <w:r>
        <w:rPr>
          <w:color w:val="222222"/>
        </w:rPr>
        <w:t>te/alumina capacity investments and Other Metal Ore Mining rebound sourced in the Assumptions section, while RT40 and RT50 (medium commercial/general service) are tracking well behind budget (-6.7% and -9.0% respectively) — directionally consistent with th</w:t>
      </w:r>
      <w:r>
        <w:rPr>
          <w:color w:val="222222"/>
        </w:rPr>
        <w:t>e real (sourced) Hurricane Melissa tourism impact, compounded by 3 confirmed live operational adjustments on individual accounts (see Methodology), though the Hotels driver behind part of this needs review (see Assumptions — flagged, not resolved). Residen</w:t>
      </w:r>
      <w:r>
        <w:rPr>
          <w:color w:val="222222"/>
        </w:rPr>
        <w:t>tial (RT10) and RT20 are both tracking ahead of budget (+3.3% and +4.4% respectively) — RT20 is driven by the residential seasonal pattern, not the commercial one (see note below); the driver value itself is unsourced SME judgment (see Assumptions).</w:t>
      </w:r>
    </w:p>
    <w:p w:rsidR="009C0688" w:rsidRDefault="00AF3CCB">
      <w:pPr>
        <w:spacing w:before="80" w:after="120"/>
      </w:pPr>
      <w:r>
        <w:rPr>
          <w:color w:val="5A6472"/>
          <w:sz w:val="16"/>
          <w:szCs w:val="16"/>
        </w:rPr>
        <w:t>Method</w:t>
      </w:r>
      <w:r>
        <w:rPr>
          <w:color w:val="5A6472"/>
          <w:sz w:val="16"/>
          <w:szCs w:val="16"/>
        </w:rPr>
        <w:t>ology: H2 2026 (Jul–Dec) is forecast using a faithful line-for-line Python port of the live Driver Forecast engine's own JavaScript (_</w:t>
      </w:r>
      <w:proofErr w:type="spellStart"/>
      <w:r>
        <w:rPr>
          <w:color w:val="5A6472"/>
          <w:sz w:val="16"/>
          <w:szCs w:val="16"/>
        </w:rPr>
        <w:t>dfcBuildIndices</w:t>
      </w:r>
      <w:proofErr w:type="spellEnd"/>
      <w:r>
        <w:rPr>
          <w:color w:val="5A6472"/>
          <w:sz w:val="16"/>
          <w:szCs w:val="16"/>
        </w:rPr>
        <w:t>/_</w:t>
      </w:r>
      <w:proofErr w:type="spellStart"/>
      <w:r>
        <w:rPr>
          <w:color w:val="5A6472"/>
          <w:sz w:val="16"/>
          <w:szCs w:val="16"/>
        </w:rPr>
        <w:t>dfcComputeChain</w:t>
      </w:r>
      <w:proofErr w:type="spellEnd"/>
      <w:r>
        <w:rPr>
          <w:color w:val="5A6472"/>
          <w:sz w:val="16"/>
          <w:szCs w:val="16"/>
        </w:rPr>
        <w:t>, JPS_Sales_Platform_v1.html), run directly against a fresh pull of the same tables the ap</w:t>
      </w:r>
      <w:r>
        <w:rPr>
          <w:color w:val="5A6472"/>
          <w:sz w:val="16"/>
          <w:szCs w:val="16"/>
        </w:rPr>
        <w:t>p reads (</w:t>
      </w:r>
      <w:proofErr w:type="spellStart"/>
      <w:r>
        <w:rPr>
          <w:color w:val="5A6472"/>
          <w:sz w:val="16"/>
          <w:szCs w:val="16"/>
        </w:rPr>
        <w:t>jps_actuals</w:t>
      </w:r>
      <w:proofErr w:type="spellEnd"/>
      <w:r>
        <w:rPr>
          <w:color w:val="5A6472"/>
          <w:sz w:val="16"/>
          <w:szCs w:val="16"/>
        </w:rPr>
        <w:t xml:space="preserve">, </w:t>
      </w:r>
      <w:proofErr w:type="spellStart"/>
      <w:r>
        <w:rPr>
          <w:color w:val="5A6472"/>
          <w:sz w:val="16"/>
          <w:szCs w:val="16"/>
        </w:rPr>
        <w:t>jps_budget</w:t>
      </w:r>
      <w:proofErr w:type="spellEnd"/>
      <w:r>
        <w:rPr>
          <w:color w:val="5A6472"/>
          <w:sz w:val="16"/>
          <w:szCs w:val="16"/>
        </w:rPr>
        <w:t xml:space="preserve">, </w:t>
      </w:r>
      <w:proofErr w:type="spellStart"/>
      <w:r>
        <w:rPr>
          <w:color w:val="5A6472"/>
          <w:sz w:val="16"/>
          <w:szCs w:val="16"/>
        </w:rPr>
        <w:t>jps_kam</w:t>
      </w:r>
      <w:proofErr w:type="spellEnd"/>
      <w:r>
        <w:rPr>
          <w:color w:val="5A6472"/>
          <w:sz w:val="16"/>
          <w:szCs w:val="16"/>
        </w:rPr>
        <w:t xml:space="preserve">, </w:t>
      </w:r>
      <w:proofErr w:type="spellStart"/>
      <w:r>
        <w:rPr>
          <w:color w:val="5A6472"/>
          <w:sz w:val="16"/>
          <w:szCs w:val="16"/>
        </w:rPr>
        <w:t>jps_industries</w:t>
      </w:r>
      <w:proofErr w:type="spellEnd"/>
      <w:r>
        <w:rPr>
          <w:color w:val="5A6472"/>
          <w:sz w:val="16"/>
          <w:szCs w:val="16"/>
        </w:rPr>
        <w:t xml:space="preserve">, </w:t>
      </w:r>
      <w:proofErr w:type="spellStart"/>
      <w:r>
        <w:rPr>
          <w:color w:val="5A6472"/>
          <w:sz w:val="16"/>
          <w:szCs w:val="16"/>
        </w:rPr>
        <w:t>jps_macro_assumptions</w:t>
      </w:r>
      <w:proofErr w:type="spellEnd"/>
      <w:r>
        <w:rPr>
          <w:color w:val="5A6472"/>
          <w:sz w:val="16"/>
          <w:szCs w:val="16"/>
        </w:rPr>
        <w:t xml:space="preserve">, </w:t>
      </w:r>
      <w:proofErr w:type="spellStart"/>
      <w:r>
        <w:rPr>
          <w:color w:val="5A6472"/>
          <w:sz w:val="16"/>
          <w:szCs w:val="16"/>
        </w:rPr>
        <w:t>jps_operational_adjustments_current</w:t>
      </w:r>
      <w:proofErr w:type="spellEnd"/>
      <w:r>
        <w:rPr>
          <w:color w:val="5A6472"/>
          <w:sz w:val="16"/>
          <w:szCs w:val="16"/>
        </w:rPr>
        <w:t xml:space="preserve">, </w:t>
      </w:r>
      <w:proofErr w:type="spellStart"/>
      <w:r>
        <w:rPr>
          <w:color w:val="5A6472"/>
          <w:sz w:val="16"/>
          <w:szCs w:val="16"/>
        </w:rPr>
        <w:t>jps_forecast_new_customers</w:t>
      </w:r>
      <w:proofErr w:type="spellEnd"/>
      <w:r>
        <w:rPr>
          <w:color w:val="5A6472"/>
          <w:sz w:val="16"/>
          <w:szCs w:val="16"/>
        </w:rPr>
        <w:t>) — not an independent approximation. Each account (KAM-assigned) or cohort (</w:t>
      </w:r>
      <w:proofErr w:type="spellStart"/>
      <w:r>
        <w:rPr>
          <w:color w:val="5A6472"/>
          <w:sz w:val="16"/>
          <w:szCs w:val="16"/>
        </w:rPr>
        <w:t>rate_class|parish|consumption_buck</w:t>
      </w:r>
      <w:r>
        <w:rPr>
          <w:color w:val="5A6472"/>
          <w:sz w:val="16"/>
          <w:szCs w:val="16"/>
        </w:rPr>
        <w:t>et</w:t>
      </w:r>
      <w:proofErr w:type="spellEnd"/>
      <w:r>
        <w:rPr>
          <w:color w:val="5A6472"/>
          <w:sz w:val="16"/>
          <w:szCs w:val="16"/>
        </w:rPr>
        <w:t>, for everyone else) is forecast month-by-month as: rolling 3-month trailing average × (1 + macro% + weather% + industry-or-seasonality% + operational%) + manual kWh override. Note RT20 runs on the residential driver in this engine, not commercial — a pl</w:t>
      </w:r>
      <w:r>
        <w:rPr>
          <w:color w:val="5A6472"/>
          <w:sz w:val="16"/>
          <w:szCs w:val="16"/>
        </w:rPr>
        <w:t xml:space="preserve">atform classification quirk, not a typo. Three live operational adjustments are active in H2 2026: a -50%/-80% solar-PV cutover, a -50% one-month plant maintenance shutdown at Caribbean Cement, and a -100% store closure for three months. Validated against </w:t>
      </w:r>
      <w:r>
        <w:rPr>
          <w:color w:val="5A6472"/>
          <w:sz w:val="16"/>
          <w:szCs w:val="16"/>
        </w:rPr>
        <w:t>the live Driver Forecast engine's own FY2026-by-rate-class output before use (exact match to 2 decimal places on all 6 rate classes).</w:t>
      </w:r>
    </w:p>
    <w:p w:rsidR="009C0688" w:rsidRDefault="00AF3CCB">
      <w:r>
        <w:br w:type="page"/>
      </w:r>
    </w:p>
    <w:p w:rsidR="009C0688" w:rsidRDefault="00AF3CCB">
      <w:pPr>
        <w:pStyle w:val="Heading1"/>
        <w:spacing w:before="280" w:after="160"/>
      </w:pPr>
      <w:r>
        <w:rPr>
          <w:b/>
          <w:bCs/>
          <w:color w:val="0B2545"/>
          <w:sz w:val="30"/>
          <w:szCs w:val="30"/>
        </w:rPr>
        <w:lastRenderedPageBreak/>
        <w:t>Forecast Assumptions by Driver &amp; Rate Class</w:t>
      </w:r>
    </w:p>
    <w:p w:rsidR="009C0688" w:rsidRDefault="00AF3CCB">
      <w:pPr>
        <w:spacing w:before="80" w:after="120"/>
      </w:pPr>
      <w:r>
        <w:rPr>
          <w:color w:val="222222"/>
        </w:rPr>
        <w:t>Two segment-level macro drivers apply to every rate class based on its resid</w:t>
      </w:r>
      <w:r>
        <w:rPr>
          <w:color w:val="222222"/>
        </w:rPr>
        <w:t>ential/commercial segment in the Driver Forecast engine (RT10, RT20 = Residential; RT40, RT50, RT60-ST, RT70 = Commercial).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Driver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Jul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Aug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Sep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Oct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Nov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Dec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Commercial (%)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+3.60%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+1.00%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-2.04%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-1.94%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-1.64%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-3.98%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Residential (%)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+8.81%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+5.88%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+1.00%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+1.53%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-0.91%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-1.43%</w:t>
            </w:r>
          </w:p>
        </w:tc>
      </w:tr>
    </w:tbl>
    <w:p w:rsidR="009C0688" w:rsidRDefault="009C06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BEAE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9C0688" w:rsidRDefault="00AF3CCB">
            <w:r>
              <w:rPr>
                <w:i/>
                <w:iCs/>
                <w:color w:val="B3261E"/>
                <w:sz w:val="17"/>
                <w:szCs w:val="17"/>
              </w:rPr>
              <w:t xml:space="preserve">Weather driver: a +2% adjustment is applied for July and August 2026 only (Sep–Dec have no weather row in </w:t>
            </w:r>
            <w:proofErr w:type="spellStart"/>
            <w:r>
              <w:rPr>
                <w:i/>
                <w:iCs/>
                <w:color w:val="B3261E"/>
                <w:sz w:val="17"/>
                <w:szCs w:val="17"/>
              </w:rPr>
              <w:t>jps_macro_assumptions</w:t>
            </w:r>
            <w:proofErr w:type="spellEnd"/>
            <w:r>
              <w:rPr>
                <w:i/>
                <w:iCs/>
                <w:color w:val="B3261E"/>
                <w:sz w:val="17"/>
                <w:szCs w:val="17"/>
              </w:rPr>
              <w:t>, so the driver silently defaults to 0% those months — a real gap, not a verified “no effect” finding). Directional support only:</w:t>
            </w:r>
            <w:r>
              <w:rPr>
                <w:i/>
                <w:iCs/>
                <w:color w:val="B3261E"/>
                <w:sz w:val="17"/>
                <w:szCs w:val="17"/>
              </w:rPr>
              <w:t xml:space="preserve"> the CIMH Caribbean Regional Climate Outlook (May–Jul 2026) points to ENSO-neutral transitioning toward El Niño by July with unusually warm sea-surface temperatures near Jamaica and an elevated hot/humid season — consistent with a positive AC-driven load a</w:t>
            </w:r>
            <w:r>
              <w:rPr>
                <w:i/>
                <w:iCs/>
                <w:color w:val="B3261E"/>
                <w:sz w:val="17"/>
                <w:szCs w:val="17"/>
              </w:rPr>
              <w:t>djustment, but no JPS-specific or month-by-month figure was found. The exact +2% magnitude is SME judgment layered on that signal, not independently verified.</w:t>
            </w:r>
          </w:p>
        </w:tc>
      </w:tr>
    </w:tbl>
    <w:p w:rsidR="009C0688" w:rsidRDefault="009C0688"/>
    <w:p w:rsidR="009C0688" w:rsidRDefault="00AF3CCB">
      <w:pPr>
        <w:spacing w:before="200" w:after="100"/>
      </w:pPr>
      <w:r>
        <w:rPr>
          <w:b/>
          <w:bCs/>
          <w:color w:val="1B4965"/>
          <w:sz w:val="22"/>
          <w:szCs w:val="22"/>
        </w:rPr>
        <w:t>Industry-Level Drivers (Commercial sub-segments, selected)</w:t>
      </w:r>
    </w:p>
    <w:p w:rsidR="009C0688" w:rsidRDefault="00AF3CCB">
      <w:pPr>
        <w:spacing w:before="80" w:after="120"/>
      </w:pPr>
      <w:r>
        <w:rPr>
          <w:color w:val="5A6472"/>
          <w:sz w:val="16"/>
          <w:szCs w:val="16"/>
        </w:rPr>
        <w:t>Applied on top of the commercial segment driver, for KAM-assigned key accounts tagged to each industry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010"/>
        <w:gridCol w:w="1010"/>
        <w:gridCol w:w="1010"/>
        <w:gridCol w:w="1010"/>
        <w:gridCol w:w="1010"/>
        <w:gridCol w:w="101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Industry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Jul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Aug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Sep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Oct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Nov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Dec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Banking, Insurance and Investments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+3.6%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+1.2%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+2.2%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+2.2%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+1.6%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Executive Offices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-2.3%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-2.9%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+7.8%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+5.5%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-5.0%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Full-Service Restaurants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+3.0%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+3.9%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-3.4%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+2.0%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Hotels (except Casino Hotels) and Motels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+6.2%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-3.1%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-7.9%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+0.3%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+5.0%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Other Metal Ore Mining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+2.4%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+0.4%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-10.9%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-5.2%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Poultry Hatcheries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-2.9%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+5.9%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+4.3%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+4.5%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 xml:space="preserve">Telemarketing Bureaus and Other Contact </w:t>
            </w:r>
            <w:proofErr w:type="spellStart"/>
            <w:r>
              <w:rPr>
                <w:color w:val="222222"/>
                <w:sz w:val="17"/>
                <w:szCs w:val="17"/>
              </w:rPr>
              <w:t>Centers</w:t>
            </w:r>
            <w:proofErr w:type="spellEnd"/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+2.1%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+0.8%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-4.8%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-0.2%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-8.4%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-9.2%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Water Supply and Irrigation Systems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+4.8%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-1.3%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-3.6%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+0.2%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-5.1%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-5.3%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Wired and Wireless Telecommunications Carriers (except Satellite)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+0.3%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-3.5%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+1.7%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-2.3%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-2.5%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Air Traffic Control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Cement Manufacturing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+2.0%</w:t>
            </w:r>
          </w:p>
        </w:tc>
        <w:tc>
          <w:tcPr>
            <w:tcW w:w="101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+0.0%</w:t>
            </w:r>
          </w:p>
        </w:tc>
      </w:tr>
    </w:tbl>
    <w:p w:rsidR="009C0688" w:rsidRDefault="009C0688"/>
    <w:p w:rsidR="009C0688" w:rsidRDefault="00AF3CCB">
      <w:pPr>
        <w:spacing w:before="80" w:after="120"/>
      </w:pPr>
      <w:r>
        <w:rPr>
          <w:color w:val="5A6472"/>
          <w:sz w:val="16"/>
          <w:szCs w:val="16"/>
        </w:rPr>
        <w:t>Sourced (2 of 11): Cement Manufacturing — internal Sales &amp; Customers Analysis, May 2026: Caribbean Cement's kiln and bag house equipment upgrade lets it maximize output per tonne, and production has increased steadily since the start of the year coming out</w:t>
      </w:r>
      <w:r>
        <w:rPr>
          <w:color w:val="5A6472"/>
          <w:sz w:val="16"/>
          <w:szCs w:val="16"/>
        </w:rPr>
        <w:t xml:space="preserve"> of the hurricane shortfall — corroborated externally by Caribbean Cement's own Q1 2026 disclosure of +33.1% YoY production (289,695 tonnes), recovering from a 30-day kiln shutdown post-Hurricane Melissa (Jamaica Observer, Apr 30 2026). Other Metal Ore Min</w:t>
      </w:r>
      <w:r>
        <w:rPr>
          <w:color w:val="5A6472"/>
          <w:sz w:val="16"/>
          <w:szCs w:val="16"/>
        </w:rPr>
        <w:t xml:space="preserve">ing — internal May 2026 report: </w:t>
      </w:r>
      <w:proofErr w:type="spellStart"/>
      <w:r>
        <w:rPr>
          <w:color w:val="5A6472"/>
          <w:sz w:val="16"/>
          <w:szCs w:val="16"/>
        </w:rPr>
        <w:t>Windalco's</w:t>
      </w:r>
      <w:proofErr w:type="spellEnd"/>
      <w:r>
        <w:rPr>
          <w:color w:val="5A6472"/>
          <w:sz w:val="16"/>
          <w:szCs w:val="16"/>
        </w:rPr>
        <w:t xml:space="preserve"> current production increase is tied to turbine maintenance activity and a pilot project testing energy-cost reduction, forecast to continue until mid-summer — corroborated externally by </w:t>
      </w:r>
      <w:proofErr w:type="spellStart"/>
      <w:r>
        <w:rPr>
          <w:color w:val="5A6472"/>
          <w:sz w:val="16"/>
          <w:szCs w:val="16"/>
        </w:rPr>
        <w:t>Jamalco's</w:t>
      </w:r>
      <w:proofErr w:type="spellEnd"/>
      <w:r>
        <w:rPr>
          <w:color w:val="5A6472"/>
          <w:sz w:val="16"/>
          <w:szCs w:val="16"/>
        </w:rPr>
        <w:t xml:space="preserve"> $70.5M mine-life </w:t>
      </w:r>
      <w:r>
        <w:rPr>
          <w:color w:val="5A6472"/>
          <w:sz w:val="16"/>
          <w:szCs w:val="16"/>
        </w:rPr>
        <w:t xml:space="preserve">extension and </w:t>
      </w:r>
      <w:proofErr w:type="spellStart"/>
      <w:r>
        <w:rPr>
          <w:color w:val="5A6472"/>
          <w:sz w:val="16"/>
          <w:szCs w:val="16"/>
        </w:rPr>
        <w:t>Windalco's</w:t>
      </w:r>
      <w:proofErr w:type="spellEnd"/>
      <w:r>
        <w:rPr>
          <w:color w:val="5A6472"/>
          <w:sz w:val="16"/>
          <w:szCs w:val="16"/>
        </w:rPr>
        <w:t xml:space="preserve"> $29M haulage-road project (</w:t>
      </w:r>
      <w:proofErr w:type="spellStart"/>
      <w:r>
        <w:rPr>
          <w:color w:val="5A6472"/>
          <w:sz w:val="16"/>
          <w:szCs w:val="16"/>
        </w:rPr>
        <w:t>AlCircle</w:t>
      </w:r>
      <w:proofErr w:type="spellEnd"/>
      <w:r>
        <w:rPr>
          <w:color w:val="5A6472"/>
          <w:sz w:val="16"/>
          <w:szCs w:val="16"/>
        </w:rPr>
        <w:t xml:space="preserve"> industry press). Remaining 9 industries: SME estimate, not independently sourced (see </w:t>
      </w:r>
      <w:proofErr w:type="spellStart"/>
      <w:r>
        <w:rPr>
          <w:color w:val="5A6472"/>
          <w:sz w:val="16"/>
          <w:szCs w:val="16"/>
        </w:rPr>
        <w:t>jps_macro_</w:t>
      </w:r>
      <w:proofErr w:type="gramStart"/>
      <w:r>
        <w:rPr>
          <w:color w:val="5A6472"/>
          <w:sz w:val="16"/>
          <w:szCs w:val="16"/>
        </w:rPr>
        <w:t>assumptions.source</w:t>
      </w:r>
      <w:proofErr w:type="gramEnd"/>
      <w:r>
        <w:rPr>
          <w:color w:val="5A6472"/>
          <w:sz w:val="16"/>
          <w:szCs w:val="16"/>
        </w:rPr>
        <w:t>_note</w:t>
      </w:r>
      <w:proofErr w:type="spellEnd"/>
      <w:r>
        <w:rPr>
          <w:color w:val="5A6472"/>
          <w:sz w:val="16"/>
          <w:szCs w:val="16"/>
        </w:rPr>
        <w:t xml:space="preserve"> for the per-row record).</w:t>
      </w:r>
    </w:p>
    <w:p w:rsidR="009C0688" w:rsidRDefault="00AF3CCB">
      <w:bookmarkStart w:id="0" w:name="_GoBack"/>
      <w:bookmarkEnd w:id="0"/>
      <w:r>
        <w:br w:type="page"/>
      </w:r>
    </w:p>
    <w:p w:rsidR="009C0688" w:rsidRDefault="00AF3CCB">
      <w:pPr>
        <w:pStyle w:val="Heading1"/>
        <w:spacing w:before="280" w:after="160"/>
      </w:pPr>
      <w:r>
        <w:rPr>
          <w:b/>
          <w:bCs/>
          <w:color w:val="0B2545"/>
          <w:sz w:val="30"/>
          <w:szCs w:val="30"/>
        </w:rPr>
        <w:lastRenderedPageBreak/>
        <w:t>Industry H2 Actual vs. Forecast (GWh)</w:t>
      </w:r>
    </w:p>
    <w:p w:rsidR="009C0688" w:rsidRDefault="00AF3CCB">
      <w:pPr>
        <w:spacing w:before="80" w:after="120"/>
      </w:pPr>
      <w:r>
        <w:rPr>
          <w:color w:val="5A6472"/>
          <w:sz w:val="16"/>
          <w:szCs w:val="16"/>
        </w:rPr>
        <w:t>H2 2025 actual vs H2 2026 forecast, summed across every rate class the industry appears in. Covers KAM-assigned accounts tagged to each industry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720"/>
        <w:gridCol w:w="1720"/>
        <w:gridCol w:w="172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Industry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H2 2025 Actual (GWh)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H2 2026 Forecast (GWh)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Δ 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Water Supply and Irrigation Systems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100.1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98.3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-1.8%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Hotels (except Casino Hotels) and Motels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94.8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82.3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-13.2%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Other Metal Ore Mining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47.8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71.0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+48.6%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Cement Manufacturing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52.2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42.2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-19.2%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Full-Service Restaurants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24.3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24.1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-1.0%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Poultry Hatcheries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21.7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20.7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-4.6%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Wired and Wireless Telecommunications Carriers (except Satellite)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39.2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18.5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-52.7%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Banking, Insurance and Investments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18.7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16.3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-13.1%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Executive Offices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22.5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8.8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-60.8%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 xml:space="preserve">Telemarketing Bureaus and Other Contact </w:t>
            </w:r>
            <w:proofErr w:type="spellStart"/>
            <w:r>
              <w:rPr>
                <w:color w:val="222222"/>
                <w:sz w:val="17"/>
                <w:szCs w:val="17"/>
              </w:rPr>
              <w:t>Centers</w:t>
            </w:r>
            <w:proofErr w:type="spellEnd"/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11.4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8.3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-26.9%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Colleges, Universities, and Professional Schools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4.3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4.0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-6.3%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Air Traffic Control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0.7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0.6</w:t>
            </w:r>
          </w:p>
        </w:tc>
        <w:tc>
          <w:tcPr>
            <w:tcW w:w="172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-10.7%</w:t>
            </w:r>
          </w:p>
        </w:tc>
      </w:tr>
    </w:tbl>
    <w:p w:rsidR="009C0688" w:rsidRDefault="00AF3CCB">
      <w:r>
        <w:br w:type="page"/>
      </w:r>
    </w:p>
    <w:p w:rsidR="009C0688" w:rsidRDefault="00AF3CCB">
      <w:pPr>
        <w:pStyle w:val="Heading1"/>
        <w:spacing w:before="280" w:after="160"/>
      </w:pPr>
      <w:r>
        <w:rPr>
          <w:b/>
          <w:bCs/>
          <w:color w:val="0B2545"/>
          <w:sz w:val="30"/>
          <w:szCs w:val="30"/>
        </w:rPr>
        <w:lastRenderedPageBreak/>
        <w:t>Rate Class Performance: Forecast vs Budget vs Prior Year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Rate Class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FY2025 Actual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FY2026 Budget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FY2026 Forecast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Var vs Budget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Var vs FY2025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RT10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1,157.3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1,146.5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1,184.1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+3.3%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+2.3%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RT20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627.3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622.0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649.6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+4.4%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+3.6%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776.7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805.2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751.0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-6.7%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-3.3%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RT50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362.8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375.9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342.0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-9.0%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-5.7%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RT60-ST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38.6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36.9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36.9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-0.1%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-4.6%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RT70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288.1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263.8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299.5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+13.5%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+4.0%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222222"/>
                <w:sz w:val="17"/>
                <w:szCs w:val="17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3,251.0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3,250.4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3,263.2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+0.4%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+0.4%</w:t>
            </w:r>
          </w:p>
        </w:tc>
      </w:tr>
    </w:tbl>
    <w:p w:rsidR="009C0688" w:rsidRDefault="009C0688"/>
    <w:p w:rsidR="009C0688" w:rsidRDefault="00AF3CCB">
      <w:pPr>
        <w:spacing w:before="80" w:after="120"/>
      </w:pPr>
      <w:r>
        <w:rPr>
          <w:color w:val="5A6472"/>
          <w:sz w:val="14"/>
          <w:szCs w:val="14"/>
        </w:rPr>
        <w:t>Figures are rounded to 1 decimal for display; TOTAL is calculated from unrounded values.</w:t>
      </w:r>
    </w:p>
    <w:p w:rsidR="009C0688" w:rsidRDefault="009C0688"/>
    <w:p w:rsidR="009C0688" w:rsidRDefault="00AF3CCB">
      <w:pPr>
        <w:spacing w:before="200" w:after="100"/>
      </w:pPr>
      <w:r>
        <w:rPr>
          <w:b/>
          <w:bCs/>
          <w:color w:val="1B4965"/>
          <w:sz w:val="22"/>
          <w:szCs w:val="22"/>
        </w:rPr>
        <w:t>Monthly Trend — Actual (Jan–Jun) vs Forecast (Jul–Dec) 2026</w:t>
      </w:r>
    </w:p>
    <w:p w:rsidR="009C0688" w:rsidRDefault="00AF3CCB">
      <w:pPr>
        <w:spacing w:before="80" w:after="120"/>
      </w:pPr>
      <w:r>
        <w:rPr>
          <w:color w:val="5A6472"/>
          <w:sz w:val="14"/>
          <w:szCs w:val="14"/>
        </w:rPr>
        <w:t>Solid line = actual; dashed line = forecast. Each panel scaled to its own rate class.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9C0688" w:rsidRDefault="00AF3CC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428750"/>
                  <wp:effectExtent l="0" t="0" r="0" b="0"/>
                  <wp:docPr id="1" name="RT10" descr="RT10 trend chart" title="R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:rsidR="009C0688" w:rsidRDefault="00AF3CC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428750"/>
                  <wp:effectExtent l="0" t="0" r="0" b="0"/>
                  <wp:docPr id="2" name="RT20" descr="RT20 trend chart" title="RT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9C0688" w:rsidRDefault="00AF3CC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428750"/>
                  <wp:effectExtent l="0" t="0" r="0" b="0"/>
                  <wp:docPr id="3" name="RT40" descr="RT40 trend chart" title="RT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:rsidR="009C0688" w:rsidRDefault="00AF3CC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428750"/>
                  <wp:effectExtent l="0" t="0" r="0" b="0"/>
                  <wp:docPr id="4" name="RT50" descr="RT50 trend chart" title="RT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9C0688" w:rsidRDefault="00AF3CC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428750"/>
                  <wp:effectExtent l="0" t="0" r="0" b="0"/>
                  <wp:docPr id="5" name="RT60-ST" descr="RT60-ST trend chart" title="RT60-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:rsidR="009C0688" w:rsidRDefault="00AF3CC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428750"/>
                  <wp:effectExtent l="0" t="0" r="0" b="0"/>
                  <wp:docPr id="6" name="RT70" descr="RT70 trend chart" title="RT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0688" w:rsidRDefault="00AF3CCB">
      <w:r>
        <w:br w:type="page"/>
      </w:r>
    </w:p>
    <w:p w:rsidR="009C0688" w:rsidRDefault="00AF3CCB">
      <w:pPr>
        <w:pStyle w:val="Heading1"/>
        <w:spacing w:before="280" w:after="160"/>
      </w:pPr>
      <w:r>
        <w:rPr>
          <w:b/>
          <w:bCs/>
          <w:color w:val="0B2545"/>
          <w:sz w:val="30"/>
          <w:szCs w:val="30"/>
        </w:rPr>
        <w:lastRenderedPageBreak/>
        <w:t>First-Half &amp; Second-Half Detail</w:t>
      </w:r>
    </w:p>
    <w:p w:rsidR="009C0688" w:rsidRDefault="00AF3CCB">
      <w:pPr>
        <w:spacing w:before="80" w:after="120"/>
      </w:pPr>
      <w:r>
        <w:rPr>
          <w:color w:val="5A6472"/>
          <w:sz w:val="14"/>
          <w:szCs w:val="14"/>
        </w:rPr>
        <w:t>Figures below are rounded to 1 decimal for display.</w:t>
      </w:r>
    </w:p>
    <w:p w:rsidR="009C0688" w:rsidRDefault="00AF3CCB">
      <w:pPr>
        <w:spacing w:before="200" w:after="100"/>
      </w:pPr>
      <w:r>
        <w:rPr>
          <w:b/>
          <w:bCs/>
          <w:color w:val="1B4965"/>
          <w:sz w:val="22"/>
          <w:szCs w:val="22"/>
        </w:rPr>
        <w:t>H1 2026 Actual vs. H1 2025 Actual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Rate Class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H1 2025 Actual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H1 2026 Budget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H1 2026 Actual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vs Budget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vs H1 2025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RT10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577.8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529.5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536.7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+1.4%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-7.1%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RT20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314.8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287.7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293.9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+2.2%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-6.6%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393.8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367.3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360.4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-1.9%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-8.5%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RT50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184.5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170.7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174.9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+2.4%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-5.2%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RT60-ST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20.2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17.1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17.3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+1.0%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-14.4%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RT70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145.5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124.1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142.0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+14.4%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-2.4%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222222"/>
                <w:sz w:val="17"/>
                <w:szCs w:val="17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1,636.4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1,496.4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1,525.2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+1.9%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-6.8%</w:t>
            </w:r>
          </w:p>
        </w:tc>
      </w:tr>
    </w:tbl>
    <w:p w:rsidR="009C0688" w:rsidRDefault="009C0688"/>
    <w:p w:rsidR="009C0688" w:rsidRDefault="00AF3CCB">
      <w:pPr>
        <w:spacing w:before="200" w:after="100"/>
      </w:pPr>
      <w:r>
        <w:rPr>
          <w:b/>
          <w:bCs/>
          <w:color w:val="1B4965"/>
          <w:sz w:val="22"/>
          <w:szCs w:val="22"/>
        </w:rPr>
        <w:t>H2 2026 Forecast vs. H2 2025 Actual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Rate Class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H2 2025 Actual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H2 2026 Budget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H2 2026 Forecast (GWh)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vs Budget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vs H2 2025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RT10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579.5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617.0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647.4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+4.9%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+11.7%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RT20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312.5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334.3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355.7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+6.4%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+13.8%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383.0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437.9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390.6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-10.8%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+2.0%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RT50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178.4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205.2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167.2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-18.5%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-6.3%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RT60-ST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18.5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19.8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19.6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-1.1%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+6.1%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RT70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142.6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139.7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157.5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+12.7%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+10.4%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222222"/>
                <w:sz w:val="17"/>
                <w:szCs w:val="17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1,614.6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1,754.0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1,738.0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-0.9%</w:t>
            </w:r>
          </w:p>
        </w:tc>
        <w:tc>
          <w:tcPr>
            <w:tcW w:w="1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EEF3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222222"/>
                <w:sz w:val="17"/>
                <w:szCs w:val="17"/>
              </w:rPr>
              <w:t>+7.6%</w:t>
            </w:r>
          </w:p>
        </w:tc>
      </w:tr>
    </w:tbl>
    <w:p w:rsidR="009C0688" w:rsidRDefault="00AF3CCB">
      <w:r>
        <w:br w:type="page"/>
      </w:r>
    </w:p>
    <w:p w:rsidR="009C0688" w:rsidRDefault="00AF3CCB">
      <w:pPr>
        <w:pStyle w:val="Heading1"/>
        <w:spacing w:before="280" w:after="160"/>
      </w:pPr>
      <w:r>
        <w:rPr>
          <w:b/>
          <w:bCs/>
          <w:color w:val="0B2545"/>
          <w:sz w:val="30"/>
          <w:szCs w:val="30"/>
        </w:rPr>
        <w:lastRenderedPageBreak/>
        <w:t>Top 10 Customers by Volume (FY2026)</w:t>
      </w:r>
    </w:p>
    <w:p w:rsidR="009C0688" w:rsidRDefault="00AF3CCB">
      <w:pPr>
        <w:spacing w:before="80" w:after="120"/>
      </w:pPr>
      <w:r>
        <w:rPr>
          <w:color w:val="222222"/>
        </w:rPr>
        <w:t>Ranked by FY2026 kWh (H1 actual + H2 forecast), aggregated by customer name across all billing accounts. Excludes EV rate class and bulk-billed placeholder accounts.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60"/>
        <w:gridCol w:w="1500"/>
        <w:gridCol w:w="1300"/>
        <w:gridCol w:w="1300"/>
        <w:gridCol w:w="120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Customer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Rate Class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FY2026 (GWh)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FY2025 (GWh)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YoY 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National Water Commission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180.2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188.9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-4.6%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Caribbean Cement Co Ltd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RT50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99.1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92.1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+7.6%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 xml:space="preserve">Alcoa Mins </w:t>
            </w:r>
            <w:proofErr w:type="gramStart"/>
            <w:r>
              <w:rPr>
                <w:color w:val="222222"/>
                <w:sz w:val="17"/>
                <w:szCs w:val="17"/>
              </w:rPr>
              <w:t>Of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Ja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Ltd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RT70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98.8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78.9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+25.2%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proofErr w:type="spellStart"/>
            <w:r>
              <w:rPr>
                <w:color w:val="222222"/>
                <w:sz w:val="17"/>
                <w:szCs w:val="17"/>
              </w:rPr>
              <w:t>Windalco</w:t>
            </w:r>
            <w:proofErr w:type="spellEnd"/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RT70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30.9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21.1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+46.7%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 xml:space="preserve">Caribbean Broilers </w:t>
            </w:r>
            <w:proofErr w:type="spellStart"/>
            <w:r>
              <w:rPr>
                <w:color w:val="222222"/>
                <w:sz w:val="17"/>
                <w:szCs w:val="17"/>
              </w:rPr>
              <w:t>Ja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Ltd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27.4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26.0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+5.1%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proofErr w:type="spellStart"/>
            <w:r>
              <w:rPr>
                <w:color w:val="222222"/>
                <w:sz w:val="17"/>
                <w:szCs w:val="17"/>
              </w:rPr>
              <w:t>Riu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Jamaicotel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Limited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RT50/RT70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25.8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24.5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+5.4%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Kingston Free Port Terminal Limited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RT70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24.2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26.6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-9.3%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Ministry of Health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20.6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21.3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-3.4%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proofErr w:type="spellStart"/>
            <w:r>
              <w:rPr>
                <w:color w:val="222222"/>
                <w:sz w:val="17"/>
                <w:szCs w:val="17"/>
              </w:rPr>
              <w:t>Petrojam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Ltd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RT70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19.3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19.7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-2.3%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10</w:t>
            </w:r>
          </w:p>
        </w:tc>
        <w:tc>
          <w:tcPr>
            <w:tcW w:w="35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 xml:space="preserve">Port </w:t>
            </w:r>
            <w:proofErr w:type="spellStart"/>
            <w:r>
              <w:rPr>
                <w:color w:val="222222"/>
                <w:sz w:val="17"/>
                <w:szCs w:val="17"/>
              </w:rPr>
              <w:t>Marly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Limited</w:t>
            </w:r>
          </w:p>
        </w:tc>
        <w:tc>
          <w:tcPr>
            <w:tcW w:w="1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RT70/RT50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18.5</w:t>
            </w:r>
          </w:p>
        </w:tc>
        <w:tc>
          <w:tcPr>
            <w:tcW w:w="13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17.7</w:t>
            </w:r>
          </w:p>
        </w:tc>
        <w:tc>
          <w:tcPr>
            <w:tcW w:w="12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+4.8%</w:t>
            </w:r>
          </w:p>
        </w:tc>
      </w:tr>
    </w:tbl>
    <w:p w:rsidR="009C0688" w:rsidRDefault="009C0688"/>
    <w:p w:rsidR="009C0688" w:rsidRDefault="00AF3CCB">
      <w:pPr>
        <w:spacing w:before="80" w:after="120"/>
      </w:pPr>
      <w:r>
        <w:rPr>
          <w:color w:val="5A6472"/>
          <w:sz w:val="16"/>
          <w:szCs w:val="16"/>
        </w:rPr>
        <w:t>National Water Commission (180.2 GWh) and Caribbean Cement Co Ltd (99.1 GWh, +7.6% YoY) are the two largest metered customers by this measure. Rolled up to customer (not individual account) level — several customers such as NWC bill through dozens of separ</w:t>
      </w:r>
      <w:r>
        <w:rPr>
          <w:color w:val="5A6472"/>
          <w:sz w:val="16"/>
          <w:szCs w:val="16"/>
        </w:rPr>
        <w:t>ate premises.</w:t>
      </w:r>
    </w:p>
    <w:p w:rsidR="009C0688" w:rsidRDefault="009C0688"/>
    <w:p w:rsidR="009C0688" w:rsidRDefault="00AF3CCB">
      <w:pPr>
        <w:spacing w:before="80" w:after="120"/>
      </w:pPr>
      <w:r>
        <w:rPr>
          <w:color w:val="5A6472"/>
          <w:sz w:val="16"/>
          <w:szCs w:val="16"/>
        </w:rPr>
        <w:t xml:space="preserve">Sourced, internal May 2026 report: National Water Commission's YoY decline is real and operational, not a data </w:t>
      </w:r>
      <w:proofErr w:type="spellStart"/>
      <w:r>
        <w:rPr>
          <w:color w:val="5A6472"/>
          <w:sz w:val="16"/>
          <w:szCs w:val="16"/>
        </w:rPr>
        <w:t>artifact</w:t>
      </w:r>
      <w:proofErr w:type="spellEnd"/>
      <w:r>
        <w:rPr>
          <w:color w:val="5A6472"/>
          <w:sz w:val="16"/>
          <w:szCs w:val="16"/>
        </w:rPr>
        <w:t xml:space="preserve"> — several facilities remain non-operational post-Hurricane Melissa, and the Essex Valley (St. Elizabeth) facility now run</w:t>
      </w:r>
      <w:r>
        <w:rPr>
          <w:color w:val="5A6472"/>
          <w:sz w:val="16"/>
          <w:szCs w:val="16"/>
        </w:rPr>
        <w:t xml:space="preserve">s a smaller pump/motor unit, needing less power. </w:t>
      </w:r>
      <w:proofErr w:type="spellStart"/>
      <w:r>
        <w:rPr>
          <w:color w:val="5A6472"/>
          <w:sz w:val="16"/>
          <w:szCs w:val="16"/>
        </w:rPr>
        <w:t>Windalco's</w:t>
      </w:r>
      <w:proofErr w:type="spellEnd"/>
      <w:r>
        <w:rPr>
          <w:color w:val="5A6472"/>
          <w:sz w:val="16"/>
          <w:szCs w:val="16"/>
        </w:rPr>
        <w:t xml:space="preserve"> growth is tied to increased production and turbine maintenance activity, plus a pilot project testing energy-cost reduction. Caribbean Cement's growth reflects a kiln/bag-house equipment upgrade t</w:t>
      </w:r>
      <w:r>
        <w:rPr>
          <w:color w:val="5A6472"/>
          <w:sz w:val="16"/>
          <w:szCs w:val="16"/>
        </w:rPr>
        <w:t>hat increased output per tonne, on top of steady production recovery since the start of the year.</w:t>
      </w:r>
    </w:p>
    <w:p w:rsidR="009C0688" w:rsidRDefault="00AF3CCB">
      <w:r>
        <w:br w:type="page"/>
      </w:r>
    </w:p>
    <w:p w:rsidR="009C0688" w:rsidRDefault="00AF3CCB">
      <w:pPr>
        <w:pStyle w:val="Heading1"/>
        <w:spacing w:before="280" w:after="160"/>
      </w:pPr>
      <w:r>
        <w:rPr>
          <w:b/>
          <w:bCs/>
          <w:color w:val="0B2545"/>
          <w:sz w:val="30"/>
          <w:szCs w:val="30"/>
        </w:rPr>
        <w:lastRenderedPageBreak/>
        <w:t>Bottom 10 Customers — Largest YoY Declines</w:t>
      </w:r>
    </w:p>
    <w:p w:rsidR="009C0688" w:rsidRDefault="00AF3CCB">
      <w:pPr>
        <w:spacing w:before="80" w:after="120"/>
      </w:pPr>
      <w:r>
        <w:rPr>
          <w:color w:val="222222"/>
        </w:rPr>
        <w:t>Among material accounts (FY2025 volume &gt; 0.3 GWh), ranked by steepest YoY decline, aggregated by customer 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2500"/>
        <w:gridCol w:w="1100"/>
        <w:gridCol w:w="1150"/>
        <w:gridCol w:w="1150"/>
        <w:gridCol w:w="1030"/>
        <w:gridCol w:w="200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Customer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Rate Class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FY2026 (GWh)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FY2025 (GWh)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YoY 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Club Caribbean Limited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RT40/RT50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1.6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-100.0%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NEEDS VERIFICATION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Nestle Jamaica Ltd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RT50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0.4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-100.0%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NEEDS VERIFICATION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BBNH Resorts Limited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RT70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0.5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-100.0%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NEEDS VERIFICATION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Beaches Boscobel Hotel Management Company Limited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2.4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-100.0%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NEEDS VERIFICATION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Contax360 BPO Solutions Inc.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0.6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-100.0%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NEEDS VERIFICATION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Jewel Paradise Cove Beach Resort &amp;Spa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RT60-ST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0.3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-94.9%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Confirmed decline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proofErr w:type="spellStart"/>
            <w:r>
              <w:rPr>
                <w:color w:val="222222"/>
                <w:sz w:val="17"/>
                <w:szCs w:val="17"/>
              </w:rPr>
              <w:t>Coyaba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Bch </w:t>
            </w:r>
            <w:proofErr w:type="spellStart"/>
            <w:r>
              <w:rPr>
                <w:color w:val="222222"/>
                <w:sz w:val="17"/>
                <w:szCs w:val="17"/>
              </w:rPr>
              <w:t>Rst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&amp; Club Lt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RT40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0.1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0.8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-88.7%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Confirmed decline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Carib Products Co Ltd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RT50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0.1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1.3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-88.6%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Confirmed decline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HOCATSA Jamaica Limited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RT50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0.9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4.6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-79.5%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Confirmed decline</w:t>
            </w:r>
          </w:p>
        </w:tc>
      </w:tr>
      <w:tr w:rsidR="009C0688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r>
              <w:rPr>
                <w:color w:val="222222"/>
                <w:sz w:val="17"/>
                <w:szCs w:val="17"/>
              </w:rPr>
              <w:t>10</w:t>
            </w:r>
          </w:p>
        </w:tc>
        <w:tc>
          <w:tcPr>
            <w:tcW w:w="25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X FUND PROPERTIES LIMITED</w:t>
            </w:r>
          </w:p>
        </w:tc>
        <w:tc>
          <w:tcPr>
            <w:tcW w:w="11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RT50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2.0</w:t>
            </w:r>
          </w:p>
        </w:tc>
        <w:tc>
          <w:tcPr>
            <w:tcW w:w="115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9.3</w:t>
            </w:r>
          </w:p>
        </w:tc>
        <w:tc>
          <w:tcPr>
            <w:tcW w:w="103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-78.3%</w:t>
            </w:r>
          </w:p>
        </w:tc>
        <w:tc>
          <w:tcPr>
            <w:tcW w:w="200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AFB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C0688" w:rsidRDefault="00AF3CCB">
            <w:pPr>
              <w:jc w:val="right"/>
            </w:pPr>
            <w:r>
              <w:rPr>
                <w:color w:val="222222"/>
                <w:sz w:val="17"/>
                <w:szCs w:val="17"/>
              </w:rPr>
              <w:t>Confirmed decline</w:t>
            </w:r>
          </w:p>
        </w:tc>
      </w:tr>
    </w:tbl>
    <w:p w:rsidR="009C0688" w:rsidRDefault="009C06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068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2DC"/>
              <w:left w:val="single" w:sz="1" w:space="0" w:color="C9D2DC"/>
              <w:bottom w:val="single" w:sz="1" w:space="0" w:color="C9D2DC"/>
              <w:right w:val="single" w:sz="1" w:space="0" w:color="C9D2DC"/>
            </w:tcBorders>
            <w:shd w:val="clear" w:color="auto" w:fill="FBEAE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9C0688" w:rsidRDefault="00AF3CCB">
            <w:r>
              <w:rPr>
                <w:i/>
                <w:iCs/>
                <w:color w:val="B3261E"/>
                <w:sz w:val="17"/>
                <w:szCs w:val="17"/>
              </w:rPr>
              <w:t>Read with caution — 5 accounts flagged "NEEDS VERIFICATION": these show a FY2026 forecast of essentially zero because the engine's rolling 3-month base found no recent (Apr–Jun 2026) billed kWh under that account number. That is consistent with either a ge</w:t>
            </w:r>
            <w:r>
              <w:rPr>
                <w:i/>
                <w:iCs/>
                <w:color w:val="B3261E"/>
                <w:sz w:val="17"/>
                <w:szCs w:val="17"/>
              </w:rPr>
              <w:t>nuine closure/wind-down OR an account renumbering not reflected here — the engine output alone cannot distinguish the two. Recommend Sales/KAM confirm status before reporting these as lost load. The remaining accounts show real, non-zero but sharply reduce</w:t>
            </w:r>
            <w:r>
              <w:rPr>
                <w:i/>
                <w:iCs/>
                <w:color w:val="B3261E"/>
                <w:sz w:val="17"/>
                <w:szCs w:val="17"/>
              </w:rPr>
              <w:t>d consumption.</w:t>
            </w:r>
          </w:p>
        </w:tc>
      </w:tr>
    </w:tbl>
    <w:p w:rsidR="00000000" w:rsidRDefault="00AF3CCB"/>
    <w:sectPr w:rsidR="00000000">
      <w:headerReference w:type="default" r:id="rId13"/>
      <w:footerReference w:type="default" r:id="rId14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F3CCB">
      <w:r>
        <w:separator/>
      </w:r>
    </w:p>
  </w:endnote>
  <w:endnote w:type="continuationSeparator" w:id="0">
    <w:p w:rsidR="00000000" w:rsidRDefault="00AF3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0688" w:rsidRDefault="00AF3CCB">
    <w:pPr>
      <w:jc w:val="center"/>
    </w:pPr>
    <w:r>
      <w:rPr>
        <w:color w:val="5A6472"/>
        <w:sz w:val="14"/>
        <w:szCs w:val="14"/>
      </w:rPr>
      <w:t xml:space="preserve">JPS Sales &amp; Load Forecast — FY2026 — Page </w:t>
    </w:r>
    <w:r>
      <w:rPr>
        <w:color w:val="5A6472"/>
        <w:sz w:val="14"/>
        <w:szCs w:val="14"/>
      </w:rPr>
      <w:fldChar w:fldCharType="begin"/>
    </w:r>
    <w:r>
      <w:rPr>
        <w:color w:val="5A6472"/>
        <w:sz w:val="14"/>
        <w:szCs w:val="14"/>
      </w:rPr>
      <w:instrText>PAGE</w:instrText>
    </w:r>
    <w:r>
      <w:rPr>
        <w:color w:val="5A6472"/>
        <w:sz w:val="14"/>
        <w:szCs w:val="14"/>
      </w:rPr>
      <w:fldChar w:fldCharType="separate"/>
    </w:r>
    <w:r>
      <w:rPr>
        <w:noProof/>
        <w:color w:val="5A6472"/>
        <w:sz w:val="14"/>
        <w:szCs w:val="14"/>
      </w:rPr>
      <w:t>1</w:t>
    </w:r>
    <w:r>
      <w:rPr>
        <w:color w:val="5A6472"/>
        <w:sz w:val="14"/>
        <w:szCs w:val="14"/>
      </w:rPr>
      <w:fldChar w:fldCharType="end"/>
    </w:r>
    <w:r>
      <w:rPr>
        <w:color w:val="5A6472"/>
        <w:sz w:val="14"/>
        <w:szCs w:val="14"/>
      </w:rPr>
      <w:t xml:space="preserve"> of </w:t>
    </w:r>
    <w:r>
      <w:rPr>
        <w:color w:val="5A6472"/>
        <w:sz w:val="14"/>
        <w:szCs w:val="14"/>
      </w:rPr>
      <w:fldChar w:fldCharType="begin"/>
    </w:r>
    <w:r>
      <w:rPr>
        <w:color w:val="5A6472"/>
        <w:sz w:val="14"/>
        <w:szCs w:val="14"/>
      </w:rPr>
      <w:instrText>NUMPAGES</w:instrText>
    </w:r>
    <w:r>
      <w:rPr>
        <w:color w:val="5A6472"/>
        <w:sz w:val="14"/>
        <w:szCs w:val="14"/>
      </w:rPr>
      <w:fldChar w:fldCharType="separate"/>
    </w:r>
    <w:r>
      <w:rPr>
        <w:noProof/>
        <w:color w:val="5A6472"/>
        <w:sz w:val="14"/>
        <w:szCs w:val="14"/>
      </w:rPr>
      <w:t>1</w:t>
    </w:r>
    <w:r>
      <w:rPr>
        <w:color w:val="5A6472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F3CCB">
      <w:r>
        <w:separator/>
      </w:r>
    </w:p>
  </w:footnote>
  <w:footnote w:type="continuationSeparator" w:id="0">
    <w:p w:rsidR="00000000" w:rsidRDefault="00AF3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AF3CCB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3114C"/>
    <w:multiLevelType w:val="hybridMultilevel"/>
    <w:tmpl w:val="661A49F6"/>
    <w:lvl w:ilvl="0" w:tplc="F2A4215E">
      <w:start w:val="1"/>
      <w:numFmt w:val="bullet"/>
      <w:lvlText w:val="●"/>
      <w:lvlJc w:val="left"/>
      <w:pPr>
        <w:ind w:left="720" w:hanging="360"/>
      </w:pPr>
    </w:lvl>
    <w:lvl w:ilvl="1" w:tplc="62C0D462">
      <w:start w:val="1"/>
      <w:numFmt w:val="bullet"/>
      <w:lvlText w:val="○"/>
      <w:lvlJc w:val="left"/>
      <w:pPr>
        <w:ind w:left="1440" w:hanging="360"/>
      </w:pPr>
    </w:lvl>
    <w:lvl w:ilvl="2" w:tplc="745C4A0C">
      <w:start w:val="1"/>
      <w:numFmt w:val="bullet"/>
      <w:lvlText w:val="■"/>
      <w:lvlJc w:val="left"/>
      <w:pPr>
        <w:ind w:left="2160" w:hanging="360"/>
      </w:pPr>
    </w:lvl>
    <w:lvl w:ilvl="3" w:tplc="20666C60">
      <w:start w:val="1"/>
      <w:numFmt w:val="bullet"/>
      <w:lvlText w:val="●"/>
      <w:lvlJc w:val="left"/>
      <w:pPr>
        <w:ind w:left="2880" w:hanging="360"/>
      </w:pPr>
    </w:lvl>
    <w:lvl w:ilvl="4" w:tplc="118EEEC2">
      <w:start w:val="1"/>
      <w:numFmt w:val="bullet"/>
      <w:lvlText w:val="○"/>
      <w:lvlJc w:val="left"/>
      <w:pPr>
        <w:ind w:left="3600" w:hanging="360"/>
      </w:pPr>
    </w:lvl>
    <w:lvl w:ilvl="5" w:tplc="1BB20200">
      <w:start w:val="1"/>
      <w:numFmt w:val="bullet"/>
      <w:lvlText w:val="■"/>
      <w:lvlJc w:val="left"/>
      <w:pPr>
        <w:ind w:left="4320" w:hanging="360"/>
      </w:pPr>
    </w:lvl>
    <w:lvl w:ilvl="6" w:tplc="36AE24EE">
      <w:start w:val="1"/>
      <w:numFmt w:val="bullet"/>
      <w:lvlText w:val="●"/>
      <w:lvlJc w:val="left"/>
      <w:pPr>
        <w:ind w:left="5040" w:hanging="360"/>
      </w:pPr>
    </w:lvl>
    <w:lvl w:ilvl="7" w:tplc="3E36FFE6">
      <w:start w:val="1"/>
      <w:numFmt w:val="bullet"/>
      <w:lvlText w:val="●"/>
      <w:lvlJc w:val="left"/>
      <w:pPr>
        <w:ind w:left="5760" w:hanging="360"/>
      </w:pPr>
    </w:lvl>
    <w:lvl w:ilvl="8" w:tplc="A4EEE9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688"/>
    <w:rsid w:val="009C0688"/>
    <w:rsid w:val="00AF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09EB0E-9695-4AC0-9E58-323D213B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19"/>
        <w:szCs w:val="19"/>
        <w:lang w:val="en-JM" w:eastAsia="en-JM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1643</Words>
  <Characters>9369</Characters>
  <Application>Microsoft Office Word</Application>
  <DocSecurity>0</DocSecurity>
  <Lines>78</Lines>
  <Paragraphs>21</Paragraphs>
  <ScaleCrop>false</ScaleCrop>
  <Company>Jamaica Public Service</Company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Jordache Wilson</cp:lastModifiedBy>
  <cp:revision>2</cp:revision>
  <dcterms:created xsi:type="dcterms:W3CDTF">2026-07-10T20:22:00Z</dcterms:created>
  <dcterms:modified xsi:type="dcterms:W3CDTF">2026-07-10T22:00:00Z</dcterms:modified>
</cp:coreProperties>
</file>