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pPr>
      <w:r>
        <w:rPr>
          <w:b/>
          <w:color w:val="0B3D66"/>
          <w:sz w:val="38"/>
        </w:rPr>
        <w:t>Sales Analysis — Attribution Check &amp; Requirements Review</w:t>
      </w:r>
    </w:p>
    <w:p>
      <w:pPr>
        <w:spacing w:after="200"/>
      </w:pPr>
      <w:r>
        <w:rPr>
          <w:b w:val="0"/>
          <w:i w:val="0"/>
          <w:color w:val="666666"/>
          <w:sz w:val="16"/>
        </w:rPr>
        <w:t>Sales Forecasting &amp; Analysis · YTD January–August 2026 vs 2025 · Prepared against the Sales Analysis Requirements brief · September 2026</w:t>
      </w:r>
    </w:p>
    <w:p>
      <w:pPr>
        <w:shd w:val="clear" w:color="auto" w:fill="F7F9FB"/>
        <w:keepLines/>
        <w:pBdr>
          <w:left w:val="single" w:sz="24" w:space="8" w:color="0B3D66"/>
        </w:pBdr>
        <w:spacing w:after="160"/>
        <w:ind w:left="170"/>
      </w:pPr>
      <w:r>
        <w:rPr>
          <w:b w:val="0"/>
          <w:i w:val="0"/>
          <w:sz w:val="19"/>
        </w:rPr>
        <w:t xml:space="preserve"> This works through the Sales Analysis Requirements brief in the order it was written: the attribution check first, since that was the specific claim flagged for validation, then each level of analysis it asks for, then the full list of questions to consider, answered one by one rather than folded into prose where they'd be easy to skim past. Everything below is drawn from billed sales and revenue, and every number that could be cross-checked against a second, independent cut was. </w:t>
      </w:r>
    </w:p>
    <w:p>
      <w:pPr>
        <w:keepNext/>
        <w:spacing w:before="320" w:after="120"/>
        <w:pBdr>
          <w:bottom w:val="single" w:sz="12" w:space="4" w:color="0B3D66"/>
        </w:pBdr>
      </w:pPr>
      <w:r>
        <w:rPr>
          <w:b/>
          <w:color w:val="0B3D66"/>
          <w:sz w:val="28"/>
        </w:rPr>
        <w:t>Attribution Check</w:t>
      </w:r>
    </w:p>
    <w:p>
      <w:pPr>
        <w:spacing w:after="120"/>
      </w:pPr>
      <w:r>
        <w:rPr>
          <w:b w:val="0"/>
          <w:i w:val="0"/>
          <w:sz w:val="20"/>
        </w:rPr>
        <w:t>The brief poses a specific claim: customer connections are increasing while electricity sales are declining, which it reads as a decoupling of customer growth from revenue growth and a structural shift in demand. That's a testable statement, so it's worth starting there before touching anything else. Because "customers" and "sales" mean very different things across the customer base, the check below is split four ways — residential customers billed monthly, prepaid customers, commercial customers, and then the combined system view the brief's claim was actually made about.</w:t>
      </w:r>
    </w:p>
    <w:p>
      <w:pPr>
        <w:keepNext/>
        <w:spacing w:before="200" w:after="80"/>
      </w:pPr>
      <w:r>
        <w:rPr>
          <w:b/>
          <w:color w:val="0B3D66"/>
          <w:sz w:val="22"/>
        </w:rPr>
        <w:t>Residential — billed monthly (homes and small residential-type accounts)</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Metric</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Customers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684,552</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694,028</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+9,476 (+1.38%)</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(GWh, month)</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132.24</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138.26</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+6.01 (+4.55%)</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YTD (GWh, Jan–Aug)</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952.4</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903.1</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−49.3 (−5.17%)</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Revenue YTD (J$M)</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55,025</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53,511</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−1,513 (−2.75%)</w:t>
            </w:r>
          </w:p>
        </w:tc>
      </w:tr>
    </w:tbl>
    <w:p>
      <w:pPr>
        <w:spacing w:after="80" w:line="144" w:lineRule="auto"/>
      </w:pPr>
    </w:p>
    <w:p>
      <w:pPr>
        <w:spacing w:after="120"/>
      </w:pPr>
      <w:r>
        <w:rPr>
          <w:b w:val="0"/>
          <w:i w:val="0"/>
          <w:sz w:val="20"/>
        </w:rPr>
        <w:t xml:space="preserve">This is where nearly all the customer growth in the system-wide numbers actually comes from, and it's also where the "growth" is least real. Of the 10,308 net new homeowner-tariff accounts this year, 7,399 — seventy-two cents of every new dollar of "growth" — are premises that are connected and billing exactly zero. The small-business tariff shows the same thing at a smaller scale, 58% of its growth. The most plausible read, given the timing, is Hurricane Melissa: homes and small businesses that were damaged or vacated in November 2025 and are still on the books but haven't been reactivated. That's an inference from the timing, not something confirmed directly in the billing data, but it's the only explanation that's consistent with everything else this analysis turned up. Volume tells a more encouraging in-month story than the year-to-date figure suggests — August itself is up about 4.5% year over year, and customers are migrating into </w:t>
      </w:r>
      <w:r>
        <w:rPr>
          <w:b w:val="0"/>
          <w:i/>
          <w:sz w:val="20"/>
        </w:rPr>
        <w:t>higher</w:t>
      </w:r>
      <w:r>
        <w:rPr>
          <w:b w:val="0"/>
          <w:i w:val="0"/>
          <w:sz w:val="20"/>
        </w:rPr>
        <w:t xml:space="preserve"> consumption bands over this period, not lower. The year-to-date shortfall is concentrated in the western parishes that took the storm — Westmoreland down 30.5% in volume, St. Elizabeth 21.7%, Hanover 13.4%, Trelawny 12.0%, St. James 10.9% — while the east and centre of the island are flat to slightly up (Section 4). That is a recovery-lag pattern, not a fading trend.</w:t>
      </w:r>
    </w:p>
    <w:p>
      <w:pPr>
        <w:keepNext/>
        <w:spacing w:before="200" w:after="80"/>
      </w:pPr>
      <w:r>
        <w:rPr>
          <w:b/>
          <w:color w:val="0B3D66"/>
          <w:sz w:val="22"/>
        </w:rPr>
        <w:t>Prepaid (pay-as-you-go)</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Metric</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Customers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16,574</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18,488</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+1,914 (+11.55%)</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(GWh, month)</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2.68</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3.22</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+0.55 (+20.35%)</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YTD (GWh, Jan–Aug)</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18.6</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20.1</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+1.5 (+8.19%)</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Revenue YTD (J$M)</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1,034</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1,194</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1E7A46"/>
                <w:sz w:val="17"/>
              </w:rPr>
              <w:t>+160 (+15.49%)</w:t>
            </w:r>
          </w:p>
        </w:tc>
      </w:tr>
    </w:tbl>
    <w:p>
      <w:pPr>
        <w:spacing w:after="80" w:line="144" w:lineRule="auto"/>
      </w:pPr>
    </w:p>
    <w:p>
      <w:pPr>
        <w:spacing w:after="120"/>
      </w:pPr>
      <w:r>
        <w:rPr>
          <w:b w:val="0"/>
          <w:i w:val="0"/>
          <w:sz w:val="20"/>
        </w:rPr>
        <w:t>Prepaid is the only residential segment growing on every measure, and it's growing much faster than the rest of the residential base: customers up 11.5% against 1.4% for monthly-billed residential, volume up 8.2% year to date and 20.3% in August alone, revenue up 15.5%. It is still small — about 2.5% of customers, 1% of volume and 1% of revenue — and prepaid customers use somewhat less per head (about 174 kWh in August against roughly 199 for monthly-billed). The pattern is consistent with households moving to prepaid for budget control, though the billing data can't confirm the reason for the switch. Worth tracking as it scales.</w:t>
      </w:r>
    </w:p>
    <w:p>
      <w:pPr>
        <w:keepNext/>
        <w:spacing w:before="200" w:after="80"/>
      </w:pPr>
      <w:r>
        <w:rPr>
          <w:b/>
          <w:color w:val="0B3D66"/>
          <w:sz w:val="22"/>
        </w:rPr>
        <w:t>Commercial (registered businesses, individually metered)</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Metric</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Customers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26,134</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26,066</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−68 (−0.26%)</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(GWh, month)</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172.08</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162.48</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−9.60 (−5.58%)</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YTD (GWh, Jan–Aug)</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1,277.3</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1,211.0</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−66.3 (−5.19%)</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Revenue YTD (J$M)</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58,487</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57,726</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−761 (−1.30%)</w:t>
            </w:r>
          </w:p>
        </w:tc>
      </w:tr>
    </w:tbl>
    <w:p>
      <w:pPr>
        <w:spacing w:after="80" w:line="144" w:lineRule="auto"/>
      </w:pPr>
    </w:p>
    <w:p>
      <w:pPr>
        <w:spacing w:after="120"/>
      </w:pPr>
      <w:r>
        <w:rPr>
          <w:b w:val="0"/>
          <w:i w:val="0"/>
          <w:sz w:val="20"/>
        </w:rPr>
        <w:t>The opposite pattern from residential: the connection count is essentially flat (down slightly), and the volume decline is real, not a labeling artifact — but it traces to two specific, nameable events, not a diffuse trend. Alcoa Minerals' self-generation came fully online in August, and that grid draw isn't coming back. Separately, the hotel sector still hasn't finished recovering from Melissa — it's improving month over month, just not there yet. Between those two, most of the commercial decline has an address. Outside of them, this segment isn't shrinking on either count or usage. Commercial revenue also held up far better than commercial volume (down 1.3% against 5.2%) because demand charges are billed on peak kVA rather than kWh — see Section 1b.</w:t>
      </w:r>
    </w:p>
    <w:p>
      <w:pPr>
        <w:keepNext/>
        <w:spacing w:before="200" w:after="80"/>
      </w:pPr>
      <w:r>
        <w:rPr>
          <w:b/>
          <w:color w:val="0B3D66"/>
          <w:sz w:val="22"/>
        </w:rPr>
        <w:t>Combined (system-wide, matching the brief's framing)</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Metric</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Customers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727,260</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738,582</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+11,322 (+1.56%)</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(GWh, month)</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307.00</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303.96</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−3.04 (−1.0%)</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YTD (GWh, Jan–Aug)</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2,248.2</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2,134.2</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−114.0 (−5.1%)</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Revenue YTD (J$M)</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114,545</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112,431</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−2,114 (−1.85%)</w:t>
            </w:r>
          </w:p>
        </w:tc>
      </w:tr>
    </w:tbl>
    <w:p>
      <w:pPr>
        <w:spacing w:after="80" w:line="144" w:lineRule="auto"/>
      </w:pPr>
    </w:p>
    <w:p>
      <w:pPr>
        <w:spacing w:after="120"/>
      </w:pPr>
      <w:r>
        <w:rPr>
          <w:b w:val="0"/>
          <w:i w:val="0"/>
          <w:color w:val="666666"/>
          <w:sz w:val="16"/>
        </w:rPr>
        <w:t>The three segments above add exactly to these combined figures (Appendix, Table A1). Customer counts include the individually metered small-business accounts, which are close to flat year over year.</w:t>
      </w:r>
    </w:p>
    <w:p>
      <w:pPr>
        <w:shd w:val="clear" w:color="auto" w:fill="F7F9FB"/>
        <w:keepLines/>
        <w:pBdr>
          <w:left w:val="single" w:sz="24" w:space="8" w:color="0B3D66"/>
        </w:pBdr>
        <w:spacing w:after="0"/>
        <w:ind w:left="170"/>
      </w:pPr>
      <w:r>
        <w:rPr>
          <w:b w:val="0"/>
          <w:i w:val="0"/>
          <w:sz w:val="19"/>
        </w:rPr>
        <w:t xml:space="preserve"> </w:t>
      </w:r>
      <w:r>
        <w:rPr>
          <w:b/>
          <w:i w:val="0"/>
          <w:sz w:val="19"/>
        </w:rPr>
        <w:t>Both halves of the brief's claim are literally true — customers are up, sales are down, every month this year bar two. But "structural shift" is doing more work in that sentence than the data supports, and splitting the segments apart shows why.</w:t>
      </w:r>
      <w:r>
        <w:rPr>
          <w:b w:val="0"/>
          <w:i w:val="0"/>
          <w:sz w:val="19"/>
        </w:rPr>
        <w:t xml:space="preserve"> </w:t>
      </w:r>
    </w:p>
    <w:p>
      <w:pPr>
        <w:shd w:val="clear" w:color="auto" w:fill="F7F9FB"/>
        <w:keepLines/>
        <w:pBdr>
          <w:left w:val="single" w:sz="24" w:space="8" w:color="0B3D66"/>
        </w:pBdr>
        <w:spacing w:after="160"/>
        <w:ind w:left="170"/>
      </w:pPr>
      <w:r>
        <w:rPr>
          <w:b w:val="0"/>
          <w:i w:val="0"/>
          <w:sz w:val="19"/>
        </w:rPr>
        <w:t xml:space="preserve"> Nearly all the customer growth is residential, and most of it isn't really customers — it's inactive connections still on the books after Melissa. Nearly all the volume decline is commercial, and it isn't diffuse — it's two accounts — plus a residential shortfall that sits in the storm-hit western parishes. Prepaid, the one segment growing on every measure, is too small yet to move the total. And the one thing that would actually indicate a structural shift — existing customers using less — doesn't show up anywhere: residential volume is up in-month and migrating into higher consumption bands, and commercial volume outside of Alcoa and the hotel sector is holding steady. That's the opposite of what conservation, efficiency gains, or broad self-generation would look like if it were driving this. </w:t>
      </w:r>
    </w:p>
    <w:p>
      <w:pPr>
        <w:spacing w:after="120"/>
      </w:pPr>
      <w:r>
        <w:rPr>
          <w:b/>
          <w:i w:val="0"/>
          <w:sz w:val="20"/>
        </w:rPr>
        <w:t>Bottom line for how this gets written up:</w:t>
      </w:r>
      <w:r>
        <w:rPr>
          <w:b w:val="0"/>
          <w:i w:val="0"/>
          <w:sz w:val="20"/>
        </w:rPr>
        <w:t xml:space="preserve"> don't frame it as customer growth decoupling from revenue growth. Frame it as sales growth lagging customer growth because of two identifiable, largely temporary or single-account events on the commercial side, sitting on top of a residential customer count that's partly inflated by inactive connections. That's a very different message to leadership than "something structural is happening to demand."</w:t>
      </w:r>
    </w:p>
    <w:p>
      <w:pPr>
        <w:keepNext/>
        <w:spacing w:before="320" w:after="120"/>
        <w:pBdr>
          <w:bottom w:val="single" w:sz="12" w:space="4" w:color="0B3D66"/>
        </w:pBdr>
      </w:pPr>
      <w:r>
        <w:rPr>
          <w:b/>
          <w:color w:val="0B3D66"/>
          <w:sz w:val="28"/>
        </w:rPr>
        <w:t>1. Top Level</w:t>
      </w:r>
    </w:p>
    <w:p>
      <w:pPr>
        <w:spacing w:after="120"/>
      </w:pPr>
      <w:r>
        <w:rPr>
          <w:b w:val="0"/>
          <w:i w:val="0"/>
          <w:sz w:val="20"/>
        </w:rPr>
        <w:t>Overall, sales are down 5.1% year to date and customers are up 1.6%. Revenue held up much better than volume — down only 1.85% — because the average rate paid per kWh rose 3.4% across the period and absorbed most of the volume shortfall. It's worth remembering that the 2025 base itself isn't a clean baseline: it was already running below normal from November onward because of the storm, so part of this year's "decline" is really "hasn't caught back up yet" rather than fresh deterioration on top of a healthy prior year.</w:t>
      </w:r>
    </w:p>
    <w:p>
      <w:pPr>
        <w:keepNext/>
        <w:spacing w:before="200" w:after="80"/>
      </w:pPr>
      <w:r>
        <w:rPr>
          <w:b/>
          <w:color w:val="0B3D66"/>
          <w:sz w:val="22"/>
        </w:rPr>
        <w:t>1b. Revenue composition — what is actually moving</w:t>
      </w:r>
    </w:p>
    <w:p>
      <w:pPr>
        <w:spacing w:after="120"/>
      </w:pPr>
      <w:r>
        <w:rPr>
          <w:b w:val="0"/>
          <w:i w:val="0"/>
          <w:sz w:val="20"/>
        </w:rPr>
        <w:t>Revenue is billed in layers that behave very differently: the non-fuel charges (customer charge, energy charge and, for commercial customers, the demand charge on peak kVA) are the part JPS keeps to run the network; fuel and IPP purchased power are largely passed through; taxes (GCT) are billed on top and shown below net revenue.</w:t>
      </w:r>
    </w:p>
    <w:p>
      <w:pPr>
        <w:keepNext/>
        <w:spacing w:before="200" w:after="80"/>
      </w:pPr>
      <w:r>
        <w:rPr>
          <w:b/>
          <w:color w:val="0B3D66"/>
          <w:sz w:val="22"/>
        </w:rPr>
        <w:t>Combined</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J$M, Jan–Aug</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net revenue, 2026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Non-fuel charges (customer + energy + demand)</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36,088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34,604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−1,484 (−4.1%)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30.8%</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Fuel</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53,224</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56,778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+3,554 (+6.7%)</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50.5%</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IPP (purchased power)</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22,404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19,214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−3,190 (−14.2%)</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17.1%</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Other (billing adjustments, credits)</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1,795</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641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−1,154 (−64.3%)</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Prepaid (single line)</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1,034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1,194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+160 (+15.5%)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left"/>
            </w:pPr>
            <w:r>
              <w:rPr>
                <w:b/>
                <w:i w:val="0"/>
                <w:sz w:val="17"/>
              </w:rPr>
              <w:t>Net revenue (before GCT)</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114,545</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112,431</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color w:val="B3261E"/>
                <w:sz w:val="17"/>
              </w:rPr>
              <w:t>−2,115 (−1.85%)</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100.0%</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Taxes (GCT)</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9,584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9,367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−217 (−2.3%)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 xml:space="preserve"> </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 billed, including GCT</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124,130</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121,798</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−2,332 (−1.88%)</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 xml:space="preserve"> </w:t>
            </w:r>
          </w:p>
        </w:tc>
      </w:tr>
    </w:tbl>
    <w:p>
      <w:pPr>
        <w:spacing w:after="80" w:line="144" w:lineRule="auto"/>
      </w:pPr>
    </w:p>
    <w:p>
      <w:pPr>
        <w:spacing w:after="120"/>
      </w:pPr>
      <w:r>
        <w:rPr>
          <w:b w:val="0"/>
          <w:i w:val="0"/>
          <w:sz w:val="20"/>
        </w:rPr>
        <w:t>Three movements explain the net J$2.1 billion decline in net revenue. IPP is down J$3.2 billion (−14.2%) and non-fuel charges are down J$1.5 billion (−4.1%), against a J$3.6 billion increase in fuel (+6.7%) that cushions them. Fuel and IPP move in opposite directions but together they are up just 0.5% on 5% less volume, so read the pair as one pass-through block; the individual lines swing from month to month. The line to watch is "Other", which fell from J$1.8 billion to J$0.6 billion and on its own accounts for more than half of the net decline — it is a residual of billing adjustments and credits rather than a charge, and a drop of that size in a single year is worth confirming with Billing before it's treated as either real or permanent.</w:t>
      </w:r>
    </w:p>
    <w:p>
      <w:pPr>
        <w:keepNext/>
        <w:spacing w:before="200" w:after="80"/>
      </w:pPr>
      <w:r>
        <w:rPr>
          <w:b/>
          <w:color w:val="0B3D66"/>
          <w:sz w:val="22"/>
        </w:rPr>
        <w:t>Residential — billed monthly</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J$M, Jan–Aug</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net revenue, 2026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Non-fuel charges (customer + energy + demand)</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18,046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17,386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−659 (−3.7%)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32.5%</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ind w:left="283"/>
              <w:jc w:val="left"/>
            </w:pPr>
            <w:r>
              <w:rPr>
                <w:b w:val="0"/>
                <w:i/>
                <w:sz w:val="17"/>
              </w:rPr>
              <w:t>Customer charge</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3,584</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3,612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+28 (+0.8%)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6.7%</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ind w:left="283"/>
              <w:jc w:val="left"/>
            </w:pPr>
            <w:r>
              <w:rPr>
                <w:b w:val="0"/>
                <w:i/>
                <w:sz w:val="17"/>
              </w:rPr>
              <w:t>Energy charge</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14,462</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13,775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−687 (−4.8%)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25.7%</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Fuel</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23,918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25,193</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+1,275 (+5.3%)</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47.1%</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IPP (purchased power)</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12,702</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10,733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−1,969 (−15.5%)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20.1%</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Other (billing adjustments, credits)</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358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−160 (−44.7%)</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0.4%</w:t>
            </w:r>
          </w:p>
        </w:tc>
      </w:tr>
      <w:tr>
        <w:trPr>
          <w:cantSplit/>
        </w:trPr>
        <w:tc>
          <w:tcPr>
            <w:tcW w:type="dxa" w:w="3855"/>
            <w:tcMar>
              <w:top w:w="50" w:type="dxa"/>
              <w:bottom w:w="50" w:type="dxa"/>
              <w:left w:w="80" w:type="dxa"/>
              <w:right w:w="80" w:type="dxa"/>
            </w:tcMar>
            <w:tcBorders>
              <w:bottom w:val="single" w:sz="4" w:color="E4E4E4"/>
              <w:top w:val="single" w:sz="12" w:color="0B3D66"/>
            </w:tcBorders>
          </w:tcPr>
          <w:p>
            <w:pPr>
              <w:keepNext/>
              <w:spacing w:after="0" w:before="0" w:line="240" w:lineRule="auto"/>
              <w:jc w:val="left"/>
            </w:pPr>
            <w:r>
              <w:rPr>
                <w:b/>
                <w:i w:val="0"/>
                <w:sz w:val="17"/>
              </w:rPr>
              <w:t>Net revenue (before GCT)</w:t>
            </w:r>
          </w:p>
        </w:tc>
        <w:tc>
          <w:tcPr>
            <w:tcW w:type="dxa" w:w="1474"/>
            <w:tcMar>
              <w:top w:w="50" w:type="dxa"/>
              <w:bottom w:w="50" w:type="dxa"/>
              <w:left w:w="80" w:type="dxa"/>
              <w:right w:w="80" w:type="dxa"/>
            </w:tcMar>
            <w:tcBorders>
              <w:bottom w:val="single" w:sz="4" w:color="E4E4E4"/>
              <w:top w:val="single" w:sz="12" w:color="0B3D66"/>
            </w:tcBorders>
          </w:tcPr>
          <w:p>
            <w:pPr>
              <w:keepNext/>
              <w:spacing w:after="0" w:before="0" w:line="240" w:lineRule="auto"/>
              <w:jc w:val="right"/>
            </w:pPr>
            <w:r>
              <w:rPr>
                <w:b/>
                <w:i w:val="0"/>
                <w:sz w:val="17"/>
              </w:rPr>
              <w:t>55,025</w:t>
            </w:r>
          </w:p>
        </w:tc>
        <w:tc>
          <w:tcPr>
            <w:tcW w:type="dxa" w:w="1474"/>
            <w:tcMar>
              <w:top w:w="50" w:type="dxa"/>
              <w:bottom w:w="50" w:type="dxa"/>
              <w:left w:w="80" w:type="dxa"/>
              <w:right w:w="80" w:type="dxa"/>
            </w:tcMar>
            <w:tcBorders>
              <w:bottom w:val="single" w:sz="4" w:color="E4E4E4"/>
              <w:top w:val="single" w:sz="12" w:color="0B3D66"/>
            </w:tcBorders>
          </w:tcPr>
          <w:p>
            <w:pPr>
              <w:keepNext/>
              <w:spacing w:after="0" w:before="0" w:line="240" w:lineRule="auto"/>
              <w:jc w:val="right"/>
            </w:pPr>
            <w:r>
              <w:rPr>
                <w:b/>
                <w:i w:val="0"/>
                <w:sz w:val="17"/>
              </w:rPr>
              <w:t>53,511</w:t>
            </w:r>
          </w:p>
        </w:tc>
        <w:tc>
          <w:tcPr>
            <w:tcW w:type="dxa" w:w="1474"/>
            <w:tcMar>
              <w:top w:w="50" w:type="dxa"/>
              <w:bottom w:w="50" w:type="dxa"/>
              <w:left w:w="80" w:type="dxa"/>
              <w:right w:w="80" w:type="dxa"/>
            </w:tcMar>
            <w:tcBorders>
              <w:bottom w:val="single" w:sz="4" w:color="E4E4E4"/>
              <w:top w:val="single" w:sz="12" w:color="0B3D66"/>
            </w:tcBorders>
          </w:tcPr>
          <w:p>
            <w:pPr>
              <w:keepNext/>
              <w:spacing w:after="0" w:before="0" w:line="240" w:lineRule="auto"/>
              <w:jc w:val="right"/>
            </w:pPr>
            <w:r>
              <w:rPr>
                <w:b/>
                <w:i w:val="0"/>
                <w:color w:val="B3261E"/>
                <w:sz w:val="17"/>
              </w:rPr>
              <w:t>−1,513 (−2.75%)</w:t>
            </w:r>
          </w:p>
        </w:tc>
        <w:tc>
          <w:tcPr>
            <w:tcW w:type="dxa" w:w="1474"/>
            <w:tcMar>
              <w:top w:w="50" w:type="dxa"/>
              <w:bottom w:w="50" w:type="dxa"/>
              <w:left w:w="80" w:type="dxa"/>
              <w:right w:w="80" w:type="dxa"/>
            </w:tcMar>
            <w:tcBorders>
              <w:bottom w:val="single" w:sz="4" w:color="E4E4E4"/>
              <w:top w:val="single" w:sz="12" w:color="0B3D66"/>
            </w:tcBorders>
          </w:tcPr>
          <w:p>
            <w:pPr>
              <w:keepNext/>
              <w:spacing w:after="0" w:before="0" w:line="240" w:lineRule="auto"/>
              <w:jc w:val="right"/>
            </w:pPr>
            <w:r>
              <w:rPr>
                <w:b/>
                <w:i w:val="0"/>
                <w:sz w:val="17"/>
              </w:rPr>
              <w:t>100.0%</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Taxes (GCT)</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1,461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1,346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−116 (−7.9%)</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 xml:space="preserve"> </w:t>
            </w:r>
          </w:p>
        </w:tc>
      </w:tr>
      <w:tr>
        <w:trPr>
          <w:cantSplit/>
        </w:trPr>
        <w:tc>
          <w:tcPr>
            <w:tcW w:type="dxa" w:w="385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 billed, including GCT</w:t>
            </w:r>
          </w:p>
        </w:tc>
        <w:tc>
          <w:tcPr>
            <w:tcW w:type="dxa" w:w="147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56,486</w:t>
            </w:r>
          </w:p>
        </w:tc>
        <w:tc>
          <w:tcPr>
            <w:tcW w:type="dxa" w:w="147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54,857</w:t>
            </w:r>
          </w:p>
        </w:tc>
        <w:tc>
          <w:tcPr>
            <w:tcW w:type="dxa" w:w="147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color w:val="B3261E"/>
                <w:sz w:val="17"/>
              </w:rPr>
              <w:t>−1,629 (−2.88%)</w:t>
            </w:r>
          </w:p>
        </w:tc>
        <w:tc>
          <w:tcPr>
            <w:tcW w:type="dxa" w:w="147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 xml:space="preserve"> </w:t>
            </w:r>
          </w:p>
        </w:tc>
      </w:tr>
    </w:tbl>
    <w:p>
      <w:pPr>
        <w:spacing w:after="80" w:line="144" w:lineRule="auto"/>
      </w:pPr>
    </w:p>
    <w:p>
      <w:pPr>
        <w:keepNext/>
        <w:spacing w:before="200" w:after="80"/>
      </w:pPr>
      <w:r>
        <w:rPr>
          <w:b/>
          <w:color w:val="0B3D66"/>
          <w:sz w:val="22"/>
        </w:rPr>
        <w:t>Commercial</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J$M, Jan–Aug</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net revenue, 2026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Non-fuel charges (customer + energy + demand)</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18,042</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17,218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−824 (−4.6%)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29.8%</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ind w:left="283"/>
              <w:jc w:val="left"/>
            </w:pPr>
            <w:r>
              <w:rPr>
                <w:b w:val="0"/>
                <w:i/>
                <w:sz w:val="17"/>
              </w:rPr>
              <w:t>Customer charge</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390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411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+21 (+5.3%)</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0.7%</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ind w:left="283"/>
              <w:jc w:val="left"/>
            </w:pPr>
            <w:r>
              <w:rPr>
                <w:b w:val="0"/>
                <w:i/>
                <w:sz w:val="17"/>
              </w:rPr>
              <w:t>Energy charge</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8,876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8,463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−413 (−4.7%)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sz w:val="17"/>
              </w:rPr>
              <w:t>14.7%</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ind w:left="283"/>
              <w:jc w:val="left"/>
            </w:pPr>
            <w:r>
              <w:rPr>
                <w:b w:val="0"/>
                <w:i/>
                <w:sz w:val="17"/>
              </w:rPr>
              <w:t>Demand (kVA) charge</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8,776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8,343</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−432 (−4.9%)</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sz w:val="17"/>
              </w:rPr>
              <w:t>14.5%</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Fuel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29,305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31,585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+2,279 (+7.8%)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54.7%</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IPP (purchased power)</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9,702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8,480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−1,222 (−12.6%)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14.7%</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Other (billing adjustments, credits)</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1,437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443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−994 (−69.2%)</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0.8%</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left"/>
            </w:pPr>
            <w:r>
              <w:rPr>
                <w:b/>
                <w:i w:val="0"/>
                <w:sz w:val="17"/>
              </w:rPr>
              <w:t>Net revenue (before GCT)</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58,487</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57,726</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color w:val="B3261E"/>
                <w:sz w:val="17"/>
              </w:rPr>
              <w:t>−761 (−1.30%)</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100.0%</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Taxes (GCT)</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8,047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7,946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−101 (−1.3%)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 xml:space="preserve"> </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 billed, including GCT</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66,534</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65,672</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−862 (−1.30%)</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 xml:space="preserve"> </w:t>
            </w:r>
          </w:p>
        </w:tc>
      </w:tr>
    </w:tbl>
    <w:p>
      <w:pPr>
        <w:spacing w:after="80" w:line="144" w:lineRule="auto"/>
      </w:pPr>
    </w:p>
    <w:p>
      <w:pPr>
        <w:spacing w:after="120"/>
      </w:pPr>
      <w:r>
        <w:rPr>
          <w:b w:val="0"/>
          <w:i w:val="0"/>
          <w:sz w:val="20"/>
        </w:rPr>
        <w:t>Commercial non-fuel charges fell 4.6% against a 5.2% fall in volume, and the reason is in the demand line. Demand charges are billed on peak kVA, not on kWh, and a customer's peak doesn't fall in proportion to its total consumption: a plant that runs less often still hits the same peak when it does run. Across the three demand-billed classes (RT40, RT50, RT70) volume is down 6.3% year to date and the energy charge is down 6.3% right alongside it, but the demand charge is down only 4.9% and billed kVA only 5.9%. That gap is why commercial revenue (−1.3%) is so much more resilient than commercial volume (−5.2%).</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Demand-billed classes, Jan–Aug</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kWh</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Billed kVA</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Energy charge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Demand charge</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RT40 Commercial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−6.3%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−4.2%</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−6.3%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−3.8%</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RT50 Large Commercial</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−6.2%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−9.4%</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−7.5%</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RT70 Industrial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−2.2%</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−2.2%</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−5.6%</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All three</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−6.3%</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−5.9%</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−6.3%</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−4.9%</w:t>
            </w:r>
          </w:p>
        </w:tc>
      </w:tr>
    </w:tbl>
    <w:p>
      <w:pPr>
        <w:spacing w:after="80" w:line="144" w:lineRule="auto"/>
      </w:pPr>
    </w:p>
    <w:p>
      <w:pPr>
        <w:spacing w:after="120"/>
      </w:pPr>
      <w:r>
        <w:rPr>
          <w:b w:val="0"/>
          <w:i w:val="0"/>
          <w:sz w:val="20"/>
        </w:rPr>
        <w:t>The clearest single example is RT70 in August, where volume fell 28.4% (Alcoa's exit) yet billed kVA rose 61% and the demand charge rose 11.7%. That is what you would expect from a customer that now generates most of its own power but still holds grid capacity for backup, though the billing data alone can't confirm that is what is happening.</w:t>
      </w:r>
    </w:p>
    <w:p>
      <w:pPr>
        <w:keepNext/>
        <w:spacing w:before="200" w:after="80"/>
      </w:pPr>
      <w:r>
        <w:rPr>
          <w:b/>
          <w:color w:val="0B3D66"/>
          <w:sz w:val="22"/>
        </w:rPr>
        <w:t>Average revenue per kWh</w:t>
      </w:r>
    </w:p>
    <w:p>
      <w:pPr>
        <w:spacing w:after="120"/>
      </w:pPr>
      <w:r>
        <w:rPr>
          <w:b w:val="0"/>
          <w:i w:val="0"/>
          <w:sz w:val="20"/>
        </w:rPr>
        <w:t>The same layers expressed per kWh sold, which strips out the volume decline and shows what each unit of sales is actually earning. Residential and commercial use their own volumes; the combined column spreads everything, including prepaid revenue, over total system volume.</w:t>
      </w:r>
    </w:p>
    <w:tbl>
      <w:tblPr>
        <w:tblW w:type="auto" w:w="0"/>
        <w:jc w:val="center"/>
        <w:tblLayout w:type="fixed"/>
        <w:tblLook w:firstColumn="1" w:firstRow="1" w:lastColumn="0" w:lastRow="0" w:noHBand="0" w:noVBand="1" w:val="04A0"/>
      </w:tblPr>
      <w:tblGrid>
        <w:gridCol w:w="3175"/>
        <w:gridCol w:w="939"/>
        <w:gridCol w:w="939"/>
        <w:gridCol w:w="939"/>
        <w:gridCol w:w="939"/>
        <w:gridCol w:w="939"/>
        <w:gridCol w:w="939"/>
        <w:gridCol w:w="939"/>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J$ per kWh, Jan–Aug</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Resid. 2025</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Resid. 2026</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Comm. 2025</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Comm. 2026</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Comb. 2025</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Comb. 2026</w:t>
            </w:r>
          </w:p>
        </w:tc>
        <w:tc>
          <w:tcPr>
            <w:tcW w:type="dxa" w:w="93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Comb. Δ</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Non-fuel charges</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18.95</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19.25</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14.13</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14.22</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16.05</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16.21</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Fuel</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25.11</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27.90</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22.94</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26.08</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23.67</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26.60</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+12.4%</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IPP (purchased power)</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13.34</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11.88</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7.60</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7.00</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9.97</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9.00</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−9.7%</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Other</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0.38</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0.22</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1.13</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0.37</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0.80</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0.30</w:t>
            </w:r>
          </w:p>
        </w:tc>
        <w:tc>
          <w:tcPr>
            <w:tcW w:type="dxa" w:w="93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−62.4%</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Prepaid (single line)</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0.46</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0.56</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+21.7%</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left"/>
            </w:pPr>
            <w:r>
              <w:rPr>
                <w:b/>
                <w:i w:val="0"/>
                <w:sz w:val="17"/>
              </w:rPr>
              <w:t>Net revenue per kWh</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57.78</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59.25</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45.79</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47.67</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50.95</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52.68</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keepNext/>
              <w:spacing w:after="0" w:before="0" w:line="240" w:lineRule="auto"/>
              <w:jc w:val="right"/>
            </w:pPr>
            <w:r>
              <w:rPr>
                <w:b/>
                <w:i w:val="0"/>
                <w:sz w:val="17"/>
              </w:rPr>
              <w:t>+3.4%</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Taxes (GCT)</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1.53</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1.49</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6.30</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6.56</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4.26</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4.39</w:t>
            </w:r>
          </w:p>
        </w:tc>
        <w:tc>
          <w:tcPr>
            <w:tcW w:type="dxa" w:w="93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+3.0%</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Billed per kWh, including GCT</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59.31</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60.74</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52.09</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54.23</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55.21</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57.07</w:t>
            </w:r>
          </w:p>
        </w:tc>
        <w:tc>
          <w:tcPr>
            <w:tcW w:type="dxa" w:w="939"/>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+3.4%</w:t>
            </w:r>
          </w:p>
        </w:tc>
      </w:tr>
    </w:tbl>
    <w:p>
      <w:pPr>
        <w:spacing w:after="80" w:line="144" w:lineRule="auto"/>
      </w:pPr>
    </w:p>
    <w:p>
      <w:pPr>
        <w:spacing w:after="120"/>
      </w:pPr>
      <w:r>
        <w:rPr>
          <w:b w:val="0"/>
          <w:i w:val="0"/>
          <w:sz w:val="20"/>
        </w:rPr>
        <w:t>The average net rate rose from J$50.95 to J$52.68 per kWh (+3.4%). Fuel more than explains the increase (+J$2.93 per kWh), offset by lower IPP (−J$0.97) and smaller billing adjustments (−J$0.50). The non-fuel layer, the part that pays for the network, is roughly flat at about J$16.2 per kWh (+1.0%), so the network-charge yield per unit sold has held up even as volume fell. Residential customers pay more per kWh than commercial in every layer of net revenue (J$59.25 against J$47.67 in 2026); commercial tax per kWh is far higher (J$6.56 against J$1.49) because GCT is billed on almost all commercial consumption and on only part of residential.</w:t>
      </w:r>
    </w:p>
    <w:p>
      <w:pPr>
        <w:keepNext/>
        <w:spacing w:before="200" w:after="80"/>
      </w:pPr>
      <w:r>
        <w:rPr>
          <w:b/>
          <w:color w:val="0B3D66"/>
          <w:sz w:val="22"/>
        </w:rPr>
        <w:t>Taxes (GCT)</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GCT billed, Jan–Aug (J$M)</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Effective rate 2026</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Residential — billed monthly</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1,461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1,346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−116 (−7.9%)</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Prepaid</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76</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75</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 (−0.8%)</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6.3%</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Commercial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8,047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7,946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−101 (−1.3%)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13.8%</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9,584</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9,367</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−217 (−2.3%)</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8.3%</w:t>
            </w:r>
          </w:p>
        </w:tc>
      </w:tr>
    </w:tbl>
    <w:p>
      <w:pPr>
        <w:spacing w:after="80" w:line="144" w:lineRule="auto"/>
      </w:pPr>
    </w:p>
    <w:p>
      <w:pPr>
        <w:spacing w:after="120"/>
      </w:pPr>
      <w:r>
        <w:rPr>
          <w:b w:val="0"/>
          <w:i w:val="0"/>
          <w:color w:val="666666"/>
          <w:sz w:val="16"/>
        </w:rPr>
        <w:t>Total tax billed fell 2.3%, a little more than net revenue (1.8%). Commercial tax tracks commercial revenue almost one for one at about 13.8%; the difference comes from residential, where tax fell 7.9% against a 2.8% fall in revenue. That fits residential tax applying mostly to higher-consumption bills, which have fallen furthest in the storm-hit parishes.</w:t>
      </w:r>
    </w:p>
    <w:p>
      <w:pPr>
        <w:keepNext/>
        <w:spacing w:before="320" w:after="120"/>
        <w:pBdr>
          <w:bottom w:val="single" w:sz="12" w:space="4" w:color="0B3D66"/>
        </w:pBdr>
      </w:pPr>
      <w:r>
        <w:rPr>
          <w:b/>
          <w:color w:val="0B3D66"/>
          <w:sz w:val="28"/>
        </w:rPr>
        <w:t>2. Across Rate Class</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Class</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kWh/cust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Revenue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J$/kWh Δ</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RT10 Residential</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−3.9%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−5.4%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+2.9%</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RT20 Small Commercial</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−6.0%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+1.3%</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RT40 Commercial</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−6.3%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−6.8%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+5.2%</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RT50 Large Commercial</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+0.6%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−10.2%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−7.6%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+2.3%</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RT60-ST Street Lighting</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RT70 Industrial</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−2.2%</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−12.5% (3 accts)</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1E7A46"/>
                <w:sz w:val="17"/>
              </w:rPr>
              <w:t>+11.8%</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1E7A46"/>
                <w:sz w:val="17"/>
              </w:rPr>
              <w:t>+4.3%</w:t>
            </w:r>
          </w:p>
        </w:tc>
        <w:tc>
          <w:tcPr>
            <w:tcW w:type="dxa" w:w="1315"/>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1E7A46"/>
                <w:sz w:val="17"/>
              </w:rPr>
              <w:t>+6.7%</w:t>
            </w:r>
          </w:p>
        </w:tc>
      </w:tr>
    </w:tbl>
    <w:p>
      <w:pPr>
        <w:spacing w:after="80" w:line="144" w:lineRule="auto"/>
      </w:pPr>
    </w:p>
    <w:p>
      <w:pPr>
        <w:spacing w:after="120"/>
      </w:pPr>
      <w:r>
        <w:rPr>
          <w:b w:val="0"/>
          <w:i w:val="0"/>
          <w:sz w:val="20"/>
        </w:rPr>
        <w:t>Every class lost volume and every class gained rate — that part is uniform. RT70 is the one that looks odd at first glance, revenue actually up despite less electricity sold, but it's mechanical rather than encouraging: losing three accounts including Alcoa, one of the largest and presumably one of the cheaper-rate loads on the system, pulls the average rate of everyone who's left upward. It's a mix effect, not industrial customers suddenly paying more for the same power.</w:t>
      </w:r>
    </w:p>
    <w:p>
      <w:pPr>
        <w:keepNext/>
        <w:spacing w:before="320" w:after="120"/>
        <w:pBdr>
          <w:bottom w:val="single" w:sz="12" w:space="4" w:color="0B3D66"/>
        </w:pBdr>
      </w:pPr>
      <w:r>
        <w:rPr>
          <w:b/>
          <w:color w:val="0B3D66"/>
          <w:sz w:val="28"/>
        </w:rPr>
        <w:t>3. Within Rate Class — Consumption Blocks</w:t>
      </w:r>
    </w:p>
    <w:p>
      <w:pPr>
        <w:spacing w:after="120"/>
      </w:pPr>
      <w:r>
        <w:rPr>
          <w:b w:val="0"/>
          <w:i w:val="0"/>
          <w:sz w:val="20"/>
        </w:rPr>
        <w:t>This is where the attribution check's real answer lives, so it's worth walking through carefully. RT10 and RT20 are the only two classes with banded consumption data, and both tell the same story: the Under-150 and 150–350 kWh bands are shrinking while every band above 350 kWh is growing. Concretely, for RT10 the two lowest bands lost 6,762 customers combined while the four bands from 350 kWh up gained 7,570 — more customers moved up than moved out of the low end, which means the migration is being topped up by some new connections landing directly in the middle bands too, not just by existing low-usage customers climbing. Either way, the direction is up, not down. The band tables for every rate class are in the Appendix (Tables A2–A8).</w:t>
      </w:r>
    </w:p>
    <w:tbl>
      <w:tblPr>
        <w:tblW w:type="auto" w:w="0"/>
        <w:jc w:val="center"/>
        <w:tblLayout w:type="fixed"/>
        <w:tblLook w:firstColumn="1" w:firstRow="1" w:lastColumn="0" w:lastRow="0" w:noHBand="0" w:noVBand="1" w:val="04A0"/>
      </w:tblPr>
      <w:tblGrid>
        <w:gridCol w:w="4535"/>
        <w:gridCol w:w="2608"/>
        <w:gridCol w:w="2608"/>
      </w:tblGrid>
      <w:tr>
        <w:trPr>
          <w:cantSplit/>
          <w:tblHeader/>
        </w:trPr>
        <w:tc>
          <w:tcPr>
            <w:tcW w:type="dxa" w:w="453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 xml:space="preserve"> </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RT10</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RT20 (residential)</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Zero-consumption customers, Aug-25 → Aug-26</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50,569 → 57,968 (+7,399, +14.6%)</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5,712 → 6,340 (+628, +11.0%)</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Share of that class's total customer growth</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72%</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58%</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Registered net-billing customers, Aug-25 → Aug-26</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486 → 511 (+25, +5.1%)</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301 → 313 (+12, +4.0%)</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Customers exporting more than they draw in the month, Aug-25 → Aug-26</w:t>
            </w:r>
          </w:p>
        </w:tc>
        <w:tc>
          <w:tcPr>
            <w:tcW w:type="dxa" w:w="2608"/>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768 → 966 (+198, +25.8%)</w:t>
            </w:r>
          </w:p>
        </w:tc>
        <w:tc>
          <w:tcPr>
            <w:tcW w:type="dxa" w:w="2608"/>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67 → 106 (+39, +58.2%)</w:t>
            </w:r>
          </w:p>
        </w:tc>
      </w:tr>
    </w:tbl>
    <w:p>
      <w:pPr>
        <w:spacing w:after="80" w:line="144" w:lineRule="auto"/>
      </w:pPr>
    </w:p>
    <w:p>
      <w:pPr>
        <w:spacing w:after="120"/>
      </w:pPr>
      <w:r>
        <w:rPr>
          <w:b w:val="0"/>
          <w:i w:val="0"/>
          <w:sz w:val="20"/>
        </w:rPr>
        <w:t>So the falling per-customer average isn't existing customers pulling back — it's the blended average getting diluted by a large number of connections that aren't consuming anything at all. That's a meaningfully different problem to solve than "customers are conserving," and it points toward a data-cleanup and reconnection question (are these premises actually vacant, or just stuck in a billing/meter-read backlog?) rather than a demand-forecasting one.</w:t>
      </w:r>
    </w:p>
    <w:p>
      <w:pPr>
        <w:spacing w:after="120"/>
      </w:pPr>
      <w:r>
        <w:rPr>
          <w:b w:val="0"/>
          <w:i w:val="0"/>
          <w:sz w:val="20"/>
        </w:rPr>
        <w:t>Solar shows up in two different ways in the data, and they tell different stories. Customers registered on the net-billing tariff are few and barely growing — about 510 on the residential tariff and 313 on the small-business tariff, up roughly 4–5% in a year, with another 65 large commercial accounts that haven't moved. But the number of customers who actually exported more than they drew in August is close to double the registered residential count (966 against 511) and grew five times as fast (+26%). At least 450 residential exporters are therefore not on the registered scheme, or not yet; that's the activity the brief asks about that sits outside registered net billing. Either way it's still small in absolute terms — about 1,100 customers — but the direction is clear and the registered count understates it. One caution: a single month of net export can also come from a meter correction or a billing estimate reversal, so the export count is an upper bound on solar, not a precise measure.</w:t>
      </w:r>
    </w:p>
    <w:p>
      <w:pPr>
        <w:keepNext/>
        <w:spacing w:before="320" w:after="120"/>
        <w:pBdr>
          <w:bottom w:val="single" w:sz="12" w:space="4" w:color="0B3D66"/>
        </w:pBdr>
      </w:pPr>
      <w:r>
        <w:rPr>
          <w:b/>
          <w:color w:val="0B3D66"/>
          <w:sz w:val="28"/>
        </w:rPr>
        <w:t>4. By Parish</w:t>
      </w:r>
    </w:p>
    <w:p>
      <w:pPr>
        <w:spacing w:after="120"/>
      </w:pPr>
      <w:r>
        <w:rPr>
          <w:b w:val="0"/>
          <w:i w:val="0"/>
          <w:sz w:val="20"/>
        </w:rPr>
        <w:t>Every residential account carries a parish, so the residential base is shown here alongside commercial. Consumption bands (Section 3 and Appendix A2) are island-wide.</w:t>
      </w:r>
    </w:p>
    <w:p>
      <w:pPr>
        <w:keepNext/>
        <w:spacing w:before="200" w:after="80"/>
      </w:pPr>
      <w:r>
        <w:rPr>
          <w:b/>
          <w:color w:val="0B3D66"/>
          <w:sz w:val="22"/>
        </w:rPr>
        <w:t>Residential (billed monthly), by parish — sorted from steepest volume decline</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Parish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Jan–Aug 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Revenue Δ</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Westmoreland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33,153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−30.5%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−28.8%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 Elizabeth</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43,806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32.2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−21.7%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−19.9%</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Hanover</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15,927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−13.4%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Trelawny</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19,873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18.9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−12.0%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−9.2%</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 James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58,520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68.0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−8.6%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 Ann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47,810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50.6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−2.1%</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Manchester</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45,428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 Mary</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31,532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32.7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+2.7%</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Portmore</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51,595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70.5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−0.2%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+2.6%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Clarendon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48,218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45.7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+0.1%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+3.0%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 Catherine</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80,215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91.9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+3.6%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KSAN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80,016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150.9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+3.8%</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KSAS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44,649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62.5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+4.5%</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Portland</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22,843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22.4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+4.6%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 Thomas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20,142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+3.0%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+6.0%</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643,727</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1E7A46"/>
                <w:sz w:val="17"/>
              </w:rPr>
              <w:t>+1.3%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748.7</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−4.2%</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color w:val="B3261E"/>
                <w:sz w:val="17"/>
              </w:rPr>
              <w:t>−1.5%</w:t>
            </w:r>
          </w:p>
        </w:tc>
      </w:tr>
    </w:tbl>
    <w:p>
      <w:pPr>
        <w:spacing w:after="80" w:line="144" w:lineRule="auto"/>
      </w:pPr>
    </w:p>
    <w:p>
      <w:pPr>
        <w:spacing w:after="120"/>
      </w:pPr>
      <w:r>
        <w:rPr>
          <w:b w:val="0"/>
          <w:i w:val="0"/>
          <w:sz w:val="20"/>
        </w:rPr>
        <w:t>Customer growth is even across the island, between 0.3% and 2.1% everywhere, but volume is not. The five steepest declines — Westmoreland, St. Elizabeth, Hanover, Trelawny and St. James — are the western parishes hit hardest by Hurricane Melissa, and they account for the whole of the residential volume shortfall; the east and centre are flat to slightly up. It's the same geography as the hotel story in Section 5, showing up on the residential side: connections are back or holding, consumption in the storm-hit areas isn't yet.</w:t>
      </w:r>
    </w:p>
    <w:p>
      <w:pPr>
        <w:spacing w:after="120"/>
      </w:pPr>
      <w:r>
        <w:rPr>
          <w:b w:val="0"/>
          <w:i w:val="0"/>
          <w:sz w:val="20"/>
        </w:rPr>
        <w:t>Commercial accounts (RT20 commercial, RT40, RT50, RT60-ST, RT70) show the same western pattern — St. James down 23.6% in GWh, St. Elizabeth down 20.5%, Westmoreland down 17.3%.</w:t>
      </w:r>
    </w:p>
    <w:p>
      <w:pPr>
        <w:keepNext/>
        <w:spacing w:before="320" w:after="120"/>
        <w:pBdr>
          <w:bottom w:val="single" w:sz="12" w:space="4" w:color="0B3D66"/>
        </w:pBdr>
      </w:pPr>
      <w:r>
        <w:rPr>
          <w:b/>
          <w:color w:val="0B3D66"/>
          <w:sz w:val="28"/>
        </w:rPr>
        <w:t>5. By Sector / Industry</w:t>
      </w:r>
    </w:p>
    <w:p>
      <w:pPr>
        <w:spacing w:after="120"/>
      </w:pPr>
      <w:r>
        <w:rPr>
          <w:b w:val="0"/>
          <w:i w:val="0"/>
          <w:sz w:val="20"/>
        </w:rPr>
        <w:t>This covers the commercial classes (small-business commercial RT20, RT40, RT50 and RT70). RT10 residential and RT60-ST street lighting carry no industry classification, so they are excluded here by definition, not by choice. Figures are January to August.</w:t>
      </w:r>
    </w:p>
    <w:p>
      <w:pPr>
        <w:keepNext/>
        <w:spacing w:before="200" w:after="80"/>
      </w:pPr>
      <w:r>
        <w:rPr>
          <w:b/>
          <w:color w:val="0B3D66"/>
          <w:sz w:val="22"/>
        </w:rPr>
        <w:t>Top 10 industries by 2026 volume</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Industry</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2025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2026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Δ</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commercial GWh, 2026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Revenue Δ</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 Water Supply and Irrigation Systems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155.1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139.4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−4.7%</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 Hotels (except Casino Hotels) and Motels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173.3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128.3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−26.0%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−20.1%</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3. Other Metal Ore Mining</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75.4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77.7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+3.0%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+6.7%</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4. Cement Manufacturing</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60.3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73.4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+21.8%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+21.2%</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5. Wired and Wireless Telecommunications Carriers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57.3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54.0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−5.8%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6. Executive Offices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42.6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41.2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−3.4%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−0.8%</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7. Full-Service Restaurants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37.7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37.2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+2.6%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8. Banking, Insurance and Investments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35.1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33.7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−3.9%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−0.5%</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9. Food Manufacturing</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29.3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29.9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+1.9%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+6.1%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 Supermarkets and Other Grocery Retailers</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29.2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29.7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+6.2%</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All other tagged industries</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411.5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393.3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33.1%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+0.2%</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sz w:val="17"/>
              </w:rPr>
              <w:t>Industry not yet assigned</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143.5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149.2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w:t>
            </w:r>
          </w:p>
        </w:tc>
      </w:tr>
      <w:tr>
        <w:trPr>
          <w:cantSplit/>
        </w:trPr>
        <w:tc>
          <w:tcPr>
            <w:tcW w:type="dxa" w:w="317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 commercial</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1,250.3</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1,186.9</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color w:val="B3261E"/>
                <w:sz w:val="17"/>
              </w:rPr>
              <w:t>−5.1%</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100.0%</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color w:val="B3261E"/>
                <w:sz w:val="17"/>
              </w:rPr>
              <w:t>−1.0%</w:t>
            </w:r>
          </w:p>
        </w:tc>
      </w:tr>
    </w:tbl>
    <w:p>
      <w:pPr>
        <w:spacing w:after="80" w:line="144" w:lineRule="auto"/>
      </w:pPr>
    </w:p>
    <w:p>
      <w:pPr>
        <w:spacing w:after="120"/>
      </w:pPr>
      <w:r>
        <w:rPr>
          <w:b w:val="0"/>
          <w:i w:val="0"/>
          <w:sz w:val="20"/>
        </w:rPr>
        <w:t>The top ten tagged industries make up 54% of commercial volume, another 33% is spread across the remaining tagged industries, and about 13% belongs to real businesses whose industry hasn't been assigned yet. Residential accounts are excluded because they can't carry an industry; on the commercial accounts that should, the gap is 12.6% of volume in 2026 (11.5% in 2025). It is also not evenly spread: it sits almost entirely in small-business commercial accounts, where 56% of volume (145 of 260 GWh) has no industry assigned, against under 1% for RT40, RT50 and RT70. These are identifiable businesses (a coffee chain, printers, an auto dealer, quarries, government departments), so the gap is a classification backlog, not missing customers. By premise count that is roughly 17,900 accounts. Assigning industries to the small-business accounts would close nearly all of it.</w:t>
      </w:r>
    </w:p>
    <w:p>
      <w:pPr>
        <w:keepNext/>
        <w:spacing w:before="200" w:after="80"/>
      </w:pPr>
      <w:r>
        <w:rPr>
          <w:b/>
          <w:color w:val="0B3D66"/>
          <w:sz w:val="22"/>
        </w:rPr>
        <w:t>Biggest movers</w:t>
      </w:r>
    </w:p>
    <w:tbl>
      <w:tblPr>
        <w:tblW w:type="auto" w:w="0"/>
        <w:jc w:val="center"/>
        <w:tblLayout w:type="fixed"/>
        <w:tblLook w:firstColumn="1" w:firstRow="1" w:lastColumn="0" w:lastRow="0" w:noHBand="0" w:noVBand="1" w:val="04A0"/>
      </w:tblPr>
      <w:tblGrid>
        <w:gridCol w:w="4535"/>
        <w:gridCol w:w="2608"/>
        <w:gridCol w:w="2608"/>
      </w:tblGrid>
      <w:tr>
        <w:trPr>
          <w:cantSplit/>
          <w:tblHeader/>
        </w:trPr>
        <w:tc>
          <w:tcPr>
            <w:tcW w:type="dxa" w:w="453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Industry</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Δ</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Revenue Δ</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Hotels (except Casino Hotels) and Motels</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−26.0% (173.3→128.3)</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−20.1%</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Water Supply and Irrigation Systems</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−10.1%</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−4.6%</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Poultry Hatcheries</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−23.3%</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−19.8%</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Telemarketing / Contact Centers</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−22.7%</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−18.5%</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Cement Manufacturing</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+21.8%</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1E7A46"/>
                <w:sz w:val="17"/>
              </w:rPr>
              <w:t>+21.2%</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Distilleries</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+17.5%</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1E7A46"/>
                <w:sz w:val="17"/>
              </w:rPr>
              <w:t>+18.2%</w:t>
            </w:r>
          </w:p>
        </w:tc>
      </w:tr>
      <w:tr>
        <w:trPr>
          <w:cantSplit/>
        </w:trPr>
        <w:tc>
          <w:tcPr>
            <w:tcW w:type="dxa" w:w="4535"/>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Other Metal Ore Mining</w:t>
            </w:r>
          </w:p>
        </w:tc>
        <w:tc>
          <w:tcPr>
            <w:tcW w:type="dxa" w:w="2608"/>
            <w:tcMar>
              <w:top w:w="50" w:type="dxa"/>
              <w:bottom w:w="50" w:type="dxa"/>
              <w:left w:w="80" w:type="dxa"/>
              <w:right w:w="80" w:type="dxa"/>
            </w:tcMar>
            <w:tcBorders>
              <w:bottom w:val="single" w:sz="4" w:color="E4E4E4"/>
            </w:tcBorders>
          </w:tcPr>
          <w:p>
            <w:pPr>
              <w:spacing w:after="0" w:before="0" w:line="240" w:lineRule="auto"/>
              <w:jc w:val="right"/>
            </w:pPr>
            <w:r>
              <w:rPr>
                <w:b w:val="0"/>
                <w:i w:val="0"/>
                <w:color w:val="1E7A46"/>
                <w:sz w:val="17"/>
              </w:rPr>
              <w:t>+3.0%</w:t>
            </w:r>
          </w:p>
        </w:tc>
        <w:tc>
          <w:tcPr>
            <w:tcW w:type="dxa" w:w="2608"/>
            <w:tcMar>
              <w:top w:w="50" w:type="dxa"/>
              <w:bottom w:w="50" w:type="dxa"/>
              <w:left w:w="80" w:type="dxa"/>
              <w:right w:w="80" w:type="dxa"/>
            </w:tcMar>
            <w:tcBorders>
              <w:bottom w:val="single" w:sz="4" w:color="E4E4E4"/>
            </w:tcBorders>
          </w:tcPr>
          <w:p>
            <w:pPr>
              <w:spacing w:after="0" w:before="0" w:line="240" w:lineRule="auto"/>
              <w:jc w:val="right"/>
            </w:pPr>
            <w:r>
              <w:rPr>
                <w:b w:val="0"/>
                <w:i w:val="0"/>
                <w:color w:val="1E7A46"/>
                <w:sz w:val="17"/>
              </w:rPr>
              <w:t>+6.7%</w:t>
            </w:r>
          </w:p>
        </w:tc>
      </w:tr>
    </w:tbl>
    <w:p>
      <w:pPr>
        <w:spacing w:after="80" w:line="144" w:lineRule="auto"/>
      </w:pPr>
    </w:p>
    <w:p>
      <w:pPr>
        <w:spacing w:after="120"/>
      </w:pPr>
      <w:r>
        <w:rPr>
          <w:b w:val="0"/>
          <w:i w:val="0"/>
          <w:sz w:val="20"/>
        </w:rPr>
        <w:t>Hotels is, by a wide margin, the single largest identifiable industry drag on the system — more GWh lost than the next three declining industries combined. Everything else with an industry assigned mostly moves within a few percent either direction, so this reads as concentrated in one sector rather than a broad commercial slowdown.</w:t>
      </w:r>
    </w:p>
    <w:p>
      <w:pPr>
        <w:keepNext/>
        <w:spacing w:before="200" w:after="80"/>
      </w:pPr>
      <w:r>
        <w:rPr>
          <w:b/>
          <w:color w:val="0B3D66"/>
          <w:sz w:val="22"/>
        </w:rPr>
        <w:t>5a. Composition — is a rising share growth, or everyone else declining?</w:t>
      </w:r>
    </w:p>
    <w:p>
      <w:pPr>
        <w:spacing w:after="120"/>
      </w:pPr>
      <w:r>
        <w:rPr>
          <w:b w:val="0"/>
          <w:i w:val="0"/>
          <w:sz w:val="20"/>
        </w:rPr>
        <w:t>The brief specifically asks whether a higher revenue or volume share for an industry reflects real growth or just other industries falling faster around it. Worth separating those two cases, because they read very differently to a board.</w:t>
      </w: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Industry</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commercial GWh,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Read</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Hotels</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13.86%</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10.81%</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 xml:space="preserve">Share </w:t>
            </w:r>
            <w:r>
              <w:rPr>
                <w:b w:val="0"/>
                <w:i w:val="0"/>
                <w:color w:val="B3261E"/>
                <w:sz w:val="17"/>
              </w:rPr>
              <w:t>falling</w:t>
            </w:r>
            <w:r>
              <w:rPr>
                <w:b w:val="0"/>
                <w:i w:val="0"/>
                <w:sz w:val="17"/>
              </w:rPr>
              <w:t xml:space="preserve"> — genuine decline, not dilution</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Cement Manufacturing</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4.82%</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6.18%</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 xml:space="preserve">Share </w:t>
            </w:r>
            <w:r>
              <w:rPr>
                <w:b w:val="0"/>
                <w:i w:val="0"/>
                <w:color w:val="1E7A46"/>
                <w:sz w:val="17"/>
              </w:rPr>
              <w:t>rising</w:t>
            </w:r>
            <w:r>
              <w:rPr>
                <w:b w:val="0"/>
                <w:i w:val="0"/>
                <w:sz w:val="17"/>
              </w:rPr>
              <w:t>, volume also up 21.8% — real growth</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Other Metal Ore Mining</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6.03%</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6.55%</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 xml:space="preserve">Share </w:t>
            </w:r>
            <w:r>
              <w:rPr>
                <w:b w:val="0"/>
                <w:i w:val="0"/>
                <w:color w:val="1E7A46"/>
                <w:sz w:val="17"/>
              </w:rPr>
              <w:t>rising</w:t>
            </w:r>
            <w:r>
              <w:rPr>
                <w:b w:val="0"/>
                <w:i w:val="0"/>
                <w:sz w:val="17"/>
              </w:rPr>
              <w:t xml:space="preserve"> despite Alcoa's August exit — other accounts in the group (Windalco, Jamalco, Alpart) are carrying it, and Alcoa's drop has only been in the data one month so far</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Water Supply and Irrigation</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12.41%</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11.74%</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Share and volume both down modestly — broad, not company-specific</w:t>
            </w:r>
          </w:p>
        </w:tc>
      </w:tr>
      <w:tr>
        <w:trPr>
          <w:cantSplit/>
        </w:trPr>
        <w:tc>
          <w:tcPr>
            <w:tcW w:type="dxa" w:w="3515"/>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(industry not yet assigned)</w:t>
            </w:r>
          </w:p>
        </w:tc>
        <w:tc>
          <w:tcPr>
            <w:tcW w:type="dxa" w:w="2079"/>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11.47%</w:t>
            </w:r>
          </w:p>
        </w:tc>
        <w:tc>
          <w:tcPr>
            <w:tcW w:type="dxa" w:w="2079"/>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12.57%</w:t>
            </w:r>
          </w:p>
        </w:tc>
        <w:tc>
          <w:tcPr>
            <w:tcW w:type="dxa" w:w="2079"/>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Share rising slightly, because the small-business accounts with no industry assigned fell less than the tagged ones — an assignment gap more than a finding</w:t>
            </w:r>
          </w:p>
        </w:tc>
      </w:tr>
    </w:tbl>
    <w:p>
      <w:pPr>
        <w:spacing w:after="80" w:line="144" w:lineRule="auto"/>
      </w:pPr>
    </w:p>
    <w:p>
      <w:pPr>
        <w:spacing w:after="120"/>
      </w:pPr>
      <w:r>
        <w:rPr>
          <w:b w:val="0"/>
          <w:i w:val="0"/>
          <w:sz w:val="20"/>
        </w:rPr>
        <w:t>Cement Manufacturing is the one genuinely clean growth story here: both the dollars and the share are moving up together, which is what real growth looks like rather than growth-by-comparison. Hotels is the mirror image — an outright decline, not just a shrinking share because other things grew around it. And about one kWh in eight still has no industry assigned, concentrated in small-business accounts, which caps how far the sector cut can be trusted until that is cleaned up.</w:t>
      </w:r>
    </w:p>
    <w:p>
      <w:pPr>
        <w:keepNext/>
        <w:spacing w:before="200" w:after="80"/>
      </w:pPr>
      <w:r>
        <w:rPr>
          <w:b/>
          <w:color w:val="0B3D66"/>
          <w:sz w:val="22"/>
        </w:rPr>
        <w:t>5b. Concentration — how much of this sits with a handful of accounts?</w:t>
      </w:r>
    </w:p>
    <w:p>
      <w:pPr>
        <w:spacing w:after="120"/>
      </w:pPr>
      <w:r>
        <w:rPr>
          <w:b w:val="0"/>
          <w:i w:val="0"/>
          <w:sz w:val="20"/>
        </w:rPr>
        <w:t>Taking RT50 as the sharpest example, since it has the steepest volume decline of any class: the five accounts that lost the most volume year over year were four hotel properties and Caribbean Cement, while the five biggest gainers — NFE North Holdings, Half Moon Bay, West Meat Packers, Windalco, National Insurance Fund — don't come close to offsetting them in scale. That's the pattern across every class this analysis touched: the movement is a small number of large accounts, not a broad shift across the customer base.</w:t>
      </w:r>
    </w:p>
    <w:p>
      <w:pPr>
        <w:keepNext/>
        <w:spacing w:before="320" w:after="120"/>
        <w:pBdr>
          <w:bottom w:val="single" w:sz="12" w:space="4" w:color="0B3D66"/>
        </w:pBdr>
      </w:pPr>
      <w:r>
        <w:rPr>
          <w:b/>
          <w:color w:val="0B3D66"/>
          <w:sz w:val="28"/>
        </w:rPr>
        <w:t>6. Customer Defection</w:t>
      </w:r>
    </w:p>
    <w:p>
      <w:pPr>
        <w:spacing w:after="120"/>
      </w:pPr>
      <w:r>
        <w:rPr>
          <w:b w:val="0"/>
          <w:i w:val="0"/>
          <w:sz w:val="20"/>
        </w:rPr>
        <w:t>A commercial customer is treated as defecting when its consumption for January to August 2026 is more than 80% below the same period of 2025. On that definition 867 customers qualify, with a combined 2025 volume of 12.7 GWh that has fallen to 1.2 GWh — a loss of 11.5 GWh, or about 1% of commercial volume and roughly 18% of the 63 GWh decline in commercial sales. Defection is real but small; most of the decline in the commercial base comes from customers that reduced volume without leaving.</w:t>
      </w:r>
    </w:p>
    <w:p>
      <w:pPr>
        <w:spacing w:after="120"/>
      </w:pPr>
      <w:r>
        <w:rPr>
          <w:b w:val="0"/>
          <w:i w:val="0"/>
          <w:sz w:val="20"/>
        </w:rPr>
        <w:t>The next question is whether each defection is operational (a business that closed, was damaged or released capacity) or self-generation (a customer that now supplies itself but stays connected). Two signals separate them. The first is timing: a drop that lands in November and December 2025 coincides with Hurricane Melissa and points to storm damage or closure. The second is what the customer keeps paying for. A self-generating customer normally holds its grid connection and contracted demand as backup, so its demand charge stays in place while kWh disappears; an operational exit releases the capacity and the demand charge falls to the minimum or to nothing.</w:t>
      </w:r>
    </w:p>
    <w:tbl>
      <w:tblPr>
        <w:tblW w:type="auto" w:w="0"/>
        <w:jc w:val="center"/>
        <w:tblLayout w:type="fixed"/>
        <w:tblLook w:firstColumn="1" w:firstRow="1" w:lastColumn="0" w:lastRow="0" w:noHBand="0" w:noVBand="1" w:val="04A0"/>
      </w:tblPr>
      <w:tblGrid>
        <w:gridCol w:w="2041"/>
        <w:gridCol w:w="1701"/>
        <w:gridCol w:w="794"/>
        <w:gridCol w:w="794"/>
        <w:gridCol w:w="850"/>
        <w:gridCol w:w="3572"/>
      </w:tblGrid>
      <w:tr>
        <w:trPr>
          <w:cantSplit/>
          <w:tblHeader/>
        </w:trPr>
        <w:tc>
          <w:tcPr>
            <w:tcW w:type="dxa" w:w="2041"/>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Likely cause</w:t>
            </w:r>
          </w:p>
        </w:tc>
        <w:tc>
          <w:tcPr>
            <w:tcW w:type="dxa" w:w="1701"/>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w:t>
            </w:r>
          </w:p>
        </w:tc>
        <w:tc>
          <w:tcPr>
            <w:tcW w:type="dxa" w:w="79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Jan–Aug 2025</w:t>
            </w:r>
          </w:p>
        </w:tc>
        <w:tc>
          <w:tcPr>
            <w:tcW w:type="dxa" w:w="79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Jan–Aug 2026</w:t>
            </w:r>
          </w:p>
        </w:tc>
        <w:tc>
          <w:tcPr>
            <w:tcW w:type="dxa" w:w="850"/>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lost</w:t>
            </w:r>
          </w:p>
        </w:tc>
        <w:tc>
          <w:tcPr>
            <w:tcW w:type="dxa" w:w="3572"/>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Share of loss</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not recovered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490</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4.41</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0.16</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−4.25</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37%</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recovering</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77</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4.02</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0.72</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−3.30</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29%</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Account closed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67</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1.60</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0.05</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−1.55</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Contracted capacity released (outside the storm window)</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1.49</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0.18</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−1.31</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Small business, no clear signal</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227</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0.99</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0.08</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−0.91</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8%</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Self-generation indicated</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0.17</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−0.17</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r>
      <w:tr>
        <w:trPr>
          <w:cantSplit/>
        </w:trPr>
        <w:tc>
          <w:tcPr>
            <w:tcW w:type="dxa" w:w="2041"/>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w:t>
            </w:r>
          </w:p>
        </w:tc>
        <w:tc>
          <w:tcPr>
            <w:tcW w:type="dxa" w:w="1701"/>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867</w:t>
            </w:r>
          </w:p>
        </w:tc>
        <w:tc>
          <w:tcPr>
            <w:tcW w:type="dxa" w:w="79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12.68</w:t>
            </w:r>
          </w:p>
        </w:tc>
        <w:tc>
          <w:tcPr>
            <w:tcW w:type="dxa" w:w="794"/>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1.19</w:t>
            </w:r>
          </w:p>
        </w:tc>
        <w:tc>
          <w:tcPr>
            <w:tcW w:type="dxa" w:w="850"/>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color w:val="B3261E"/>
                <w:sz w:val="17"/>
              </w:rPr>
              <w:t>−11.49</w:t>
            </w:r>
          </w:p>
        </w:tc>
        <w:tc>
          <w:tcPr>
            <w:tcW w:type="dxa" w:w="3572"/>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100%</w:t>
            </w:r>
          </w:p>
        </w:tc>
      </w:tr>
    </w:tbl>
    <w:p>
      <w:pPr>
        <w:spacing w:after="80" w:line="144" w:lineRule="auto"/>
      </w:pPr>
    </w:p>
    <w:p>
      <w:pPr>
        <w:spacing w:after="120"/>
      </w:pPr>
      <w:r>
        <w:rPr>
          <w:b w:val="0"/>
          <w:i w:val="0"/>
          <w:sz w:val="20"/>
        </w:rPr>
        <w:t>About 91% of the volume lost to defection is operational, and most of it is storm-related: customers whose consumption fell away in the two months after the hurricane and have not come back, plus 77 that are recovering. Only two customers show the self-generation signature of near-zero kWh with grid capacity held, and together they account for under 2% of the loss. The four customers that released contracted capacity outside the storm window (Carib Products, Dougall Flooring and two others) are the ones to confirm directly, since a capacity cut can also follow a move to on-site generation. Alcoa does not appear here because its August exit is too recent to move a January-to-August total by 80%; it is the one large, confirmed self-generation case in the base and will enter this definition as 2026 progresses.</w:t>
      </w:r>
    </w:p>
    <w:p>
      <w:pPr>
        <w:keepNext/>
        <w:spacing w:before="200" w:after="80"/>
      </w:pPr>
      <w:r>
        <w:rPr>
          <w:b/>
          <w:color w:val="0B3D66"/>
          <w:sz w:val="22"/>
        </w:rPr>
        <w:t>Largest defecting customers (2025 volume of 0.1 GWh or more)</w:t>
      </w:r>
    </w:p>
    <w:tbl>
      <w:tblPr>
        <w:tblW w:type="auto" w:w="0"/>
        <w:jc w:val="center"/>
        <w:tblLayout w:type="fixed"/>
        <w:tblLook w:firstColumn="1" w:firstRow="1" w:lastColumn="0" w:lastRow="0" w:noHBand="0" w:noVBand="1" w:val="04A0"/>
      </w:tblPr>
      <w:tblGrid>
        <w:gridCol w:w="2041"/>
        <w:gridCol w:w="1701"/>
        <w:gridCol w:w="794"/>
        <w:gridCol w:w="794"/>
        <w:gridCol w:w="850"/>
        <w:gridCol w:w="3572"/>
      </w:tblGrid>
      <w:tr>
        <w:trPr>
          <w:cantSplit/>
          <w:tblHeader/>
        </w:trPr>
        <w:tc>
          <w:tcPr>
            <w:tcW w:type="dxa" w:w="2041"/>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Customer</w:t>
            </w:r>
          </w:p>
        </w:tc>
        <w:tc>
          <w:tcPr>
            <w:tcW w:type="dxa" w:w="1701"/>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Industry</w:t>
            </w:r>
          </w:p>
        </w:tc>
        <w:tc>
          <w:tcPr>
            <w:tcW w:type="dxa" w:w="79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2025</w:t>
            </w:r>
          </w:p>
        </w:tc>
        <w:tc>
          <w:tcPr>
            <w:tcW w:type="dxa" w:w="79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2026</w:t>
            </w:r>
          </w:p>
        </w:tc>
        <w:tc>
          <w:tcPr>
            <w:tcW w:type="dxa" w:w="850"/>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3572"/>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Likely cause</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HOCATSA Jamaica Limited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Hotels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3.54</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0.65</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−82%</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damage; hotel now recovering month by month</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Carib Products Co Ltd</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Fats and oils refining</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0.89</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0.13</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−86%</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Volume and contracted demand both cut from February 2026; operational</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United Call Solutions (Jamaica)</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Contact centers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0.80</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−100%</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demand cut to the minimum, site closed</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Coyaba Beach Resort &amp; Club</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Hotels</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0.61</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0.09</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−86%</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damage; not yet recovered</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BBNH Resorts Limited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Hotels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0.51</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−100%</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no longer billing</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Contax360 BPO Solutions</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Contact centers</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0.46</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−100%</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demand cut to the minimum, site closed</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M &amp; W Investments Ltd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Banking, insurance and investments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0.36</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0.03</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−91%</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Account closed; no billing since February 2026</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Shoppers Fair</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Supermarkets and grocery</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0.30</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−98%</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demand cut to the minimum</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Unique Vacations Ltd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Contact centers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0.28</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0.03</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−88%</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no billing since April 2026</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Strobe Communications Ltd</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Contact centers</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0.24</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0.01</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−95%</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demand cut to the minimum</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Eight Rivers Energy Company</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Hydroelectric power generation</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0.23</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−99%</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a generator, so confirm whether it now supplies itself</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24-7 Intouch JAM2 Inc</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Industry not yet assigned</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0.23</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0.02</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−90%</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account closed</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Dougall Flooring Ltd.</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Flooring contractors</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0.20</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0.02</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−92%</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Volume and contracted demand run down gradually; operational</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White Diamond Hotels &amp; Resorts</w:t>
            </w:r>
          </w:p>
        </w:tc>
        <w:tc>
          <w:tcPr>
            <w:tcW w:type="dxa" w:w="1701"/>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Hotels</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0.20</w:t>
            </w:r>
          </w:p>
        </w:tc>
        <w:tc>
          <w:tcPr>
            <w:tcW w:type="dxa" w:w="79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color w:val="B3261E"/>
                <w:sz w:val="17"/>
              </w:rPr>
              <w:t>−100%</w:t>
            </w:r>
          </w:p>
        </w:tc>
        <w:tc>
          <w:tcPr>
            <w:tcW w:type="dxa" w:w="3572"/>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Storm window; no longer billing</w:t>
            </w:r>
          </w:p>
        </w:tc>
      </w:tr>
      <w:tr>
        <w:trPr>
          <w:cantSplit/>
        </w:trPr>
        <w:tc>
          <w:tcPr>
            <w:tcW w:type="dxa" w:w="204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AMGL Account Outsourcing Group</w:t>
            </w:r>
          </w:p>
        </w:tc>
        <w:tc>
          <w:tcPr>
            <w:tcW w:type="dxa" w:w="1701"/>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Industry not yet assigned</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0.11</w:t>
            </w:r>
          </w:p>
        </w:tc>
        <w:tc>
          <w:tcPr>
            <w:tcW w:type="dxa" w:w="79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0.01</w:t>
            </w:r>
          </w:p>
        </w:tc>
        <w:tc>
          <w:tcPr>
            <w:tcW w:type="dxa" w:w="850"/>
            <w:tcMar>
              <w:top w:w="50" w:type="dxa"/>
              <w:bottom w:w="50" w:type="dxa"/>
              <w:left w:w="80" w:type="dxa"/>
              <w:right w:w="80" w:type="dxa"/>
            </w:tcMar>
            <w:tcBorders>
              <w:bottom w:val="single" w:sz="4" w:color="E4E4E4"/>
            </w:tcBorders>
          </w:tcPr>
          <w:p>
            <w:pPr>
              <w:keepNext/>
              <w:spacing w:after="0" w:before="0" w:line="240" w:lineRule="auto"/>
              <w:jc w:val="right"/>
            </w:pPr>
            <w:r>
              <w:rPr>
                <w:b w:val="0"/>
                <w:i w:val="0"/>
                <w:color w:val="B3261E"/>
                <w:sz w:val="17"/>
              </w:rPr>
              <w:t>−93%</w:t>
            </w:r>
          </w:p>
        </w:tc>
        <w:tc>
          <w:tcPr>
            <w:tcW w:type="dxa" w:w="3572"/>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Storm window; account closed</w:t>
            </w:r>
          </w:p>
        </w:tc>
      </w:tr>
      <w:tr>
        <w:trPr>
          <w:cantSplit/>
        </w:trPr>
        <w:tc>
          <w:tcPr>
            <w:tcW w:type="dxa" w:w="2041"/>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St James Parish Council</w:t>
            </w:r>
          </w:p>
        </w:tc>
        <w:tc>
          <w:tcPr>
            <w:tcW w:type="dxa" w:w="1701"/>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Industry not yet assigned</w:t>
            </w:r>
          </w:p>
        </w:tc>
        <w:tc>
          <w:tcPr>
            <w:tcW w:type="dxa" w:w="79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0.11</w:t>
            </w:r>
          </w:p>
        </w:tc>
        <w:tc>
          <w:tcPr>
            <w:tcW w:type="dxa" w:w="79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0.00</w:t>
            </w:r>
          </w:p>
        </w:tc>
        <w:tc>
          <w:tcPr>
            <w:tcW w:type="dxa" w:w="850"/>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color w:val="B3261E"/>
                <w:sz w:val="17"/>
              </w:rPr>
              <w:t>−98%</w:t>
            </w:r>
          </w:p>
        </w:tc>
        <w:tc>
          <w:tcPr>
            <w:tcW w:type="dxa" w:w="3572"/>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Storm window; consumption near zero</w:t>
            </w:r>
          </w:p>
        </w:tc>
      </w:tr>
    </w:tbl>
    <w:p>
      <w:pPr>
        <w:spacing w:after="80" w:line="144" w:lineRule="auto"/>
      </w:pPr>
    </w:p>
    <w:p>
      <w:pPr>
        <w:spacing w:after="120"/>
      </w:pPr>
      <w:r>
        <w:rPr>
          <w:b w:val="0"/>
          <w:i w:val="0"/>
          <w:color w:val="666666"/>
          <w:sz w:val="16"/>
        </w:rPr>
        <w:t>Cause is inferred from timing and from whether the customer kept its contracted demand; it is an indicator, not a confirmation. The 227 small-business customers in "no clear signal" carry no demand charge, so the second test cannot be applied to them.</w:t>
      </w:r>
    </w:p>
    <w:p>
      <w:pPr>
        <w:keepNext/>
        <w:spacing w:before="320" w:after="120"/>
        <w:pBdr>
          <w:bottom w:val="single" w:sz="12" w:space="4" w:color="0B3D66"/>
        </w:pBdr>
      </w:pPr>
      <w:r>
        <w:rPr>
          <w:b/>
          <w:color w:val="0B3D66"/>
          <w:sz w:val="28"/>
        </w:rPr>
        <w:t>Questions to Consider</w:t>
      </w:r>
    </w:p>
    <w:p>
      <w:pPr>
        <w:keepNext/>
        <w:spacing w:before="160" w:after="40"/>
      </w:pPr>
      <w:r>
        <w:rPr>
          <w:b/>
          <w:color w:val="0B3D66"/>
        </w:rPr>
        <w:t>How are we performing from a sales perspective? Growing, declining, or flat?</w:t>
      </w:r>
    </w:p>
    <w:p>
      <w:pPr>
        <w:spacing w:after="80"/>
      </w:pPr>
      <w:r>
        <w:rPr>
          <w:b w:val="0"/>
          <w:i w:val="0"/>
          <w:sz w:val="20"/>
        </w:rPr>
        <w:t>Declining in volume (−5.1% YTD), growing in customer count (+1.6%), close to flat in revenue (−1.85%, cushioned by the rate increase). See Section 1.</w:t>
      </w:r>
    </w:p>
    <w:p>
      <w:pPr>
        <w:keepNext/>
        <w:spacing w:before="160" w:after="40"/>
      </w:pPr>
      <w:r>
        <w:rPr>
          <w:b/>
          <w:color w:val="0B3D66"/>
        </w:rPr>
        <w:t>What customer class is driving sales and peak-demand changes? What are the drivers? Where are the shortfalls?</w:t>
      </w:r>
    </w:p>
    <w:p>
      <w:pPr>
        <w:spacing w:after="80"/>
      </w:pPr>
      <w:r>
        <w:rPr>
          <w:b w:val="0"/>
          <w:i w:val="0"/>
          <w:sz w:val="20"/>
        </w:rPr>
        <w:t>RT50 and RT60-ST have the steepest percentage volume declines; RT70 has the steepest customer-count decline, concentrated in one account. See Section 2.</w:t>
      </w:r>
    </w:p>
    <w:p>
      <w:pPr>
        <w:keepNext/>
        <w:spacing w:before="160" w:after="40"/>
      </w:pPr>
      <w:r>
        <w:rPr>
          <w:b/>
          <w:color w:val="0B3D66"/>
        </w:rPr>
        <w:t>Which customers explain the gains? Do these reflect business growth, new accounts, return to the grid, or billing adjustments?</w:t>
      </w:r>
    </w:p>
    <w:p>
      <w:pPr>
        <w:spacing w:after="80"/>
      </w:pPr>
      <w:r>
        <w:rPr>
          <w:b w:val="0"/>
          <w:i w:val="0"/>
          <w:sz w:val="20"/>
        </w:rPr>
        <w:t>Mostly new connections in count terms, but a large share of those are zero-consumption (Section 3), so they're not really adding load. The gains that do reflect real business growth are concentrated in a handful of named accounts — Caribbean Cement, Distilleries — and in the upward migration of existing residential customers into higher bands, not broad-based growth across the customer file.</w:t>
      </w:r>
    </w:p>
    <w:p>
      <w:pPr>
        <w:keepNext/>
        <w:spacing w:before="160" w:after="40"/>
      </w:pPr>
      <w:r>
        <w:rPr>
          <w:b/>
          <w:color w:val="0B3D66"/>
        </w:rPr>
        <w:t>Which customers explain lost sales? What is the cause, and when is demand expected to return, if so?</w:t>
      </w:r>
    </w:p>
    <w:p>
      <w:pPr>
        <w:spacing w:after="80"/>
      </w:pPr>
      <w:r>
        <w:rPr>
          <w:b w:val="0"/>
          <w:i w:val="0"/>
          <w:sz w:val="20"/>
        </w:rPr>
        <w:t>Two causes cover nearly all of it: Alcoa's self-generation (RT70, permanent, not returning) and the hotel sector's still-incomplete Hurricane Melissa recovery (temporary, closing gradually month over month). Outright defection, meaning customers down more than 80%, accounts for only about 18% of the commercial decline and is overwhelmingly storm-related (Section 6).</w:t>
      </w:r>
    </w:p>
    <w:p>
      <w:pPr>
        <w:keepNext/>
        <w:spacing w:before="160" w:after="40"/>
      </w:pPr>
      <w:r>
        <w:rPr>
          <w:b/>
          <w:color w:val="0B3D66"/>
        </w:rPr>
        <w:t>Where a rate class shows net growth or net decline overall, is that outcome driven mainly by new connections and closures rather than by existing customers, and could that be masking an underlying decline (or growth) among the existing customer base?</w:t>
      </w:r>
    </w:p>
    <w:p>
      <w:pPr>
        <w:spacing w:after="80"/>
      </w:pPr>
      <w:r>
        <w:rPr>
          <w:b w:val="0"/>
          <w:i w:val="0"/>
          <w:sz w:val="20"/>
        </w:rPr>
        <w:t>Yes, and this is the central finding of the whole exercise. Existing RT10 and RT20 customers are genuinely using more, moving into higher consumption bands, but that real growth is invisible in the blended per-customer average because it's being swamped by a wave of connections that use nothing at all. See Section 3.</w:t>
      </w:r>
    </w:p>
    <w:p>
      <w:pPr>
        <w:keepNext/>
        <w:spacing w:before="160" w:after="40"/>
      </w:pPr>
      <w:r>
        <w:rPr>
          <w:b/>
          <w:color w:val="0B3D66"/>
        </w:rPr>
        <w:t>Within each rate class, does the number of customers gaining vs. losing consumption align with the direction of net load change, or is the result being driven by a small number of accounts with disproportionately large swings?</w:t>
      </w:r>
    </w:p>
    <w:p>
      <w:pPr>
        <w:spacing w:after="80"/>
      </w:pPr>
      <w:r>
        <w:rPr>
          <w:b w:val="0"/>
          <w:i w:val="0"/>
          <w:sz w:val="20"/>
        </w:rPr>
        <w:t>A small number of accounts. See Section 5b — RT50's losses trace to four hotels and one cement account; RT70's entire swing is one account.</w:t>
      </w:r>
    </w:p>
    <w:p>
      <w:pPr>
        <w:keepNext/>
        <w:spacing w:before="160" w:after="40"/>
      </w:pPr>
      <w:r>
        <w:rPr>
          <w:b/>
          <w:color w:val="0B3D66"/>
        </w:rPr>
        <w:t>Which industries are growing or declining, and why? Are changes widespread or concentrated in a few customers/classes?</w:t>
      </w:r>
    </w:p>
    <w:p>
      <w:pPr>
        <w:spacing w:after="80"/>
      </w:pPr>
      <w:r>
        <w:rPr>
          <w:b w:val="0"/>
          <w:i w:val="0"/>
          <w:sz w:val="20"/>
        </w:rPr>
        <w:t>Concentrated. Hotels alone outweighs the next three declining industries combined. See Section 5.</w:t>
      </w:r>
    </w:p>
    <w:p>
      <w:pPr>
        <w:keepNext/>
        <w:spacing w:before="160" w:after="40"/>
      </w:pPr>
      <w:r>
        <w:rPr>
          <w:b/>
          <w:color w:val="0B3D66"/>
        </w:rPr>
        <w:t>Within industries, how is the composition of demand changing? Does a higher share reflect growth or declines elsewhere?</w:t>
      </w:r>
    </w:p>
    <w:p>
      <w:pPr>
        <w:spacing w:after="80"/>
      </w:pPr>
      <w:r>
        <w:rPr>
          <w:b w:val="0"/>
          <w:i w:val="0"/>
          <w:sz w:val="20"/>
        </w:rPr>
        <w:t>Mixed, and worth distinguishing case by case: Cement Manufacturing's rising share is real growth (volume and share both up together); Hotels' falling share is a genuine decline, not dilution by faster-growing peers. See Section 5a.</w:t>
      </w:r>
    </w:p>
    <w:p>
      <w:pPr>
        <w:keepNext/>
        <w:spacing w:before="160" w:after="40"/>
      </w:pPr>
      <w:r>
        <w:rPr>
          <w:b/>
          <w:color w:val="0B3D66"/>
        </w:rPr>
        <w:t>Where is demand loss concentrated? Which Rate Class? Which consumption bucket?</w:t>
      </w:r>
    </w:p>
    <w:p>
      <w:pPr>
        <w:spacing w:after="80"/>
      </w:pPr>
      <w:r>
        <w:rPr>
          <w:b w:val="0"/>
          <w:i w:val="0"/>
          <w:sz w:val="20"/>
        </w:rPr>
        <w:t>By class, RT50 and RT60-ST. By consumption bucket, RT10's two lowest bands are losing customers even as everyone who remains in the higher bands uses more. By geography, the western parishes — Westmoreland, St. Elizabeth, Hanover, Trelawny and St. James — carry the whole of the residential volume decline. See Sections 3 and 4.</w:t>
      </w:r>
    </w:p>
    <w:p>
      <w:pPr>
        <w:keepNext/>
        <w:spacing w:before="160" w:after="40"/>
      </w:pPr>
      <w:r>
        <w:rPr>
          <w:b/>
          <w:color w:val="0B3D66"/>
        </w:rPr>
        <w:t>Is charging demand growing through more accounts or greater usage? Which operators are driving the increase?</w:t>
      </w:r>
    </w:p>
    <w:p>
      <w:pPr>
        <w:spacing w:after="80"/>
      </w:pPr>
      <w:r>
        <w:rPr>
          <w:b w:val="0"/>
          <w:i w:val="0"/>
          <w:sz w:val="20"/>
        </w:rPr>
        <w:t>Growing quickly, and mostly through greater usage per site rather than more sites. Billing under the EV tariff rose from 12.6 MWh in August 2025 to 66.2 MWh in August 2026 (5.2 times), and revenue from J$0.5 million to J$2.4 million. Sites went from 20 to 25, but average use per site rose from about 630 kWh to about 2,650 kWh a month. January–August volume is 375 MWh against 65 MWh a year earlier. The step-up came in January 2026 (12.8 MWh in December to 36.6 MWh in January on just two more sites), which suggests higher-capacity chargers coming into service, and it has climbed every month since March. Every EV-tariff site is billed to JPS itself, across the parishes, so today the growth is JPS's own charging network; no third-party operator has a site on the EV tariff. Chargers run by other operators, such as Evergo, that are metered on ordinary commercial tariffs cannot be separated from other commercial load. The volume is still tiny — 0.02% of monthly system sales — and earns about J$36.5 per kWh against a system average near J$53.</w:t>
      </w:r>
    </w:p>
    <w:p>
      <w:pPr>
        <w:keepNext/>
        <w:spacing w:before="160" w:after="40"/>
      </w:pPr>
      <w:r>
        <w:rPr>
          <w:b/>
          <w:color w:val="0B3D66"/>
        </w:rPr>
        <w:t>How quickly is self-generation growing? How does it affect grid purchases, and how much activity sits outside registered net billing? For declining accounts, is the reduction due to lower usage while remaining connected versus full disconnection from the grid?</w:t>
      </w:r>
    </w:p>
    <w:p>
      <w:pPr>
        <w:spacing w:after="80"/>
      </w:pPr>
      <w:r>
        <w:rPr>
          <w:b w:val="0"/>
          <w:i w:val="0"/>
          <w:sz w:val="20"/>
        </w:rPr>
        <w:t>Solar shows up in two ways. Customers registered on the net-billing tariff number about 890 (roughly 510 residential, 313 small business, 65 large commercial) and are barely growing, up 4–5% in a year. But customers who actually exported more than they drew in August number about 1,070 across the two residential tariffs, close to double the registered residential count, and grew 26% (RT10) and 58% (RT20) year over year — so at least 450 residential exporters sit outside registered net billing, and that group is where the growth is. The forecast expected 1,632 RT10 net-export customers in August against the 966 realized, so residential self-generation is running behind plan rather than ahead of it. Among commercial customers, the 867 that cut consumption by more than 80% are overwhelmingly operational (storm closures, releases of contracted capacity); only two carry the self-generation signature (Section 6). Alcoa's exit is the one large, clear self-generation case: a full one-month departure from grid draw (9 GWh to 1.2), not a gradual export pattern. Commercial exporters are rare (about 50 small-business accounts and none on RT40/RT50 in August) and commercial net-billing accounts are flat. See Sections 3 and 6 and Appendix A9.</w:t>
      </w:r>
    </w:p>
    <w:p>
      <w:pPr>
        <w:keepNext/>
        <w:spacing w:before="160" w:after="40"/>
      </w:pPr>
      <w:r>
        <w:rPr>
          <w:b/>
          <w:color w:val="0B3D66"/>
        </w:rPr>
        <w:t>How are demand changes affecting revenue across rate classes?</w:t>
      </w:r>
    </w:p>
    <w:p>
      <w:pPr>
        <w:spacing w:after="80"/>
      </w:pPr>
      <w:r>
        <w:rPr>
          <w:b w:val="0"/>
          <w:i w:val="0"/>
          <w:sz w:val="20"/>
        </w:rPr>
        <w:t>Far more gently than the volume numbers suggest — system-wide, −1.85% revenue against −5.1% volume, because the average rate rose 3.4% and absorbed most of the difference. For commercial customers there is a second cushion: demand charges are billed on peak kVA, which doesn't fall in step with kWh, so across RT40, RT50 and RT70 volume and the energy charge are both down 6.3% while the demand charge is down only 4.9%. RT70 revenue is actually up despite selling less power. See Sections 1b and 2.</w:t>
      </w:r>
    </w:p>
    <w:p>
      <w:pPr>
        <w:keepNext/>
        <w:spacing w:before="160" w:after="40"/>
      </w:pPr>
      <w:r>
        <w:rPr>
          <w:b/>
          <w:color w:val="0B3D66"/>
        </w:rPr>
        <w:t>Which industries now contribute the most revenue? How does an industry or rate-class change compare in scale to the overall system-level change — is it disproportionately responsible relative to its size?</w:t>
      </w:r>
    </w:p>
    <w:p>
      <w:pPr>
        <w:spacing w:after="80"/>
      </w:pPr>
      <w:r>
        <w:rPr>
          <w:b w:val="0"/>
          <w:i w:val="0"/>
          <w:sz w:val="20"/>
        </w:rPr>
        <w:t>Hotels lost 26.0% of its volume but only 20.1% of its revenue — a favorable rate or mix shift cushioned some of the blow. Water Supply shows the same pattern at a smaller scale. See Section 5.</w:t>
      </w:r>
    </w:p>
    <w:p>
      <w:pPr>
        <w:keepNext/>
        <w:spacing w:before="160" w:after="40"/>
      </w:pPr>
      <w:r>
        <w:rPr>
          <w:b/>
          <w:color w:val="0B3D66"/>
        </w:rPr>
        <w:t>What is happening within key customer businesses? Which changes are temporary disruptions versus sustained changes in grid demand?</w:t>
      </w:r>
    </w:p>
    <w:p>
      <w:pPr>
        <w:spacing w:after="80"/>
      </w:pPr>
      <w:r>
        <w:rPr>
          <w:b w:val="0"/>
          <w:i w:val="0"/>
          <w:sz w:val="20"/>
        </w:rPr>
        <w:t>Temporary: the hotel sector's Melissa recovery, which is closing gradually. Sustained: Alcoa's self-generation, which is a permanent reduction in grid draw, not a dip that reverses.</w:t>
      </w:r>
    </w:p>
    <w:p>
      <w:pPr>
        <w:keepNext/>
        <w:spacing w:before="160" w:after="40"/>
      </w:pPr>
      <w:r>
        <w:rPr>
          <w:b/>
          <w:color w:val="0B3D66"/>
        </w:rPr>
        <w:t>Is average revenue per kWh changing?</w:t>
      </w:r>
    </w:p>
    <w:p>
      <w:pPr>
        <w:spacing w:after="80"/>
      </w:pPr>
      <w:r>
        <w:rPr>
          <w:b w:val="0"/>
          <w:i w:val="0"/>
          <w:sz w:val="20"/>
        </w:rPr>
        <w:t>Yes, and it's the main reason revenue held up better than volume — the system-wide blended rate rose from J$50.95/kWh to J$52.68/kWh, +3.4%. Every rate class saw its own rate rise over the period; RT70 (+6.7%) and RT40 (+5.2%) moved the most. The split by non-fuel, fuel, IPP and taxes is in Section 1b: fuel drives the increase, while the non-fuel rate is roughly flat.</w:t>
      </w:r>
    </w:p>
    <w:p>
      <w:pPr>
        <w:keepNext/>
        <w:spacing w:before="320" w:after="120"/>
        <w:pBdr>
          <w:bottom w:val="single" w:sz="12" w:space="4" w:color="0B3D66"/>
        </w:pBdr>
      </w:pPr>
      <w:r>
        <w:rPr>
          <w:b/>
          <w:color w:val="0B3D66"/>
          <w:sz w:val="28"/>
        </w:rPr>
        <w:t>Appendix</w:t>
      </w:r>
    </w:p>
    <w:p>
      <w:pPr>
        <w:spacing w:after="120"/>
      </w:pPr>
      <w:r>
        <w:rPr>
          <w:b w:val="0"/>
          <w:i w:val="0"/>
          <w:sz w:val="20"/>
        </w:rPr>
        <w:t>Supporting tables for the sections above. Unless stated, figures are August 2025 against August 2026, or January to August for year-to-date measures. Sales are billed kWh; revenue is net billed revenue before GCT.</w:t>
      </w:r>
    </w:p>
    <w:p>
      <w:pPr>
        <w:keepNext/>
        <w:spacing w:before="200" w:after="80"/>
      </w:pPr>
      <w:r>
        <w:rPr>
          <w:b/>
          <w:color w:val="0B3D66"/>
          <w:sz w:val="22"/>
        </w:rPr>
        <w:t>A1. Segment build-up of the combined figures</w:t>
      </w:r>
    </w:p>
    <w:tbl>
      <w:tblPr>
        <w:tblW w:type="auto" w:w="0"/>
        <w:jc w:val="center"/>
        <w:tblLayout w:type="fixed"/>
        <w:tblLook w:firstColumn="1" w:firstRow="1" w:lastColumn="0" w:lastRow="0" w:noHBand="0" w:noVBand="1" w:val="04A0"/>
      </w:tblPr>
      <w:tblGrid>
        <w:gridCol w:w="4535"/>
        <w:gridCol w:w="2608"/>
        <w:gridCol w:w="2608"/>
      </w:tblGrid>
      <w:tr>
        <w:trPr>
          <w:cantSplit/>
          <w:tblHeader/>
        </w:trPr>
        <w:tc>
          <w:tcPr>
            <w:tcW w:type="dxa" w:w="453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Customers</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2025</w:t>
            </w:r>
          </w:p>
        </w:tc>
        <w:tc>
          <w:tcPr>
            <w:tcW w:type="dxa" w:w="2608"/>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2026</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Residential — billed monthly</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684,552</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694,028</w:t>
            </w:r>
          </w:p>
        </w:tc>
      </w:tr>
      <w:tr>
        <w:trPr>
          <w:cantSplit/>
        </w:trPr>
        <w:tc>
          <w:tcPr>
            <w:tcW w:type="dxa" w:w="453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Prepaid</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16,574</w:t>
            </w:r>
          </w:p>
        </w:tc>
        <w:tc>
          <w:tcPr>
            <w:tcW w:type="dxa" w:w="2608"/>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18,488</w:t>
            </w:r>
          </w:p>
        </w:tc>
      </w:tr>
      <w:tr>
        <w:trPr>
          <w:cantSplit/>
        </w:trPr>
        <w:tc>
          <w:tcPr>
            <w:tcW w:type="dxa" w:w="453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Commercial</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26,134</w:t>
            </w:r>
          </w:p>
        </w:tc>
        <w:tc>
          <w:tcPr>
            <w:tcW w:type="dxa" w:w="2608"/>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26,066</w:t>
            </w:r>
          </w:p>
        </w:tc>
      </w:tr>
      <w:tr>
        <w:trPr>
          <w:cantSplit/>
        </w:trPr>
        <w:tc>
          <w:tcPr>
            <w:tcW w:type="dxa" w:w="453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Combined</w:t>
            </w:r>
          </w:p>
        </w:tc>
        <w:tc>
          <w:tcPr>
            <w:tcW w:type="dxa" w:w="2608"/>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727,260</w:t>
            </w:r>
          </w:p>
        </w:tc>
        <w:tc>
          <w:tcPr>
            <w:tcW w:type="dxa" w:w="2608"/>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738,582</w:t>
            </w:r>
          </w:p>
        </w:tc>
      </w:tr>
    </w:tbl>
    <w:p>
      <w:pPr>
        <w:spacing w:after="80" w:line="144" w:lineRule="auto"/>
      </w:pP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Sales and revenue, Jan–Aug</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Residential</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Prepaid</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Commercial</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Combined</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Sales 2025 (GWh)</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952.4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1,277.3</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2,248.2</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Sales 2026 (GWh)</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903.1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20.1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1,211.0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2,134.2</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revenue 2025 (J$M)</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55,025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1,034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58,487</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114,545</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Net revenue 2026 (J$M)</w:t>
            </w:r>
          </w:p>
        </w:tc>
        <w:tc>
          <w:tcPr>
            <w:tcW w:type="dxa" w:w="147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53,511</w:t>
            </w:r>
          </w:p>
        </w:tc>
        <w:tc>
          <w:tcPr>
            <w:tcW w:type="dxa" w:w="147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1,194</w:t>
            </w:r>
          </w:p>
        </w:tc>
        <w:tc>
          <w:tcPr>
            <w:tcW w:type="dxa" w:w="147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57,726</w:t>
            </w:r>
          </w:p>
        </w:tc>
        <w:tc>
          <w:tcPr>
            <w:tcW w:type="dxa" w:w="1474"/>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112,431</w:t>
            </w:r>
          </w:p>
        </w:tc>
      </w:tr>
    </w:tbl>
    <w:p>
      <w:pPr>
        <w:spacing w:after="80" w:line="144" w:lineRule="auto"/>
      </w:pPr>
    </w:p>
    <w:p>
      <w:pPr>
        <w:keepNext/>
        <w:spacing w:before="200" w:after="80"/>
      </w:pPr>
      <w:r>
        <w:rPr>
          <w:b/>
          <w:color w:val="0B3D66"/>
          <w:sz w:val="22"/>
        </w:rPr>
        <w:t>A2. Consumption bands — RT10 residential</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768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966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+198 (+25.8%)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−0.25</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50,569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57,968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+7,399 (+14.6%)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Under 150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312,030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310,802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−1,228 (−0.4%)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23.88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23.22</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150 to 350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206,685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201,151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−5,534 (−2.7%)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46.08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45.07</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350 to 550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40,652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44,120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+3,468 (+8.5%)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17.39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18.94</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550 to 750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12,672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14,436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+1,764 (+13.9%)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8.03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9.15</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750 to 950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5,092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6,129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+1,037 (+20.4%)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4.26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5.13</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950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6,854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8,155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+1,301 (+19.0%)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11.40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13.30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Prepaid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16,080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17,983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+1,903 (+11.8%)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3.10</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651,402</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661,710</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+10,308 (+1.6%)</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113.46</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117.66</w:t>
            </w:r>
          </w:p>
        </w:tc>
      </w:tr>
    </w:tbl>
    <w:p>
      <w:pPr>
        <w:spacing w:after="80" w:line="144" w:lineRule="auto"/>
      </w:pPr>
    </w:p>
    <w:p>
      <w:pPr>
        <w:keepNext/>
        <w:spacing w:before="200" w:after="80"/>
      </w:pPr>
      <w:r>
        <w:rPr>
          <w:b/>
          <w:color w:val="0B3D66"/>
          <w:sz w:val="22"/>
        </w:rPr>
        <w:t>A3. Consumption bands — RT20 residential (small residential-type accounts)</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+39 (+58.2%)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−0.05</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5,712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6,340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+628 (+11.0%)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Under 150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18,927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18,874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−53 (−0.3%)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150 to 350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10,085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9,992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−93 (−0.9%)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2.36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350 to 550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4,788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4,757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−31 (−0.6%)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2.09</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550 to 750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2,537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2,658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+121 (+4.8%)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1.71</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750 to 950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1,615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1,671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+56 (+3.5%)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1.41</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950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5,499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5,903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+404 (+7.3%)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12.86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15.07</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Prepaid</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494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505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+11 (+2.2%)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0.12</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49,724</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50,806</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+1,082 (+2.2%)</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21.46</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23.81</w:t>
            </w:r>
          </w:p>
        </w:tc>
      </w:tr>
    </w:tbl>
    <w:p>
      <w:pPr>
        <w:spacing w:after="80" w:line="144" w:lineRule="auto"/>
      </w:pPr>
    </w:p>
    <w:p>
      <w:pPr>
        <w:spacing w:after="120"/>
      </w:pPr>
      <w:r>
        <w:rPr>
          <w:b w:val="0"/>
          <w:i w:val="0"/>
          <w:color w:val="666666"/>
          <w:sz w:val="16"/>
        </w:rPr>
        <w:t>RT10 and RT20 residential use the standard residential bands. Customers in the prepaid line are also counted in the totals but have no band; net export means the customer sent more solar to the grid than it drew that month.</w:t>
      </w:r>
    </w:p>
    <w:p>
      <w:pPr>
        <w:keepNext/>
        <w:spacing w:before="200" w:after="80"/>
      </w:pPr>
      <w:r>
        <w:rPr>
          <w:b/>
          <w:color w:val="0B3D66"/>
          <w:sz w:val="22"/>
        </w:rPr>
        <w:t>A4. Consumption bands — RT20 commercial (small business, individually metered)</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−0.04</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1,892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2,112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+220 (+11.6%)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14,412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14,122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−290 (−2.0%)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3.89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3.82</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5,581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5,559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−22 (−0.4%)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12.49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12.49</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5,001 to 20,000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1,512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1,502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−10 (−0.7%)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13.61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13.46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20,001 to 100,000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194</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 (+1.6%)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6.75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6.72</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(−25.0%)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0.53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0.36</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23,617</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23,542</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−75 (−0.3%)</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37.25</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36.80</w:t>
            </w:r>
          </w:p>
        </w:tc>
      </w:tr>
    </w:tbl>
    <w:p>
      <w:pPr>
        <w:spacing w:after="80" w:line="144" w:lineRule="auto"/>
      </w:pPr>
    </w:p>
    <w:p>
      <w:pPr>
        <w:keepNext/>
        <w:spacing w:before="200" w:after="80"/>
      </w:pPr>
      <w:r>
        <w:rPr>
          <w:b/>
          <w:color w:val="0B3D66"/>
          <w:sz w:val="22"/>
        </w:rPr>
        <w:t>A5. Consumption bands — RT40 Commercial</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 (+19.2%)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95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 (+21.8%)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0.03</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0.03</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218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 (−9.2%)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0.67</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0.59</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5,001 to 20,000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737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749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 (+1.6%)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8.49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8.60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20,001 to 100,000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736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738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 (+0.3%)</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32.65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32.75</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140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 (−4.8%)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25.29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24.12</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Over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4.31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5.79</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1,947</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1,956</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+9 (+0.5%)</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71.44</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71.88</w:t>
            </w:r>
          </w:p>
        </w:tc>
      </w:tr>
    </w:tbl>
    <w:p>
      <w:pPr>
        <w:spacing w:after="80" w:line="144" w:lineRule="auto"/>
      </w:pPr>
    </w:p>
    <w:p>
      <w:pPr>
        <w:keepNext/>
        <w:spacing w:before="200" w:after="80"/>
      </w:pPr>
      <w:r>
        <w:rPr>
          <w:b/>
          <w:color w:val="0B3D66"/>
          <w:sz w:val="22"/>
        </w:rPr>
        <w:t>A6. Consumption bands — RT50 Large Commercial</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Net export (below zero)</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 (−75.0%)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 (+42.9%)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0.03</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5,001 to 20,000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16</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 (+12.5%)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0.18</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0.23</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20,001 to 100,000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59</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55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−4 (−6.8%)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2.87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2.70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55</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(+1.9%)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12.42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12.66</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500,000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 (−16.7%)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16.98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15.06</w:t>
            </w:r>
          </w:p>
        </w:tc>
      </w:tr>
      <w:tr>
        <w:trPr>
          <w:cantSplit/>
        </w:trPr>
        <w:tc>
          <w:tcPr>
            <w:tcW w:type="dxa" w:w="317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158</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159</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 (+0.6%)</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32.48</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30.68</w:t>
            </w:r>
          </w:p>
        </w:tc>
      </w:tr>
    </w:tbl>
    <w:p>
      <w:pPr>
        <w:spacing w:after="80" w:line="144" w:lineRule="auto"/>
      </w:pPr>
    </w:p>
    <w:p>
      <w:pPr>
        <w:keepNext/>
        <w:spacing w:before="200" w:after="80"/>
      </w:pPr>
      <w:r>
        <w:rPr>
          <w:b/>
          <w:color w:val="0B3D66"/>
          <w:sz w:val="22"/>
        </w:rPr>
        <w:t>A7. Consumption bands — RT60-ST Street Lighting</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364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364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0.04</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0.02</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0.01</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20,001 to 100,000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0.09</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0.09</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1.76</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1.77</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Over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1.50</w:t>
            </w:r>
          </w:p>
        </w:tc>
      </w:tr>
      <w:tr>
        <w:trPr>
          <w:cantSplit/>
        </w:trPr>
        <w:tc>
          <w:tcPr>
            <w:tcW w:type="dxa" w:w="317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388</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388</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0 (0.0%)</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3.40</w:t>
            </w:r>
          </w:p>
        </w:tc>
        <w:tc>
          <w:tcPr>
            <w:tcW w:type="dxa" w:w="131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3.41</w:t>
            </w:r>
          </w:p>
        </w:tc>
      </w:tr>
    </w:tbl>
    <w:p>
      <w:pPr>
        <w:spacing w:after="80" w:line="144" w:lineRule="auto"/>
      </w:pPr>
    </w:p>
    <w:p>
      <w:pPr>
        <w:keepNext/>
        <w:spacing w:before="200" w:after="80"/>
      </w:pPr>
      <w:r>
        <w:rPr>
          <w:b/>
          <w:color w:val="0B3D66"/>
          <w:sz w:val="22"/>
        </w:rPr>
        <w:t>A8. Consumption bands — RT70 Industrial</w:t>
      </w:r>
    </w:p>
    <w:tbl>
      <w:tblPr>
        <w:tblW w:type="auto" w:w="0"/>
        <w:jc w:val="center"/>
        <w:tblLayout w:type="fixed"/>
        <w:tblLook w:firstColumn="1" w:firstRow="1" w:lastColumn="0" w:lastRow="0" w:noHBand="0" w:noVBand="1" w:val="04A0"/>
      </w:tblPr>
      <w:tblGrid>
        <w:gridCol w:w="3175"/>
        <w:gridCol w:w="1315"/>
        <w:gridCol w:w="1315"/>
        <w:gridCol w:w="1315"/>
        <w:gridCol w:w="1315"/>
        <w:gridCol w:w="1315"/>
      </w:tblGrid>
      <w:tr>
        <w:trPr>
          <w:cantSplit/>
          <w:tblHeader/>
        </w:trPr>
        <w:tc>
          <w:tcPr>
            <w:tcW w:type="dxa" w:w="317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Band (kWh per month)</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Customers Aug-26</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Aug-25</w:t>
            </w:r>
          </w:p>
        </w:tc>
        <w:tc>
          <w:tcPr>
            <w:tcW w:type="dxa" w:w="1315"/>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 Aug-26</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Zero consumption</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1 to 1,000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1,001 to 5,000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(−100.0%)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0.00</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5,001 to 20,000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 (0.0%)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0.01</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0.01</w:t>
            </w:r>
          </w:p>
        </w:tc>
      </w:tr>
      <w:tr>
        <w:trPr>
          <w:cantSplit/>
        </w:trPr>
        <w:tc>
          <w:tcPr>
            <w:tcW w:type="dxa" w:w="317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100,001 to 500,000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 (+300.0%)</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0.32</w:t>
            </w:r>
          </w:p>
        </w:tc>
        <w:tc>
          <w:tcPr>
            <w:tcW w:type="dxa" w:w="1315"/>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1.58</w:t>
            </w:r>
          </w:p>
        </w:tc>
      </w:tr>
      <w:tr>
        <w:trPr>
          <w:cantSplit/>
        </w:trPr>
        <w:tc>
          <w:tcPr>
            <w:tcW w:type="dxa" w:w="317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Over 500,000</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15</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 (−16.7%)</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27.18</w:t>
            </w:r>
          </w:p>
        </w:tc>
        <w:tc>
          <w:tcPr>
            <w:tcW w:type="dxa" w:w="1315"/>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18.12</w:t>
            </w:r>
          </w:p>
        </w:tc>
      </w:tr>
      <w:tr>
        <w:trPr>
          <w:cantSplit/>
        </w:trPr>
        <w:tc>
          <w:tcPr>
            <w:tcW w:type="dxa" w:w="3175"/>
            <w:tcMar>
              <w:top w:w="50" w:type="dxa"/>
              <w:bottom w:w="50" w:type="dxa"/>
              <w:left w:w="80" w:type="dxa"/>
              <w:right w:w="80" w:type="dxa"/>
            </w:tcMar>
            <w:tcBorders>
              <w:bottom w:val="single" w:sz="4" w:color="E4E4E4"/>
              <w:top w:val="single" w:sz="12" w:color="0B3D66"/>
            </w:tcBorders>
          </w:tcPr>
          <w:p>
            <w:pPr>
              <w:spacing w:after="0" w:before="0" w:line="240" w:lineRule="auto"/>
              <w:jc w:val="left"/>
            </w:pPr>
            <w:r>
              <w:rPr>
                <w:b/>
                <w:i w:val="0"/>
                <w:sz w:val="17"/>
              </w:rPr>
              <w:t>Total</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24</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21</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−3 (−12.5%)</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27.52</w:t>
            </w:r>
          </w:p>
        </w:tc>
        <w:tc>
          <w:tcPr>
            <w:tcW w:type="dxa" w:w="1315"/>
            <w:tcMar>
              <w:top w:w="50" w:type="dxa"/>
              <w:bottom w:w="50" w:type="dxa"/>
              <w:left w:w="80" w:type="dxa"/>
              <w:right w:w="80" w:type="dxa"/>
            </w:tcMar>
            <w:tcBorders>
              <w:bottom w:val="single" w:sz="4" w:color="E4E4E4"/>
              <w:top w:val="single" w:sz="12" w:color="0B3D66"/>
            </w:tcBorders>
          </w:tcPr>
          <w:p>
            <w:pPr>
              <w:spacing w:after="0" w:before="0" w:line="240" w:lineRule="auto"/>
              <w:jc w:val="right"/>
            </w:pPr>
            <w:r>
              <w:rPr>
                <w:b/>
                <w:i w:val="0"/>
                <w:sz w:val="17"/>
              </w:rPr>
              <w:t>19.71</w:t>
            </w:r>
          </w:p>
        </w:tc>
      </w:tr>
    </w:tbl>
    <w:p>
      <w:pPr>
        <w:spacing w:after="80" w:line="144" w:lineRule="auto"/>
      </w:pPr>
    </w:p>
    <w:p>
      <w:pPr>
        <w:spacing w:after="120"/>
      </w:pPr>
      <w:r>
        <w:rPr>
          <w:b w:val="0"/>
          <w:i w:val="0"/>
          <w:color w:val="666666"/>
          <w:sz w:val="16"/>
        </w:rPr>
        <w:t>Commercial and industrial classes are individually metered, so the bands are set on each account's monthly kWh rather than the residential bands.</w:t>
      </w:r>
    </w:p>
    <w:p>
      <w:pPr>
        <w:keepNext/>
        <w:spacing w:before="200" w:after="80"/>
      </w:pPr>
      <w:r>
        <w:rPr>
          <w:b/>
          <w:color w:val="0B3D66"/>
          <w:sz w:val="22"/>
        </w:rPr>
        <w:t>A9. Net billing — registered customers against customers exporting in the month</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Registered on the net-billing tariff</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Dec 2025</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2026</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Residential (NB10)</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488</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511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 (+5.1%)</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Small business (NB20)</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301</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302</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313</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 (+4.0%)</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Large commercial (NB40)</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66</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64</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65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 (−1.5%)</w:t>
            </w:r>
          </w:p>
        </w:tc>
      </w:tr>
      <w:tr>
        <w:trPr>
          <w:cantSplit/>
        </w:trPr>
        <w:tc>
          <w:tcPr>
            <w:tcW w:type="dxa" w:w="3855"/>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left"/>
            </w:pPr>
            <w:r>
              <w:rPr>
                <w:b/>
                <w:i w:val="0"/>
                <w:sz w:val="17"/>
              </w:rPr>
              <w:t>Total registered</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853</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854</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889</w:t>
            </w:r>
          </w:p>
        </w:tc>
        <w:tc>
          <w:tcPr>
            <w:tcW w:type="dxa" w:w="1474"/>
            <w:tcMar>
              <w:top w:w="50" w:type="dxa"/>
              <w:bottom w:w="50" w:type="dxa"/>
              <w:left w:w="80" w:type="dxa"/>
              <w:right w:w="80" w:type="dxa"/>
            </w:tcMar>
            <w:shd w:val="clear" w:color="auto" w:fill="F7F9FB"/>
            <w:tcBorders>
              <w:bottom w:val="single" w:sz="4" w:color="E4E4E4"/>
              <w:top w:val="single" w:sz="12" w:color="0B3D66"/>
            </w:tcBorders>
          </w:tcPr>
          <w:p>
            <w:pPr>
              <w:spacing w:after="0" w:before="0" w:line="240" w:lineRule="auto"/>
              <w:jc w:val="right"/>
            </w:pPr>
            <w:r>
              <w:rPr>
                <w:b/>
                <w:i w:val="0"/>
                <w:sz w:val="17"/>
              </w:rPr>
              <w:t>+36 (+4.2%)</w:t>
            </w:r>
          </w:p>
        </w:tc>
      </w:tr>
    </w:tbl>
    <w:p>
      <w:pPr>
        <w:spacing w:after="80" w:line="144" w:lineRule="auto"/>
      </w:pPr>
    </w:p>
    <w:tbl>
      <w:tblPr>
        <w:tblW w:type="auto" w:w="0"/>
        <w:jc w:val="center"/>
        <w:tblLayout w:type="fixed"/>
        <w:tblLook w:firstColumn="1" w:firstRow="1" w:lastColumn="0" w:lastRow="0" w:noHBand="0" w:noVBand="1" w:val="04A0"/>
      </w:tblPr>
      <w:tblGrid>
        <w:gridCol w:w="3515"/>
        <w:gridCol w:w="2079"/>
        <w:gridCol w:w="2079"/>
        <w:gridCol w:w="2079"/>
      </w:tblGrid>
      <w:tr>
        <w:trPr>
          <w:cantSplit/>
          <w:tblHeader/>
        </w:trPr>
        <w:tc>
          <w:tcPr>
            <w:tcW w:type="dxa" w:w="351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Customers exporting more than they drew, in August</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2025</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Aug 2026</w:t>
            </w:r>
          </w:p>
        </w:tc>
        <w:tc>
          <w:tcPr>
            <w:tcW w:type="dxa" w:w="2079"/>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Change</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RT10 residential</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768</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966</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+198 (+25.8%)</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RT20 residential</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67</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106</w:t>
            </w:r>
          </w:p>
        </w:tc>
        <w:tc>
          <w:tcPr>
            <w:tcW w:type="dxa" w:w="2079"/>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+39 (+58.2%)</w:t>
            </w:r>
          </w:p>
        </w:tc>
      </w:tr>
      <w:tr>
        <w:trPr>
          <w:cantSplit/>
        </w:trPr>
        <w:tc>
          <w:tcPr>
            <w:tcW w:type="dxa" w:w="351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RT20 commercial</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50</w:t>
            </w:r>
          </w:p>
        </w:tc>
        <w:tc>
          <w:tcPr>
            <w:tcW w:type="dxa" w:w="2079"/>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+25 (+100.0%)</w:t>
            </w:r>
          </w:p>
        </w:tc>
      </w:tr>
      <w:tr>
        <w:trPr>
          <w:cantSplit/>
        </w:trPr>
        <w:tc>
          <w:tcPr>
            <w:tcW w:type="dxa" w:w="3515"/>
            <w:tcMar>
              <w:top w:w="50" w:type="dxa"/>
              <w:bottom w:w="50" w:type="dxa"/>
              <w:left w:w="80" w:type="dxa"/>
              <w:right w:w="80" w:type="dxa"/>
            </w:tcMar>
            <w:shd w:val="clear" w:color="auto" w:fill="F7F9FB"/>
            <w:tcBorders>
              <w:bottom w:val="single" w:sz="4" w:color="E4E4E4"/>
            </w:tcBorders>
          </w:tcPr>
          <w:p>
            <w:pPr>
              <w:spacing w:after="0" w:before="0" w:line="240" w:lineRule="auto"/>
              <w:jc w:val="left"/>
            </w:pPr>
            <w:r>
              <w:rPr>
                <w:b w:val="0"/>
                <w:i w:val="0"/>
                <w:sz w:val="17"/>
              </w:rPr>
              <w:t>RT40 and RT50 commercial</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1</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0</w:t>
            </w:r>
          </w:p>
        </w:tc>
        <w:tc>
          <w:tcPr>
            <w:tcW w:type="dxa" w:w="2079"/>
            <w:tcMar>
              <w:top w:w="50" w:type="dxa"/>
              <w:bottom w:w="50" w:type="dxa"/>
              <w:left w:w="80" w:type="dxa"/>
              <w:right w:w="80" w:type="dxa"/>
            </w:tcMar>
            <w:shd w:val="clear" w:color="auto" w:fill="F7F9FB"/>
            <w:tcBorders>
              <w:bottom w:val="single" w:sz="4" w:color="E4E4E4"/>
            </w:tcBorders>
          </w:tcPr>
          <w:p>
            <w:pPr>
              <w:spacing w:after="0" w:before="0" w:line="240" w:lineRule="auto"/>
              <w:jc w:val="right"/>
            </w:pPr>
            <w:r>
              <w:rPr>
                <w:b w:val="0"/>
                <w:i w:val="0"/>
                <w:sz w:val="17"/>
              </w:rPr>
              <w:t xml:space="preserve"> </w:t>
            </w:r>
          </w:p>
        </w:tc>
      </w:tr>
    </w:tbl>
    <w:p>
      <w:pPr>
        <w:spacing w:after="80" w:line="144" w:lineRule="auto"/>
      </w:pPr>
    </w:p>
    <w:p>
      <w:pPr>
        <w:spacing w:after="120"/>
      </w:pPr>
      <w:r>
        <w:rPr>
          <w:b w:val="0"/>
          <w:i w:val="0"/>
          <w:color w:val="666666"/>
          <w:sz w:val="16"/>
        </w:rPr>
        <w:t>Registered net-billing customers, on average, still draw more from the grid than they export, so they are not the same population as customers in net export in a given month.</w:t>
      </w:r>
    </w:p>
    <w:p>
      <w:pPr>
        <w:spacing w:after="120"/>
      </w:pPr>
      <w:r>
        <w:rPr>
          <w:b w:val="0"/>
          <w:i w:val="0"/>
          <w:color w:val="666666"/>
          <w:sz w:val="16"/>
        </w:rPr>
        <w:t>RT50 and RT70 have no registered net-billing customers. Their negative-kWh months since January 2025 (44 account-months) come almost entirely from power producers selling to the grid: on RT50, Wigton Windfarm (15 months), West Kingston Power Partners (6), Jamaica Energy Partners (4), NFE South Power Holdings (4), Jamaica Private Power Company (2), BMR Jamaica Wind (2) and Eight Rivers Energy (1); on RT70, South Jamaica Power Company (2). The remaining four months (JPS, Palm Rose Commodity, West Meat Packers, Montego Bay Yacht Club) are single-month reversals rather than exports.</w:t>
      </w:r>
    </w:p>
    <w:p>
      <w:pPr>
        <w:keepNext/>
        <w:spacing w:before="200" w:after="80"/>
      </w:pPr>
      <w:r>
        <w:rPr>
          <w:b/>
          <w:color w:val="0B3D66"/>
          <w:sz w:val="22"/>
        </w:rPr>
        <w:t>A10. Demand-billed classes — volume, billed demand and charges, January to August</w:t>
      </w:r>
    </w:p>
    <w:tbl>
      <w:tblPr>
        <w:tblW w:type="auto" w:w="0"/>
        <w:jc w:val="center"/>
        <w:tblLayout w:type="fixed"/>
        <w:tblLook w:firstColumn="1" w:firstRow="1" w:lastColumn="0" w:lastRow="0" w:noHBand="0" w:noVBand="1" w:val="04A0"/>
      </w:tblPr>
      <w:tblGrid>
        <w:gridCol w:w="3855"/>
        <w:gridCol w:w="1474"/>
        <w:gridCol w:w="1474"/>
        <w:gridCol w:w="1474"/>
        <w:gridCol w:w="1474"/>
      </w:tblGrid>
      <w:tr>
        <w:trPr>
          <w:cantSplit/>
          <w:tblHeader/>
        </w:trPr>
        <w:tc>
          <w:tcPr>
            <w:tcW w:type="dxa" w:w="3855"/>
            <w:tcMar>
              <w:top w:w="50" w:type="dxa"/>
              <w:bottom w:w="50" w:type="dxa"/>
              <w:left w:w="80" w:type="dxa"/>
              <w:right w:w="80" w:type="dxa"/>
            </w:tcMar>
            <w:shd w:val="clear" w:color="auto" w:fill="0B3D66"/>
            <w:tcBorders>
              <w:bottom w:val="single" w:sz="4" w:color="E4E4E4"/>
            </w:tcBorders>
          </w:tcPr>
          <w:p>
            <w:pPr>
              <w:keepNext/>
              <w:spacing w:after="0" w:before="0" w:line="240" w:lineRule="auto"/>
              <w:jc w:val="left"/>
            </w:pPr>
            <w:r>
              <w:rPr>
                <w:b/>
                <w:i w:val="0"/>
                <w:color w:val="FFFFFF"/>
                <w:sz w:val="17"/>
              </w:rPr>
              <w:t>Class</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GWh</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Billed kVA (thousands)</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Energy charge (J$M)</w:t>
            </w:r>
          </w:p>
        </w:tc>
        <w:tc>
          <w:tcPr>
            <w:tcW w:type="dxa" w:w="1474"/>
            <w:tcMar>
              <w:top w:w="50" w:type="dxa"/>
              <w:bottom w:w="50" w:type="dxa"/>
              <w:left w:w="80" w:type="dxa"/>
              <w:right w:w="80" w:type="dxa"/>
            </w:tcMar>
            <w:shd w:val="clear" w:color="auto" w:fill="0B3D66"/>
            <w:tcBorders>
              <w:bottom w:val="single" w:sz="4" w:color="E4E4E4"/>
            </w:tcBorders>
          </w:tcPr>
          <w:p>
            <w:pPr>
              <w:keepNext/>
              <w:spacing w:after="0" w:before="0" w:line="240" w:lineRule="auto"/>
              <w:jc w:val="right"/>
            </w:pPr>
            <w:r>
              <w:rPr>
                <w:b/>
                <w:i w:val="0"/>
                <w:color w:val="FFFFFF"/>
                <w:sz w:val="17"/>
              </w:rPr>
              <w:t>Demand charge (J$M)</w:t>
            </w:r>
          </w:p>
        </w:tc>
      </w:tr>
      <w:tr>
        <w:trPr>
          <w:cantSplit/>
        </w:trPr>
        <w:tc>
          <w:tcPr>
            <w:tcW w:type="dxa" w:w="3855"/>
            <w:tcMar>
              <w:top w:w="50" w:type="dxa"/>
              <w:bottom w:w="50" w:type="dxa"/>
              <w:left w:w="80" w:type="dxa"/>
              <w:right w:w="80" w:type="dxa"/>
            </w:tcMar>
            <w:tcBorders>
              <w:bottom w:val="single" w:sz="4" w:color="E4E4E4"/>
            </w:tcBorders>
          </w:tcPr>
          <w:p>
            <w:pPr>
              <w:keepNext/>
              <w:spacing w:after="0" w:before="0" w:line="240" w:lineRule="auto"/>
              <w:jc w:val="left"/>
            </w:pPr>
            <w:r>
              <w:rPr>
                <w:b w:val="0"/>
                <w:i w:val="0"/>
                <w:sz w:val="17"/>
              </w:rPr>
              <w:t>RT40 Commercial</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536.4 → 502.5</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2,066 → 1,980</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3,620 → 3,391</w:t>
            </w:r>
          </w:p>
        </w:tc>
        <w:tc>
          <w:tcPr>
            <w:tcW w:type="dxa" w:w="1474"/>
            <w:tcMar>
              <w:top w:w="50" w:type="dxa"/>
              <w:bottom w:w="50" w:type="dxa"/>
              <w:left w:w="80" w:type="dxa"/>
              <w:right w:w="80" w:type="dxa"/>
            </w:tcMar>
            <w:tcBorders>
              <w:bottom w:val="single" w:sz="4" w:color="E4E4E4"/>
            </w:tcBorders>
          </w:tcPr>
          <w:p>
            <w:pPr>
              <w:keepNext/>
              <w:spacing w:after="0" w:before="0" w:line="240" w:lineRule="auto"/>
              <w:jc w:val="right"/>
            </w:pPr>
            <w:r>
              <w:rPr>
                <w:b w:val="0"/>
                <w:i w:val="0"/>
                <w:sz w:val="17"/>
              </w:rPr>
              <w:t>5,206 → 5,007</w:t>
            </w:r>
          </w:p>
        </w:tc>
      </w:tr>
      <w:tr>
        <w:trPr>
          <w:cantSplit/>
        </w:trPr>
        <w:tc>
          <w:tcPr>
            <w:tcW w:type="dxa" w:w="3855"/>
            <w:tcMar>
              <w:top w:w="50" w:type="dxa"/>
              <w:bottom w:w="50" w:type="dxa"/>
              <w:left w:w="80" w:type="dxa"/>
              <w:right w:w="80" w:type="dxa"/>
            </w:tcMar>
            <w:shd w:val="clear" w:color="auto" w:fill="F7F9FB"/>
            <w:tcBorders>
              <w:bottom w:val="single" w:sz="4" w:color="E4E4E4"/>
            </w:tcBorders>
          </w:tcPr>
          <w:p>
            <w:pPr>
              <w:keepNext/>
              <w:spacing w:after="0" w:before="0" w:line="240" w:lineRule="auto"/>
              <w:jc w:val="left"/>
            </w:pPr>
            <w:r>
              <w:rPr>
                <w:b w:val="0"/>
                <w:i w:val="0"/>
                <w:sz w:val="17"/>
              </w:rPr>
              <w:t>RT50 Large Commercial</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253.6 → 229.3</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1,369 → 1,284</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1,228 → 1,113</w:t>
            </w:r>
          </w:p>
        </w:tc>
        <w:tc>
          <w:tcPr>
            <w:tcW w:type="dxa" w:w="1474"/>
            <w:tcMar>
              <w:top w:w="50" w:type="dxa"/>
              <w:bottom w:w="50" w:type="dxa"/>
              <w:left w:w="80" w:type="dxa"/>
              <w:right w:w="80" w:type="dxa"/>
            </w:tcMar>
            <w:shd w:val="clear" w:color="auto" w:fill="F7F9FB"/>
            <w:tcBorders>
              <w:bottom w:val="single" w:sz="4" w:color="E4E4E4"/>
            </w:tcBorders>
          </w:tcPr>
          <w:p>
            <w:pPr>
              <w:keepNext/>
              <w:spacing w:after="0" w:before="0" w:line="240" w:lineRule="auto"/>
              <w:jc w:val="right"/>
            </w:pPr>
            <w:r>
              <w:rPr>
                <w:b w:val="0"/>
                <w:i w:val="0"/>
                <w:sz w:val="17"/>
              </w:rPr>
              <w:t>1,760 → 1,628</w:t>
            </w:r>
          </w:p>
        </w:tc>
      </w:tr>
      <w:tr>
        <w:trPr>
          <w:cantSplit/>
        </w:trPr>
        <w:tc>
          <w:tcPr>
            <w:tcW w:type="dxa" w:w="3855"/>
            <w:tcMar>
              <w:top w:w="50" w:type="dxa"/>
              <w:bottom w:w="50" w:type="dxa"/>
              <w:left w:w="80" w:type="dxa"/>
              <w:right w:w="80" w:type="dxa"/>
            </w:tcMar>
            <w:tcBorders>
              <w:bottom w:val="single" w:sz="4" w:color="E4E4E4"/>
            </w:tcBorders>
          </w:tcPr>
          <w:p>
            <w:pPr>
              <w:spacing w:after="0" w:before="0" w:line="240" w:lineRule="auto"/>
              <w:jc w:val="left"/>
            </w:pPr>
            <w:r>
              <w:rPr>
                <w:b w:val="0"/>
                <w:i w:val="0"/>
                <w:sz w:val="17"/>
              </w:rPr>
              <w:t>RT70 Industrial</w:t>
            </w:r>
          </w:p>
        </w:tc>
        <w:tc>
          <w:tcPr>
            <w:tcW w:type="dxa" w:w="1474"/>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199.6 → 195.2</w:t>
            </w:r>
          </w:p>
        </w:tc>
        <w:tc>
          <w:tcPr>
            <w:tcW w:type="dxa" w:w="1474"/>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936 → 851</w:t>
            </w:r>
          </w:p>
        </w:tc>
        <w:tc>
          <w:tcPr>
            <w:tcW w:type="dxa" w:w="1474"/>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994 → 972</w:t>
            </w:r>
          </w:p>
        </w:tc>
        <w:tc>
          <w:tcPr>
            <w:tcW w:type="dxa" w:w="1474"/>
            <w:tcMar>
              <w:top w:w="50" w:type="dxa"/>
              <w:bottom w:w="50" w:type="dxa"/>
              <w:left w:w="80" w:type="dxa"/>
              <w:right w:w="80" w:type="dxa"/>
            </w:tcMar>
            <w:tcBorders>
              <w:bottom w:val="single" w:sz="4" w:color="E4E4E4"/>
            </w:tcBorders>
          </w:tcPr>
          <w:p>
            <w:pPr>
              <w:spacing w:after="0" w:before="0" w:line="240" w:lineRule="auto"/>
              <w:jc w:val="right"/>
            </w:pPr>
            <w:r>
              <w:rPr>
                <w:b w:val="0"/>
                <w:i w:val="0"/>
                <w:sz w:val="17"/>
              </w:rPr>
              <w:t>1,809 → 1,709</w:t>
            </w:r>
          </w:p>
        </w:tc>
      </w:tr>
    </w:tbl>
    <w:p>
      <w:pPr>
        <w:spacing w:after="80" w:line="144" w:lineRule="auto"/>
      </w:pPr>
    </w:p>
    <w:p>
      <w:pPr>
        <w:spacing w:after="120"/>
      </w:pPr>
      <w:r>
        <w:rPr>
          <w:b w:val="0"/>
          <w:i w:val="0"/>
          <w:color w:val="666666"/>
          <w:sz w:val="16"/>
        </w:rPr>
        <w:t>Billed kVA is the sum of the monthly billed demand across the accounts in each class.</w:t>
      </w:r>
    </w:p>
    <w:p>
      <w:pPr>
        <w:keepNext/>
        <w:spacing w:before="200" w:after="80"/>
      </w:pPr>
      <w:r>
        <w:rPr>
          <w:b/>
          <w:color w:val="0B3D66"/>
          <w:sz w:val="22"/>
        </w:rPr>
        <w:t>A11. Definitions</w:t>
      </w:r>
    </w:p>
    <w:p>
      <w:pPr>
        <w:pStyle w:val="ListBullet"/>
        <w:spacing w:after="60"/>
      </w:pPr>
      <w:r>
        <w:rPr>
          <w:b/>
          <w:i w:val="0"/>
          <w:sz w:val="20"/>
        </w:rPr>
        <w:t>Residential — billed monthly</w:t>
      </w:r>
      <w:r>
        <w:rPr>
          <w:b w:val="0"/>
          <w:i w:val="0"/>
          <w:sz w:val="20"/>
        </w:rPr>
        <w:t xml:space="preserve">: RT10 homeowner accounts and the residential-type accounts on RT20, billed after use. </w:t>
      </w:r>
      <w:r>
        <w:rPr>
          <w:b/>
          <w:i w:val="0"/>
          <w:sz w:val="20"/>
        </w:rPr>
        <w:t>Prepaid</w:t>
      </w:r>
      <w:r>
        <w:rPr>
          <w:b w:val="0"/>
          <w:i w:val="0"/>
          <w:sz w:val="20"/>
        </w:rPr>
        <w:t xml:space="preserve">: pay-as-you-go accounts on RT10 and RT20, reported separately. </w:t>
      </w:r>
      <w:r>
        <w:rPr>
          <w:b/>
          <w:i w:val="0"/>
          <w:sz w:val="20"/>
        </w:rPr>
        <w:t>Commercial</w:t>
      </w:r>
      <w:r>
        <w:rPr>
          <w:b w:val="0"/>
          <w:i w:val="0"/>
          <w:sz w:val="20"/>
        </w:rPr>
        <w:t>: RT20 accounts registered as businesses, plus RT40, RT50, RT60-ST and RT70.</w:t>
      </w:r>
    </w:p>
    <w:p>
      <w:pPr>
        <w:pStyle w:val="ListBullet"/>
        <w:spacing w:after="60"/>
      </w:pPr>
      <w:r>
        <w:rPr>
          <w:b/>
          <w:i w:val="0"/>
          <w:sz w:val="20"/>
        </w:rPr>
        <w:t>Customers</w:t>
      </w:r>
      <w:r>
        <w:rPr>
          <w:b w:val="0"/>
          <w:i w:val="0"/>
          <w:sz w:val="20"/>
        </w:rPr>
        <w:t xml:space="preserve"> are billed accounts in the month, one per metered account for commercial. </w:t>
      </w:r>
      <w:r>
        <w:rPr>
          <w:b/>
          <w:i w:val="0"/>
          <w:sz w:val="20"/>
        </w:rPr>
        <w:t>Sales</w:t>
      </w:r>
      <w:r>
        <w:rPr>
          <w:b w:val="0"/>
          <w:i w:val="0"/>
          <w:sz w:val="20"/>
        </w:rPr>
        <w:t xml:space="preserve"> are billed kWh. </w:t>
      </w:r>
      <w:r>
        <w:rPr>
          <w:b/>
          <w:i w:val="0"/>
          <w:sz w:val="20"/>
        </w:rPr>
        <w:t>Revenue</w:t>
      </w:r>
      <w:r>
        <w:rPr>
          <w:b w:val="0"/>
          <w:i w:val="0"/>
          <w:sz w:val="20"/>
        </w:rPr>
        <w:t xml:space="preserve"> is net billed revenue before GCT, which is shown separately.</w:t>
      </w:r>
    </w:p>
    <w:p>
      <w:pPr>
        <w:pStyle w:val="ListBullet"/>
        <w:spacing w:after="60"/>
      </w:pPr>
      <w:r>
        <w:rPr>
          <w:b/>
          <w:i w:val="0"/>
          <w:sz w:val="20"/>
        </w:rPr>
        <w:t>Non-fuel charges</w:t>
      </w:r>
      <w:r>
        <w:rPr>
          <w:b w:val="0"/>
          <w:i w:val="0"/>
          <w:sz w:val="20"/>
        </w:rPr>
        <w:t xml:space="preserve"> are the customer charge, energy charge and (commercial only) demand charge; </w:t>
      </w:r>
      <w:r>
        <w:rPr>
          <w:b/>
          <w:i w:val="0"/>
          <w:sz w:val="20"/>
        </w:rPr>
        <w:t>fuel</w:t>
      </w:r>
      <w:r>
        <w:rPr>
          <w:b w:val="0"/>
          <w:i w:val="0"/>
          <w:sz w:val="20"/>
        </w:rPr>
        <w:t xml:space="preserve"> and </w:t>
      </w:r>
      <w:r>
        <w:rPr>
          <w:b/>
          <w:i w:val="0"/>
          <w:sz w:val="20"/>
        </w:rPr>
        <w:t>IPP</w:t>
      </w:r>
      <w:r>
        <w:rPr>
          <w:b w:val="0"/>
          <w:i w:val="0"/>
          <w:sz w:val="20"/>
        </w:rPr>
        <w:t xml:space="preserve"> are the pass-through charges; </w:t>
      </w:r>
      <w:r>
        <w:rPr>
          <w:b/>
          <w:i w:val="0"/>
          <w:sz w:val="20"/>
        </w:rPr>
        <w:t>other</w:t>
      </w:r>
      <w:r>
        <w:rPr>
          <w:b w:val="0"/>
          <w:i w:val="0"/>
          <w:sz w:val="20"/>
        </w:rPr>
        <w:t xml:space="preserve"> is what remains between the sum of those charges and net revenue (billing adjustments and credits).</w:t>
      </w:r>
    </w:p>
    <w:p>
      <w:pPr>
        <w:spacing w:after="200"/>
      </w:pPr>
      <w:r>
        <w:rPr>
          <w:b w:val="0"/>
          <w:i w:val="0"/>
          <w:color w:val="666666"/>
          <w:sz w:val="16"/>
        </w:rPr>
        <w:t>Prepared by Sales Forecasting &amp; Analysis. Figures in GWh / J$ unless stated. Source: JPS billed sales and revenue records.</w:t>
      </w:r>
    </w:p>
    <w:sectPr w:rsidR="00FC693F" w:rsidRPr="0006063C" w:rsidSect="00034616">
      <w:footerReference w:type="default" r:id="rId9"/>
      <w:pgSz w:w="11906" w:h="16838"/>
      <w:pgMar w:top="1020"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
      <w:rPr>
        <w:color w:val="666666"/>
        <w:sz w:val="16"/>
      </w:rPr>
      <w:t>JPS Sales Analysis — Attribution &amp; Requirements Review</w:t>
      <w:tab/>
      <w:t xml:space="preserve">Page </w:t>
    </w:r>
    <w:r>
      <w:rPr>
        <w:color w:val="666666"/>
        <w:sz w:val="16"/>
      </w:rPr>
      <w:fldChar w:fldCharType="begin"/>
      <w:instrText xml:space="preserve">PAGE</w:instrText>
      <w:fldChar w:fldCharType="end"/>
    </w:r>
    <w:r>
      <w:rPr>
        <w:color w:val="666666"/>
        <w:sz w:val="16"/>
      </w:rPr>
      <w:t xml:space="preserve"> of </w:t>
    </w:r>
    <w:r>
      <w:rPr>
        <w:color w:val="666666"/>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JPS Sales Analysis — Attribution &amp; Requirements Review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